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01FE" w14:textId="77777777" w:rsidR="007C5BE3" w:rsidRPr="006623D1" w:rsidRDefault="007C5BE3" w:rsidP="007C5BE3">
      <w:pPr>
        <w:jc w:val="center"/>
        <w:rPr>
          <w:rFonts w:asciiTheme="minorHAnsi" w:hAnsiTheme="minorHAnsi" w:cstheme="minorHAnsi"/>
          <w:sz w:val="22"/>
          <w:szCs w:val="22"/>
        </w:rPr>
      </w:pPr>
      <w:bookmarkStart w:id="0" w:name="_GoBack"/>
      <w:bookmarkEnd w:id="0"/>
    </w:p>
    <w:sdt>
      <w:sdtPr>
        <w:rPr>
          <w:rFonts w:ascii="Times New Roman" w:hAnsi="Times New Roman" w:cs="Times New Roman"/>
          <w:color w:val="4472C4" w:themeColor="accent1"/>
          <w:sz w:val="24"/>
        </w:rPr>
        <w:id w:val="347149029"/>
        <w:docPartObj>
          <w:docPartGallery w:val="Cover Pages"/>
          <w:docPartUnique/>
        </w:docPartObj>
      </w:sdtPr>
      <w:sdtEndPr>
        <w:rPr>
          <w:b/>
          <w:bCs/>
          <w:color w:val="000000"/>
        </w:rPr>
      </w:sdtEndPr>
      <w:sdtContent>
        <w:p w14:paraId="68EC6250" w14:textId="380AD236" w:rsidR="006E14E5" w:rsidRDefault="006E14E5" w:rsidP="006E14E5">
          <w:pPr>
            <w:pStyle w:val="NoSpacing"/>
            <w:tabs>
              <w:tab w:val="center" w:pos="4680"/>
              <w:tab w:val="left" w:pos="8133"/>
            </w:tabs>
            <w:spacing w:before="1540" w:after="240"/>
            <w:rPr>
              <w:rFonts w:ascii="Times New Roman" w:hAnsi="Times New Roman" w:cs="Times New Roman"/>
              <w:color w:val="4472C4" w:themeColor="accent1"/>
              <w:sz w:val="24"/>
            </w:rPr>
          </w:pPr>
          <w:r w:rsidRPr="00C345F7">
            <w:rPr>
              <w:rFonts w:ascii="Times New Roman" w:hAnsi="Times New Roman" w:cs="Times New Roman"/>
              <w:noProof/>
              <w:color w:val="1F497D"/>
              <w:sz w:val="24"/>
            </w:rPr>
            <w:drawing>
              <wp:inline distT="0" distB="0" distL="0" distR="0" wp14:anchorId="10230576" wp14:editId="2A952DCD">
                <wp:extent cx="2381250" cy="552450"/>
                <wp:effectExtent l="0" t="0" r="0" b="0"/>
                <wp:docPr id="6" name="Picture 6" descr="cid:image002.png@01D0D5D7.A4957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D5D7.A4957E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inline>
            </w:drawing>
          </w:r>
        </w:p>
        <w:p w14:paraId="59993283" w14:textId="77777777" w:rsidR="006E14E5" w:rsidRDefault="006E14E5" w:rsidP="006E14E5">
          <w:pPr>
            <w:jc w:val="center"/>
            <w:rPr>
              <w:rFonts w:ascii="Times New Roman" w:hAnsi="Times New Roman"/>
              <w:b/>
              <w:sz w:val="32"/>
              <w:szCs w:val="32"/>
            </w:rPr>
          </w:pPr>
        </w:p>
        <w:p w14:paraId="0CFEB4DD" w14:textId="77777777" w:rsidR="006E14E5" w:rsidRDefault="006E14E5" w:rsidP="006E14E5">
          <w:pPr>
            <w:jc w:val="center"/>
            <w:rPr>
              <w:rFonts w:ascii="Times New Roman" w:hAnsi="Times New Roman"/>
              <w:b/>
              <w:sz w:val="32"/>
              <w:szCs w:val="32"/>
            </w:rPr>
          </w:pPr>
        </w:p>
        <w:p w14:paraId="275C4603" w14:textId="6533BDA1" w:rsidR="006E14E5" w:rsidRPr="00C45F16" w:rsidRDefault="006E14E5" w:rsidP="006E14E5">
          <w:pPr>
            <w:jc w:val="center"/>
            <w:rPr>
              <w:rFonts w:ascii="Times New Roman" w:hAnsi="Times New Roman"/>
              <w:b/>
              <w:sz w:val="36"/>
              <w:szCs w:val="36"/>
            </w:rPr>
          </w:pPr>
          <w:r>
            <w:rPr>
              <w:rFonts w:ascii="Times New Roman" w:hAnsi="Times New Roman"/>
              <w:b/>
              <w:sz w:val="32"/>
              <w:szCs w:val="32"/>
            </w:rPr>
            <w:t>Islamic Republic of  Pakistan</w:t>
          </w:r>
        </w:p>
        <w:p w14:paraId="19F6AB32" w14:textId="77777777" w:rsidR="006E14E5" w:rsidRPr="00FA67E8" w:rsidRDefault="006E14E5" w:rsidP="006E14E5">
          <w:pPr>
            <w:jc w:val="center"/>
            <w:rPr>
              <w:rFonts w:ascii="Times New Roman" w:hAnsi="Times New Roman"/>
              <w:b/>
            </w:rPr>
          </w:pPr>
        </w:p>
        <w:p w14:paraId="085E2AB5" w14:textId="77777777" w:rsidR="006E14E5" w:rsidRDefault="006E14E5" w:rsidP="006E14E5">
          <w:pPr>
            <w:jc w:val="center"/>
            <w:rPr>
              <w:rFonts w:ascii="Times New Roman" w:hAnsi="Times New Roman"/>
              <w:b/>
              <w:sz w:val="32"/>
              <w:szCs w:val="32"/>
            </w:rPr>
          </w:pPr>
        </w:p>
        <w:p w14:paraId="7C71854F" w14:textId="77777777" w:rsidR="006E14E5" w:rsidRPr="004670A5" w:rsidRDefault="006E14E5" w:rsidP="006E14E5">
          <w:pPr>
            <w:jc w:val="center"/>
            <w:rPr>
              <w:rStyle w:val="hidden-xs"/>
              <w:rFonts w:ascii="Times New Roman" w:hAnsi="Times New Roman" w:cs="Times New Roman"/>
              <w:b/>
              <w:bCs/>
              <w:caps/>
              <w:color w:val="auto"/>
              <w:sz w:val="21"/>
              <w:szCs w:val="21"/>
              <w:lang w:val="en"/>
            </w:rPr>
          </w:pPr>
          <w:r w:rsidRPr="004670A5">
            <w:rPr>
              <w:rStyle w:val="hidden-xs"/>
              <w:rFonts w:ascii="Times New Roman" w:hAnsi="Times New Roman" w:cs="Times New Roman"/>
              <w:b/>
              <w:bCs/>
              <w:caps/>
              <w:color w:val="auto"/>
              <w:sz w:val="21"/>
              <w:szCs w:val="21"/>
              <w:lang w:val="en"/>
            </w:rPr>
            <w:t xml:space="preserve">Khyber Pakhtunkhwa Revenue Mobilization and Public Resource Management </w:t>
          </w:r>
        </w:p>
        <w:p w14:paraId="1F9907AC" w14:textId="7EB714CA" w:rsidR="006E14E5" w:rsidRDefault="006E14E5" w:rsidP="006E14E5">
          <w:pPr>
            <w:jc w:val="center"/>
            <w:rPr>
              <w:rStyle w:val="hidden-xs"/>
              <w:rFonts w:ascii="Times New Roman" w:hAnsi="Times New Roman" w:cs="Times New Roman"/>
              <w:b/>
              <w:bCs/>
              <w:caps/>
              <w:color w:val="auto"/>
              <w:sz w:val="21"/>
              <w:szCs w:val="21"/>
              <w:lang w:val="en"/>
            </w:rPr>
          </w:pPr>
          <w:r w:rsidRPr="004670A5">
            <w:rPr>
              <w:rStyle w:val="hidden-xs"/>
              <w:rFonts w:ascii="Times New Roman" w:hAnsi="Times New Roman" w:cs="Times New Roman"/>
              <w:b/>
              <w:bCs/>
              <w:caps/>
              <w:color w:val="auto"/>
              <w:sz w:val="21"/>
              <w:szCs w:val="21"/>
              <w:lang w:val="en"/>
            </w:rPr>
            <w:t>(</w:t>
          </w:r>
          <w:r w:rsidRPr="004670A5">
            <w:rPr>
              <w:rFonts w:ascii="Times New Roman" w:hAnsi="Times New Roman" w:cs="Times New Roman"/>
              <w:b/>
              <w:bCs/>
              <w:caps/>
              <w:color w:val="auto"/>
              <w:sz w:val="21"/>
              <w:szCs w:val="21"/>
              <w:lang w:val="en"/>
            </w:rPr>
            <w:t>P162302</w:t>
          </w:r>
          <w:r w:rsidRPr="004670A5">
            <w:rPr>
              <w:rStyle w:val="hidden-xs"/>
              <w:rFonts w:ascii="Times New Roman" w:hAnsi="Times New Roman" w:cs="Times New Roman"/>
              <w:b/>
              <w:bCs/>
              <w:caps/>
              <w:color w:val="auto"/>
              <w:sz w:val="21"/>
              <w:szCs w:val="21"/>
              <w:lang w:val="en"/>
            </w:rPr>
            <w:t>)</w:t>
          </w:r>
        </w:p>
        <w:p w14:paraId="50A58636" w14:textId="08983A92" w:rsidR="00030DBF" w:rsidRDefault="00030DBF" w:rsidP="006E14E5">
          <w:pPr>
            <w:jc w:val="center"/>
            <w:rPr>
              <w:rFonts w:ascii="Times New Roman" w:hAnsi="Times New Roman" w:cs="Times New Roman"/>
              <w:b/>
              <w:color w:val="auto"/>
              <w:sz w:val="32"/>
              <w:szCs w:val="32"/>
            </w:rPr>
          </w:pPr>
        </w:p>
        <w:p w14:paraId="530B9E7F" w14:textId="1D6516A2" w:rsidR="00067940" w:rsidRDefault="00067940" w:rsidP="006E14E5">
          <w:pPr>
            <w:jc w:val="center"/>
            <w:rPr>
              <w:rFonts w:ascii="Times New Roman" w:hAnsi="Times New Roman" w:cs="Times New Roman"/>
              <w:b/>
              <w:color w:val="auto"/>
              <w:sz w:val="32"/>
              <w:szCs w:val="32"/>
            </w:rPr>
          </w:pPr>
        </w:p>
        <w:p w14:paraId="4A2217B9" w14:textId="77777777" w:rsidR="00067940" w:rsidRPr="004670A5" w:rsidRDefault="00067940" w:rsidP="006E14E5">
          <w:pPr>
            <w:jc w:val="center"/>
            <w:rPr>
              <w:rFonts w:ascii="Times New Roman" w:hAnsi="Times New Roman" w:cs="Times New Roman"/>
              <w:b/>
              <w:color w:val="auto"/>
              <w:sz w:val="32"/>
              <w:szCs w:val="32"/>
            </w:rPr>
          </w:pPr>
        </w:p>
        <w:p w14:paraId="4CC80183" w14:textId="5B7E0E20" w:rsidR="006E14E5" w:rsidRPr="004670A5" w:rsidRDefault="006E14E5" w:rsidP="004670A5">
          <w:pPr>
            <w:pStyle w:val="NoSpacing"/>
            <w:tabs>
              <w:tab w:val="center" w:pos="4680"/>
              <w:tab w:val="left" w:pos="6615"/>
            </w:tabs>
            <w:jc w:val="left"/>
            <w:rPr>
              <w:rFonts w:ascii="Times New Roman" w:hAnsi="Times New Roman" w:cs="Times New Roman"/>
              <w:b/>
              <w:color w:val="auto"/>
              <w:sz w:val="28"/>
              <w:szCs w:val="28"/>
            </w:rPr>
          </w:pPr>
          <w:r w:rsidRPr="004670A5">
            <w:rPr>
              <w:rFonts w:ascii="Times New Roman" w:hAnsi="Times New Roman" w:cs="Times New Roman"/>
              <w:b/>
              <w:bCs/>
              <w:color w:val="auto"/>
              <w:sz w:val="28"/>
              <w:szCs w:val="28"/>
            </w:rPr>
            <w:tab/>
          </w:r>
          <w:sdt>
            <w:sdtPr>
              <w:rPr>
                <w:rFonts w:ascii="Times New Roman" w:hAnsi="Times New Roman" w:cs="Times New Roman"/>
                <w:b/>
                <w:bCs/>
                <w:color w:val="auto"/>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r w:rsidR="004670A5">
                <w:rPr>
                  <w:rFonts w:ascii="Times New Roman" w:hAnsi="Times New Roman" w:cs="Times New Roman"/>
                  <w:b/>
                  <w:bCs/>
                  <w:color w:val="auto"/>
                  <w:sz w:val="28"/>
                  <w:szCs w:val="28"/>
                </w:rPr>
                <w:t>Technical Assessment</w:t>
              </w:r>
            </w:sdtContent>
          </w:sdt>
          <w:r w:rsidRPr="004670A5">
            <w:rPr>
              <w:rFonts w:ascii="Times New Roman" w:hAnsi="Times New Roman" w:cs="Times New Roman"/>
              <w:b/>
              <w:bCs/>
              <w:color w:val="auto"/>
              <w:sz w:val="28"/>
              <w:szCs w:val="28"/>
            </w:rPr>
            <w:tab/>
          </w:r>
        </w:p>
        <w:p w14:paraId="2FEEE8FD" w14:textId="6ACFADCF" w:rsidR="006E14E5" w:rsidRPr="00FA67E8" w:rsidRDefault="006E14E5" w:rsidP="006E14E5">
          <w:pPr>
            <w:pStyle w:val="NoSpacing"/>
            <w:spacing w:before="480"/>
            <w:rPr>
              <w:rFonts w:ascii="Times New Roman" w:hAnsi="Times New Roman" w:cs="Times New Roman"/>
              <w:color w:val="4472C4" w:themeColor="accent1"/>
              <w:sz w:val="24"/>
            </w:rPr>
          </w:pPr>
          <w:r w:rsidRPr="00FA67E8">
            <w:rPr>
              <w:rFonts w:ascii="Times New Roman" w:hAnsi="Times New Roman" w:cs="Times New Roman"/>
              <w:sz w:val="24"/>
            </w:rPr>
            <w:t xml:space="preserve"> </w:t>
          </w:r>
          <w:r w:rsidRPr="006E14E5">
            <w:rPr>
              <w:rFonts w:ascii="Times New Roman" w:hAnsi="Times New Roman" w:cs="Times New Roman"/>
              <w:b/>
              <w:bCs/>
              <w:sz w:val="28"/>
              <w:szCs w:val="28"/>
            </w:rPr>
            <w:t xml:space="preserve"> </w:t>
          </w:r>
        </w:p>
        <w:p w14:paraId="7B6D090C" w14:textId="77777777" w:rsidR="006E14E5" w:rsidRDefault="006E14E5" w:rsidP="006E14E5">
          <w:pPr>
            <w:rPr>
              <w:rFonts w:ascii="Times New Roman" w:hAnsi="Times New Roman" w:cs="Times New Roman"/>
              <w:bCs/>
            </w:rPr>
          </w:pPr>
        </w:p>
        <w:p w14:paraId="21011B14" w14:textId="77777777" w:rsidR="006E14E5" w:rsidRDefault="006E14E5" w:rsidP="006E14E5">
          <w:pPr>
            <w:rPr>
              <w:rFonts w:ascii="Times New Roman" w:hAnsi="Times New Roman" w:cs="Times New Roman"/>
              <w:bCs/>
            </w:rPr>
          </w:pPr>
        </w:p>
        <w:p w14:paraId="4278A2B6" w14:textId="77777777" w:rsidR="006E14E5" w:rsidRDefault="006E14E5" w:rsidP="006E14E5">
          <w:pPr>
            <w:rPr>
              <w:rFonts w:ascii="Times New Roman" w:hAnsi="Times New Roman" w:cs="Times New Roman"/>
              <w:bCs/>
            </w:rPr>
          </w:pPr>
        </w:p>
        <w:p w14:paraId="2906EECB" w14:textId="2CB04403" w:rsidR="006E14E5" w:rsidRDefault="006E14E5" w:rsidP="006E14E5">
          <w:pPr>
            <w:rPr>
              <w:rFonts w:ascii="Times New Roman" w:hAnsi="Times New Roman" w:cs="Times New Roman"/>
              <w:bCs/>
            </w:rPr>
          </w:pPr>
          <w:r>
            <w:rPr>
              <w:rFonts w:ascii="Times New Roman" w:hAnsi="Times New Roman" w:cs="Times New Roman"/>
              <w:bCs/>
            </w:rPr>
            <w:t>May  20, 2019</w:t>
          </w:r>
        </w:p>
        <w:p w14:paraId="0A03B0F3" w14:textId="77777777" w:rsidR="006E14E5" w:rsidRDefault="006E14E5" w:rsidP="006E14E5">
          <w:pPr>
            <w:rPr>
              <w:rFonts w:ascii="Times New Roman" w:hAnsi="Times New Roman" w:cs="Times New Roman"/>
              <w:bCs/>
            </w:rPr>
          </w:pPr>
        </w:p>
        <w:p w14:paraId="4AA80D87" w14:textId="6C6750B1" w:rsidR="006E14E5" w:rsidRDefault="006E14E5" w:rsidP="006E14E5">
          <w:pPr>
            <w:rPr>
              <w:rFonts w:ascii="Times New Roman" w:hAnsi="Times New Roman" w:cs="Times New Roman"/>
              <w:bCs/>
            </w:rPr>
          </w:pPr>
          <w:r w:rsidRPr="00C45F16">
            <w:rPr>
              <w:rFonts w:ascii="Times New Roman" w:hAnsi="Times New Roman" w:cs="Times New Roman"/>
              <w:bCs/>
            </w:rPr>
            <w:t xml:space="preserve">Governance </w:t>
          </w:r>
          <w:r w:rsidR="00E024E1">
            <w:rPr>
              <w:rFonts w:ascii="Times New Roman" w:hAnsi="Times New Roman" w:cs="Times New Roman"/>
              <w:bCs/>
            </w:rPr>
            <w:t xml:space="preserve">Global </w:t>
          </w:r>
          <w:r w:rsidRPr="00C45F16">
            <w:rPr>
              <w:rFonts w:ascii="Times New Roman" w:hAnsi="Times New Roman" w:cs="Times New Roman"/>
              <w:bCs/>
            </w:rPr>
            <w:t>Practice</w:t>
          </w:r>
        </w:p>
        <w:p w14:paraId="291F77D8" w14:textId="77777777" w:rsidR="006E14E5" w:rsidRPr="00C45F16" w:rsidRDefault="006E14E5" w:rsidP="006E14E5">
          <w:pPr>
            <w:rPr>
              <w:rFonts w:ascii="Times New Roman" w:hAnsi="Times New Roman" w:cs="Times New Roman"/>
              <w:bCs/>
            </w:rPr>
          </w:pPr>
        </w:p>
        <w:p w14:paraId="2C1BD72D" w14:textId="720B5E7A" w:rsidR="006E14E5" w:rsidRDefault="006E14E5" w:rsidP="006E14E5">
          <w:pPr>
            <w:rPr>
              <w:rFonts w:ascii="Times New Roman" w:hAnsi="Times New Roman" w:cs="Times New Roman"/>
              <w:b/>
              <w:bCs/>
            </w:rPr>
          </w:pPr>
          <w:r>
            <w:rPr>
              <w:rFonts w:ascii="Times New Roman" w:hAnsi="Times New Roman" w:cs="Times New Roman"/>
              <w:bCs/>
            </w:rPr>
            <w:t xml:space="preserve">South Asia </w:t>
          </w:r>
          <w:r w:rsidRPr="00C45F16">
            <w:rPr>
              <w:rFonts w:ascii="Times New Roman" w:hAnsi="Times New Roman" w:cs="Times New Roman"/>
              <w:bCs/>
            </w:rPr>
            <w:t xml:space="preserve"> Region</w:t>
          </w:r>
        </w:p>
        <w:p w14:paraId="431A98BD" w14:textId="77777777" w:rsidR="006E14E5" w:rsidRDefault="006E14E5" w:rsidP="006E14E5">
          <w:pPr>
            <w:rPr>
              <w:rFonts w:ascii="Times New Roman" w:hAnsi="Times New Roman" w:cs="Times New Roman"/>
              <w:b/>
              <w:bCs/>
            </w:rPr>
          </w:pPr>
        </w:p>
        <w:p w14:paraId="6E6257C2" w14:textId="46420748" w:rsidR="006E14E5" w:rsidRDefault="006E14E5" w:rsidP="006E14E5">
          <w:pPr>
            <w:rPr>
              <w:rFonts w:ascii="Times New Roman" w:hAnsi="Times New Roman" w:cs="Times New Roman"/>
              <w:b/>
              <w:bCs/>
            </w:rPr>
          </w:pPr>
        </w:p>
        <w:p w14:paraId="4DCDAA28" w14:textId="77777777" w:rsidR="006E14E5" w:rsidRDefault="006E14E5" w:rsidP="006E14E5">
          <w:pPr>
            <w:rPr>
              <w:rFonts w:ascii="Times New Roman" w:hAnsi="Times New Roman" w:cs="Times New Roman"/>
              <w:b/>
              <w:bCs/>
            </w:rPr>
          </w:pPr>
        </w:p>
        <w:p w14:paraId="6605A3F6" w14:textId="77777777" w:rsidR="006E14E5" w:rsidRDefault="006E14E5" w:rsidP="006E14E5">
          <w:pPr>
            <w:rPr>
              <w:rFonts w:ascii="Times New Roman" w:hAnsi="Times New Roman" w:cs="Times New Roman"/>
              <w:b/>
              <w:bCs/>
            </w:rPr>
          </w:pPr>
        </w:p>
        <w:p w14:paraId="016FEFA2" w14:textId="77777777" w:rsidR="006E14E5" w:rsidRDefault="006E14E5" w:rsidP="006E14E5">
          <w:pPr>
            <w:rPr>
              <w:rFonts w:ascii="Times New Roman" w:hAnsi="Times New Roman" w:cs="Times New Roman"/>
              <w:b/>
              <w:bCs/>
            </w:rPr>
          </w:pPr>
        </w:p>
        <w:p w14:paraId="3E48D678" w14:textId="77777777" w:rsidR="006E14E5" w:rsidRDefault="006E14E5" w:rsidP="006E14E5">
          <w:pPr>
            <w:rPr>
              <w:rFonts w:ascii="Times New Roman" w:hAnsi="Times New Roman" w:cs="Times New Roman"/>
              <w:b/>
              <w:bCs/>
            </w:rPr>
          </w:pPr>
        </w:p>
        <w:p w14:paraId="0B58916A" w14:textId="77777777" w:rsidR="006E14E5" w:rsidRDefault="006E14E5" w:rsidP="006E14E5">
          <w:pPr>
            <w:rPr>
              <w:rFonts w:ascii="Times New Roman" w:hAnsi="Times New Roman" w:cs="Times New Roman"/>
              <w:b/>
              <w:bCs/>
            </w:rPr>
          </w:pPr>
        </w:p>
        <w:p w14:paraId="73AA7E0F" w14:textId="77777777" w:rsidR="006E14E5" w:rsidRDefault="006E14E5" w:rsidP="006E14E5">
          <w:pPr>
            <w:rPr>
              <w:rFonts w:ascii="Times New Roman" w:hAnsi="Times New Roman" w:cs="Times New Roman"/>
              <w:b/>
              <w:bCs/>
            </w:rPr>
          </w:pPr>
          <w:r>
            <w:rPr>
              <w:rFonts w:ascii="Times New Roman" w:hAnsi="Times New Roman" w:cs="Times New Roman"/>
              <w:b/>
              <w:bCs/>
            </w:rPr>
            <w:t>Document of the World Bank</w:t>
          </w:r>
        </w:p>
        <w:p w14:paraId="5FCF49F3" w14:textId="55FBFA33" w:rsidR="006E14E5" w:rsidRPr="002347F6" w:rsidRDefault="006E14E5" w:rsidP="004670A5">
          <w:pPr>
            <w:widowControl/>
            <w:autoSpaceDE/>
            <w:autoSpaceDN/>
            <w:adjustRightInd/>
            <w:spacing w:after="240"/>
            <w:jc w:val="both"/>
            <w:rPr>
              <w:rFonts w:ascii="Times New Roman" w:hAnsi="Times New Roman" w:cs="Times New Roman"/>
              <w:b/>
              <w:bCs/>
            </w:rPr>
          </w:pPr>
          <w:r>
            <w:rPr>
              <w:rFonts w:ascii="Times New Roman" w:hAnsi="Times New Roman" w:cs="Times New Roman"/>
              <w:b/>
              <w:bCs/>
            </w:rPr>
            <w:br w:type="page"/>
          </w:r>
        </w:p>
      </w:sdtContent>
    </w:sdt>
    <w:sdt>
      <w:sdtPr>
        <w:rPr>
          <w:rFonts w:asciiTheme="minorHAnsi" w:eastAsiaTheme="minorEastAsia" w:hAnsiTheme="minorHAnsi" w:cstheme="minorHAnsi"/>
          <w:color w:val="000000"/>
          <w:sz w:val="22"/>
          <w:szCs w:val="22"/>
        </w:rPr>
        <w:id w:val="1611399625"/>
        <w:docPartObj>
          <w:docPartGallery w:val="Table of Contents"/>
          <w:docPartUnique/>
        </w:docPartObj>
      </w:sdtPr>
      <w:sdtEndPr>
        <w:rPr>
          <w:b/>
          <w:bCs/>
          <w:noProof/>
        </w:rPr>
      </w:sdtEndPr>
      <w:sdtContent>
        <w:p w14:paraId="74ECC14E" w14:textId="77777777" w:rsidR="007C5BE3" w:rsidRPr="002863B7" w:rsidRDefault="007C5BE3" w:rsidP="007C5BE3">
          <w:pPr>
            <w:pStyle w:val="TOCHeading"/>
            <w:jc w:val="center"/>
            <w:rPr>
              <w:rFonts w:cstheme="majorHAnsi"/>
            </w:rPr>
          </w:pPr>
          <w:r w:rsidRPr="002863B7">
            <w:rPr>
              <w:rFonts w:cstheme="majorHAnsi"/>
            </w:rPr>
            <w:t>Table of Contents</w:t>
          </w:r>
        </w:p>
        <w:p w14:paraId="39C0C226" w14:textId="77777777" w:rsidR="007C5BE3" w:rsidRPr="003A368F" w:rsidRDefault="007C5BE3" w:rsidP="007C5BE3"/>
        <w:p w14:paraId="48F3DADA" w14:textId="60D068E5" w:rsidR="00980C4D" w:rsidRDefault="00F6300D" w:rsidP="00FB60F2">
          <w:pPr>
            <w:pStyle w:val="TOC1"/>
            <w:rPr>
              <w:rFonts w:asciiTheme="minorHAnsi" w:hAnsiTheme="minorHAnsi" w:cstheme="minorBidi"/>
              <w:noProof/>
              <w:color w:val="auto"/>
              <w:szCs w:val="22"/>
            </w:rPr>
          </w:pPr>
          <w:r>
            <w:rPr>
              <w:rFonts w:cs="Calibri"/>
              <w:szCs w:val="22"/>
            </w:rPr>
            <w:fldChar w:fldCharType="begin"/>
          </w:r>
          <w:r>
            <w:rPr>
              <w:rFonts w:cs="Calibri"/>
              <w:szCs w:val="22"/>
            </w:rPr>
            <w:instrText xml:space="preserve"> TOC \o "1-3" \h \z \u </w:instrText>
          </w:r>
          <w:r>
            <w:rPr>
              <w:rFonts w:cs="Calibri"/>
              <w:szCs w:val="22"/>
            </w:rPr>
            <w:fldChar w:fldCharType="separate"/>
          </w:r>
          <w:hyperlink w:anchor="_Toc530148510" w:history="1">
            <w:r w:rsidR="00980C4D" w:rsidRPr="00A11964">
              <w:rPr>
                <w:rStyle w:val="Hyperlink"/>
                <w:noProof/>
              </w:rPr>
              <w:t>Strategic Relevance and Technical Soundness</w:t>
            </w:r>
            <w:r w:rsidR="00980C4D">
              <w:rPr>
                <w:noProof/>
                <w:webHidden/>
              </w:rPr>
              <w:tab/>
            </w:r>
            <w:r w:rsidR="00980C4D">
              <w:rPr>
                <w:noProof/>
                <w:webHidden/>
              </w:rPr>
              <w:fldChar w:fldCharType="begin"/>
            </w:r>
            <w:r w:rsidR="00980C4D">
              <w:rPr>
                <w:noProof/>
                <w:webHidden/>
              </w:rPr>
              <w:instrText xml:space="preserve"> PAGEREF _Toc530148510 \h </w:instrText>
            </w:r>
            <w:r w:rsidR="00980C4D">
              <w:rPr>
                <w:noProof/>
                <w:webHidden/>
              </w:rPr>
            </w:r>
            <w:r w:rsidR="00980C4D">
              <w:rPr>
                <w:noProof/>
                <w:webHidden/>
              </w:rPr>
              <w:fldChar w:fldCharType="separate"/>
            </w:r>
            <w:r w:rsidR="00FB60F2">
              <w:rPr>
                <w:noProof/>
                <w:webHidden/>
              </w:rPr>
              <w:t>1</w:t>
            </w:r>
            <w:r w:rsidR="00980C4D">
              <w:rPr>
                <w:noProof/>
                <w:webHidden/>
              </w:rPr>
              <w:fldChar w:fldCharType="end"/>
            </w:r>
          </w:hyperlink>
        </w:p>
        <w:p w14:paraId="4E1FB5B9" w14:textId="6B322323" w:rsidR="00980C4D" w:rsidRDefault="00E024E1" w:rsidP="00FB60F2">
          <w:pPr>
            <w:pStyle w:val="TOC2"/>
            <w:tabs>
              <w:tab w:val="right" w:leader="dot" w:pos="9350"/>
            </w:tabs>
            <w:ind w:left="0"/>
            <w:rPr>
              <w:rFonts w:asciiTheme="minorHAnsi" w:hAnsiTheme="minorHAnsi" w:cstheme="minorBidi"/>
              <w:noProof/>
              <w:color w:val="auto"/>
              <w:szCs w:val="22"/>
            </w:rPr>
          </w:pPr>
          <w:hyperlink w:anchor="_Toc530148511" w:history="1">
            <w:r w:rsidR="00980C4D" w:rsidRPr="00A11964">
              <w:rPr>
                <w:rStyle w:val="Hyperlink"/>
                <w:noProof/>
              </w:rPr>
              <w:t>Results-Based Component</w:t>
            </w:r>
            <w:r w:rsidR="00980C4D">
              <w:rPr>
                <w:noProof/>
                <w:webHidden/>
              </w:rPr>
              <w:tab/>
            </w:r>
            <w:r w:rsidR="00980C4D">
              <w:rPr>
                <w:noProof/>
                <w:webHidden/>
              </w:rPr>
              <w:fldChar w:fldCharType="begin"/>
            </w:r>
            <w:r w:rsidR="00980C4D">
              <w:rPr>
                <w:noProof/>
                <w:webHidden/>
              </w:rPr>
              <w:instrText xml:space="preserve"> PAGEREF _Toc530148511 \h </w:instrText>
            </w:r>
            <w:r w:rsidR="00980C4D">
              <w:rPr>
                <w:noProof/>
                <w:webHidden/>
              </w:rPr>
            </w:r>
            <w:r w:rsidR="00980C4D">
              <w:rPr>
                <w:noProof/>
                <w:webHidden/>
              </w:rPr>
              <w:fldChar w:fldCharType="separate"/>
            </w:r>
            <w:r w:rsidR="00FB60F2">
              <w:rPr>
                <w:noProof/>
                <w:webHidden/>
              </w:rPr>
              <w:t>1</w:t>
            </w:r>
            <w:r w:rsidR="00980C4D">
              <w:rPr>
                <w:noProof/>
                <w:webHidden/>
              </w:rPr>
              <w:fldChar w:fldCharType="end"/>
            </w:r>
          </w:hyperlink>
        </w:p>
        <w:p w14:paraId="318B582B" w14:textId="4DF87F04" w:rsidR="00980C4D" w:rsidRDefault="00E024E1" w:rsidP="00FB60F2">
          <w:pPr>
            <w:pStyle w:val="TOC3"/>
            <w:tabs>
              <w:tab w:val="right" w:leader="dot" w:pos="9350"/>
            </w:tabs>
            <w:ind w:left="0"/>
            <w:rPr>
              <w:rFonts w:asciiTheme="minorHAnsi" w:hAnsiTheme="minorHAnsi" w:cstheme="minorBidi"/>
              <w:noProof/>
              <w:color w:val="auto"/>
              <w:szCs w:val="22"/>
            </w:rPr>
          </w:pPr>
          <w:hyperlink w:anchor="_Toc530148512" w:history="1">
            <w:r w:rsidR="00980C4D" w:rsidRPr="00A11964">
              <w:rPr>
                <w:rStyle w:val="Hyperlink"/>
                <w:noProof/>
              </w:rPr>
              <w:t>Results Area 1: Revenue Mobilization</w:t>
            </w:r>
            <w:r w:rsidR="00980C4D">
              <w:rPr>
                <w:noProof/>
                <w:webHidden/>
              </w:rPr>
              <w:tab/>
            </w:r>
            <w:r w:rsidR="00980C4D">
              <w:rPr>
                <w:noProof/>
                <w:webHidden/>
              </w:rPr>
              <w:fldChar w:fldCharType="begin"/>
            </w:r>
            <w:r w:rsidR="00980C4D">
              <w:rPr>
                <w:noProof/>
                <w:webHidden/>
              </w:rPr>
              <w:instrText xml:space="preserve"> PAGEREF _Toc530148512 \h </w:instrText>
            </w:r>
            <w:r w:rsidR="00980C4D">
              <w:rPr>
                <w:noProof/>
                <w:webHidden/>
              </w:rPr>
            </w:r>
            <w:r w:rsidR="00980C4D">
              <w:rPr>
                <w:noProof/>
                <w:webHidden/>
              </w:rPr>
              <w:fldChar w:fldCharType="separate"/>
            </w:r>
            <w:r w:rsidR="00FB60F2">
              <w:rPr>
                <w:noProof/>
                <w:webHidden/>
              </w:rPr>
              <w:t>1</w:t>
            </w:r>
            <w:r w:rsidR="00980C4D">
              <w:rPr>
                <w:noProof/>
                <w:webHidden/>
              </w:rPr>
              <w:fldChar w:fldCharType="end"/>
            </w:r>
          </w:hyperlink>
        </w:p>
        <w:p w14:paraId="49C23AEB" w14:textId="68F22DE3" w:rsidR="00980C4D" w:rsidRDefault="00E024E1" w:rsidP="00FB60F2">
          <w:pPr>
            <w:pStyle w:val="TOC3"/>
            <w:tabs>
              <w:tab w:val="right" w:leader="dot" w:pos="9350"/>
            </w:tabs>
            <w:ind w:left="0"/>
            <w:rPr>
              <w:rFonts w:asciiTheme="minorHAnsi" w:hAnsiTheme="minorHAnsi" w:cstheme="minorBidi"/>
              <w:noProof/>
              <w:color w:val="auto"/>
              <w:szCs w:val="22"/>
            </w:rPr>
          </w:pPr>
          <w:hyperlink w:anchor="_Toc530148513" w:history="1">
            <w:r w:rsidR="00980C4D" w:rsidRPr="00A11964">
              <w:rPr>
                <w:rStyle w:val="Hyperlink"/>
                <w:noProof/>
              </w:rPr>
              <w:t>Results Area 2: Management of Public Resources</w:t>
            </w:r>
            <w:r w:rsidR="00980C4D">
              <w:rPr>
                <w:noProof/>
                <w:webHidden/>
              </w:rPr>
              <w:tab/>
            </w:r>
            <w:r w:rsidR="00980C4D">
              <w:rPr>
                <w:noProof/>
                <w:webHidden/>
              </w:rPr>
              <w:fldChar w:fldCharType="begin"/>
            </w:r>
            <w:r w:rsidR="00980C4D">
              <w:rPr>
                <w:noProof/>
                <w:webHidden/>
              </w:rPr>
              <w:instrText xml:space="preserve"> PAGEREF _Toc530148513 \h </w:instrText>
            </w:r>
            <w:r w:rsidR="00980C4D">
              <w:rPr>
                <w:noProof/>
                <w:webHidden/>
              </w:rPr>
            </w:r>
            <w:r w:rsidR="00980C4D">
              <w:rPr>
                <w:noProof/>
                <w:webHidden/>
              </w:rPr>
              <w:fldChar w:fldCharType="separate"/>
            </w:r>
            <w:r w:rsidR="00FB60F2">
              <w:rPr>
                <w:noProof/>
                <w:webHidden/>
              </w:rPr>
              <w:t>5</w:t>
            </w:r>
            <w:r w:rsidR="00980C4D">
              <w:rPr>
                <w:noProof/>
                <w:webHidden/>
              </w:rPr>
              <w:fldChar w:fldCharType="end"/>
            </w:r>
          </w:hyperlink>
        </w:p>
        <w:p w14:paraId="3B5B2648" w14:textId="273CB7B7" w:rsidR="00980C4D" w:rsidRDefault="00E024E1" w:rsidP="00FB60F2">
          <w:pPr>
            <w:pStyle w:val="TOC2"/>
            <w:tabs>
              <w:tab w:val="right" w:leader="dot" w:pos="9350"/>
            </w:tabs>
            <w:ind w:left="0"/>
            <w:rPr>
              <w:rFonts w:asciiTheme="minorHAnsi" w:hAnsiTheme="minorHAnsi" w:cstheme="minorBidi"/>
              <w:noProof/>
              <w:color w:val="auto"/>
              <w:szCs w:val="22"/>
            </w:rPr>
          </w:pPr>
          <w:hyperlink w:anchor="_Toc530148514" w:history="1">
            <w:r w:rsidR="00980C4D" w:rsidRPr="00A11964">
              <w:rPr>
                <w:rStyle w:val="Hyperlink"/>
                <w:noProof/>
              </w:rPr>
              <w:t>Technical Assistance and Capacity Building Component</w:t>
            </w:r>
            <w:r w:rsidR="00980C4D">
              <w:rPr>
                <w:noProof/>
                <w:webHidden/>
              </w:rPr>
              <w:tab/>
            </w:r>
            <w:r w:rsidR="00980C4D">
              <w:rPr>
                <w:noProof/>
                <w:webHidden/>
              </w:rPr>
              <w:fldChar w:fldCharType="begin"/>
            </w:r>
            <w:r w:rsidR="00980C4D">
              <w:rPr>
                <w:noProof/>
                <w:webHidden/>
              </w:rPr>
              <w:instrText xml:space="preserve"> PAGEREF _Toc530148514 \h </w:instrText>
            </w:r>
            <w:r w:rsidR="00980C4D">
              <w:rPr>
                <w:noProof/>
                <w:webHidden/>
              </w:rPr>
            </w:r>
            <w:r w:rsidR="00980C4D">
              <w:rPr>
                <w:noProof/>
                <w:webHidden/>
              </w:rPr>
              <w:fldChar w:fldCharType="separate"/>
            </w:r>
            <w:r w:rsidR="00FB60F2">
              <w:rPr>
                <w:noProof/>
                <w:webHidden/>
              </w:rPr>
              <w:t>8</w:t>
            </w:r>
            <w:r w:rsidR="00980C4D">
              <w:rPr>
                <w:noProof/>
                <w:webHidden/>
              </w:rPr>
              <w:fldChar w:fldCharType="end"/>
            </w:r>
          </w:hyperlink>
        </w:p>
        <w:p w14:paraId="32D87AFD" w14:textId="38F2A619" w:rsidR="00980C4D" w:rsidRDefault="00E024E1" w:rsidP="00FB60F2">
          <w:pPr>
            <w:pStyle w:val="TOC1"/>
            <w:rPr>
              <w:rFonts w:asciiTheme="minorHAnsi" w:hAnsiTheme="minorHAnsi" w:cstheme="minorBidi"/>
              <w:noProof/>
              <w:color w:val="auto"/>
              <w:szCs w:val="22"/>
            </w:rPr>
          </w:pPr>
          <w:hyperlink w:anchor="_Toc530148515" w:history="1">
            <w:r w:rsidR="00980C4D" w:rsidRPr="00A11964">
              <w:rPr>
                <w:rStyle w:val="Hyperlink"/>
                <w:noProof/>
              </w:rPr>
              <w:t>Program Expenditure Framework and Boundary</w:t>
            </w:r>
            <w:r w:rsidR="00980C4D">
              <w:rPr>
                <w:noProof/>
                <w:webHidden/>
              </w:rPr>
              <w:tab/>
            </w:r>
            <w:r w:rsidR="00980C4D">
              <w:rPr>
                <w:noProof/>
                <w:webHidden/>
              </w:rPr>
              <w:fldChar w:fldCharType="begin"/>
            </w:r>
            <w:r w:rsidR="00980C4D">
              <w:rPr>
                <w:noProof/>
                <w:webHidden/>
              </w:rPr>
              <w:instrText xml:space="preserve"> PAGEREF _Toc530148515 \h </w:instrText>
            </w:r>
            <w:r w:rsidR="00980C4D">
              <w:rPr>
                <w:noProof/>
                <w:webHidden/>
              </w:rPr>
            </w:r>
            <w:r w:rsidR="00980C4D">
              <w:rPr>
                <w:noProof/>
                <w:webHidden/>
              </w:rPr>
              <w:fldChar w:fldCharType="separate"/>
            </w:r>
            <w:r w:rsidR="00FB60F2">
              <w:rPr>
                <w:noProof/>
                <w:webHidden/>
              </w:rPr>
              <w:t>9</w:t>
            </w:r>
            <w:r w:rsidR="00980C4D">
              <w:rPr>
                <w:noProof/>
                <w:webHidden/>
              </w:rPr>
              <w:fldChar w:fldCharType="end"/>
            </w:r>
          </w:hyperlink>
        </w:p>
        <w:p w14:paraId="35F305CA" w14:textId="7BAFA056" w:rsidR="00980C4D" w:rsidRDefault="00E024E1" w:rsidP="00FB60F2">
          <w:pPr>
            <w:pStyle w:val="TOC1"/>
            <w:rPr>
              <w:rFonts w:asciiTheme="minorHAnsi" w:hAnsiTheme="minorHAnsi" w:cstheme="minorBidi"/>
              <w:noProof/>
              <w:color w:val="auto"/>
              <w:szCs w:val="22"/>
            </w:rPr>
          </w:pPr>
          <w:hyperlink w:anchor="_Toc530148516" w:history="1">
            <w:r w:rsidR="00980C4D" w:rsidRPr="00A11964">
              <w:rPr>
                <w:rStyle w:val="Hyperlink"/>
                <w:noProof/>
              </w:rPr>
              <w:t>Results Chain and Selection of Disbursement-linked Indicators</w:t>
            </w:r>
            <w:r w:rsidR="00980C4D">
              <w:rPr>
                <w:noProof/>
                <w:webHidden/>
              </w:rPr>
              <w:tab/>
            </w:r>
            <w:r w:rsidR="00980C4D">
              <w:rPr>
                <w:noProof/>
                <w:webHidden/>
              </w:rPr>
              <w:fldChar w:fldCharType="begin"/>
            </w:r>
            <w:r w:rsidR="00980C4D">
              <w:rPr>
                <w:noProof/>
                <w:webHidden/>
              </w:rPr>
              <w:instrText xml:space="preserve"> PAGEREF _Toc530148516 \h </w:instrText>
            </w:r>
            <w:r w:rsidR="00980C4D">
              <w:rPr>
                <w:noProof/>
                <w:webHidden/>
              </w:rPr>
            </w:r>
            <w:r w:rsidR="00980C4D">
              <w:rPr>
                <w:noProof/>
                <w:webHidden/>
              </w:rPr>
              <w:fldChar w:fldCharType="separate"/>
            </w:r>
            <w:r w:rsidR="00FB60F2">
              <w:rPr>
                <w:noProof/>
                <w:webHidden/>
              </w:rPr>
              <w:t>11</w:t>
            </w:r>
            <w:r w:rsidR="00980C4D">
              <w:rPr>
                <w:noProof/>
                <w:webHidden/>
              </w:rPr>
              <w:fldChar w:fldCharType="end"/>
            </w:r>
          </w:hyperlink>
        </w:p>
        <w:p w14:paraId="4731F3F8" w14:textId="1FDD9F10" w:rsidR="00980C4D" w:rsidRDefault="00E024E1" w:rsidP="00FB60F2">
          <w:pPr>
            <w:pStyle w:val="TOC1"/>
            <w:rPr>
              <w:rFonts w:asciiTheme="minorHAnsi" w:hAnsiTheme="minorHAnsi" w:cstheme="minorBidi"/>
              <w:noProof/>
              <w:color w:val="auto"/>
              <w:szCs w:val="22"/>
            </w:rPr>
          </w:pPr>
          <w:hyperlink w:anchor="_Toc530148517" w:history="1">
            <w:r w:rsidR="00980C4D" w:rsidRPr="00A11964">
              <w:rPr>
                <w:rStyle w:val="Hyperlink"/>
                <w:noProof/>
              </w:rPr>
              <w:t>Program Action Plan and Implementation Arrangements</w:t>
            </w:r>
            <w:r w:rsidR="00980C4D">
              <w:rPr>
                <w:noProof/>
                <w:webHidden/>
              </w:rPr>
              <w:tab/>
            </w:r>
            <w:r w:rsidR="00980C4D">
              <w:rPr>
                <w:noProof/>
                <w:webHidden/>
              </w:rPr>
              <w:fldChar w:fldCharType="begin"/>
            </w:r>
            <w:r w:rsidR="00980C4D">
              <w:rPr>
                <w:noProof/>
                <w:webHidden/>
              </w:rPr>
              <w:instrText xml:space="preserve"> PAGEREF _Toc530148517 \h </w:instrText>
            </w:r>
            <w:r w:rsidR="00980C4D">
              <w:rPr>
                <w:noProof/>
                <w:webHidden/>
              </w:rPr>
            </w:r>
            <w:r w:rsidR="00980C4D">
              <w:rPr>
                <w:noProof/>
                <w:webHidden/>
              </w:rPr>
              <w:fldChar w:fldCharType="separate"/>
            </w:r>
            <w:r w:rsidR="00FB60F2">
              <w:rPr>
                <w:noProof/>
                <w:webHidden/>
              </w:rPr>
              <w:t>12</w:t>
            </w:r>
            <w:r w:rsidR="00980C4D">
              <w:rPr>
                <w:noProof/>
                <w:webHidden/>
              </w:rPr>
              <w:fldChar w:fldCharType="end"/>
            </w:r>
          </w:hyperlink>
        </w:p>
        <w:p w14:paraId="626945E9" w14:textId="3F074ECC" w:rsidR="00980C4D" w:rsidRDefault="00E024E1" w:rsidP="00FB60F2">
          <w:pPr>
            <w:pStyle w:val="TOC2"/>
            <w:tabs>
              <w:tab w:val="right" w:leader="dot" w:pos="9350"/>
            </w:tabs>
            <w:ind w:left="0"/>
            <w:rPr>
              <w:rFonts w:asciiTheme="minorHAnsi" w:hAnsiTheme="minorHAnsi" w:cstheme="minorBidi"/>
              <w:noProof/>
              <w:color w:val="auto"/>
              <w:szCs w:val="22"/>
            </w:rPr>
          </w:pPr>
          <w:hyperlink w:anchor="_Toc530148518" w:history="1">
            <w:r w:rsidR="00980C4D" w:rsidRPr="00A11964">
              <w:rPr>
                <w:rStyle w:val="Hyperlink"/>
                <w:noProof/>
              </w:rPr>
              <w:t>Institutional and Implementation Arrangements</w:t>
            </w:r>
            <w:r w:rsidR="00980C4D">
              <w:rPr>
                <w:noProof/>
                <w:webHidden/>
              </w:rPr>
              <w:tab/>
            </w:r>
            <w:r w:rsidR="00980C4D">
              <w:rPr>
                <w:noProof/>
                <w:webHidden/>
              </w:rPr>
              <w:fldChar w:fldCharType="begin"/>
            </w:r>
            <w:r w:rsidR="00980C4D">
              <w:rPr>
                <w:noProof/>
                <w:webHidden/>
              </w:rPr>
              <w:instrText xml:space="preserve"> PAGEREF _Toc530148518 \h </w:instrText>
            </w:r>
            <w:r w:rsidR="00980C4D">
              <w:rPr>
                <w:noProof/>
                <w:webHidden/>
              </w:rPr>
            </w:r>
            <w:r w:rsidR="00980C4D">
              <w:rPr>
                <w:noProof/>
                <w:webHidden/>
              </w:rPr>
              <w:fldChar w:fldCharType="separate"/>
            </w:r>
            <w:r w:rsidR="00FB60F2">
              <w:rPr>
                <w:noProof/>
                <w:webHidden/>
              </w:rPr>
              <w:t>13</w:t>
            </w:r>
            <w:r w:rsidR="00980C4D">
              <w:rPr>
                <w:noProof/>
                <w:webHidden/>
              </w:rPr>
              <w:fldChar w:fldCharType="end"/>
            </w:r>
          </w:hyperlink>
        </w:p>
        <w:p w14:paraId="7BABED28" w14:textId="408FC995" w:rsidR="00980C4D" w:rsidRDefault="00E024E1" w:rsidP="00FB60F2">
          <w:pPr>
            <w:pStyle w:val="TOC1"/>
            <w:rPr>
              <w:rFonts w:asciiTheme="minorHAnsi" w:hAnsiTheme="minorHAnsi" w:cstheme="minorBidi"/>
              <w:noProof/>
              <w:color w:val="auto"/>
              <w:szCs w:val="22"/>
            </w:rPr>
          </w:pPr>
          <w:hyperlink w:anchor="_Toc530148519" w:history="1">
            <w:r w:rsidR="00980C4D" w:rsidRPr="00A11964">
              <w:rPr>
                <w:rStyle w:val="Hyperlink"/>
                <w:noProof/>
              </w:rPr>
              <w:t>Risks and Mitigation Measures in the Program Action Plan</w:t>
            </w:r>
            <w:r w:rsidR="00980C4D">
              <w:rPr>
                <w:noProof/>
                <w:webHidden/>
              </w:rPr>
              <w:tab/>
            </w:r>
            <w:r w:rsidR="00980C4D">
              <w:rPr>
                <w:noProof/>
                <w:webHidden/>
              </w:rPr>
              <w:fldChar w:fldCharType="begin"/>
            </w:r>
            <w:r w:rsidR="00980C4D">
              <w:rPr>
                <w:noProof/>
                <w:webHidden/>
              </w:rPr>
              <w:instrText xml:space="preserve"> PAGEREF _Toc530148519 \h </w:instrText>
            </w:r>
            <w:r w:rsidR="00980C4D">
              <w:rPr>
                <w:noProof/>
                <w:webHidden/>
              </w:rPr>
            </w:r>
            <w:r w:rsidR="00980C4D">
              <w:rPr>
                <w:noProof/>
                <w:webHidden/>
              </w:rPr>
              <w:fldChar w:fldCharType="separate"/>
            </w:r>
            <w:r w:rsidR="00FB60F2">
              <w:rPr>
                <w:noProof/>
                <w:webHidden/>
              </w:rPr>
              <w:t>14</w:t>
            </w:r>
            <w:r w:rsidR="00980C4D">
              <w:rPr>
                <w:noProof/>
                <w:webHidden/>
              </w:rPr>
              <w:fldChar w:fldCharType="end"/>
            </w:r>
          </w:hyperlink>
        </w:p>
        <w:p w14:paraId="0DB61EDB" w14:textId="397E8E49" w:rsidR="00980C4D" w:rsidRDefault="00E024E1" w:rsidP="00FB60F2">
          <w:pPr>
            <w:pStyle w:val="TOC1"/>
            <w:rPr>
              <w:rFonts w:asciiTheme="minorHAnsi" w:hAnsiTheme="minorHAnsi" w:cstheme="minorBidi"/>
              <w:noProof/>
              <w:color w:val="auto"/>
              <w:szCs w:val="22"/>
            </w:rPr>
          </w:pPr>
          <w:hyperlink w:anchor="_Toc530148520" w:history="1">
            <w:r w:rsidR="00980C4D" w:rsidRPr="00A11964">
              <w:rPr>
                <w:rStyle w:val="Hyperlink"/>
                <w:noProof/>
              </w:rPr>
              <w:t>Economic Analysis</w:t>
            </w:r>
            <w:r w:rsidR="00980C4D">
              <w:rPr>
                <w:noProof/>
                <w:webHidden/>
              </w:rPr>
              <w:tab/>
            </w:r>
            <w:r w:rsidR="00980C4D">
              <w:rPr>
                <w:noProof/>
                <w:webHidden/>
              </w:rPr>
              <w:fldChar w:fldCharType="begin"/>
            </w:r>
            <w:r w:rsidR="00980C4D">
              <w:rPr>
                <w:noProof/>
                <w:webHidden/>
              </w:rPr>
              <w:instrText xml:space="preserve"> PAGEREF _Toc530148520 \h </w:instrText>
            </w:r>
            <w:r w:rsidR="00980C4D">
              <w:rPr>
                <w:noProof/>
                <w:webHidden/>
              </w:rPr>
            </w:r>
            <w:r w:rsidR="00980C4D">
              <w:rPr>
                <w:noProof/>
                <w:webHidden/>
              </w:rPr>
              <w:fldChar w:fldCharType="separate"/>
            </w:r>
            <w:r w:rsidR="00FB60F2">
              <w:rPr>
                <w:noProof/>
                <w:webHidden/>
              </w:rPr>
              <w:t>15</w:t>
            </w:r>
            <w:r w:rsidR="00980C4D">
              <w:rPr>
                <w:noProof/>
                <w:webHidden/>
              </w:rPr>
              <w:fldChar w:fldCharType="end"/>
            </w:r>
          </w:hyperlink>
        </w:p>
        <w:p w14:paraId="07A68749" w14:textId="0FA05F18" w:rsidR="007C5BE3" w:rsidRPr="006623D1" w:rsidRDefault="00F6300D" w:rsidP="007C5BE3">
          <w:pPr>
            <w:rPr>
              <w:rFonts w:asciiTheme="minorHAnsi" w:hAnsiTheme="minorHAnsi" w:cstheme="minorHAnsi"/>
              <w:sz w:val="22"/>
              <w:szCs w:val="22"/>
            </w:rPr>
          </w:pPr>
          <w:r>
            <w:rPr>
              <w:rFonts w:ascii="Calibri" w:hAnsi="Calibri" w:cs="Calibri"/>
              <w:sz w:val="22"/>
              <w:szCs w:val="22"/>
            </w:rPr>
            <w:fldChar w:fldCharType="end"/>
          </w:r>
        </w:p>
      </w:sdtContent>
    </w:sdt>
    <w:p w14:paraId="1AA0A3C2" w14:textId="77777777" w:rsidR="007C5BE3" w:rsidRPr="006623D1" w:rsidRDefault="007C5BE3" w:rsidP="007C5BE3">
      <w:pPr>
        <w:jc w:val="center"/>
        <w:rPr>
          <w:rFonts w:asciiTheme="minorHAnsi" w:hAnsiTheme="minorHAnsi" w:cstheme="minorHAnsi"/>
          <w:b/>
          <w:sz w:val="22"/>
          <w:szCs w:val="22"/>
        </w:rPr>
      </w:pPr>
    </w:p>
    <w:p w14:paraId="1FB711B6" w14:textId="77777777" w:rsidR="007C5BE3" w:rsidRPr="002863B7" w:rsidRDefault="007C5BE3" w:rsidP="007C5BE3">
      <w:pPr>
        <w:jc w:val="center"/>
        <w:rPr>
          <w:rFonts w:asciiTheme="majorHAnsi" w:eastAsiaTheme="majorEastAsia" w:hAnsiTheme="majorHAnsi" w:cstheme="majorHAnsi"/>
          <w:color w:val="2F5496" w:themeColor="accent1" w:themeShade="BF"/>
          <w:sz w:val="32"/>
          <w:szCs w:val="32"/>
        </w:rPr>
      </w:pPr>
      <w:r w:rsidRPr="002863B7">
        <w:rPr>
          <w:rFonts w:asciiTheme="majorHAnsi" w:eastAsiaTheme="majorEastAsia" w:hAnsiTheme="majorHAnsi" w:cstheme="majorHAnsi"/>
          <w:color w:val="2F5496" w:themeColor="accent1" w:themeShade="BF"/>
          <w:sz w:val="32"/>
          <w:szCs w:val="32"/>
        </w:rPr>
        <w:t>List of Tables</w:t>
      </w:r>
    </w:p>
    <w:p w14:paraId="4D2F2A7D" w14:textId="77777777" w:rsidR="007C5BE3" w:rsidRPr="0014787E" w:rsidRDefault="007C5BE3" w:rsidP="007C5BE3">
      <w:pPr>
        <w:jc w:val="center"/>
        <w:rPr>
          <w:rFonts w:asciiTheme="minorHAnsi" w:eastAsiaTheme="majorEastAsia" w:hAnsiTheme="minorHAnsi" w:cstheme="minorHAnsi"/>
          <w:color w:val="2F5496" w:themeColor="accent1" w:themeShade="BF"/>
          <w:sz w:val="32"/>
          <w:szCs w:val="32"/>
        </w:rPr>
      </w:pPr>
    </w:p>
    <w:p w14:paraId="7AD7A257" w14:textId="307F3AC2" w:rsidR="00980C4D" w:rsidRDefault="007C5BE3">
      <w:pPr>
        <w:pStyle w:val="TableofFigures"/>
        <w:tabs>
          <w:tab w:val="right" w:leader="dot" w:pos="9350"/>
        </w:tabs>
        <w:rPr>
          <w:rFonts w:cstheme="minorBidi"/>
          <w:noProof/>
          <w:color w:val="auto"/>
          <w:szCs w:val="22"/>
        </w:rPr>
      </w:pPr>
      <w:r w:rsidRPr="0014787E">
        <w:rPr>
          <w:rFonts w:cstheme="minorHAnsi"/>
          <w:b/>
          <w:szCs w:val="22"/>
        </w:rPr>
        <w:fldChar w:fldCharType="begin"/>
      </w:r>
      <w:r w:rsidRPr="0014787E">
        <w:rPr>
          <w:rFonts w:cstheme="minorHAnsi"/>
          <w:b/>
          <w:szCs w:val="22"/>
        </w:rPr>
        <w:instrText xml:space="preserve"> TOC \h \z \c "Table" </w:instrText>
      </w:r>
      <w:r w:rsidRPr="0014787E">
        <w:rPr>
          <w:rFonts w:cstheme="minorHAnsi"/>
          <w:b/>
          <w:szCs w:val="22"/>
        </w:rPr>
        <w:fldChar w:fldCharType="separate"/>
      </w:r>
      <w:hyperlink w:anchor="_Toc530148526" w:history="1">
        <w:r w:rsidR="00980C4D" w:rsidRPr="00C269EF">
          <w:rPr>
            <w:rStyle w:val="Hyperlink"/>
            <w:noProof/>
          </w:rPr>
          <w:t>Table 1: KP OSRs and Federal Transfers (PKR, billions), FY2013–2017</w:t>
        </w:r>
        <w:r w:rsidR="00980C4D">
          <w:rPr>
            <w:noProof/>
            <w:webHidden/>
          </w:rPr>
          <w:tab/>
        </w:r>
        <w:r w:rsidR="00980C4D">
          <w:rPr>
            <w:noProof/>
            <w:webHidden/>
          </w:rPr>
          <w:fldChar w:fldCharType="begin"/>
        </w:r>
        <w:r w:rsidR="00980C4D">
          <w:rPr>
            <w:noProof/>
            <w:webHidden/>
          </w:rPr>
          <w:instrText xml:space="preserve"> PAGEREF _Toc530148526 \h </w:instrText>
        </w:r>
        <w:r w:rsidR="00980C4D">
          <w:rPr>
            <w:noProof/>
            <w:webHidden/>
          </w:rPr>
        </w:r>
        <w:r w:rsidR="00980C4D">
          <w:rPr>
            <w:noProof/>
            <w:webHidden/>
          </w:rPr>
          <w:fldChar w:fldCharType="separate"/>
        </w:r>
        <w:r w:rsidR="00FB60F2">
          <w:rPr>
            <w:noProof/>
            <w:webHidden/>
          </w:rPr>
          <w:t>2</w:t>
        </w:r>
        <w:r w:rsidR="00980C4D">
          <w:rPr>
            <w:noProof/>
            <w:webHidden/>
          </w:rPr>
          <w:fldChar w:fldCharType="end"/>
        </w:r>
      </w:hyperlink>
    </w:p>
    <w:p w14:paraId="3D7BD738" w14:textId="77706497" w:rsidR="00980C4D" w:rsidRDefault="00E024E1">
      <w:pPr>
        <w:pStyle w:val="TableofFigures"/>
        <w:tabs>
          <w:tab w:val="right" w:leader="dot" w:pos="9350"/>
        </w:tabs>
        <w:rPr>
          <w:rFonts w:cstheme="minorBidi"/>
          <w:noProof/>
          <w:color w:val="auto"/>
          <w:szCs w:val="22"/>
        </w:rPr>
      </w:pPr>
      <w:hyperlink w:anchor="_Toc530148527" w:history="1">
        <w:r w:rsidR="00980C4D" w:rsidRPr="00C269EF">
          <w:rPr>
            <w:rStyle w:val="Hyperlink"/>
            <w:noProof/>
          </w:rPr>
          <w:t>Table 2: Government Program and Financing Sources</w:t>
        </w:r>
        <w:r w:rsidR="00980C4D">
          <w:rPr>
            <w:noProof/>
            <w:webHidden/>
          </w:rPr>
          <w:tab/>
        </w:r>
        <w:r w:rsidR="00980C4D">
          <w:rPr>
            <w:noProof/>
            <w:webHidden/>
          </w:rPr>
          <w:fldChar w:fldCharType="begin"/>
        </w:r>
        <w:r w:rsidR="00980C4D">
          <w:rPr>
            <w:noProof/>
            <w:webHidden/>
          </w:rPr>
          <w:instrText xml:space="preserve"> PAGEREF _Toc530148527 \h </w:instrText>
        </w:r>
        <w:r w:rsidR="00980C4D">
          <w:rPr>
            <w:noProof/>
            <w:webHidden/>
          </w:rPr>
        </w:r>
        <w:r w:rsidR="00980C4D">
          <w:rPr>
            <w:noProof/>
            <w:webHidden/>
          </w:rPr>
          <w:fldChar w:fldCharType="separate"/>
        </w:r>
        <w:r w:rsidR="00FB60F2">
          <w:rPr>
            <w:noProof/>
            <w:webHidden/>
          </w:rPr>
          <w:t>9</w:t>
        </w:r>
        <w:r w:rsidR="00980C4D">
          <w:rPr>
            <w:noProof/>
            <w:webHidden/>
          </w:rPr>
          <w:fldChar w:fldCharType="end"/>
        </w:r>
      </w:hyperlink>
    </w:p>
    <w:p w14:paraId="52FC63AC" w14:textId="38ABCEFB" w:rsidR="00980C4D" w:rsidRDefault="00E024E1">
      <w:pPr>
        <w:pStyle w:val="TableofFigures"/>
        <w:tabs>
          <w:tab w:val="right" w:leader="dot" w:pos="9350"/>
        </w:tabs>
        <w:rPr>
          <w:rFonts w:cstheme="minorBidi"/>
          <w:noProof/>
          <w:color w:val="auto"/>
          <w:szCs w:val="22"/>
        </w:rPr>
      </w:pPr>
      <w:hyperlink w:anchor="_Toc530148528" w:history="1">
        <w:r w:rsidR="00980C4D" w:rsidRPr="00C269EF">
          <w:rPr>
            <w:rStyle w:val="Hyperlink"/>
            <w:noProof/>
          </w:rPr>
          <w:t>Table 3: Program Expenditure Boundary and Financing Sources</w:t>
        </w:r>
        <w:r w:rsidR="00980C4D">
          <w:rPr>
            <w:noProof/>
            <w:webHidden/>
          </w:rPr>
          <w:tab/>
        </w:r>
        <w:r w:rsidR="00980C4D">
          <w:rPr>
            <w:noProof/>
            <w:webHidden/>
          </w:rPr>
          <w:fldChar w:fldCharType="begin"/>
        </w:r>
        <w:r w:rsidR="00980C4D">
          <w:rPr>
            <w:noProof/>
            <w:webHidden/>
          </w:rPr>
          <w:instrText xml:space="preserve"> PAGEREF _Toc530148528 \h </w:instrText>
        </w:r>
        <w:r w:rsidR="00980C4D">
          <w:rPr>
            <w:noProof/>
            <w:webHidden/>
          </w:rPr>
        </w:r>
        <w:r w:rsidR="00980C4D">
          <w:rPr>
            <w:noProof/>
            <w:webHidden/>
          </w:rPr>
          <w:fldChar w:fldCharType="separate"/>
        </w:r>
        <w:r w:rsidR="00FB60F2">
          <w:rPr>
            <w:noProof/>
            <w:webHidden/>
          </w:rPr>
          <w:t>9</w:t>
        </w:r>
        <w:r w:rsidR="00980C4D">
          <w:rPr>
            <w:noProof/>
            <w:webHidden/>
          </w:rPr>
          <w:fldChar w:fldCharType="end"/>
        </w:r>
      </w:hyperlink>
    </w:p>
    <w:p w14:paraId="37889FA4" w14:textId="74006FE6" w:rsidR="00980C4D" w:rsidRDefault="00E024E1">
      <w:pPr>
        <w:pStyle w:val="TableofFigures"/>
        <w:tabs>
          <w:tab w:val="right" w:leader="dot" w:pos="9350"/>
        </w:tabs>
        <w:rPr>
          <w:rFonts w:cstheme="minorBidi"/>
          <w:noProof/>
          <w:color w:val="auto"/>
          <w:szCs w:val="22"/>
        </w:rPr>
      </w:pPr>
      <w:hyperlink w:anchor="_Toc530148529" w:history="1">
        <w:r w:rsidR="00980C4D" w:rsidRPr="00C269EF">
          <w:rPr>
            <w:rStyle w:val="Hyperlink"/>
            <w:noProof/>
          </w:rPr>
          <w:t>Table 4: Overall  Government Program Cost (by object classification)</w:t>
        </w:r>
        <w:r w:rsidR="00980C4D">
          <w:rPr>
            <w:noProof/>
            <w:webHidden/>
          </w:rPr>
          <w:tab/>
        </w:r>
        <w:r w:rsidR="00980C4D">
          <w:rPr>
            <w:noProof/>
            <w:webHidden/>
          </w:rPr>
          <w:fldChar w:fldCharType="begin"/>
        </w:r>
        <w:r w:rsidR="00980C4D">
          <w:rPr>
            <w:noProof/>
            <w:webHidden/>
          </w:rPr>
          <w:instrText xml:space="preserve"> PAGEREF _Toc530148529 \h </w:instrText>
        </w:r>
        <w:r w:rsidR="00980C4D">
          <w:rPr>
            <w:noProof/>
            <w:webHidden/>
          </w:rPr>
        </w:r>
        <w:r w:rsidR="00980C4D">
          <w:rPr>
            <w:noProof/>
            <w:webHidden/>
          </w:rPr>
          <w:fldChar w:fldCharType="separate"/>
        </w:r>
        <w:r w:rsidR="00FB60F2">
          <w:rPr>
            <w:noProof/>
            <w:webHidden/>
          </w:rPr>
          <w:t>10</w:t>
        </w:r>
        <w:r w:rsidR="00980C4D">
          <w:rPr>
            <w:noProof/>
            <w:webHidden/>
          </w:rPr>
          <w:fldChar w:fldCharType="end"/>
        </w:r>
      </w:hyperlink>
    </w:p>
    <w:p w14:paraId="0F612E79" w14:textId="7E8354DF" w:rsidR="00980C4D" w:rsidRDefault="00E024E1">
      <w:pPr>
        <w:pStyle w:val="TableofFigures"/>
        <w:tabs>
          <w:tab w:val="right" w:leader="dot" w:pos="9350"/>
        </w:tabs>
        <w:rPr>
          <w:rFonts w:cstheme="minorBidi"/>
          <w:noProof/>
          <w:color w:val="auto"/>
          <w:szCs w:val="22"/>
        </w:rPr>
      </w:pPr>
      <w:hyperlink w:anchor="_Toc530148530" w:history="1">
        <w:r w:rsidR="00980C4D" w:rsidRPr="00C269EF">
          <w:rPr>
            <w:rStyle w:val="Hyperlink"/>
            <w:noProof/>
          </w:rPr>
          <w:t>Table 5: Overall Government Program Cost ( (by entities)</w:t>
        </w:r>
        <w:r w:rsidR="00980C4D">
          <w:rPr>
            <w:noProof/>
            <w:webHidden/>
          </w:rPr>
          <w:tab/>
        </w:r>
        <w:r w:rsidR="00980C4D">
          <w:rPr>
            <w:noProof/>
            <w:webHidden/>
          </w:rPr>
          <w:fldChar w:fldCharType="begin"/>
        </w:r>
        <w:r w:rsidR="00980C4D">
          <w:rPr>
            <w:noProof/>
            <w:webHidden/>
          </w:rPr>
          <w:instrText xml:space="preserve"> PAGEREF _Toc530148530 \h </w:instrText>
        </w:r>
        <w:r w:rsidR="00980C4D">
          <w:rPr>
            <w:noProof/>
            <w:webHidden/>
          </w:rPr>
        </w:r>
        <w:r w:rsidR="00980C4D">
          <w:rPr>
            <w:noProof/>
            <w:webHidden/>
          </w:rPr>
          <w:fldChar w:fldCharType="separate"/>
        </w:r>
        <w:r w:rsidR="00FB60F2">
          <w:rPr>
            <w:noProof/>
            <w:webHidden/>
          </w:rPr>
          <w:t>10</w:t>
        </w:r>
        <w:r w:rsidR="00980C4D">
          <w:rPr>
            <w:noProof/>
            <w:webHidden/>
          </w:rPr>
          <w:fldChar w:fldCharType="end"/>
        </w:r>
      </w:hyperlink>
    </w:p>
    <w:p w14:paraId="1E408DE8" w14:textId="441C6344" w:rsidR="00980C4D" w:rsidRDefault="00E024E1">
      <w:pPr>
        <w:pStyle w:val="TableofFigures"/>
        <w:tabs>
          <w:tab w:val="right" w:leader="dot" w:pos="9350"/>
        </w:tabs>
        <w:rPr>
          <w:rFonts w:cstheme="minorBidi"/>
          <w:noProof/>
          <w:color w:val="auto"/>
          <w:szCs w:val="22"/>
        </w:rPr>
      </w:pPr>
      <w:hyperlink w:anchor="_Toc530148531" w:history="1">
        <w:r w:rsidR="00980C4D" w:rsidRPr="00C269EF">
          <w:rPr>
            <w:rStyle w:val="Hyperlink"/>
            <w:noProof/>
          </w:rPr>
          <w:t>Table 6: Program (PforR) Expenditure Boundary</w:t>
        </w:r>
        <w:r w:rsidR="00980C4D">
          <w:rPr>
            <w:noProof/>
            <w:webHidden/>
          </w:rPr>
          <w:tab/>
        </w:r>
        <w:r w:rsidR="00980C4D">
          <w:rPr>
            <w:noProof/>
            <w:webHidden/>
          </w:rPr>
          <w:fldChar w:fldCharType="begin"/>
        </w:r>
        <w:r w:rsidR="00980C4D">
          <w:rPr>
            <w:noProof/>
            <w:webHidden/>
          </w:rPr>
          <w:instrText xml:space="preserve"> PAGEREF _Toc530148531 \h </w:instrText>
        </w:r>
        <w:r w:rsidR="00980C4D">
          <w:rPr>
            <w:noProof/>
            <w:webHidden/>
          </w:rPr>
        </w:r>
        <w:r w:rsidR="00980C4D">
          <w:rPr>
            <w:noProof/>
            <w:webHidden/>
          </w:rPr>
          <w:fldChar w:fldCharType="separate"/>
        </w:r>
        <w:r w:rsidR="00FB60F2">
          <w:rPr>
            <w:noProof/>
            <w:webHidden/>
          </w:rPr>
          <w:t>10</w:t>
        </w:r>
        <w:r w:rsidR="00980C4D">
          <w:rPr>
            <w:noProof/>
            <w:webHidden/>
          </w:rPr>
          <w:fldChar w:fldCharType="end"/>
        </w:r>
      </w:hyperlink>
    </w:p>
    <w:p w14:paraId="2D90CEBB" w14:textId="2D6BC3B5" w:rsidR="00980C4D" w:rsidRDefault="00E024E1">
      <w:pPr>
        <w:pStyle w:val="TableofFigures"/>
        <w:tabs>
          <w:tab w:val="right" w:leader="dot" w:pos="9350"/>
        </w:tabs>
        <w:rPr>
          <w:rFonts w:cstheme="minorBidi"/>
          <w:noProof/>
          <w:color w:val="auto"/>
          <w:szCs w:val="22"/>
        </w:rPr>
      </w:pPr>
      <w:hyperlink w:anchor="_Toc530148532" w:history="1">
        <w:r w:rsidR="00980C4D" w:rsidRPr="00C269EF">
          <w:rPr>
            <w:rStyle w:val="Hyperlink"/>
            <w:noProof/>
          </w:rPr>
          <w:t>Table 7: DLIs - Rationale, Measurement, Verification, and Scalability</w:t>
        </w:r>
        <w:r w:rsidR="00980C4D">
          <w:rPr>
            <w:noProof/>
            <w:webHidden/>
          </w:rPr>
          <w:tab/>
        </w:r>
        <w:r w:rsidR="00980C4D">
          <w:rPr>
            <w:noProof/>
            <w:webHidden/>
          </w:rPr>
          <w:fldChar w:fldCharType="begin"/>
        </w:r>
        <w:r w:rsidR="00980C4D">
          <w:rPr>
            <w:noProof/>
            <w:webHidden/>
          </w:rPr>
          <w:instrText xml:space="preserve"> PAGEREF _Toc530148532 \h </w:instrText>
        </w:r>
        <w:r w:rsidR="00980C4D">
          <w:rPr>
            <w:noProof/>
            <w:webHidden/>
          </w:rPr>
        </w:r>
        <w:r w:rsidR="00980C4D">
          <w:rPr>
            <w:noProof/>
            <w:webHidden/>
          </w:rPr>
          <w:fldChar w:fldCharType="separate"/>
        </w:r>
        <w:r w:rsidR="00FB60F2">
          <w:rPr>
            <w:noProof/>
            <w:webHidden/>
          </w:rPr>
          <w:t>11</w:t>
        </w:r>
        <w:r w:rsidR="00980C4D">
          <w:rPr>
            <w:noProof/>
            <w:webHidden/>
          </w:rPr>
          <w:fldChar w:fldCharType="end"/>
        </w:r>
      </w:hyperlink>
    </w:p>
    <w:p w14:paraId="2757A06B" w14:textId="2A9BC79B" w:rsidR="00980C4D" w:rsidRDefault="00E024E1">
      <w:pPr>
        <w:pStyle w:val="TableofFigures"/>
        <w:tabs>
          <w:tab w:val="right" w:leader="dot" w:pos="9350"/>
        </w:tabs>
        <w:rPr>
          <w:rFonts w:cstheme="minorBidi"/>
          <w:noProof/>
          <w:color w:val="auto"/>
          <w:szCs w:val="22"/>
        </w:rPr>
      </w:pPr>
      <w:hyperlink w:anchor="_Toc530148533" w:history="1">
        <w:r w:rsidR="00980C4D" w:rsidRPr="00C269EF">
          <w:rPr>
            <w:rStyle w:val="Hyperlink"/>
            <w:rFonts w:cstheme="minorHAnsi"/>
            <w:noProof/>
          </w:rPr>
          <w:t>Table 3: Entities responsible for specific DLIs</w:t>
        </w:r>
        <w:r w:rsidR="00980C4D">
          <w:rPr>
            <w:noProof/>
            <w:webHidden/>
          </w:rPr>
          <w:tab/>
        </w:r>
        <w:r w:rsidR="00980C4D">
          <w:rPr>
            <w:noProof/>
            <w:webHidden/>
          </w:rPr>
          <w:fldChar w:fldCharType="begin"/>
        </w:r>
        <w:r w:rsidR="00980C4D">
          <w:rPr>
            <w:noProof/>
            <w:webHidden/>
          </w:rPr>
          <w:instrText xml:space="preserve"> PAGEREF _Toc530148533 \h </w:instrText>
        </w:r>
        <w:r w:rsidR="00980C4D">
          <w:rPr>
            <w:noProof/>
            <w:webHidden/>
          </w:rPr>
        </w:r>
        <w:r w:rsidR="00980C4D">
          <w:rPr>
            <w:noProof/>
            <w:webHidden/>
          </w:rPr>
          <w:fldChar w:fldCharType="separate"/>
        </w:r>
        <w:r w:rsidR="00FB60F2">
          <w:rPr>
            <w:noProof/>
            <w:webHidden/>
          </w:rPr>
          <w:t>13</w:t>
        </w:r>
        <w:r w:rsidR="00980C4D">
          <w:rPr>
            <w:noProof/>
            <w:webHidden/>
          </w:rPr>
          <w:fldChar w:fldCharType="end"/>
        </w:r>
      </w:hyperlink>
    </w:p>
    <w:p w14:paraId="67B20375" w14:textId="6F6C2399" w:rsidR="00980C4D" w:rsidRDefault="00E024E1">
      <w:pPr>
        <w:pStyle w:val="TableofFigures"/>
        <w:tabs>
          <w:tab w:val="right" w:leader="dot" w:pos="9350"/>
        </w:tabs>
        <w:rPr>
          <w:rFonts w:cstheme="minorBidi"/>
          <w:noProof/>
          <w:color w:val="auto"/>
          <w:szCs w:val="22"/>
        </w:rPr>
      </w:pPr>
      <w:hyperlink w:anchor="_Toc530148534" w:history="1">
        <w:r w:rsidR="00980C4D" w:rsidRPr="00C269EF">
          <w:rPr>
            <w:rStyle w:val="Hyperlink"/>
            <w:noProof/>
          </w:rPr>
          <w:t>Table 8: Expected Benefits of Program in Terms of Increased Own-Source Tax Revenue (US$, millions)</w:t>
        </w:r>
        <w:r w:rsidR="00980C4D">
          <w:rPr>
            <w:noProof/>
            <w:webHidden/>
          </w:rPr>
          <w:tab/>
        </w:r>
        <w:r w:rsidR="00980C4D">
          <w:rPr>
            <w:noProof/>
            <w:webHidden/>
          </w:rPr>
          <w:fldChar w:fldCharType="begin"/>
        </w:r>
        <w:r w:rsidR="00980C4D">
          <w:rPr>
            <w:noProof/>
            <w:webHidden/>
          </w:rPr>
          <w:instrText xml:space="preserve"> PAGEREF _Toc530148534 \h </w:instrText>
        </w:r>
        <w:r w:rsidR="00980C4D">
          <w:rPr>
            <w:noProof/>
            <w:webHidden/>
          </w:rPr>
        </w:r>
        <w:r w:rsidR="00980C4D">
          <w:rPr>
            <w:noProof/>
            <w:webHidden/>
          </w:rPr>
          <w:fldChar w:fldCharType="separate"/>
        </w:r>
        <w:r w:rsidR="00FB60F2">
          <w:rPr>
            <w:noProof/>
            <w:webHidden/>
          </w:rPr>
          <w:t>16</w:t>
        </w:r>
        <w:r w:rsidR="00980C4D">
          <w:rPr>
            <w:noProof/>
            <w:webHidden/>
          </w:rPr>
          <w:fldChar w:fldCharType="end"/>
        </w:r>
      </w:hyperlink>
    </w:p>
    <w:p w14:paraId="06825F83" w14:textId="023AADBC" w:rsidR="007C5BE3" w:rsidRPr="006623D1" w:rsidRDefault="007C5BE3" w:rsidP="007C5BE3">
      <w:pPr>
        <w:jc w:val="center"/>
        <w:rPr>
          <w:rFonts w:asciiTheme="minorHAnsi" w:hAnsiTheme="minorHAnsi" w:cstheme="minorHAnsi"/>
          <w:b/>
          <w:sz w:val="22"/>
          <w:szCs w:val="22"/>
        </w:rPr>
      </w:pPr>
      <w:r w:rsidRPr="0014787E">
        <w:rPr>
          <w:rFonts w:asciiTheme="minorHAnsi" w:hAnsiTheme="minorHAnsi" w:cstheme="minorHAnsi"/>
          <w:b/>
          <w:sz w:val="22"/>
          <w:szCs w:val="22"/>
        </w:rPr>
        <w:fldChar w:fldCharType="end"/>
      </w:r>
    </w:p>
    <w:p w14:paraId="5296CBB4" w14:textId="77777777" w:rsidR="007C5BE3" w:rsidRPr="006623D1" w:rsidRDefault="007C5BE3" w:rsidP="007C5BE3">
      <w:pPr>
        <w:jc w:val="center"/>
        <w:rPr>
          <w:rFonts w:asciiTheme="minorHAnsi" w:hAnsiTheme="minorHAnsi" w:cstheme="minorHAnsi"/>
          <w:b/>
          <w:sz w:val="22"/>
          <w:szCs w:val="22"/>
        </w:rPr>
      </w:pPr>
    </w:p>
    <w:p w14:paraId="7E118B2F" w14:textId="77777777" w:rsidR="007C5BE3" w:rsidRPr="006623D1" w:rsidRDefault="007C5BE3" w:rsidP="007C5BE3">
      <w:pPr>
        <w:jc w:val="center"/>
        <w:rPr>
          <w:rFonts w:asciiTheme="minorHAnsi" w:hAnsiTheme="minorHAnsi" w:cstheme="minorHAnsi"/>
          <w:b/>
          <w:sz w:val="22"/>
          <w:szCs w:val="22"/>
        </w:rPr>
      </w:pPr>
    </w:p>
    <w:p w14:paraId="02157F44" w14:textId="77777777" w:rsidR="007C5BE3" w:rsidRPr="002863B7" w:rsidRDefault="007C5BE3" w:rsidP="007C5BE3">
      <w:pPr>
        <w:jc w:val="center"/>
        <w:rPr>
          <w:rFonts w:asciiTheme="majorHAnsi" w:eastAsiaTheme="majorEastAsia" w:hAnsiTheme="majorHAnsi" w:cstheme="majorHAnsi"/>
          <w:color w:val="2F5496" w:themeColor="accent1" w:themeShade="BF"/>
          <w:sz w:val="32"/>
          <w:szCs w:val="32"/>
        </w:rPr>
      </w:pPr>
      <w:r w:rsidRPr="002863B7">
        <w:rPr>
          <w:rFonts w:asciiTheme="majorHAnsi" w:eastAsiaTheme="majorEastAsia" w:hAnsiTheme="majorHAnsi" w:cstheme="majorHAnsi"/>
          <w:color w:val="2F5496" w:themeColor="accent1" w:themeShade="BF"/>
          <w:sz w:val="32"/>
          <w:szCs w:val="32"/>
        </w:rPr>
        <w:t>List of Figures</w:t>
      </w:r>
    </w:p>
    <w:p w14:paraId="0DC00A7B" w14:textId="77777777" w:rsidR="007C5BE3" w:rsidRPr="006623D1" w:rsidRDefault="007C5BE3" w:rsidP="007C5BE3">
      <w:pPr>
        <w:jc w:val="center"/>
        <w:rPr>
          <w:rFonts w:asciiTheme="minorHAnsi" w:hAnsiTheme="minorHAnsi" w:cstheme="minorHAnsi"/>
          <w:b/>
          <w:sz w:val="22"/>
          <w:szCs w:val="22"/>
        </w:rPr>
      </w:pPr>
    </w:p>
    <w:p w14:paraId="009492DB" w14:textId="135839E8" w:rsidR="00980C4D" w:rsidRDefault="007C5BE3">
      <w:pPr>
        <w:pStyle w:val="TableofFigures"/>
        <w:tabs>
          <w:tab w:val="right" w:leader="dot" w:pos="9350"/>
        </w:tabs>
        <w:rPr>
          <w:rFonts w:cstheme="minorBidi"/>
          <w:noProof/>
          <w:color w:val="auto"/>
          <w:szCs w:val="22"/>
        </w:rPr>
      </w:pPr>
      <w:r w:rsidRPr="009E2ABA">
        <w:rPr>
          <w:rFonts w:cstheme="minorHAnsi"/>
          <w:sz w:val="24"/>
          <w:szCs w:val="22"/>
        </w:rPr>
        <w:fldChar w:fldCharType="begin"/>
      </w:r>
      <w:r w:rsidRPr="009E2ABA">
        <w:rPr>
          <w:rFonts w:cstheme="minorHAnsi"/>
          <w:sz w:val="24"/>
          <w:szCs w:val="22"/>
        </w:rPr>
        <w:instrText xml:space="preserve"> TOC \h \z \c "Figure" </w:instrText>
      </w:r>
      <w:r w:rsidRPr="009E2ABA">
        <w:rPr>
          <w:rFonts w:cstheme="minorHAnsi"/>
          <w:sz w:val="24"/>
          <w:szCs w:val="22"/>
        </w:rPr>
        <w:fldChar w:fldCharType="separate"/>
      </w:r>
      <w:hyperlink w:anchor="_Toc530148521" w:history="1">
        <w:r w:rsidR="00980C4D" w:rsidRPr="0073456B">
          <w:rPr>
            <w:rStyle w:val="Hyperlink"/>
            <w:noProof/>
          </w:rPr>
          <w:t>Figure 1: Composition of Own-Source Tax Revenue in KP</w:t>
        </w:r>
        <w:r w:rsidR="00980C4D">
          <w:rPr>
            <w:noProof/>
            <w:webHidden/>
          </w:rPr>
          <w:tab/>
        </w:r>
        <w:r w:rsidR="00980C4D">
          <w:rPr>
            <w:noProof/>
            <w:webHidden/>
          </w:rPr>
          <w:fldChar w:fldCharType="begin"/>
        </w:r>
        <w:r w:rsidR="00980C4D">
          <w:rPr>
            <w:noProof/>
            <w:webHidden/>
          </w:rPr>
          <w:instrText xml:space="preserve"> PAGEREF _Toc530148521 \h </w:instrText>
        </w:r>
        <w:r w:rsidR="00980C4D">
          <w:rPr>
            <w:noProof/>
            <w:webHidden/>
          </w:rPr>
        </w:r>
        <w:r w:rsidR="00980C4D">
          <w:rPr>
            <w:noProof/>
            <w:webHidden/>
          </w:rPr>
          <w:fldChar w:fldCharType="separate"/>
        </w:r>
        <w:r w:rsidR="00FB60F2">
          <w:rPr>
            <w:noProof/>
            <w:webHidden/>
          </w:rPr>
          <w:t>3</w:t>
        </w:r>
        <w:r w:rsidR="00980C4D">
          <w:rPr>
            <w:noProof/>
            <w:webHidden/>
          </w:rPr>
          <w:fldChar w:fldCharType="end"/>
        </w:r>
      </w:hyperlink>
    </w:p>
    <w:p w14:paraId="5ED29D1F" w14:textId="037A2E9E" w:rsidR="00980C4D" w:rsidRDefault="00E024E1">
      <w:pPr>
        <w:pStyle w:val="TableofFigures"/>
        <w:tabs>
          <w:tab w:val="right" w:leader="dot" w:pos="9350"/>
        </w:tabs>
        <w:rPr>
          <w:rFonts w:cstheme="minorBidi"/>
          <w:noProof/>
          <w:color w:val="auto"/>
          <w:szCs w:val="22"/>
        </w:rPr>
      </w:pPr>
      <w:hyperlink w:anchor="_Toc530148522" w:history="1">
        <w:r w:rsidR="00980C4D" w:rsidRPr="0073456B">
          <w:rPr>
            <w:rStyle w:val="Hyperlink"/>
            <w:noProof/>
          </w:rPr>
          <w:t>Figure 2: Revenue Potential in KP’s GSTS, by Various Compliance Scenarios</w:t>
        </w:r>
        <w:r w:rsidR="00980C4D">
          <w:rPr>
            <w:noProof/>
            <w:webHidden/>
          </w:rPr>
          <w:tab/>
        </w:r>
        <w:r w:rsidR="00980C4D">
          <w:rPr>
            <w:noProof/>
            <w:webHidden/>
          </w:rPr>
          <w:fldChar w:fldCharType="begin"/>
        </w:r>
        <w:r w:rsidR="00980C4D">
          <w:rPr>
            <w:noProof/>
            <w:webHidden/>
          </w:rPr>
          <w:instrText xml:space="preserve"> PAGEREF _Toc530148522 \h </w:instrText>
        </w:r>
        <w:r w:rsidR="00980C4D">
          <w:rPr>
            <w:noProof/>
            <w:webHidden/>
          </w:rPr>
        </w:r>
        <w:r w:rsidR="00980C4D">
          <w:rPr>
            <w:noProof/>
            <w:webHidden/>
          </w:rPr>
          <w:fldChar w:fldCharType="separate"/>
        </w:r>
        <w:r w:rsidR="00FB60F2">
          <w:rPr>
            <w:noProof/>
            <w:webHidden/>
          </w:rPr>
          <w:t>4</w:t>
        </w:r>
        <w:r w:rsidR="00980C4D">
          <w:rPr>
            <w:noProof/>
            <w:webHidden/>
          </w:rPr>
          <w:fldChar w:fldCharType="end"/>
        </w:r>
      </w:hyperlink>
    </w:p>
    <w:p w14:paraId="50E285A1" w14:textId="0213BEBB" w:rsidR="00980C4D" w:rsidRDefault="00E024E1">
      <w:pPr>
        <w:pStyle w:val="TableofFigures"/>
        <w:tabs>
          <w:tab w:val="right" w:leader="dot" w:pos="9350"/>
        </w:tabs>
        <w:rPr>
          <w:rFonts w:cstheme="minorBidi"/>
          <w:noProof/>
          <w:color w:val="auto"/>
          <w:szCs w:val="22"/>
        </w:rPr>
      </w:pPr>
      <w:hyperlink w:anchor="_Toc530148523" w:history="1">
        <w:r w:rsidR="00980C4D" w:rsidRPr="0073456B">
          <w:rPr>
            <w:rStyle w:val="Hyperlink"/>
            <w:noProof/>
          </w:rPr>
          <w:t>Figure 3: Theory of Change</w:t>
        </w:r>
        <w:r w:rsidR="00980C4D">
          <w:rPr>
            <w:noProof/>
            <w:webHidden/>
          </w:rPr>
          <w:tab/>
        </w:r>
        <w:r w:rsidR="00980C4D">
          <w:rPr>
            <w:noProof/>
            <w:webHidden/>
          </w:rPr>
          <w:fldChar w:fldCharType="begin"/>
        </w:r>
        <w:r w:rsidR="00980C4D">
          <w:rPr>
            <w:noProof/>
            <w:webHidden/>
          </w:rPr>
          <w:instrText xml:space="preserve"> PAGEREF _Toc530148523 \h </w:instrText>
        </w:r>
        <w:r w:rsidR="00980C4D">
          <w:rPr>
            <w:noProof/>
            <w:webHidden/>
          </w:rPr>
        </w:r>
        <w:r w:rsidR="00980C4D">
          <w:rPr>
            <w:noProof/>
            <w:webHidden/>
          </w:rPr>
          <w:fldChar w:fldCharType="separate"/>
        </w:r>
        <w:r w:rsidR="00FB60F2">
          <w:rPr>
            <w:noProof/>
            <w:webHidden/>
          </w:rPr>
          <w:t>11</w:t>
        </w:r>
        <w:r w:rsidR="00980C4D">
          <w:rPr>
            <w:noProof/>
            <w:webHidden/>
          </w:rPr>
          <w:fldChar w:fldCharType="end"/>
        </w:r>
      </w:hyperlink>
    </w:p>
    <w:p w14:paraId="480390B8" w14:textId="77064E17" w:rsidR="007C5BE3" w:rsidRPr="006623D1" w:rsidRDefault="007C5BE3" w:rsidP="007C5BE3">
      <w:pPr>
        <w:jc w:val="center"/>
        <w:rPr>
          <w:rFonts w:asciiTheme="minorHAnsi" w:hAnsiTheme="minorHAnsi" w:cstheme="minorHAnsi"/>
          <w:b/>
          <w:sz w:val="22"/>
          <w:szCs w:val="22"/>
        </w:rPr>
      </w:pPr>
      <w:r w:rsidRPr="009E2ABA">
        <w:rPr>
          <w:rFonts w:asciiTheme="minorHAnsi" w:hAnsiTheme="minorHAnsi" w:cstheme="minorHAnsi"/>
          <w:szCs w:val="22"/>
        </w:rPr>
        <w:fldChar w:fldCharType="end"/>
      </w:r>
    </w:p>
    <w:p w14:paraId="4BD3ADEC" w14:textId="77777777" w:rsidR="007C5BE3" w:rsidRPr="006623D1" w:rsidRDefault="007C5BE3" w:rsidP="007C5BE3">
      <w:pPr>
        <w:jc w:val="center"/>
        <w:rPr>
          <w:rFonts w:asciiTheme="minorHAnsi" w:hAnsiTheme="minorHAnsi" w:cstheme="minorHAnsi"/>
          <w:b/>
          <w:sz w:val="22"/>
          <w:szCs w:val="22"/>
        </w:rPr>
      </w:pPr>
    </w:p>
    <w:p w14:paraId="12C410BA" w14:textId="1331D764" w:rsidR="007C5BE3" w:rsidRDefault="007C5BE3" w:rsidP="007C5BE3">
      <w:pPr>
        <w:jc w:val="center"/>
        <w:rPr>
          <w:rFonts w:asciiTheme="minorHAnsi" w:hAnsiTheme="minorHAnsi" w:cstheme="minorHAnsi"/>
          <w:b/>
          <w:sz w:val="22"/>
          <w:szCs w:val="22"/>
        </w:rPr>
      </w:pPr>
    </w:p>
    <w:p w14:paraId="7A20C482" w14:textId="79B4EC34" w:rsidR="00F8192E" w:rsidRDefault="00F8192E" w:rsidP="007C5BE3">
      <w:pPr>
        <w:jc w:val="center"/>
        <w:rPr>
          <w:rFonts w:asciiTheme="minorHAnsi" w:hAnsiTheme="minorHAnsi" w:cstheme="minorHAnsi"/>
          <w:b/>
          <w:sz w:val="22"/>
          <w:szCs w:val="22"/>
        </w:rPr>
      </w:pPr>
    </w:p>
    <w:p w14:paraId="2CD69302" w14:textId="444B068E" w:rsidR="00F8192E" w:rsidRDefault="00F8192E" w:rsidP="007C5BE3">
      <w:pPr>
        <w:jc w:val="center"/>
        <w:rPr>
          <w:rFonts w:asciiTheme="minorHAnsi" w:hAnsiTheme="minorHAnsi" w:cstheme="minorHAnsi"/>
          <w:b/>
          <w:sz w:val="22"/>
          <w:szCs w:val="22"/>
        </w:rPr>
      </w:pPr>
    </w:p>
    <w:p w14:paraId="0D473C19" w14:textId="18D96E8E" w:rsidR="00F8192E" w:rsidRDefault="00F8192E" w:rsidP="007C5BE3">
      <w:pPr>
        <w:jc w:val="center"/>
        <w:rPr>
          <w:rFonts w:asciiTheme="minorHAnsi" w:hAnsiTheme="minorHAnsi" w:cstheme="minorHAnsi"/>
          <w:b/>
          <w:sz w:val="22"/>
          <w:szCs w:val="22"/>
        </w:rPr>
      </w:pPr>
    </w:p>
    <w:p w14:paraId="68730D9B" w14:textId="71595CF0" w:rsidR="00F8192E" w:rsidRDefault="00F8192E" w:rsidP="007C5BE3">
      <w:pPr>
        <w:jc w:val="center"/>
        <w:rPr>
          <w:rFonts w:asciiTheme="minorHAnsi" w:hAnsiTheme="minorHAnsi" w:cstheme="minorHAnsi"/>
          <w:b/>
          <w:sz w:val="22"/>
          <w:szCs w:val="22"/>
        </w:rPr>
      </w:pPr>
    </w:p>
    <w:p w14:paraId="0C4F5DA0" w14:textId="20584CE4" w:rsidR="004F13C0" w:rsidRDefault="004F13C0" w:rsidP="007C5BE3">
      <w:pPr>
        <w:jc w:val="center"/>
        <w:rPr>
          <w:rFonts w:asciiTheme="minorHAnsi" w:hAnsiTheme="minorHAnsi" w:cstheme="minorHAnsi"/>
          <w:b/>
          <w:sz w:val="22"/>
          <w:szCs w:val="22"/>
        </w:rPr>
      </w:pPr>
    </w:p>
    <w:p w14:paraId="768A7DE6" w14:textId="7D4891E0" w:rsidR="004F13C0" w:rsidRDefault="004F13C0" w:rsidP="007C5BE3">
      <w:pPr>
        <w:jc w:val="center"/>
        <w:rPr>
          <w:rFonts w:asciiTheme="minorHAnsi" w:hAnsiTheme="minorHAnsi" w:cstheme="minorHAnsi"/>
          <w:b/>
          <w:sz w:val="22"/>
          <w:szCs w:val="22"/>
        </w:rPr>
      </w:pPr>
    </w:p>
    <w:p w14:paraId="6411306A" w14:textId="3EC97C4F" w:rsidR="004F13C0" w:rsidRDefault="004F13C0" w:rsidP="007C5BE3">
      <w:pPr>
        <w:jc w:val="center"/>
        <w:rPr>
          <w:rFonts w:asciiTheme="minorHAnsi" w:hAnsiTheme="minorHAnsi" w:cstheme="minorHAnsi"/>
          <w:b/>
          <w:sz w:val="22"/>
          <w:szCs w:val="22"/>
        </w:rPr>
      </w:pPr>
      <w:r w:rsidRPr="00B420C1">
        <w:rPr>
          <w:rFonts w:asciiTheme="minorHAnsi" w:hAnsiTheme="minorHAnsi" w:cs="Times New Roman"/>
          <w:b/>
        </w:rPr>
        <w:t>ABBREVIATIONS AND ACRONYMS</w:t>
      </w:r>
    </w:p>
    <w:p w14:paraId="4DA90FDC" w14:textId="56DD681C" w:rsidR="00F8192E" w:rsidRDefault="00F8192E" w:rsidP="00980C4D">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435"/>
        <w:gridCol w:w="7915"/>
      </w:tblGrid>
      <w:tr w:rsidR="00F8192E" w:rsidRPr="00980C4D" w14:paraId="45D37038" w14:textId="77777777" w:rsidTr="00BB36B2">
        <w:tc>
          <w:tcPr>
            <w:tcW w:w="1435" w:type="dxa"/>
          </w:tcPr>
          <w:p w14:paraId="268C33E4"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BPM</w:t>
            </w:r>
          </w:p>
        </w:tc>
        <w:tc>
          <w:tcPr>
            <w:tcW w:w="7915" w:type="dxa"/>
          </w:tcPr>
          <w:p w14:paraId="6BAF7975"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Business Process Mapping</w:t>
            </w:r>
          </w:p>
        </w:tc>
      </w:tr>
      <w:tr w:rsidR="00F8192E" w:rsidRPr="00980C4D" w14:paraId="22511D88" w14:textId="77777777" w:rsidTr="00BB36B2">
        <w:tc>
          <w:tcPr>
            <w:tcW w:w="1435" w:type="dxa"/>
          </w:tcPr>
          <w:p w14:paraId="5B84F1C7"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BPR</w:t>
            </w:r>
          </w:p>
        </w:tc>
        <w:tc>
          <w:tcPr>
            <w:tcW w:w="7915" w:type="dxa"/>
          </w:tcPr>
          <w:p w14:paraId="163C4C8B"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Business Process Review</w:t>
            </w:r>
          </w:p>
        </w:tc>
      </w:tr>
      <w:tr w:rsidR="00F8192E" w:rsidRPr="00980C4D" w14:paraId="1C758607" w14:textId="77777777" w:rsidTr="00BB36B2">
        <w:tc>
          <w:tcPr>
            <w:tcW w:w="1435" w:type="dxa"/>
          </w:tcPr>
          <w:p w14:paraId="1CE6A441"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DLI</w:t>
            </w:r>
          </w:p>
        </w:tc>
        <w:tc>
          <w:tcPr>
            <w:tcW w:w="7915" w:type="dxa"/>
          </w:tcPr>
          <w:p w14:paraId="57380DC8"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Disbursement-Linked Indicator</w:t>
            </w:r>
          </w:p>
        </w:tc>
      </w:tr>
      <w:tr w:rsidR="00F8192E" w:rsidRPr="00980C4D" w14:paraId="365E4E48" w14:textId="77777777" w:rsidTr="00BB36B2">
        <w:tc>
          <w:tcPr>
            <w:tcW w:w="1435" w:type="dxa"/>
          </w:tcPr>
          <w:p w14:paraId="63A3823F"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ESSA</w:t>
            </w:r>
          </w:p>
        </w:tc>
        <w:tc>
          <w:tcPr>
            <w:tcW w:w="7915" w:type="dxa"/>
          </w:tcPr>
          <w:p w14:paraId="12C8A493"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Environmental and Social Systems Assessment</w:t>
            </w:r>
          </w:p>
        </w:tc>
      </w:tr>
      <w:tr w:rsidR="00F8192E" w:rsidRPr="00980C4D" w14:paraId="08B50C60" w14:textId="77777777" w:rsidTr="00BB36B2">
        <w:tc>
          <w:tcPr>
            <w:tcW w:w="1435" w:type="dxa"/>
          </w:tcPr>
          <w:p w14:paraId="5AEDE072"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ETNCD</w:t>
            </w:r>
          </w:p>
        </w:tc>
        <w:tc>
          <w:tcPr>
            <w:tcW w:w="7915" w:type="dxa"/>
          </w:tcPr>
          <w:p w14:paraId="72C84968"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sz w:val="20"/>
                <w:szCs w:val="20"/>
              </w:rPr>
              <w:t>Excise, Taxation, and Narcotics Control Department</w:t>
            </w:r>
          </w:p>
        </w:tc>
      </w:tr>
      <w:tr w:rsidR="00F8192E" w:rsidRPr="00980C4D" w14:paraId="095E8AFC" w14:textId="77777777" w:rsidTr="00BB36B2">
        <w:tc>
          <w:tcPr>
            <w:tcW w:w="1435" w:type="dxa"/>
          </w:tcPr>
          <w:p w14:paraId="24A88070"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FATA</w:t>
            </w:r>
          </w:p>
        </w:tc>
        <w:tc>
          <w:tcPr>
            <w:tcW w:w="7915" w:type="dxa"/>
          </w:tcPr>
          <w:p w14:paraId="6F54200D" w14:textId="77777777" w:rsidR="00F8192E" w:rsidRPr="00980C4D" w:rsidRDefault="00F8192E" w:rsidP="00BB36B2">
            <w:pPr>
              <w:rPr>
                <w:rFonts w:asciiTheme="minorHAnsi" w:hAnsiTheme="minorHAnsi" w:cstheme="minorHAnsi"/>
                <w:sz w:val="20"/>
                <w:szCs w:val="20"/>
              </w:rPr>
            </w:pPr>
            <w:bookmarkStart w:id="1" w:name="_Hlk529970509"/>
            <w:r w:rsidRPr="00980C4D">
              <w:rPr>
                <w:rFonts w:asciiTheme="minorHAnsi" w:hAnsiTheme="minorHAnsi" w:cstheme="minorHAnsi"/>
                <w:sz w:val="20"/>
                <w:szCs w:val="20"/>
              </w:rPr>
              <w:t>Federally Administered Tribal Areas</w:t>
            </w:r>
            <w:bookmarkEnd w:id="1"/>
          </w:p>
        </w:tc>
      </w:tr>
      <w:tr w:rsidR="00F8192E" w:rsidRPr="00980C4D" w14:paraId="2DD376A1" w14:textId="77777777" w:rsidTr="00BB36B2">
        <w:tc>
          <w:tcPr>
            <w:tcW w:w="1435" w:type="dxa"/>
          </w:tcPr>
          <w:p w14:paraId="0B06AD8E"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FBR</w:t>
            </w:r>
          </w:p>
        </w:tc>
        <w:tc>
          <w:tcPr>
            <w:tcW w:w="7915" w:type="dxa"/>
          </w:tcPr>
          <w:p w14:paraId="1A3CE96B"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sz w:val="20"/>
                <w:szCs w:val="20"/>
              </w:rPr>
              <w:t>Federal Board of Revenue</w:t>
            </w:r>
          </w:p>
        </w:tc>
      </w:tr>
      <w:tr w:rsidR="00F8192E" w:rsidRPr="00980C4D" w14:paraId="705FA3EC" w14:textId="77777777" w:rsidTr="00BB36B2">
        <w:tc>
          <w:tcPr>
            <w:tcW w:w="1435" w:type="dxa"/>
          </w:tcPr>
          <w:p w14:paraId="247AC047"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FD</w:t>
            </w:r>
          </w:p>
        </w:tc>
        <w:tc>
          <w:tcPr>
            <w:tcW w:w="7915" w:type="dxa"/>
          </w:tcPr>
          <w:p w14:paraId="142F29B4"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Finance Department</w:t>
            </w:r>
          </w:p>
        </w:tc>
      </w:tr>
      <w:tr w:rsidR="00F8192E" w:rsidRPr="00980C4D" w14:paraId="6ED4E5AC" w14:textId="77777777" w:rsidTr="00BB36B2">
        <w:tc>
          <w:tcPr>
            <w:tcW w:w="1435" w:type="dxa"/>
          </w:tcPr>
          <w:p w14:paraId="20208428"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GDP</w:t>
            </w:r>
          </w:p>
        </w:tc>
        <w:tc>
          <w:tcPr>
            <w:tcW w:w="7915" w:type="dxa"/>
          </w:tcPr>
          <w:p w14:paraId="1A7AA9E8"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Gross Domestic Product</w:t>
            </w:r>
          </w:p>
        </w:tc>
      </w:tr>
      <w:tr w:rsidR="00F8192E" w:rsidRPr="00980C4D" w14:paraId="612F4376" w14:textId="77777777" w:rsidTr="00BB36B2">
        <w:tc>
          <w:tcPr>
            <w:tcW w:w="1435" w:type="dxa"/>
          </w:tcPr>
          <w:p w14:paraId="787BE0C1"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GoKP</w:t>
            </w:r>
          </w:p>
        </w:tc>
        <w:tc>
          <w:tcPr>
            <w:tcW w:w="7915" w:type="dxa"/>
          </w:tcPr>
          <w:p w14:paraId="436A5442"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Government of Khyber Pakhtunkhwa</w:t>
            </w:r>
          </w:p>
        </w:tc>
      </w:tr>
      <w:tr w:rsidR="00F8192E" w:rsidRPr="00980C4D" w14:paraId="7B56B137" w14:textId="77777777" w:rsidTr="00BB36B2">
        <w:tc>
          <w:tcPr>
            <w:tcW w:w="1435" w:type="dxa"/>
          </w:tcPr>
          <w:p w14:paraId="6D3BFDC0"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GPIF</w:t>
            </w:r>
          </w:p>
        </w:tc>
        <w:tc>
          <w:tcPr>
            <w:tcW w:w="7915" w:type="dxa"/>
          </w:tcPr>
          <w:p w14:paraId="3182A091"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General Provident Investment Fund</w:t>
            </w:r>
          </w:p>
        </w:tc>
      </w:tr>
      <w:tr w:rsidR="00F8192E" w:rsidRPr="00980C4D" w14:paraId="6399D8FF" w14:textId="77777777" w:rsidTr="00BB36B2">
        <w:tc>
          <w:tcPr>
            <w:tcW w:w="1435" w:type="dxa"/>
          </w:tcPr>
          <w:p w14:paraId="47D98351"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GPP</w:t>
            </w:r>
          </w:p>
        </w:tc>
        <w:tc>
          <w:tcPr>
            <w:tcW w:w="7915" w:type="dxa"/>
          </w:tcPr>
          <w:p w14:paraId="7E8F8979"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Governance and Policy Project</w:t>
            </w:r>
          </w:p>
        </w:tc>
      </w:tr>
      <w:tr w:rsidR="00F8192E" w:rsidRPr="00980C4D" w14:paraId="64C764DC" w14:textId="77777777" w:rsidTr="00BB36B2">
        <w:tc>
          <w:tcPr>
            <w:tcW w:w="1435" w:type="dxa"/>
          </w:tcPr>
          <w:p w14:paraId="20269A29"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GSTS</w:t>
            </w:r>
          </w:p>
        </w:tc>
        <w:tc>
          <w:tcPr>
            <w:tcW w:w="7915" w:type="dxa"/>
          </w:tcPr>
          <w:p w14:paraId="03F4E37A"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General Sales Tax on Services</w:t>
            </w:r>
          </w:p>
        </w:tc>
      </w:tr>
      <w:tr w:rsidR="00F8192E" w:rsidRPr="00980C4D" w14:paraId="687393DE" w14:textId="77777777" w:rsidTr="00BB36B2">
        <w:tc>
          <w:tcPr>
            <w:tcW w:w="1435" w:type="dxa"/>
          </w:tcPr>
          <w:p w14:paraId="507525D6"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HDF</w:t>
            </w:r>
          </w:p>
        </w:tc>
        <w:tc>
          <w:tcPr>
            <w:tcW w:w="7915" w:type="dxa"/>
          </w:tcPr>
          <w:p w14:paraId="39395B62"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Hydroelectricity Development Fund</w:t>
            </w:r>
          </w:p>
        </w:tc>
      </w:tr>
      <w:tr w:rsidR="00F8192E" w:rsidRPr="00980C4D" w14:paraId="577B6170" w14:textId="77777777" w:rsidTr="00BB36B2">
        <w:tc>
          <w:tcPr>
            <w:tcW w:w="1435" w:type="dxa"/>
          </w:tcPr>
          <w:p w14:paraId="34FCA09D"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ICT</w:t>
            </w:r>
          </w:p>
        </w:tc>
        <w:tc>
          <w:tcPr>
            <w:tcW w:w="7915" w:type="dxa"/>
          </w:tcPr>
          <w:p w14:paraId="5AAA6F44"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Information and Communication Technology</w:t>
            </w:r>
          </w:p>
        </w:tc>
      </w:tr>
      <w:tr w:rsidR="00F8192E" w:rsidRPr="00980C4D" w14:paraId="35BBF1DC" w14:textId="77777777" w:rsidTr="00BB36B2">
        <w:tc>
          <w:tcPr>
            <w:tcW w:w="1435" w:type="dxa"/>
          </w:tcPr>
          <w:p w14:paraId="3355E872"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IFSA</w:t>
            </w:r>
          </w:p>
        </w:tc>
        <w:tc>
          <w:tcPr>
            <w:tcW w:w="7915" w:type="dxa"/>
          </w:tcPr>
          <w:p w14:paraId="01C32054"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Integrated Fiduciary Systems Assessment</w:t>
            </w:r>
          </w:p>
        </w:tc>
      </w:tr>
      <w:tr w:rsidR="00F8192E" w:rsidRPr="00980C4D" w14:paraId="53C09B26" w14:textId="77777777" w:rsidTr="00BB36B2">
        <w:tc>
          <w:tcPr>
            <w:tcW w:w="1435" w:type="dxa"/>
          </w:tcPr>
          <w:p w14:paraId="063A595F"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IPF</w:t>
            </w:r>
          </w:p>
        </w:tc>
        <w:tc>
          <w:tcPr>
            <w:tcW w:w="7915" w:type="dxa"/>
          </w:tcPr>
          <w:p w14:paraId="078350D4"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Investment Project Financing</w:t>
            </w:r>
          </w:p>
        </w:tc>
      </w:tr>
      <w:tr w:rsidR="00F8192E" w:rsidRPr="00980C4D" w14:paraId="00A6588E" w14:textId="77777777" w:rsidTr="00BB36B2">
        <w:tc>
          <w:tcPr>
            <w:tcW w:w="1435" w:type="dxa"/>
          </w:tcPr>
          <w:p w14:paraId="1F0CDB3F"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KP</w:t>
            </w:r>
          </w:p>
        </w:tc>
        <w:tc>
          <w:tcPr>
            <w:tcW w:w="7915" w:type="dxa"/>
          </w:tcPr>
          <w:p w14:paraId="4B43BC94"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Khyber Pakhtunkhwa</w:t>
            </w:r>
          </w:p>
        </w:tc>
      </w:tr>
      <w:tr w:rsidR="00F8192E" w:rsidRPr="00980C4D" w14:paraId="512BAE83" w14:textId="77777777" w:rsidTr="00BB36B2">
        <w:tc>
          <w:tcPr>
            <w:tcW w:w="1435" w:type="dxa"/>
          </w:tcPr>
          <w:p w14:paraId="089FEA73"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KPITB</w:t>
            </w:r>
          </w:p>
        </w:tc>
        <w:tc>
          <w:tcPr>
            <w:tcW w:w="7915" w:type="dxa"/>
          </w:tcPr>
          <w:p w14:paraId="79F1ED5B"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sz w:val="20"/>
                <w:szCs w:val="20"/>
              </w:rPr>
              <w:t>Khyber Pakhtunkhwa Information Technology Board</w:t>
            </w:r>
          </w:p>
        </w:tc>
      </w:tr>
      <w:tr w:rsidR="00F8192E" w:rsidRPr="00980C4D" w14:paraId="0044F8A7" w14:textId="77777777" w:rsidTr="00BB36B2">
        <w:tc>
          <w:tcPr>
            <w:tcW w:w="1435" w:type="dxa"/>
          </w:tcPr>
          <w:p w14:paraId="13D2AFC9"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KPRA</w:t>
            </w:r>
          </w:p>
        </w:tc>
        <w:tc>
          <w:tcPr>
            <w:tcW w:w="7915" w:type="dxa"/>
          </w:tcPr>
          <w:p w14:paraId="14AE5D7B"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sz w:val="20"/>
                <w:szCs w:val="20"/>
              </w:rPr>
              <w:t>KP Revenue Authority</w:t>
            </w:r>
          </w:p>
        </w:tc>
      </w:tr>
      <w:tr w:rsidR="00F8192E" w:rsidRPr="00980C4D" w14:paraId="3FB14E5C" w14:textId="77777777" w:rsidTr="00BB36B2">
        <w:tc>
          <w:tcPr>
            <w:tcW w:w="1435" w:type="dxa"/>
          </w:tcPr>
          <w:p w14:paraId="7103BE49"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MTEF</w:t>
            </w:r>
          </w:p>
        </w:tc>
        <w:tc>
          <w:tcPr>
            <w:tcW w:w="7915" w:type="dxa"/>
          </w:tcPr>
          <w:p w14:paraId="37A7E963"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Medium-Term Expenditure Framework</w:t>
            </w:r>
          </w:p>
        </w:tc>
      </w:tr>
      <w:tr w:rsidR="00F8192E" w:rsidRPr="00980C4D" w14:paraId="110BE230" w14:textId="77777777" w:rsidTr="00BB36B2">
        <w:tc>
          <w:tcPr>
            <w:tcW w:w="1435" w:type="dxa"/>
          </w:tcPr>
          <w:p w14:paraId="1017FFA2"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NFC</w:t>
            </w:r>
          </w:p>
        </w:tc>
        <w:tc>
          <w:tcPr>
            <w:tcW w:w="7915" w:type="dxa"/>
          </w:tcPr>
          <w:p w14:paraId="03B6A606"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National Finance Commission</w:t>
            </w:r>
          </w:p>
        </w:tc>
      </w:tr>
      <w:tr w:rsidR="00F8192E" w:rsidRPr="00980C4D" w14:paraId="57192314" w14:textId="77777777" w:rsidTr="00BB36B2">
        <w:tc>
          <w:tcPr>
            <w:tcW w:w="1435" w:type="dxa"/>
          </w:tcPr>
          <w:p w14:paraId="0FF11326"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NFMIS</w:t>
            </w:r>
          </w:p>
        </w:tc>
        <w:tc>
          <w:tcPr>
            <w:tcW w:w="7915" w:type="dxa"/>
          </w:tcPr>
          <w:p w14:paraId="2E7845C3"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sz w:val="20"/>
                <w:szCs w:val="20"/>
              </w:rPr>
              <w:t>National Financial Management Information System</w:t>
            </w:r>
          </w:p>
        </w:tc>
      </w:tr>
      <w:tr w:rsidR="00F8192E" w:rsidRPr="00980C4D" w14:paraId="23925C74" w14:textId="77777777" w:rsidTr="00BB36B2">
        <w:tc>
          <w:tcPr>
            <w:tcW w:w="1435" w:type="dxa"/>
          </w:tcPr>
          <w:p w14:paraId="7A639CEA"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OSR</w:t>
            </w:r>
          </w:p>
        </w:tc>
        <w:tc>
          <w:tcPr>
            <w:tcW w:w="7915" w:type="dxa"/>
          </w:tcPr>
          <w:p w14:paraId="5A87B75D"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Own-Source Revenue</w:t>
            </w:r>
          </w:p>
        </w:tc>
      </w:tr>
      <w:tr w:rsidR="00F8192E" w:rsidRPr="00980C4D" w14:paraId="76513334" w14:textId="77777777" w:rsidTr="00BB36B2">
        <w:tc>
          <w:tcPr>
            <w:tcW w:w="1435" w:type="dxa"/>
          </w:tcPr>
          <w:p w14:paraId="40F196AC"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P&amp;DD</w:t>
            </w:r>
          </w:p>
        </w:tc>
        <w:tc>
          <w:tcPr>
            <w:tcW w:w="7915" w:type="dxa"/>
          </w:tcPr>
          <w:p w14:paraId="0F2E17BC"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sz w:val="20"/>
                <w:szCs w:val="20"/>
              </w:rPr>
              <w:t>Planning and Development Department</w:t>
            </w:r>
          </w:p>
        </w:tc>
      </w:tr>
      <w:tr w:rsidR="00F8192E" w:rsidRPr="00980C4D" w14:paraId="07C74CDD" w14:textId="77777777" w:rsidTr="00BB36B2">
        <w:tc>
          <w:tcPr>
            <w:tcW w:w="1435" w:type="dxa"/>
          </w:tcPr>
          <w:p w14:paraId="24263CAA"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PAP</w:t>
            </w:r>
          </w:p>
        </w:tc>
        <w:tc>
          <w:tcPr>
            <w:tcW w:w="7915" w:type="dxa"/>
          </w:tcPr>
          <w:p w14:paraId="69F21973"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Program Action Plan</w:t>
            </w:r>
          </w:p>
        </w:tc>
      </w:tr>
      <w:tr w:rsidR="00F8192E" w:rsidRPr="00980C4D" w14:paraId="01D1AD5B" w14:textId="77777777" w:rsidTr="00BB36B2">
        <w:tc>
          <w:tcPr>
            <w:tcW w:w="1435" w:type="dxa"/>
          </w:tcPr>
          <w:p w14:paraId="03DC65F9"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PAS</w:t>
            </w:r>
          </w:p>
        </w:tc>
        <w:tc>
          <w:tcPr>
            <w:tcW w:w="7915" w:type="dxa"/>
          </w:tcPr>
          <w:p w14:paraId="3940B0F6"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Pakistan Administrative Service</w:t>
            </w:r>
          </w:p>
        </w:tc>
      </w:tr>
      <w:tr w:rsidR="00F8192E" w:rsidRPr="00980C4D" w14:paraId="0507AF45" w14:textId="77777777" w:rsidTr="00BB36B2">
        <w:tc>
          <w:tcPr>
            <w:tcW w:w="1435" w:type="dxa"/>
          </w:tcPr>
          <w:p w14:paraId="63F42352"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PATA</w:t>
            </w:r>
          </w:p>
        </w:tc>
        <w:tc>
          <w:tcPr>
            <w:tcW w:w="7915" w:type="dxa"/>
          </w:tcPr>
          <w:p w14:paraId="27FBE187"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Provincially Administered Tribal Areas</w:t>
            </w:r>
          </w:p>
        </w:tc>
      </w:tr>
      <w:tr w:rsidR="00F8192E" w:rsidRPr="00980C4D" w14:paraId="2CDA2756" w14:textId="77777777" w:rsidTr="00BB36B2">
        <w:tc>
          <w:tcPr>
            <w:tcW w:w="1435" w:type="dxa"/>
          </w:tcPr>
          <w:p w14:paraId="12DB9886"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PCU</w:t>
            </w:r>
          </w:p>
        </w:tc>
        <w:tc>
          <w:tcPr>
            <w:tcW w:w="7915" w:type="dxa"/>
          </w:tcPr>
          <w:p w14:paraId="0D7717D6"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Program Coordination Unit</w:t>
            </w:r>
          </w:p>
        </w:tc>
      </w:tr>
      <w:tr w:rsidR="00F8192E" w:rsidRPr="00980C4D" w14:paraId="07155FF6" w14:textId="77777777" w:rsidTr="00BB36B2">
        <w:tc>
          <w:tcPr>
            <w:tcW w:w="1435" w:type="dxa"/>
          </w:tcPr>
          <w:p w14:paraId="4823E9BB"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PDO</w:t>
            </w:r>
          </w:p>
        </w:tc>
        <w:tc>
          <w:tcPr>
            <w:tcW w:w="7915" w:type="dxa"/>
          </w:tcPr>
          <w:p w14:paraId="24CA7C75"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Program Development Objective</w:t>
            </w:r>
          </w:p>
        </w:tc>
      </w:tr>
      <w:tr w:rsidR="00F8192E" w:rsidRPr="00980C4D" w14:paraId="5118FC63" w14:textId="77777777" w:rsidTr="00BB36B2">
        <w:tc>
          <w:tcPr>
            <w:tcW w:w="1435" w:type="dxa"/>
          </w:tcPr>
          <w:p w14:paraId="5A0F1078"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PEFA</w:t>
            </w:r>
          </w:p>
        </w:tc>
        <w:tc>
          <w:tcPr>
            <w:tcW w:w="7915" w:type="dxa"/>
          </w:tcPr>
          <w:p w14:paraId="0EF7BCF7"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Public Expenditure and Financial Accountability</w:t>
            </w:r>
          </w:p>
        </w:tc>
      </w:tr>
      <w:tr w:rsidR="00F8192E" w:rsidRPr="00980C4D" w14:paraId="6ABA312E" w14:textId="77777777" w:rsidTr="00BB36B2">
        <w:tc>
          <w:tcPr>
            <w:tcW w:w="1435" w:type="dxa"/>
          </w:tcPr>
          <w:p w14:paraId="469745B2"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PFM</w:t>
            </w:r>
          </w:p>
        </w:tc>
        <w:tc>
          <w:tcPr>
            <w:tcW w:w="7915" w:type="dxa"/>
          </w:tcPr>
          <w:p w14:paraId="34598E70"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Public Financial Management</w:t>
            </w:r>
          </w:p>
        </w:tc>
      </w:tr>
      <w:tr w:rsidR="00F8192E" w:rsidRPr="00980C4D" w14:paraId="10081A5E" w14:textId="77777777" w:rsidTr="00BB36B2">
        <w:tc>
          <w:tcPr>
            <w:tcW w:w="1435" w:type="dxa"/>
          </w:tcPr>
          <w:p w14:paraId="03FDB165"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PFMRS</w:t>
            </w:r>
          </w:p>
        </w:tc>
        <w:tc>
          <w:tcPr>
            <w:tcW w:w="7915" w:type="dxa"/>
          </w:tcPr>
          <w:p w14:paraId="368B1096"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Public Financial Management Reform Strategy</w:t>
            </w:r>
          </w:p>
        </w:tc>
      </w:tr>
      <w:tr w:rsidR="00F8192E" w:rsidRPr="00980C4D" w14:paraId="3A21AE4B" w14:textId="77777777" w:rsidTr="00BB36B2">
        <w:tc>
          <w:tcPr>
            <w:tcW w:w="1435" w:type="dxa"/>
          </w:tcPr>
          <w:p w14:paraId="21E853C1"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PforR</w:t>
            </w:r>
          </w:p>
        </w:tc>
        <w:tc>
          <w:tcPr>
            <w:tcW w:w="7915" w:type="dxa"/>
          </w:tcPr>
          <w:p w14:paraId="68E1D127"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Program-for-Results</w:t>
            </w:r>
          </w:p>
        </w:tc>
      </w:tr>
      <w:tr w:rsidR="00F8192E" w:rsidRPr="00980C4D" w14:paraId="0484D002" w14:textId="77777777" w:rsidTr="00BB36B2">
        <w:tc>
          <w:tcPr>
            <w:tcW w:w="1435" w:type="dxa"/>
          </w:tcPr>
          <w:p w14:paraId="39284704"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PPP</w:t>
            </w:r>
          </w:p>
        </w:tc>
        <w:tc>
          <w:tcPr>
            <w:tcW w:w="7915" w:type="dxa"/>
          </w:tcPr>
          <w:p w14:paraId="59394123"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Public-Private Partnership</w:t>
            </w:r>
          </w:p>
        </w:tc>
      </w:tr>
      <w:tr w:rsidR="00F8192E" w:rsidRPr="00980C4D" w14:paraId="72E04F19" w14:textId="77777777" w:rsidTr="00BB36B2">
        <w:tc>
          <w:tcPr>
            <w:tcW w:w="1435" w:type="dxa"/>
          </w:tcPr>
          <w:p w14:paraId="762C8C9A"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PRAL</w:t>
            </w:r>
          </w:p>
        </w:tc>
        <w:tc>
          <w:tcPr>
            <w:tcW w:w="7915" w:type="dxa"/>
          </w:tcPr>
          <w:p w14:paraId="261AF2C6"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Pakistan Revenue Automation Limited</w:t>
            </w:r>
          </w:p>
        </w:tc>
      </w:tr>
      <w:tr w:rsidR="00F8192E" w:rsidRPr="00980C4D" w14:paraId="294D79C9" w14:textId="77777777" w:rsidTr="00BB36B2">
        <w:tc>
          <w:tcPr>
            <w:tcW w:w="1435" w:type="dxa"/>
          </w:tcPr>
          <w:p w14:paraId="224762A0"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SBP</w:t>
            </w:r>
          </w:p>
        </w:tc>
        <w:tc>
          <w:tcPr>
            <w:tcW w:w="7915" w:type="dxa"/>
          </w:tcPr>
          <w:p w14:paraId="279F675F"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State Bank of Pakistan</w:t>
            </w:r>
          </w:p>
        </w:tc>
      </w:tr>
      <w:tr w:rsidR="00F8192E" w:rsidRPr="00980C4D" w14:paraId="39D16DE1" w14:textId="77777777" w:rsidTr="00BB36B2">
        <w:tc>
          <w:tcPr>
            <w:tcW w:w="1435" w:type="dxa"/>
          </w:tcPr>
          <w:p w14:paraId="1C45D86E"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SECP</w:t>
            </w:r>
          </w:p>
        </w:tc>
        <w:tc>
          <w:tcPr>
            <w:tcW w:w="7915" w:type="dxa"/>
          </w:tcPr>
          <w:p w14:paraId="3E8CC795"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Securities and Exchange Commission of Pakistan</w:t>
            </w:r>
          </w:p>
        </w:tc>
      </w:tr>
      <w:tr w:rsidR="00F8192E" w:rsidRPr="00980C4D" w14:paraId="0A0FFA70" w14:textId="77777777" w:rsidTr="00BB36B2">
        <w:tc>
          <w:tcPr>
            <w:tcW w:w="1435" w:type="dxa"/>
          </w:tcPr>
          <w:p w14:paraId="327126E8"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SRB</w:t>
            </w:r>
          </w:p>
        </w:tc>
        <w:tc>
          <w:tcPr>
            <w:tcW w:w="7915" w:type="dxa"/>
          </w:tcPr>
          <w:p w14:paraId="39EE67C6"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Sindh Revenue Board</w:t>
            </w:r>
          </w:p>
        </w:tc>
      </w:tr>
      <w:tr w:rsidR="00F8192E" w:rsidRPr="00980C4D" w14:paraId="546A419B" w14:textId="77777777" w:rsidTr="00BB36B2">
        <w:tc>
          <w:tcPr>
            <w:tcW w:w="1435" w:type="dxa"/>
          </w:tcPr>
          <w:p w14:paraId="2207568F"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ST&amp;IT</w:t>
            </w:r>
          </w:p>
        </w:tc>
        <w:tc>
          <w:tcPr>
            <w:tcW w:w="7915" w:type="dxa"/>
          </w:tcPr>
          <w:p w14:paraId="0E906473"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Science Technology and Information Technology</w:t>
            </w:r>
          </w:p>
        </w:tc>
      </w:tr>
      <w:tr w:rsidR="00F8192E" w:rsidRPr="00980C4D" w14:paraId="32CF6F69" w14:textId="77777777" w:rsidTr="00BB36B2">
        <w:tc>
          <w:tcPr>
            <w:tcW w:w="1435" w:type="dxa"/>
          </w:tcPr>
          <w:p w14:paraId="0B63A922"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TA</w:t>
            </w:r>
          </w:p>
        </w:tc>
        <w:tc>
          <w:tcPr>
            <w:tcW w:w="7915" w:type="dxa"/>
          </w:tcPr>
          <w:p w14:paraId="095C3E51"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Technical Assistance</w:t>
            </w:r>
          </w:p>
        </w:tc>
      </w:tr>
      <w:tr w:rsidR="00F8192E" w:rsidRPr="00980C4D" w14:paraId="69D4E631" w14:textId="77777777" w:rsidTr="00BB36B2">
        <w:tc>
          <w:tcPr>
            <w:tcW w:w="1435" w:type="dxa"/>
          </w:tcPr>
          <w:p w14:paraId="5AF1DBA5"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TMA</w:t>
            </w:r>
          </w:p>
        </w:tc>
        <w:tc>
          <w:tcPr>
            <w:tcW w:w="7915" w:type="dxa"/>
          </w:tcPr>
          <w:p w14:paraId="0B84343E"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Tehsil Municipal Administration</w:t>
            </w:r>
          </w:p>
        </w:tc>
      </w:tr>
      <w:tr w:rsidR="00F8192E" w:rsidRPr="00980C4D" w14:paraId="369730F5" w14:textId="77777777" w:rsidTr="00BB36B2">
        <w:tc>
          <w:tcPr>
            <w:tcW w:w="1435" w:type="dxa"/>
          </w:tcPr>
          <w:p w14:paraId="278FE46E"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TSA</w:t>
            </w:r>
          </w:p>
        </w:tc>
        <w:tc>
          <w:tcPr>
            <w:tcW w:w="7915" w:type="dxa"/>
          </w:tcPr>
          <w:p w14:paraId="563B28C0"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bCs/>
                <w:sz w:val="20"/>
                <w:szCs w:val="20"/>
              </w:rPr>
              <w:t>Treasury Single Account</w:t>
            </w:r>
          </w:p>
        </w:tc>
      </w:tr>
      <w:tr w:rsidR="00F8192E" w:rsidRPr="00980C4D" w14:paraId="4FC722E5" w14:textId="77777777" w:rsidTr="00BB36B2">
        <w:tc>
          <w:tcPr>
            <w:tcW w:w="1435" w:type="dxa"/>
          </w:tcPr>
          <w:p w14:paraId="613DED5C" w14:textId="77777777" w:rsidR="00F8192E" w:rsidRPr="00980C4D" w:rsidRDefault="00F8192E" w:rsidP="00BB36B2">
            <w:pPr>
              <w:rPr>
                <w:rFonts w:asciiTheme="minorHAnsi" w:hAnsiTheme="minorHAnsi" w:cstheme="minorHAnsi"/>
                <w:sz w:val="20"/>
                <w:szCs w:val="20"/>
              </w:rPr>
            </w:pPr>
            <w:r w:rsidRPr="00980C4D">
              <w:rPr>
                <w:rFonts w:asciiTheme="minorHAnsi" w:hAnsiTheme="minorHAnsi" w:cstheme="minorHAnsi"/>
                <w:sz w:val="20"/>
                <w:szCs w:val="20"/>
              </w:rPr>
              <w:t>UIPT</w:t>
            </w:r>
          </w:p>
        </w:tc>
        <w:tc>
          <w:tcPr>
            <w:tcW w:w="7915" w:type="dxa"/>
          </w:tcPr>
          <w:p w14:paraId="1FC7D1C5" w14:textId="77777777" w:rsidR="00F8192E" w:rsidRPr="00980C4D" w:rsidRDefault="00F8192E" w:rsidP="00BB36B2">
            <w:pPr>
              <w:rPr>
                <w:rFonts w:asciiTheme="minorHAnsi" w:hAnsiTheme="minorHAnsi" w:cstheme="minorHAnsi"/>
                <w:bCs/>
                <w:sz w:val="20"/>
                <w:szCs w:val="20"/>
              </w:rPr>
            </w:pPr>
            <w:r w:rsidRPr="00980C4D">
              <w:rPr>
                <w:rFonts w:asciiTheme="minorHAnsi" w:hAnsiTheme="minorHAnsi" w:cstheme="minorHAnsi"/>
                <w:bCs/>
                <w:sz w:val="20"/>
                <w:szCs w:val="20"/>
              </w:rPr>
              <w:t>Urban Immoveable Property Tax</w:t>
            </w:r>
          </w:p>
        </w:tc>
      </w:tr>
    </w:tbl>
    <w:p w14:paraId="06EFF06A" w14:textId="77777777" w:rsidR="00F8192E" w:rsidRPr="006623D1" w:rsidRDefault="00F8192E" w:rsidP="007C5BE3">
      <w:pPr>
        <w:jc w:val="center"/>
        <w:rPr>
          <w:rFonts w:asciiTheme="minorHAnsi" w:hAnsiTheme="minorHAnsi" w:cstheme="minorHAnsi"/>
          <w:b/>
          <w:sz w:val="22"/>
          <w:szCs w:val="22"/>
        </w:rPr>
      </w:pPr>
    </w:p>
    <w:p w14:paraId="18781376" w14:textId="77777777" w:rsidR="00EB060B" w:rsidRDefault="00EB060B" w:rsidP="007C5BE3">
      <w:pPr>
        <w:pStyle w:val="Heading1"/>
        <w:sectPr w:rsidR="00EB060B" w:rsidSect="00F00ED6">
          <w:footerReference w:type="even" r:id="rId14"/>
          <w:pgSz w:w="12240" w:h="15840"/>
          <w:pgMar w:top="1440" w:right="1440" w:bottom="1440" w:left="1440" w:header="720" w:footer="720" w:gutter="0"/>
          <w:cols w:space="720"/>
          <w:titlePg/>
          <w:docGrid w:linePitch="360"/>
        </w:sectPr>
      </w:pPr>
    </w:p>
    <w:p w14:paraId="6B3BEB12" w14:textId="0917DE3F" w:rsidR="007C5BE3" w:rsidRDefault="007C5BE3" w:rsidP="007C5BE3">
      <w:pPr>
        <w:pStyle w:val="Heading1"/>
      </w:pPr>
      <w:bookmarkStart w:id="2" w:name="_Toc530148510"/>
      <w:r w:rsidRPr="00E7594D">
        <w:lastRenderedPageBreak/>
        <w:t xml:space="preserve">Strategic </w:t>
      </w:r>
      <w:r>
        <w:t>R</w:t>
      </w:r>
      <w:r w:rsidRPr="00E7594D">
        <w:t xml:space="preserve">elevance and </w:t>
      </w:r>
      <w:r>
        <w:t>T</w:t>
      </w:r>
      <w:r w:rsidRPr="00E7594D">
        <w:t xml:space="preserve">echnical </w:t>
      </w:r>
      <w:r>
        <w:t>S</w:t>
      </w:r>
      <w:r w:rsidRPr="00E7594D">
        <w:t>oundness</w:t>
      </w:r>
      <w:bookmarkEnd w:id="2"/>
    </w:p>
    <w:p w14:paraId="74B606E0" w14:textId="77777777" w:rsidR="007C5BE3" w:rsidRPr="00E7594D" w:rsidRDefault="007C5BE3" w:rsidP="003D4FF1">
      <w:pPr>
        <w:rPr>
          <w:rFonts w:asciiTheme="minorHAnsi" w:hAnsiTheme="minorHAnsi"/>
          <w:b/>
          <w:bCs/>
          <w:i/>
          <w:color w:val="auto"/>
          <w:sz w:val="22"/>
          <w:szCs w:val="22"/>
        </w:rPr>
      </w:pPr>
    </w:p>
    <w:p w14:paraId="0632AA9A" w14:textId="139BE288" w:rsidR="007C5BE3" w:rsidRPr="0015549B" w:rsidRDefault="007C5BE3" w:rsidP="007C5BE3">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The proposed Program is designed to support the P</w:t>
      </w:r>
      <w:r>
        <w:rPr>
          <w:rFonts w:asciiTheme="minorHAnsi" w:hAnsiTheme="minorHAnsi"/>
          <w:b/>
          <w:bCs/>
          <w:color w:val="auto"/>
        </w:rPr>
        <w:t xml:space="preserve">ublic </w:t>
      </w:r>
      <w:r w:rsidRPr="003B22C9">
        <w:rPr>
          <w:rFonts w:asciiTheme="minorHAnsi" w:hAnsiTheme="minorHAnsi"/>
          <w:b/>
          <w:bCs/>
          <w:color w:val="auto"/>
        </w:rPr>
        <w:t>F</w:t>
      </w:r>
      <w:r>
        <w:rPr>
          <w:rFonts w:asciiTheme="minorHAnsi" w:hAnsiTheme="minorHAnsi"/>
          <w:b/>
          <w:bCs/>
          <w:color w:val="auto"/>
        </w:rPr>
        <w:t>inancial Management</w:t>
      </w:r>
      <w:r w:rsidRPr="003B22C9">
        <w:rPr>
          <w:rFonts w:asciiTheme="minorHAnsi" w:hAnsiTheme="minorHAnsi"/>
          <w:b/>
          <w:bCs/>
          <w:color w:val="auto"/>
        </w:rPr>
        <w:t xml:space="preserve"> Reform Strategy </w:t>
      </w:r>
      <w:r>
        <w:rPr>
          <w:rFonts w:asciiTheme="minorHAnsi" w:hAnsiTheme="minorHAnsi"/>
          <w:b/>
          <w:bCs/>
          <w:color w:val="auto"/>
        </w:rPr>
        <w:t xml:space="preserve">(PFMRS) </w:t>
      </w:r>
      <w:r w:rsidRPr="003B22C9">
        <w:rPr>
          <w:rFonts w:asciiTheme="minorHAnsi" w:hAnsiTheme="minorHAnsi"/>
          <w:b/>
          <w:bCs/>
          <w:color w:val="auto"/>
        </w:rPr>
        <w:t>of the G</w:t>
      </w:r>
      <w:r>
        <w:rPr>
          <w:rFonts w:asciiTheme="minorHAnsi" w:hAnsiTheme="minorHAnsi"/>
          <w:b/>
          <w:bCs/>
          <w:color w:val="auto"/>
        </w:rPr>
        <w:t xml:space="preserve">overnment </w:t>
      </w:r>
      <w:r w:rsidRPr="003B22C9">
        <w:rPr>
          <w:rFonts w:asciiTheme="minorHAnsi" w:hAnsiTheme="minorHAnsi"/>
          <w:b/>
          <w:bCs/>
          <w:color w:val="auto"/>
        </w:rPr>
        <w:t>o</w:t>
      </w:r>
      <w:r>
        <w:rPr>
          <w:rFonts w:asciiTheme="minorHAnsi" w:hAnsiTheme="minorHAnsi"/>
          <w:b/>
          <w:bCs/>
          <w:color w:val="auto"/>
        </w:rPr>
        <w:t xml:space="preserve">f </w:t>
      </w:r>
      <w:r w:rsidRPr="003B22C9">
        <w:rPr>
          <w:rFonts w:asciiTheme="minorHAnsi" w:hAnsiTheme="minorHAnsi"/>
          <w:b/>
          <w:bCs/>
          <w:color w:val="auto"/>
        </w:rPr>
        <w:t>K</w:t>
      </w:r>
      <w:r>
        <w:rPr>
          <w:rFonts w:asciiTheme="minorHAnsi" w:hAnsiTheme="minorHAnsi"/>
          <w:b/>
          <w:bCs/>
          <w:color w:val="auto"/>
        </w:rPr>
        <w:t xml:space="preserve">hyber </w:t>
      </w:r>
      <w:r w:rsidRPr="003B22C9">
        <w:rPr>
          <w:rFonts w:asciiTheme="minorHAnsi" w:hAnsiTheme="minorHAnsi"/>
          <w:b/>
          <w:bCs/>
          <w:color w:val="auto"/>
        </w:rPr>
        <w:t>P</w:t>
      </w:r>
      <w:r>
        <w:rPr>
          <w:rFonts w:asciiTheme="minorHAnsi" w:hAnsiTheme="minorHAnsi"/>
          <w:b/>
          <w:bCs/>
          <w:color w:val="auto"/>
        </w:rPr>
        <w:t>akhtunkhwa (GoKP)</w:t>
      </w:r>
      <w:r w:rsidRPr="003B22C9">
        <w:rPr>
          <w:rFonts w:asciiTheme="minorHAnsi" w:hAnsiTheme="minorHAnsi"/>
          <w:b/>
          <w:bCs/>
          <w:color w:val="auto"/>
        </w:rPr>
        <w:t>.</w:t>
      </w:r>
      <w:r w:rsidRPr="003236D4">
        <w:rPr>
          <w:rFonts w:asciiTheme="minorHAnsi" w:hAnsiTheme="minorHAnsi"/>
          <w:b/>
          <w:bCs/>
          <w:color w:val="auto"/>
        </w:rPr>
        <w:t xml:space="preserve"> </w:t>
      </w:r>
      <w:r w:rsidRPr="0015549B">
        <w:rPr>
          <w:rFonts w:asciiTheme="minorHAnsi" w:hAnsiTheme="minorHAnsi"/>
          <w:bCs/>
          <w:color w:val="auto"/>
        </w:rPr>
        <w:t xml:space="preserve">The PFMRS is based on sound diagnostics, most notably the </w:t>
      </w:r>
      <w:r w:rsidR="00160F51" w:rsidRPr="00160F51">
        <w:rPr>
          <w:rFonts w:asciiTheme="minorHAnsi" w:hAnsiTheme="minorHAnsi"/>
          <w:bCs/>
          <w:color w:val="auto"/>
        </w:rPr>
        <w:t>Khyber Pakhtunkhwa (</w:t>
      </w:r>
      <w:r w:rsidRPr="00160F51">
        <w:rPr>
          <w:rFonts w:asciiTheme="minorHAnsi" w:hAnsiTheme="minorHAnsi"/>
          <w:bCs/>
          <w:color w:val="auto"/>
        </w:rPr>
        <w:t>KP</w:t>
      </w:r>
      <w:r w:rsidR="00160F51">
        <w:rPr>
          <w:rFonts w:asciiTheme="minorHAnsi" w:hAnsiTheme="minorHAnsi"/>
          <w:bCs/>
          <w:color w:val="auto"/>
        </w:rPr>
        <w:t>)</w:t>
      </w:r>
      <w:r w:rsidRPr="0015549B">
        <w:rPr>
          <w:rFonts w:asciiTheme="minorHAnsi" w:hAnsiTheme="minorHAnsi"/>
          <w:bCs/>
          <w:color w:val="auto"/>
        </w:rPr>
        <w:t xml:space="preserve"> Public Expenditure and Financial Accountability (PEFA) assessment of 2017. The recent subnational PEFA assessment shows progress </w:t>
      </w:r>
      <w:r w:rsidR="00160F51">
        <w:rPr>
          <w:rFonts w:asciiTheme="minorHAnsi" w:hAnsiTheme="minorHAnsi"/>
          <w:bCs/>
          <w:color w:val="auto"/>
        </w:rPr>
        <w:t>o</w:t>
      </w:r>
      <w:r w:rsidRPr="0015549B">
        <w:rPr>
          <w:rFonts w:asciiTheme="minorHAnsi" w:hAnsiTheme="minorHAnsi"/>
          <w:bCs/>
          <w:color w:val="auto"/>
        </w:rPr>
        <w:t>n some indicators compared to the previous PEFA of 2007, but it also identifies several areas in need of improvement. The PFMRS provides for reform measures in all the areas for improvement that are within the province’s control (</w:t>
      </w:r>
      <w:r w:rsidR="00160F51">
        <w:rPr>
          <w:rFonts w:asciiTheme="minorHAnsi" w:hAnsiTheme="minorHAnsi"/>
          <w:bCs/>
          <w:color w:val="auto"/>
        </w:rPr>
        <w:t>for example,</w:t>
      </w:r>
      <w:r w:rsidRPr="0015549B">
        <w:rPr>
          <w:rFonts w:asciiTheme="minorHAnsi" w:hAnsiTheme="minorHAnsi"/>
          <w:bCs/>
          <w:color w:val="auto"/>
        </w:rPr>
        <w:t xml:space="preserve"> excluding external audit, which lies within the federal domain). These areas include the following: fiscal strategy; revenue outturn and revenue administration; expenditure composition outturn, predictability of in-year resource allocation</w:t>
      </w:r>
      <w:r w:rsidR="00160F51">
        <w:rPr>
          <w:rFonts w:asciiTheme="minorHAnsi" w:hAnsiTheme="minorHAnsi"/>
          <w:bCs/>
          <w:color w:val="auto"/>
        </w:rPr>
        <w:t>,</w:t>
      </w:r>
      <w:r w:rsidRPr="0015549B">
        <w:rPr>
          <w:rFonts w:asciiTheme="minorHAnsi" w:hAnsiTheme="minorHAnsi"/>
          <w:bCs/>
          <w:color w:val="auto"/>
        </w:rPr>
        <w:t xml:space="preserve"> and availability of funds for commitments; monitoring of expenditure arrears; unreported financial operations and fiscal risk reporting; public investment and asset management; and internal audit. </w:t>
      </w:r>
    </w:p>
    <w:p w14:paraId="60C786B9" w14:textId="6F69D315" w:rsidR="007C5BE3" w:rsidRPr="003236D4" w:rsidRDefault="007C5BE3" w:rsidP="007C5BE3">
      <w:pPr>
        <w:pStyle w:val="ListParagraph"/>
        <w:widowControl/>
        <w:numPr>
          <w:ilvl w:val="0"/>
          <w:numId w:val="14"/>
        </w:numPr>
        <w:autoSpaceDE/>
        <w:autoSpaceDN/>
        <w:adjustRightInd/>
        <w:spacing w:after="240"/>
        <w:ind w:left="0" w:firstLine="0"/>
        <w:contextualSpacing w:val="0"/>
        <w:jc w:val="both"/>
        <w:rPr>
          <w:rFonts w:asciiTheme="minorHAnsi" w:hAnsiTheme="minorHAnsi"/>
          <w:b/>
          <w:bCs/>
          <w:color w:val="auto"/>
        </w:rPr>
      </w:pPr>
      <w:r w:rsidRPr="003B22C9">
        <w:rPr>
          <w:rFonts w:asciiTheme="minorHAnsi" w:hAnsiTheme="minorHAnsi"/>
          <w:b/>
          <w:bCs/>
          <w:color w:val="auto"/>
        </w:rPr>
        <w:t xml:space="preserve">The Program targets </w:t>
      </w:r>
      <w:r w:rsidRPr="003236D4">
        <w:rPr>
          <w:rFonts w:asciiTheme="minorHAnsi" w:hAnsiTheme="minorHAnsi"/>
          <w:b/>
          <w:bCs/>
          <w:color w:val="auto"/>
        </w:rPr>
        <w:t>select reform measures</w:t>
      </w:r>
      <w:r w:rsidRPr="003B22C9">
        <w:rPr>
          <w:rFonts w:asciiTheme="minorHAnsi" w:hAnsiTheme="minorHAnsi"/>
          <w:b/>
          <w:bCs/>
          <w:color w:val="auto"/>
        </w:rPr>
        <w:t xml:space="preserve"> under the PFM</w:t>
      </w:r>
      <w:r>
        <w:rPr>
          <w:rFonts w:asciiTheme="minorHAnsi" w:hAnsiTheme="minorHAnsi"/>
          <w:b/>
          <w:bCs/>
          <w:color w:val="auto"/>
        </w:rPr>
        <w:t>R</w:t>
      </w:r>
      <w:r w:rsidRPr="003B22C9">
        <w:rPr>
          <w:rFonts w:asciiTheme="minorHAnsi" w:hAnsiTheme="minorHAnsi"/>
          <w:b/>
          <w:bCs/>
          <w:color w:val="auto"/>
        </w:rPr>
        <w:t xml:space="preserve">S with the highest potential impact on the </w:t>
      </w:r>
      <w:r w:rsidRPr="003236D4">
        <w:rPr>
          <w:rFonts w:asciiTheme="minorHAnsi" w:hAnsiTheme="minorHAnsi"/>
          <w:b/>
          <w:bCs/>
          <w:color w:val="auto"/>
        </w:rPr>
        <w:t>two main binding constraints</w:t>
      </w:r>
      <w:r w:rsidRPr="003B22C9">
        <w:rPr>
          <w:rFonts w:asciiTheme="minorHAnsi" w:hAnsiTheme="minorHAnsi"/>
          <w:b/>
          <w:bCs/>
          <w:color w:val="auto"/>
        </w:rPr>
        <w:t xml:space="preserve"> to </w:t>
      </w:r>
      <w:r w:rsidR="00160F51">
        <w:rPr>
          <w:rFonts w:asciiTheme="minorHAnsi" w:hAnsiTheme="minorHAnsi"/>
          <w:b/>
          <w:bCs/>
          <w:color w:val="auto"/>
        </w:rPr>
        <w:t xml:space="preserve">the </w:t>
      </w:r>
      <w:r w:rsidRPr="003B22C9">
        <w:rPr>
          <w:rFonts w:asciiTheme="minorHAnsi" w:hAnsiTheme="minorHAnsi"/>
          <w:b/>
          <w:bCs/>
          <w:color w:val="auto"/>
        </w:rPr>
        <w:t>GoKP’s development objectives:</w:t>
      </w:r>
      <w:r w:rsidRPr="003236D4">
        <w:rPr>
          <w:rFonts w:asciiTheme="minorHAnsi" w:hAnsiTheme="minorHAnsi"/>
          <w:b/>
          <w:bCs/>
          <w:color w:val="auto"/>
        </w:rPr>
        <w:t xml:space="preserve"> </w:t>
      </w:r>
      <w:r w:rsidRPr="0015549B">
        <w:rPr>
          <w:rFonts w:asciiTheme="minorHAnsi" w:hAnsiTheme="minorHAnsi"/>
          <w:bCs/>
          <w:color w:val="auto"/>
        </w:rPr>
        <w:t>(</w:t>
      </w:r>
      <w:r w:rsidR="00160F51">
        <w:rPr>
          <w:rFonts w:asciiTheme="minorHAnsi" w:hAnsiTheme="minorHAnsi"/>
          <w:bCs/>
          <w:color w:val="auto"/>
        </w:rPr>
        <w:t>a</w:t>
      </w:r>
      <w:r w:rsidRPr="0015549B">
        <w:rPr>
          <w:rFonts w:asciiTheme="minorHAnsi" w:hAnsiTheme="minorHAnsi"/>
          <w:bCs/>
          <w:color w:val="auto"/>
        </w:rPr>
        <w:t>) limited fiscal space to invest on narrowing the province’s infrastructure gaps and improving human development outcomes through better public service provision and (</w:t>
      </w:r>
      <w:r w:rsidR="00160F51">
        <w:rPr>
          <w:rFonts w:asciiTheme="minorHAnsi" w:hAnsiTheme="minorHAnsi"/>
          <w:bCs/>
          <w:color w:val="auto"/>
        </w:rPr>
        <w:t>b</w:t>
      </w:r>
      <w:r w:rsidRPr="0015549B">
        <w:rPr>
          <w:rFonts w:asciiTheme="minorHAnsi" w:hAnsiTheme="minorHAnsi"/>
          <w:bCs/>
          <w:color w:val="auto"/>
        </w:rPr>
        <w:t xml:space="preserve">) suboptimal utilization of the development budget, which is the vehicle for capital investment. The Program’s interventions and targeted results have been defined through extensive policy dialogue and operational engagement between the </w:t>
      </w:r>
      <w:r w:rsidR="00160F51" w:rsidRPr="0015549B">
        <w:rPr>
          <w:rFonts w:asciiTheme="minorHAnsi" w:hAnsiTheme="minorHAnsi"/>
          <w:bCs/>
          <w:color w:val="auto"/>
        </w:rPr>
        <w:t xml:space="preserve">GoKP </w:t>
      </w:r>
      <w:r w:rsidRPr="0015549B">
        <w:rPr>
          <w:rFonts w:asciiTheme="minorHAnsi" w:hAnsiTheme="minorHAnsi"/>
          <w:bCs/>
          <w:color w:val="auto"/>
        </w:rPr>
        <w:t>and the</w:t>
      </w:r>
      <w:r w:rsidR="00160F51" w:rsidRPr="00160F51">
        <w:rPr>
          <w:rFonts w:asciiTheme="minorHAnsi" w:hAnsiTheme="minorHAnsi"/>
          <w:bCs/>
          <w:color w:val="auto"/>
        </w:rPr>
        <w:t xml:space="preserve"> </w:t>
      </w:r>
      <w:r w:rsidR="00160F51" w:rsidRPr="0015549B">
        <w:rPr>
          <w:rFonts w:asciiTheme="minorHAnsi" w:hAnsiTheme="minorHAnsi"/>
          <w:bCs/>
          <w:color w:val="auto"/>
        </w:rPr>
        <w:t>World Bank</w:t>
      </w:r>
      <w:r w:rsidRPr="0015549B">
        <w:rPr>
          <w:rFonts w:asciiTheme="minorHAnsi" w:hAnsiTheme="minorHAnsi"/>
          <w:bCs/>
          <w:color w:val="auto"/>
        </w:rPr>
        <w:t>.</w:t>
      </w:r>
    </w:p>
    <w:p w14:paraId="61884A8F" w14:textId="37D7676A" w:rsidR="007C5BE3" w:rsidRPr="003236D4" w:rsidRDefault="007C5BE3" w:rsidP="007C5BE3">
      <w:pPr>
        <w:pStyle w:val="ListParagraph"/>
        <w:widowControl/>
        <w:numPr>
          <w:ilvl w:val="0"/>
          <w:numId w:val="14"/>
        </w:numPr>
        <w:autoSpaceDE/>
        <w:autoSpaceDN/>
        <w:adjustRightInd/>
        <w:spacing w:after="240"/>
        <w:ind w:left="0" w:firstLine="0"/>
        <w:contextualSpacing w:val="0"/>
        <w:jc w:val="both"/>
        <w:rPr>
          <w:rFonts w:asciiTheme="minorHAnsi" w:hAnsiTheme="minorHAnsi"/>
          <w:b/>
          <w:bCs/>
          <w:color w:val="auto"/>
        </w:rPr>
      </w:pPr>
      <w:r w:rsidRPr="003236D4">
        <w:rPr>
          <w:rFonts w:asciiTheme="minorHAnsi" w:hAnsiTheme="minorHAnsi"/>
          <w:b/>
          <w:bCs/>
          <w:color w:val="auto"/>
        </w:rPr>
        <w:t xml:space="preserve">The operation is a </w:t>
      </w:r>
      <w:r w:rsidRPr="002863B7">
        <w:rPr>
          <w:rFonts w:asciiTheme="minorHAnsi" w:hAnsiTheme="minorHAnsi"/>
          <w:b/>
          <w:bCs/>
          <w:color w:val="auto"/>
        </w:rPr>
        <w:t>hybrid</w:t>
      </w:r>
      <w:r w:rsidRPr="003236D4">
        <w:rPr>
          <w:rFonts w:asciiTheme="minorHAnsi" w:hAnsiTheme="minorHAnsi"/>
          <w:b/>
          <w:bCs/>
          <w:color w:val="auto"/>
        </w:rPr>
        <w:t xml:space="preserve"> Program-for-Results (PforR)</w:t>
      </w:r>
      <w:r w:rsidR="00F6300D">
        <w:rPr>
          <w:rFonts w:asciiTheme="minorHAnsi" w:hAnsiTheme="minorHAnsi"/>
          <w:b/>
          <w:bCs/>
          <w:color w:val="auto"/>
        </w:rPr>
        <w:t>,</w:t>
      </w:r>
      <w:r w:rsidRPr="003236D4">
        <w:rPr>
          <w:rFonts w:asciiTheme="minorHAnsi" w:hAnsiTheme="minorHAnsi"/>
          <w:b/>
          <w:bCs/>
          <w:color w:val="auto"/>
        </w:rPr>
        <w:t xml:space="preserve"> with US$100 million designated to the PforR and US$18 million allocated for the </w:t>
      </w:r>
      <w:r w:rsidRPr="002863B7">
        <w:rPr>
          <w:rFonts w:asciiTheme="minorHAnsi" w:hAnsiTheme="minorHAnsi"/>
          <w:b/>
          <w:bCs/>
          <w:color w:val="auto"/>
        </w:rPr>
        <w:t>Technical Assistance (TA) and Capacity Building</w:t>
      </w:r>
      <w:r w:rsidRPr="009E2ABA">
        <w:rPr>
          <w:rFonts w:asciiTheme="minorHAnsi" w:hAnsiTheme="minorHAnsi"/>
          <w:b/>
          <w:bCs/>
          <w:color w:val="auto"/>
        </w:rPr>
        <w:t xml:space="preserve"> component</w:t>
      </w:r>
      <w:r w:rsidRPr="003236D4">
        <w:rPr>
          <w:rFonts w:asciiTheme="minorHAnsi" w:hAnsiTheme="minorHAnsi"/>
          <w:b/>
          <w:bCs/>
          <w:color w:val="auto"/>
        </w:rPr>
        <w:t xml:space="preserve"> that also caters to the Program Action Plan</w:t>
      </w:r>
      <w:r>
        <w:rPr>
          <w:rFonts w:asciiTheme="minorHAnsi" w:hAnsiTheme="minorHAnsi"/>
          <w:b/>
          <w:bCs/>
          <w:color w:val="auto"/>
        </w:rPr>
        <w:t xml:space="preserve"> (PAP)</w:t>
      </w:r>
      <w:r w:rsidRPr="003236D4">
        <w:rPr>
          <w:rFonts w:asciiTheme="minorHAnsi" w:hAnsiTheme="minorHAnsi"/>
          <w:b/>
          <w:bCs/>
          <w:color w:val="auto"/>
        </w:rPr>
        <w:t xml:space="preserve">. </w:t>
      </w:r>
      <w:r w:rsidRPr="003236D4">
        <w:rPr>
          <w:rFonts w:asciiTheme="minorHAnsi" w:hAnsiTheme="minorHAnsi"/>
          <w:bCs/>
          <w:color w:val="auto"/>
        </w:rPr>
        <w:t xml:space="preserve">The PforR (results-based financing) component is expected to facilitate a strategic focus on the specific results that the GoKP aims to achieve in revenue mobilization and public resource management; strengthen the GoKP’s implementation systems without creating parallel systems and additional requirements; </w:t>
      </w:r>
      <w:r w:rsidR="00F349AA">
        <w:rPr>
          <w:rFonts w:asciiTheme="minorHAnsi" w:hAnsiTheme="minorHAnsi"/>
          <w:bCs/>
          <w:color w:val="auto"/>
        </w:rPr>
        <w:t>narrowly</w:t>
      </w:r>
      <w:r w:rsidRPr="003236D4">
        <w:rPr>
          <w:rFonts w:asciiTheme="minorHAnsi" w:hAnsiTheme="minorHAnsi"/>
          <w:bCs/>
          <w:color w:val="auto"/>
        </w:rPr>
        <w:t xml:space="preserve"> focus on results that are measurable over a specific duration; and build a strong </w:t>
      </w:r>
      <w:r w:rsidR="009373E6">
        <w:rPr>
          <w:rFonts w:asciiTheme="minorHAnsi" w:hAnsiTheme="minorHAnsi"/>
          <w:bCs/>
          <w:color w:val="auto"/>
        </w:rPr>
        <w:t>g</w:t>
      </w:r>
      <w:r w:rsidRPr="003236D4">
        <w:rPr>
          <w:rFonts w:asciiTheme="minorHAnsi" w:hAnsiTheme="minorHAnsi"/>
          <w:bCs/>
          <w:color w:val="auto"/>
        </w:rPr>
        <w:t xml:space="preserve">overnment ownership for the reform agenda, with adequate flexibility for adjustment. The TA </w:t>
      </w:r>
      <w:r w:rsidR="00E8753D">
        <w:rPr>
          <w:rFonts w:asciiTheme="minorHAnsi" w:hAnsiTheme="minorHAnsi"/>
          <w:bCs/>
          <w:color w:val="auto"/>
        </w:rPr>
        <w:t xml:space="preserve">and Capacity Building </w:t>
      </w:r>
      <w:r w:rsidRPr="003236D4">
        <w:rPr>
          <w:rFonts w:asciiTheme="minorHAnsi" w:hAnsiTheme="minorHAnsi"/>
          <w:bCs/>
          <w:color w:val="auto"/>
        </w:rPr>
        <w:t xml:space="preserve">component is to be delivered under two subcomponents: </w:t>
      </w:r>
      <w:r w:rsidR="00160F51">
        <w:rPr>
          <w:rFonts w:asciiTheme="minorHAnsi" w:hAnsiTheme="minorHAnsi"/>
          <w:bCs/>
          <w:color w:val="auto"/>
        </w:rPr>
        <w:t>(a</w:t>
      </w:r>
      <w:r w:rsidRPr="003236D4">
        <w:rPr>
          <w:rFonts w:asciiTheme="minorHAnsi" w:hAnsiTheme="minorHAnsi"/>
          <w:bCs/>
          <w:color w:val="auto"/>
        </w:rPr>
        <w:t xml:space="preserve">) foundations of e-government and </w:t>
      </w:r>
      <w:r w:rsidR="00160F51">
        <w:rPr>
          <w:rFonts w:asciiTheme="minorHAnsi" w:hAnsiTheme="minorHAnsi"/>
          <w:bCs/>
          <w:color w:val="auto"/>
        </w:rPr>
        <w:t>(b</w:t>
      </w:r>
      <w:r w:rsidRPr="003236D4">
        <w:rPr>
          <w:rFonts w:asciiTheme="minorHAnsi" w:hAnsiTheme="minorHAnsi"/>
          <w:bCs/>
          <w:color w:val="auto"/>
        </w:rPr>
        <w:t xml:space="preserve">) program coordination and support. </w:t>
      </w:r>
    </w:p>
    <w:p w14:paraId="44A14A9B" w14:textId="146A3EBF" w:rsidR="007C5BE3" w:rsidRDefault="007C5BE3" w:rsidP="007C5BE3">
      <w:pPr>
        <w:pStyle w:val="Heading2"/>
      </w:pPr>
      <w:bookmarkStart w:id="3" w:name="_Toc530148511"/>
      <w:r w:rsidRPr="00B34926">
        <w:t>Result</w:t>
      </w:r>
      <w:r>
        <w:t>s-</w:t>
      </w:r>
      <w:r w:rsidRPr="00B34926">
        <w:t>Based Component</w:t>
      </w:r>
      <w:bookmarkEnd w:id="3"/>
    </w:p>
    <w:p w14:paraId="7AB80368" w14:textId="77777777" w:rsidR="007C5BE3" w:rsidRPr="0015549B" w:rsidRDefault="007C5BE3" w:rsidP="007C5BE3"/>
    <w:p w14:paraId="0067AA97" w14:textId="76DE5FC8" w:rsidR="007C5BE3" w:rsidRPr="002863B7" w:rsidRDefault="007C5BE3" w:rsidP="002863B7">
      <w:pPr>
        <w:pStyle w:val="Heading3"/>
      </w:pPr>
      <w:bookmarkStart w:id="4" w:name="_Toc530148512"/>
      <w:r w:rsidRPr="002863B7">
        <w:t>Results Area 1: Revenue Mobilization</w:t>
      </w:r>
      <w:bookmarkEnd w:id="4"/>
    </w:p>
    <w:p w14:paraId="2408156F" w14:textId="77777777" w:rsidR="007C5BE3" w:rsidRPr="00025BC8" w:rsidRDefault="007C5BE3" w:rsidP="007C5BE3"/>
    <w:p w14:paraId="652B0E1A" w14:textId="22E02BBA" w:rsidR="007C5BE3" w:rsidRPr="0015549B" w:rsidRDefault="007C5BE3" w:rsidP="007C5BE3">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236D4">
        <w:rPr>
          <w:rFonts w:asciiTheme="minorHAnsi" w:hAnsiTheme="minorHAnsi"/>
          <w:b/>
          <w:bCs/>
          <w:color w:val="auto"/>
        </w:rPr>
        <w:t>The</w:t>
      </w:r>
      <w:r w:rsidRPr="004A3024">
        <w:rPr>
          <w:rFonts w:asciiTheme="minorHAnsi" w:hAnsiTheme="minorHAnsi"/>
          <w:b/>
          <w:bCs/>
          <w:color w:val="auto"/>
        </w:rPr>
        <w:t xml:space="preserve"> Program’s first results area focuses on increasing </w:t>
      </w:r>
      <w:r w:rsidR="00C85748">
        <w:rPr>
          <w:rFonts w:asciiTheme="minorHAnsi" w:hAnsiTheme="minorHAnsi"/>
          <w:b/>
          <w:bCs/>
          <w:color w:val="auto"/>
        </w:rPr>
        <w:t>o</w:t>
      </w:r>
      <w:r>
        <w:rPr>
          <w:rFonts w:asciiTheme="minorHAnsi" w:hAnsiTheme="minorHAnsi"/>
          <w:b/>
          <w:bCs/>
          <w:color w:val="auto"/>
        </w:rPr>
        <w:t>wn</w:t>
      </w:r>
      <w:r w:rsidR="002863B7">
        <w:rPr>
          <w:rFonts w:asciiTheme="minorHAnsi" w:hAnsiTheme="minorHAnsi"/>
          <w:b/>
          <w:bCs/>
          <w:color w:val="auto"/>
        </w:rPr>
        <w:t>-</w:t>
      </w:r>
      <w:r w:rsidR="00C85748">
        <w:rPr>
          <w:rFonts w:asciiTheme="minorHAnsi" w:hAnsiTheme="minorHAnsi"/>
          <w:b/>
          <w:bCs/>
          <w:color w:val="auto"/>
        </w:rPr>
        <w:t>s</w:t>
      </w:r>
      <w:r>
        <w:rPr>
          <w:rFonts w:asciiTheme="minorHAnsi" w:hAnsiTheme="minorHAnsi"/>
          <w:b/>
          <w:bCs/>
          <w:color w:val="auto"/>
        </w:rPr>
        <w:t xml:space="preserve">ource </w:t>
      </w:r>
      <w:r w:rsidR="00C85748">
        <w:rPr>
          <w:rFonts w:asciiTheme="minorHAnsi" w:hAnsiTheme="minorHAnsi"/>
          <w:b/>
          <w:bCs/>
          <w:color w:val="auto"/>
        </w:rPr>
        <w:t>r</w:t>
      </w:r>
      <w:r>
        <w:rPr>
          <w:rFonts w:asciiTheme="minorHAnsi" w:hAnsiTheme="minorHAnsi"/>
          <w:b/>
          <w:bCs/>
          <w:color w:val="auto"/>
        </w:rPr>
        <w:t>evenues (OSRs)</w:t>
      </w:r>
      <w:r w:rsidRPr="004A3024">
        <w:rPr>
          <w:rFonts w:asciiTheme="minorHAnsi" w:hAnsiTheme="minorHAnsi"/>
          <w:b/>
          <w:bCs/>
          <w:color w:val="auto"/>
        </w:rPr>
        <w:t xml:space="preserve"> to address the constraint of limited fiscal space for investment and public service provision.</w:t>
      </w:r>
      <w:r w:rsidRPr="003236D4">
        <w:rPr>
          <w:rFonts w:asciiTheme="minorHAnsi" w:hAnsiTheme="minorHAnsi"/>
          <w:b/>
          <w:bCs/>
          <w:color w:val="auto"/>
        </w:rPr>
        <w:t xml:space="preserve"> </w:t>
      </w:r>
      <w:r w:rsidRPr="0015549B">
        <w:rPr>
          <w:rFonts w:asciiTheme="minorHAnsi" w:hAnsiTheme="minorHAnsi"/>
          <w:bCs/>
          <w:color w:val="auto"/>
        </w:rPr>
        <w:t>OSRs are critically important to the GoKP’s ability to engage in meaningful fiscal planning and take on multiannual commitments</w:t>
      </w:r>
      <w:r w:rsidR="00160F51">
        <w:rPr>
          <w:rFonts w:asciiTheme="minorHAnsi" w:hAnsiTheme="minorHAnsi"/>
          <w:bCs/>
          <w:color w:val="auto"/>
        </w:rPr>
        <w:t>—</w:t>
      </w:r>
      <w:r w:rsidRPr="0015549B">
        <w:rPr>
          <w:rFonts w:asciiTheme="minorHAnsi" w:hAnsiTheme="minorHAnsi"/>
          <w:bCs/>
          <w:color w:val="auto"/>
        </w:rPr>
        <w:t>such as large infrastructure projects and new service delivery facilities</w:t>
      </w:r>
      <w:r w:rsidR="00160F51">
        <w:rPr>
          <w:rFonts w:asciiTheme="minorHAnsi" w:hAnsiTheme="minorHAnsi"/>
          <w:bCs/>
          <w:color w:val="auto"/>
        </w:rPr>
        <w:t>—</w:t>
      </w:r>
      <w:r w:rsidRPr="0015549B">
        <w:rPr>
          <w:rFonts w:asciiTheme="minorHAnsi" w:hAnsiTheme="minorHAnsi"/>
          <w:bCs/>
          <w:color w:val="auto"/>
        </w:rPr>
        <w:t xml:space="preserve">for two reasons. First, the province needs to expand its resource envelope to generate additional fiscal space to finance development priorities. Second, it needs to reduce its dependence on federal fiscal transfers. Even though the bulk of federal transfers are based on the </w:t>
      </w:r>
      <w:r w:rsidR="002863B7" w:rsidRPr="002863B7">
        <w:rPr>
          <w:rFonts w:asciiTheme="minorHAnsi" w:hAnsiTheme="minorHAnsi"/>
          <w:bCs/>
          <w:color w:val="auto"/>
        </w:rPr>
        <w:t xml:space="preserve">National Finance Commission </w:t>
      </w:r>
      <w:r w:rsidR="002863B7">
        <w:rPr>
          <w:rFonts w:asciiTheme="minorHAnsi" w:hAnsiTheme="minorHAnsi"/>
          <w:bCs/>
          <w:color w:val="auto"/>
        </w:rPr>
        <w:t>(</w:t>
      </w:r>
      <w:r w:rsidRPr="0015549B">
        <w:rPr>
          <w:rFonts w:asciiTheme="minorHAnsi" w:hAnsiTheme="minorHAnsi"/>
          <w:bCs/>
          <w:color w:val="auto"/>
        </w:rPr>
        <w:t>NFC</w:t>
      </w:r>
      <w:r w:rsidR="002863B7">
        <w:rPr>
          <w:rFonts w:asciiTheme="minorHAnsi" w:hAnsiTheme="minorHAnsi"/>
          <w:bCs/>
          <w:color w:val="auto"/>
        </w:rPr>
        <w:t>)</w:t>
      </w:r>
      <w:r w:rsidRPr="0015549B">
        <w:rPr>
          <w:rFonts w:asciiTheme="minorHAnsi" w:hAnsiTheme="minorHAnsi"/>
          <w:bCs/>
          <w:color w:val="auto"/>
        </w:rPr>
        <w:t xml:space="preserve"> formula, this revenue stream is not predictable due to volatility in the performance of federal revenues, which affects the size of actual transfers as well as the timing of fund releases to the provinces.</w:t>
      </w:r>
    </w:p>
    <w:p w14:paraId="3FC8EE50" w14:textId="77777777" w:rsidR="007C5BE3" w:rsidRPr="003236D4" w:rsidRDefault="007C5BE3" w:rsidP="007C5BE3">
      <w:pPr>
        <w:widowControl/>
        <w:autoSpaceDE/>
        <w:autoSpaceDN/>
        <w:adjustRightInd/>
        <w:spacing w:after="240"/>
        <w:jc w:val="both"/>
        <w:rPr>
          <w:rFonts w:asciiTheme="minorHAnsi" w:hAnsiTheme="minorHAnsi"/>
          <w:bCs/>
          <w:color w:val="auto"/>
          <w:sz w:val="22"/>
          <w:szCs w:val="22"/>
        </w:rPr>
      </w:pPr>
    </w:p>
    <w:p w14:paraId="1A6B3800" w14:textId="768E1278" w:rsidR="007C5BE3" w:rsidRDefault="007C5BE3" w:rsidP="002863B7">
      <w:pPr>
        <w:pStyle w:val="Caption"/>
      </w:pPr>
      <w:bookmarkStart w:id="5" w:name="_Toc530148526"/>
      <w:r w:rsidRPr="003D4FF1">
        <w:lastRenderedPageBreak/>
        <w:t xml:space="preserve">Table </w:t>
      </w:r>
      <w:r w:rsidR="004670A5">
        <w:fldChar w:fldCharType="begin"/>
      </w:r>
      <w:r w:rsidR="004670A5">
        <w:instrText xml:space="preserve"> SEQ Table \* ARABIC </w:instrText>
      </w:r>
      <w:r w:rsidR="004670A5">
        <w:fldChar w:fldCharType="separate"/>
      </w:r>
      <w:r w:rsidRPr="003D4FF1">
        <w:t>1</w:t>
      </w:r>
      <w:r w:rsidR="004670A5">
        <w:fldChar w:fldCharType="end"/>
      </w:r>
      <w:r w:rsidRPr="003D4FF1">
        <w:t xml:space="preserve">: KP </w:t>
      </w:r>
      <w:r w:rsidR="00160F51">
        <w:t>OSR</w:t>
      </w:r>
      <w:r w:rsidRPr="003D4FF1">
        <w:t xml:space="preserve">s and </w:t>
      </w:r>
      <w:r w:rsidR="00D827AB">
        <w:t>F</w:t>
      </w:r>
      <w:r w:rsidRPr="003D4FF1">
        <w:t xml:space="preserve">ederal </w:t>
      </w:r>
      <w:r w:rsidR="00D827AB">
        <w:t>T</w:t>
      </w:r>
      <w:r w:rsidRPr="003D4FF1">
        <w:t>ransfers (PKR</w:t>
      </w:r>
      <w:r w:rsidR="00160F51">
        <w:t>,</w:t>
      </w:r>
      <w:r w:rsidRPr="003D4FF1">
        <w:t xml:space="preserve"> billion</w:t>
      </w:r>
      <w:r w:rsidR="00160F51">
        <w:t>s</w:t>
      </w:r>
      <w:r w:rsidRPr="003D4FF1">
        <w:t xml:space="preserve">), </w:t>
      </w:r>
      <w:r w:rsidRPr="00D827AB">
        <w:t>FY</w:t>
      </w:r>
      <w:r w:rsidR="00D827AB">
        <w:t>20</w:t>
      </w:r>
      <w:r w:rsidRPr="00D827AB">
        <w:t>13</w:t>
      </w:r>
      <w:r w:rsidR="00160F51" w:rsidRPr="00D827AB">
        <w:t>–</w:t>
      </w:r>
      <w:r w:rsidR="00D827AB" w:rsidRPr="00E24127">
        <w:t>2017</w:t>
      </w:r>
      <w:bookmarkEnd w:id="5"/>
    </w:p>
    <w:tbl>
      <w:tblPr>
        <w:tblW w:w="5000" w:type="pct"/>
        <w:tblLayout w:type="fixed"/>
        <w:tblCellMar>
          <w:left w:w="115" w:type="dxa"/>
          <w:right w:w="115" w:type="dxa"/>
        </w:tblCellMar>
        <w:tblLook w:val="04A0" w:firstRow="1" w:lastRow="0" w:firstColumn="1" w:lastColumn="0" w:noHBand="0" w:noVBand="1"/>
      </w:tblPr>
      <w:tblGrid>
        <w:gridCol w:w="4904"/>
        <w:gridCol w:w="851"/>
        <w:gridCol w:w="928"/>
        <w:gridCol w:w="905"/>
        <w:gridCol w:w="885"/>
        <w:gridCol w:w="877"/>
      </w:tblGrid>
      <w:tr w:rsidR="00E8753D" w:rsidRPr="003C0E02" w14:paraId="018FA765" w14:textId="77777777" w:rsidTr="003C0E02">
        <w:trPr>
          <w:trHeight w:val="290"/>
          <w:tblHeader/>
        </w:trPr>
        <w:tc>
          <w:tcPr>
            <w:tcW w:w="4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86FD" w14:textId="77777777" w:rsidR="00E8753D" w:rsidRPr="003C0E02" w:rsidRDefault="00E8753D" w:rsidP="00E8753D">
            <w:pPr>
              <w:rPr>
                <w:rFonts w:asciiTheme="minorHAnsi" w:eastAsia="Times New Roman" w:hAnsiTheme="minorHAnsi" w:cstheme="minorHAnsi"/>
                <w:b/>
                <w:bCs/>
                <w:sz w:val="20"/>
                <w:szCs w:val="20"/>
              </w:rPr>
            </w:pPr>
            <w:r w:rsidRPr="003C0E02">
              <w:rPr>
                <w:rFonts w:asciiTheme="minorHAnsi" w:eastAsia="Times New Roman" w:hAnsiTheme="minorHAnsi" w:cstheme="minorHAnsi"/>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0695D38" w14:textId="77777777" w:rsidR="00E8753D" w:rsidRPr="003C0E02" w:rsidRDefault="00E8753D" w:rsidP="00E8753D">
            <w:pPr>
              <w:rPr>
                <w:rFonts w:asciiTheme="minorHAnsi" w:eastAsia="Times New Roman" w:hAnsiTheme="minorHAnsi" w:cstheme="minorHAnsi"/>
                <w:b/>
                <w:bCs/>
                <w:sz w:val="20"/>
                <w:szCs w:val="20"/>
              </w:rPr>
            </w:pPr>
            <w:r w:rsidRPr="003C0E02">
              <w:rPr>
                <w:rFonts w:asciiTheme="minorHAnsi" w:eastAsia="Times New Roman" w:hAnsiTheme="minorHAnsi" w:cstheme="minorHAnsi"/>
                <w:b/>
                <w:bCs/>
                <w:sz w:val="20"/>
                <w:szCs w:val="20"/>
              </w:rPr>
              <w:t>FY2013</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252A07DC" w14:textId="77777777" w:rsidR="00E8753D" w:rsidRPr="003C0E02" w:rsidRDefault="00E8753D" w:rsidP="00E8753D">
            <w:pPr>
              <w:rPr>
                <w:rFonts w:asciiTheme="minorHAnsi" w:eastAsia="Times New Roman" w:hAnsiTheme="minorHAnsi" w:cstheme="minorHAnsi"/>
                <w:b/>
                <w:bCs/>
                <w:sz w:val="20"/>
                <w:szCs w:val="20"/>
              </w:rPr>
            </w:pPr>
            <w:r w:rsidRPr="003C0E02">
              <w:rPr>
                <w:rFonts w:asciiTheme="minorHAnsi" w:eastAsia="Times New Roman" w:hAnsiTheme="minorHAnsi" w:cstheme="minorHAnsi"/>
                <w:b/>
                <w:bCs/>
                <w:sz w:val="20"/>
                <w:szCs w:val="20"/>
              </w:rPr>
              <w:t>FY2014</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587C4695" w14:textId="77777777" w:rsidR="00E8753D" w:rsidRPr="003C0E02" w:rsidRDefault="00E8753D" w:rsidP="00E8753D">
            <w:pPr>
              <w:rPr>
                <w:rFonts w:asciiTheme="minorHAnsi" w:eastAsia="Times New Roman" w:hAnsiTheme="minorHAnsi" w:cstheme="minorHAnsi"/>
                <w:b/>
                <w:bCs/>
                <w:sz w:val="20"/>
                <w:szCs w:val="20"/>
              </w:rPr>
            </w:pPr>
            <w:r w:rsidRPr="003C0E02">
              <w:rPr>
                <w:rFonts w:asciiTheme="minorHAnsi" w:eastAsia="Times New Roman" w:hAnsiTheme="minorHAnsi" w:cstheme="minorHAnsi"/>
                <w:b/>
                <w:bCs/>
                <w:sz w:val="20"/>
                <w:szCs w:val="20"/>
              </w:rPr>
              <w:t>FY2015</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32AC9CCB" w14:textId="77777777" w:rsidR="00E8753D" w:rsidRPr="003C0E02" w:rsidRDefault="00E8753D" w:rsidP="00E8753D">
            <w:pPr>
              <w:rPr>
                <w:rFonts w:asciiTheme="minorHAnsi" w:eastAsia="Times New Roman" w:hAnsiTheme="minorHAnsi" w:cstheme="minorHAnsi"/>
                <w:b/>
                <w:bCs/>
                <w:sz w:val="20"/>
                <w:szCs w:val="20"/>
              </w:rPr>
            </w:pPr>
            <w:r w:rsidRPr="003C0E02">
              <w:rPr>
                <w:rFonts w:asciiTheme="minorHAnsi" w:eastAsia="Times New Roman" w:hAnsiTheme="minorHAnsi" w:cstheme="minorHAnsi"/>
                <w:b/>
                <w:bCs/>
                <w:sz w:val="20"/>
                <w:szCs w:val="20"/>
              </w:rPr>
              <w:t>FY2016</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2307E958" w14:textId="77777777" w:rsidR="00E8753D" w:rsidRPr="003C0E02" w:rsidRDefault="00E8753D" w:rsidP="00E8753D">
            <w:pPr>
              <w:rPr>
                <w:rFonts w:asciiTheme="minorHAnsi" w:eastAsia="Times New Roman" w:hAnsiTheme="minorHAnsi" w:cstheme="minorHAnsi"/>
                <w:b/>
                <w:bCs/>
                <w:sz w:val="20"/>
                <w:szCs w:val="20"/>
              </w:rPr>
            </w:pPr>
            <w:r w:rsidRPr="003C0E02">
              <w:rPr>
                <w:rFonts w:asciiTheme="minorHAnsi" w:eastAsia="Times New Roman" w:hAnsiTheme="minorHAnsi" w:cstheme="minorHAnsi"/>
                <w:b/>
                <w:bCs/>
                <w:sz w:val="20"/>
                <w:szCs w:val="20"/>
              </w:rPr>
              <w:t>FY2017</w:t>
            </w:r>
          </w:p>
        </w:tc>
      </w:tr>
      <w:tr w:rsidR="00E8753D" w:rsidRPr="003C0E02" w14:paraId="59296507" w14:textId="77777777" w:rsidTr="003C0E02">
        <w:trPr>
          <w:trHeight w:val="290"/>
          <w:tblHeader/>
        </w:trPr>
        <w:tc>
          <w:tcPr>
            <w:tcW w:w="4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79AC"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1. Federal transfers (divisible taxes, straight transfers)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5E9AD39"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197</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20A7651C"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234</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50DEB152"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251</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0A4581F1"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302</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2796A44A"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984</w:t>
            </w:r>
          </w:p>
        </w:tc>
      </w:tr>
      <w:tr w:rsidR="00E8753D" w:rsidRPr="003C0E02" w14:paraId="7432BD62" w14:textId="77777777" w:rsidTr="003C0E02">
        <w:trPr>
          <w:trHeight w:val="290"/>
          <w:tblHeader/>
        </w:trPr>
        <w:tc>
          <w:tcPr>
            <w:tcW w:w="4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59596"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2. Province’s own-source tax and non-tax revenue (i + ii)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B185F60"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11.7</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210FD572"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20</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777C3BB8"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22.7</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740C02B8"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25.6</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0BD136DF"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80</w:t>
            </w:r>
          </w:p>
        </w:tc>
      </w:tr>
      <w:tr w:rsidR="00E8753D" w:rsidRPr="003C0E02" w14:paraId="634CD79F" w14:textId="77777777" w:rsidTr="003C0E02">
        <w:trPr>
          <w:trHeight w:val="290"/>
          <w:tblHeader/>
        </w:trPr>
        <w:tc>
          <w:tcPr>
            <w:tcW w:w="4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85787"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(i) Taxes (a + b)</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462CADB"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4.3</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1D0D1438"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10.5</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19CD67F6"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11.7</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781A0402"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13.3</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1918B10C"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39.8</w:t>
            </w:r>
          </w:p>
        </w:tc>
      </w:tr>
      <w:tr w:rsidR="00E8753D" w:rsidRPr="003C0E02" w14:paraId="0A8AB3EE" w14:textId="77777777" w:rsidTr="003C0E02">
        <w:trPr>
          <w:trHeight w:val="290"/>
          <w:tblHeader/>
        </w:trPr>
        <w:tc>
          <w:tcPr>
            <w:tcW w:w="4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8ECCB"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a) Direct taxes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9A0EF28"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2.2</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7E0388FA"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2.5</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68AAC88B"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3</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7ADC61B9"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3.4</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739DDF41"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11.1</w:t>
            </w:r>
          </w:p>
        </w:tc>
      </w:tr>
      <w:tr w:rsidR="00E8753D" w:rsidRPr="003C0E02" w14:paraId="76DF0EEE" w14:textId="77777777" w:rsidTr="003C0E02">
        <w:trPr>
          <w:trHeight w:val="290"/>
          <w:tblHeader/>
        </w:trPr>
        <w:tc>
          <w:tcPr>
            <w:tcW w:w="4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579EC"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b) Indirect taxes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6C2F8A5"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2.2</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60C9CEB2"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8</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390B6D10"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8.6</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0663D5F5"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9.9</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3F13D4FF"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28.7</w:t>
            </w:r>
          </w:p>
        </w:tc>
      </w:tr>
      <w:tr w:rsidR="00E8753D" w:rsidRPr="003C0E02" w14:paraId="0606851C" w14:textId="77777777" w:rsidTr="003C0E02">
        <w:trPr>
          <w:trHeight w:val="290"/>
          <w:tblHeader/>
        </w:trPr>
        <w:tc>
          <w:tcPr>
            <w:tcW w:w="4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CA78F"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(ii) Non-tax revenues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5C516C1"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7.4</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1506C2FB"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9.5</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3F72DAFE"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11</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34482AE0"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12.3</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4FA19CBB"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40.2</w:t>
            </w:r>
          </w:p>
        </w:tc>
      </w:tr>
      <w:tr w:rsidR="00E8753D" w:rsidRPr="003C0E02" w14:paraId="5E28A07E" w14:textId="77777777" w:rsidTr="003C0E02">
        <w:trPr>
          <w:trHeight w:val="290"/>
          <w:tblHeader/>
        </w:trPr>
        <w:tc>
          <w:tcPr>
            <w:tcW w:w="4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D281D"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Total revenue receipts (1 + 2)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668A911"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224.8</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682AC46B"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284.5</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4BBE3581"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308</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5B1780A3"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366.5</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2FAEC0D6" w14:textId="77777777" w:rsidR="00E8753D" w:rsidRPr="003C0E02" w:rsidRDefault="00E8753D" w:rsidP="00E8753D">
            <w:pPr>
              <w:rPr>
                <w:rFonts w:asciiTheme="minorHAnsi" w:eastAsia="Times New Roman" w:hAnsiTheme="minorHAnsi" w:cstheme="minorHAnsi"/>
                <w:bCs/>
                <w:sz w:val="20"/>
                <w:szCs w:val="20"/>
              </w:rPr>
            </w:pPr>
            <w:r w:rsidRPr="003C0E02">
              <w:rPr>
                <w:rFonts w:asciiTheme="minorHAnsi" w:eastAsia="Times New Roman" w:hAnsiTheme="minorHAnsi" w:cstheme="minorHAnsi"/>
                <w:bCs/>
                <w:sz w:val="20"/>
                <w:szCs w:val="20"/>
              </w:rPr>
              <w:t>1183.8</w:t>
            </w:r>
          </w:p>
        </w:tc>
      </w:tr>
    </w:tbl>
    <w:p w14:paraId="6970C1F5" w14:textId="01876A29" w:rsidR="007C5BE3" w:rsidRPr="007F4D65" w:rsidRDefault="007C5BE3" w:rsidP="00EB060B">
      <w:pPr>
        <w:rPr>
          <w:rFonts w:asciiTheme="minorHAnsi" w:hAnsiTheme="minorHAnsi" w:cstheme="minorHAnsi"/>
          <w:sz w:val="20"/>
          <w:szCs w:val="22"/>
        </w:rPr>
      </w:pPr>
      <w:r w:rsidRPr="007F4D65">
        <w:rPr>
          <w:rFonts w:asciiTheme="minorHAnsi" w:hAnsiTheme="minorHAnsi" w:cstheme="minorHAnsi"/>
          <w:i/>
          <w:sz w:val="20"/>
          <w:szCs w:val="22"/>
        </w:rPr>
        <w:t>Sources</w:t>
      </w:r>
      <w:r w:rsidRPr="007F4D65">
        <w:rPr>
          <w:rFonts w:asciiTheme="minorHAnsi" w:hAnsiTheme="minorHAnsi" w:cstheme="minorHAnsi"/>
          <w:sz w:val="20"/>
          <w:szCs w:val="22"/>
        </w:rPr>
        <w:t>: KP Civil Accounts (June 2017 final) and Revised Budget Estimates, KP Finance Department</w:t>
      </w:r>
      <w:r w:rsidR="002863B7" w:rsidRPr="007F4D65">
        <w:rPr>
          <w:rFonts w:asciiTheme="minorHAnsi" w:hAnsiTheme="minorHAnsi" w:cstheme="minorHAnsi"/>
          <w:sz w:val="20"/>
          <w:szCs w:val="22"/>
        </w:rPr>
        <w:t xml:space="preserve"> (FD)</w:t>
      </w:r>
      <w:r w:rsidRPr="007F4D65">
        <w:rPr>
          <w:rFonts w:asciiTheme="minorHAnsi" w:hAnsiTheme="minorHAnsi" w:cstheme="minorHAnsi"/>
          <w:sz w:val="20"/>
          <w:szCs w:val="22"/>
        </w:rPr>
        <w:t>.</w:t>
      </w:r>
    </w:p>
    <w:p w14:paraId="25CDD602" w14:textId="77777777" w:rsidR="007C5BE3" w:rsidRPr="00131E3B" w:rsidRDefault="007C5BE3" w:rsidP="007C5BE3">
      <w:pPr>
        <w:ind w:left="-180"/>
        <w:rPr>
          <w:rFonts w:asciiTheme="minorHAnsi" w:hAnsiTheme="minorHAnsi" w:cstheme="minorHAnsi"/>
          <w:bCs/>
          <w:color w:val="auto"/>
          <w:sz w:val="22"/>
          <w:szCs w:val="22"/>
        </w:rPr>
      </w:pPr>
    </w:p>
    <w:p w14:paraId="6497C3D2" w14:textId="0AB9AC78" w:rsidR="007C5BE3" w:rsidRPr="00E71A6E" w:rsidRDefault="007C5BE3" w:rsidP="007C5BE3">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Interventions in this results area are designed to capture more of the economy’s untapped tax potential and leverage the province’s capital assets to generate sustainable revenue streams.</w:t>
      </w:r>
      <w:r w:rsidRPr="003B22C9">
        <w:rPr>
          <w:rFonts w:asciiTheme="minorHAnsi" w:hAnsiTheme="minorHAnsi"/>
          <w:bCs/>
          <w:color w:val="auto"/>
        </w:rPr>
        <w:t xml:space="preserve"> The Program targets revenue sources with the largest revenue potential, economic efficiency, and prospects of delivering quick returns. Two provincial taxes fit this profile: (</w:t>
      </w:r>
      <w:r w:rsidR="00C85748">
        <w:rPr>
          <w:rFonts w:asciiTheme="minorHAnsi" w:hAnsiTheme="minorHAnsi"/>
          <w:bCs/>
          <w:color w:val="auto"/>
        </w:rPr>
        <w:t>a</w:t>
      </w:r>
      <w:r w:rsidRPr="003B22C9">
        <w:rPr>
          <w:rFonts w:asciiTheme="minorHAnsi" w:hAnsiTheme="minorHAnsi"/>
          <w:bCs/>
          <w:color w:val="auto"/>
        </w:rPr>
        <w:t xml:space="preserve">) the </w:t>
      </w:r>
      <w:r>
        <w:rPr>
          <w:rFonts w:asciiTheme="minorHAnsi" w:hAnsiTheme="minorHAnsi"/>
          <w:bCs/>
          <w:color w:val="auto"/>
        </w:rPr>
        <w:t>General Sales Tax on Services (</w:t>
      </w:r>
      <w:r w:rsidRPr="003B22C9">
        <w:rPr>
          <w:rFonts w:asciiTheme="minorHAnsi" w:hAnsiTheme="minorHAnsi"/>
          <w:bCs/>
          <w:color w:val="auto"/>
        </w:rPr>
        <w:t>GSTS</w:t>
      </w:r>
      <w:r>
        <w:rPr>
          <w:rFonts w:asciiTheme="minorHAnsi" w:hAnsiTheme="minorHAnsi"/>
          <w:bCs/>
          <w:color w:val="auto"/>
        </w:rPr>
        <w:t>)</w:t>
      </w:r>
      <w:r w:rsidR="00C85748">
        <w:rPr>
          <w:rFonts w:asciiTheme="minorHAnsi" w:hAnsiTheme="minorHAnsi"/>
          <w:bCs/>
          <w:color w:val="auto"/>
        </w:rPr>
        <w:t>,</w:t>
      </w:r>
      <w:r w:rsidRPr="003B22C9">
        <w:rPr>
          <w:rFonts w:asciiTheme="minorHAnsi" w:hAnsiTheme="minorHAnsi"/>
          <w:bCs/>
          <w:color w:val="auto"/>
        </w:rPr>
        <w:t xml:space="preserve"> which has the largest revenue potential</w:t>
      </w:r>
      <w:r w:rsidR="00C85748">
        <w:rPr>
          <w:rFonts w:asciiTheme="minorHAnsi" w:hAnsiTheme="minorHAnsi"/>
          <w:bCs/>
          <w:color w:val="auto"/>
        </w:rPr>
        <w:t>,</w:t>
      </w:r>
      <w:r w:rsidRPr="003B22C9">
        <w:rPr>
          <w:rFonts w:asciiTheme="minorHAnsi" w:hAnsiTheme="minorHAnsi"/>
          <w:bCs/>
          <w:color w:val="auto"/>
        </w:rPr>
        <w:t xml:space="preserve"> and (</w:t>
      </w:r>
      <w:r w:rsidR="00C85748">
        <w:rPr>
          <w:rFonts w:asciiTheme="minorHAnsi" w:hAnsiTheme="minorHAnsi"/>
          <w:bCs/>
          <w:color w:val="auto"/>
        </w:rPr>
        <w:t>b</w:t>
      </w:r>
      <w:r w:rsidRPr="003B22C9">
        <w:rPr>
          <w:rFonts w:asciiTheme="minorHAnsi" w:hAnsiTheme="minorHAnsi"/>
          <w:bCs/>
          <w:color w:val="auto"/>
        </w:rPr>
        <w:t xml:space="preserve">) the </w:t>
      </w:r>
      <w:r>
        <w:rPr>
          <w:rFonts w:asciiTheme="minorHAnsi" w:hAnsiTheme="minorHAnsi"/>
          <w:bCs/>
          <w:color w:val="auto"/>
        </w:rPr>
        <w:t>Urban Immoveable Property Tax (</w:t>
      </w:r>
      <w:r w:rsidRPr="003B22C9">
        <w:rPr>
          <w:rFonts w:asciiTheme="minorHAnsi" w:hAnsiTheme="minorHAnsi"/>
          <w:bCs/>
          <w:color w:val="auto"/>
        </w:rPr>
        <w:t>UIPT</w:t>
      </w:r>
      <w:r>
        <w:rPr>
          <w:rFonts w:asciiTheme="minorHAnsi" w:hAnsiTheme="minorHAnsi"/>
          <w:bCs/>
          <w:color w:val="auto"/>
        </w:rPr>
        <w:t>)</w:t>
      </w:r>
      <w:r w:rsidR="00C85748">
        <w:rPr>
          <w:rFonts w:asciiTheme="minorHAnsi" w:hAnsiTheme="minorHAnsi"/>
          <w:bCs/>
          <w:color w:val="auto"/>
        </w:rPr>
        <w:t>,</w:t>
      </w:r>
      <w:r w:rsidRPr="003B22C9">
        <w:rPr>
          <w:rFonts w:asciiTheme="minorHAnsi" w:hAnsiTheme="minorHAnsi"/>
          <w:bCs/>
          <w:color w:val="auto"/>
        </w:rPr>
        <w:t xml:space="preserve"> which has high growth potential (annual growth of 12 percent in </w:t>
      </w:r>
      <w:r w:rsidR="00820AEE">
        <w:rPr>
          <w:rFonts w:asciiTheme="minorHAnsi" w:hAnsiTheme="minorHAnsi"/>
          <w:bCs/>
          <w:color w:val="auto"/>
        </w:rPr>
        <w:t xml:space="preserve">the </w:t>
      </w:r>
      <w:r w:rsidRPr="003B22C9">
        <w:rPr>
          <w:rFonts w:asciiTheme="minorHAnsi" w:hAnsiTheme="minorHAnsi"/>
          <w:bCs/>
          <w:color w:val="auto"/>
        </w:rPr>
        <w:t xml:space="preserve">past five years) and a large tax gap, </w:t>
      </w:r>
      <w:r w:rsidR="00C85748">
        <w:rPr>
          <w:rFonts w:asciiTheme="minorHAnsi" w:hAnsiTheme="minorHAnsi"/>
          <w:bCs/>
          <w:color w:val="auto"/>
        </w:rPr>
        <w:t>that is,</w:t>
      </w:r>
      <w:r w:rsidRPr="003B22C9">
        <w:rPr>
          <w:rFonts w:asciiTheme="minorHAnsi" w:hAnsiTheme="minorHAnsi"/>
          <w:bCs/>
          <w:color w:val="auto"/>
        </w:rPr>
        <w:t xml:space="preserve"> difference between actual and potential receipts (Figure</w:t>
      </w:r>
      <w:r w:rsidR="00820AEE">
        <w:rPr>
          <w:rFonts w:asciiTheme="minorHAnsi" w:hAnsiTheme="minorHAnsi"/>
          <w:bCs/>
          <w:color w:val="auto"/>
        </w:rPr>
        <w:t>s</w:t>
      </w:r>
      <w:r w:rsidRPr="003B22C9">
        <w:rPr>
          <w:rFonts w:asciiTheme="minorHAnsi" w:hAnsiTheme="minorHAnsi"/>
          <w:bCs/>
          <w:color w:val="auto"/>
        </w:rPr>
        <w:t xml:space="preserve"> 1</w:t>
      </w:r>
      <w:r w:rsidR="00381483">
        <w:rPr>
          <w:rFonts w:asciiTheme="minorHAnsi" w:hAnsiTheme="minorHAnsi"/>
          <w:bCs/>
          <w:color w:val="auto"/>
        </w:rPr>
        <w:t>.</w:t>
      </w:r>
      <w:r w:rsidRPr="003B22C9">
        <w:rPr>
          <w:rFonts w:asciiTheme="minorHAnsi" w:hAnsiTheme="minorHAnsi"/>
          <w:bCs/>
          <w:color w:val="auto"/>
        </w:rPr>
        <w:t xml:space="preserve">B, </w:t>
      </w:r>
      <w:r w:rsidR="00381483">
        <w:rPr>
          <w:rFonts w:asciiTheme="minorHAnsi" w:hAnsiTheme="minorHAnsi"/>
          <w:bCs/>
          <w:color w:val="auto"/>
        </w:rPr>
        <w:t>1.</w:t>
      </w:r>
      <w:r w:rsidRPr="003B22C9">
        <w:rPr>
          <w:rFonts w:asciiTheme="minorHAnsi" w:hAnsiTheme="minorHAnsi"/>
          <w:bCs/>
          <w:color w:val="auto"/>
        </w:rPr>
        <w:t xml:space="preserve">C, </w:t>
      </w:r>
      <w:r w:rsidR="00381483">
        <w:rPr>
          <w:rFonts w:asciiTheme="minorHAnsi" w:hAnsiTheme="minorHAnsi"/>
          <w:bCs/>
          <w:color w:val="auto"/>
        </w:rPr>
        <w:t>and 1.</w:t>
      </w:r>
      <w:r w:rsidRPr="003B22C9">
        <w:rPr>
          <w:rFonts w:asciiTheme="minorHAnsi" w:hAnsiTheme="minorHAnsi"/>
          <w:bCs/>
          <w:color w:val="auto"/>
        </w:rPr>
        <w:t xml:space="preserve">D). These taxes are also efficient from a tax policy perspective in the sense that increasing collection is not likely to dampen economic growth or give rise to perverse incentives for economic actors. The Program also targets revenue generation from commercial use of underutilized government real estate assets, </w:t>
      </w:r>
      <w:r w:rsidRPr="002863B7">
        <w:rPr>
          <w:rFonts w:asciiTheme="minorHAnsi" w:hAnsiTheme="minorHAnsi"/>
          <w:bCs/>
          <w:color w:val="auto"/>
        </w:rPr>
        <w:t>an all but untapped</w:t>
      </w:r>
      <w:r w:rsidRPr="003B22C9">
        <w:rPr>
          <w:rFonts w:asciiTheme="minorHAnsi" w:hAnsiTheme="minorHAnsi"/>
          <w:bCs/>
          <w:color w:val="auto"/>
        </w:rPr>
        <w:t xml:space="preserve"> source of non-tax revenue with a high revenue potential and relatively quick returns.</w:t>
      </w:r>
    </w:p>
    <w:p w14:paraId="2D4038DD" w14:textId="2F0D5E4B" w:rsidR="007C5BE3" w:rsidRPr="002863B7" w:rsidRDefault="007C5BE3" w:rsidP="002863B7">
      <w:pPr>
        <w:pStyle w:val="Caption"/>
      </w:pPr>
      <w:bookmarkStart w:id="6" w:name="_Toc530148521"/>
      <w:r w:rsidRPr="002863B7">
        <w:lastRenderedPageBreak/>
        <w:t xml:space="preserve">Figure </w:t>
      </w:r>
      <w:r w:rsidR="004670A5">
        <w:rPr>
          <w:noProof/>
        </w:rPr>
        <w:fldChar w:fldCharType="begin"/>
      </w:r>
      <w:r w:rsidR="004670A5">
        <w:rPr>
          <w:noProof/>
        </w:rPr>
        <w:instrText xml:space="preserve"> SEQ Figure \* ARABIC </w:instrText>
      </w:r>
      <w:r w:rsidR="004670A5">
        <w:rPr>
          <w:noProof/>
        </w:rPr>
        <w:fldChar w:fldCharType="separate"/>
      </w:r>
      <w:r w:rsidR="009627F9">
        <w:rPr>
          <w:noProof/>
        </w:rPr>
        <w:t>1</w:t>
      </w:r>
      <w:r w:rsidR="004670A5">
        <w:rPr>
          <w:noProof/>
        </w:rPr>
        <w:fldChar w:fldCharType="end"/>
      </w:r>
      <w:r w:rsidRPr="002863B7">
        <w:t xml:space="preserve">: Composition of </w:t>
      </w:r>
      <w:r w:rsidR="00D827AB" w:rsidRPr="002863B7">
        <w:t>O</w:t>
      </w:r>
      <w:r w:rsidRPr="002863B7">
        <w:t>wn-</w:t>
      </w:r>
      <w:r w:rsidR="00D827AB" w:rsidRPr="002863B7">
        <w:t>S</w:t>
      </w:r>
      <w:r w:rsidRPr="002863B7">
        <w:t xml:space="preserve">ource </w:t>
      </w:r>
      <w:r w:rsidR="00D827AB" w:rsidRPr="002863B7">
        <w:t>T</w:t>
      </w:r>
      <w:r w:rsidRPr="002863B7">
        <w:t xml:space="preserve">ax </w:t>
      </w:r>
      <w:r w:rsidR="00D827AB" w:rsidRPr="002863B7">
        <w:t>R</w:t>
      </w:r>
      <w:r w:rsidRPr="002863B7">
        <w:t>evenue in KP</w:t>
      </w:r>
      <w:bookmarkEnd w:id="6"/>
    </w:p>
    <w:p w14:paraId="13D24D81" w14:textId="77777777" w:rsidR="007C5BE3" w:rsidRPr="00615771" w:rsidRDefault="007C5BE3" w:rsidP="00EB060B">
      <w:pPr>
        <w:keepNext/>
        <w:widowControl/>
        <w:jc w:val="center"/>
        <w:rPr>
          <w:rFonts w:asciiTheme="minorHAnsi" w:hAnsiTheme="minorHAnsi"/>
          <w:b/>
          <w:bCs/>
          <w:color w:val="auto"/>
          <w:sz w:val="22"/>
          <w:szCs w:val="22"/>
        </w:rPr>
      </w:pPr>
      <w:r w:rsidRPr="006E067B">
        <w:rPr>
          <w:noProof/>
        </w:rPr>
        <w:drawing>
          <wp:inline distT="0" distB="0" distL="0" distR="0" wp14:anchorId="2346A67C" wp14:editId="686DABCD">
            <wp:extent cx="5943600" cy="19278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02632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943600" cy="1927860"/>
                    </a:xfrm>
                    <a:prstGeom prst="rect">
                      <a:avLst/>
                    </a:prstGeom>
                    <a:noFill/>
                    <a:ln>
                      <a:noFill/>
                    </a:ln>
                  </pic:spPr>
                </pic:pic>
              </a:graphicData>
            </a:graphic>
          </wp:inline>
        </w:drawing>
      </w:r>
    </w:p>
    <w:p w14:paraId="05F411D4" w14:textId="77777777" w:rsidR="007C5BE3" w:rsidRDefault="007C5BE3" w:rsidP="00EB060B">
      <w:pPr>
        <w:jc w:val="center"/>
        <w:rPr>
          <w:rFonts w:asciiTheme="minorHAnsi" w:hAnsiTheme="minorHAnsi"/>
          <w:b/>
          <w:bCs/>
          <w:color w:val="auto"/>
          <w:sz w:val="22"/>
          <w:szCs w:val="22"/>
        </w:rPr>
      </w:pPr>
      <w:r>
        <w:rPr>
          <w:rFonts w:asciiTheme="minorHAnsi" w:hAnsiTheme="minorHAnsi"/>
          <w:b/>
          <w:bCs/>
          <w:noProof/>
          <w:color w:val="auto"/>
          <w:sz w:val="22"/>
          <w:szCs w:val="22"/>
        </w:rPr>
        <w:drawing>
          <wp:inline distT="0" distB="0" distL="0" distR="0" wp14:anchorId="5264BF9F" wp14:editId="7E182308">
            <wp:extent cx="5944235" cy="21215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894956"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44235" cy="2121535"/>
                    </a:xfrm>
                    <a:prstGeom prst="rect">
                      <a:avLst/>
                    </a:prstGeom>
                    <a:noFill/>
                  </pic:spPr>
                </pic:pic>
              </a:graphicData>
            </a:graphic>
          </wp:inline>
        </w:drawing>
      </w:r>
    </w:p>
    <w:p w14:paraId="7F5C9BD2" w14:textId="54B9F447" w:rsidR="007C5BE3" w:rsidRDefault="00F349AA" w:rsidP="003D4FF1">
      <w:pPr>
        <w:rPr>
          <w:rFonts w:asciiTheme="minorHAnsi" w:hAnsiTheme="minorHAnsi"/>
          <w:b/>
          <w:bCs/>
          <w:color w:val="auto"/>
          <w:sz w:val="22"/>
          <w:szCs w:val="22"/>
        </w:rPr>
      </w:pPr>
      <w:r>
        <w:rPr>
          <w:rFonts w:asciiTheme="minorHAnsi" w:hAnsiTheme="minorHAnsi"/>
          <w:b/>
          <w:bCs/>
          <w:color w:val="auto"/>
          <w:sz w:val="22"/>
          <w:szCs w:val="22"/>
        </w:rPr>
        <w:t>The World Bank staff calculations</w:t>
      </w:r>
    </w:p>
    <w:p w14:paraId="241C2EF8" w14:textId="494D2410" w:rsidR="00D416B3" w:rsidRPr="00A53C65" w:rsidRDefault="00F349AA" w:rsidP="003D4FF1">
      <w:pPr>
        <w:rPr>
          <w:rFonts w:asciiTheme="minorHAnsi" w:hAnsiTheme="minorHAnsi"/>
          <w:bCs/>
          <w:color w:val="auto"/>
          <w:sz w:val="20"/>
          <w:szCs w:val="20"/>
        </w:rPr>
      </w:pPr>
      <w:r w:rsidRPr="00A53C65">
        <w:rPr>
          <w:rFonts w:asciiTheme="minorHAnsi" w:hAnsiTheme="minorHAnsi"/>
          <w:bCs/>
          <w:color w:val="auto"/>
          <w:sz w:val="20"/>
          <w:szCs w:val="20"/>
        </w:rPr>
        <w:t>Note: CVT</w:t>
      </w:r>
      <w:r w:rsidR="00A76468">
        <w:rPr>
          <w:rFonts w:asciiTheme="minorHAnsi" w:hAnsiTheme="minorHAnsi"/>
          <w:bCs/>
          <w:color w:val="auto"/>
          <w:sz w:val="20"/>
          <w:szCs w:val="20"/>
        </w:rPr>
        <w:t xml:space="preserve"> is </w:t>
      </w:r>
      <w:r w:rsidR="007F42F8" w:rsidRPr="00A53C65">
        <w:rPr>
          <w:rFonts w:asciiTheme="minorHAnsi" w:hAnsiTheme="minorHAnsi"/>
          <w:bCs/>
          <w:color w:val="auto"/>
          <w:sz w:val="20"/>
          <w:szCs w:val="20"/>
        </w:rPr>
        <w:t>Capital Value Tax</w:t>
      </w:r>
      <w:r w:rsidR="00A76468">
        <w:rPr>
          <w:rFonts w:asciiTheme="minorHAnsi" w:hAnsiTheme="minorHAnsi"/>
          <w:bCs/>
          <w:color w:val="auto"/>
          <w:sz w:val="20"/>
          <w:szCs w:val="20"/>
        </w:rPr>
        <w:t xml:space="preserve">; </w:t>
      </w:r>
      <w:r w:rsidR="00D416B3" w:rsidRPr="00A53C65">
        <w:rPr>
          <w:rFonts w:asciiTheme="minorHAnsi" w:hAnsiTheme="minorHAnsi"/>
          <w:bCs/>
          <w:color w:val="auto"/>
          <w:sz w:val="20"/>
          <w:szCs w:val="20"/>
        </w:rPr>
        <w:t>MVT</w:t>
      </w:r>
      <w:r w:rsidR="00A76468">
        <w:rPr>
          <w:rFonts w:asciiTheme="minorHAnsi" w:hAnsiTheme="minorHAnsi"/>
          <w:bCs/>
          <w:color w:val="auto"/>
          <w:sz w:val="20"/>
          <w:szCs w:val="20"/>
        </w:rPr>
        <w:t xml:space="preserve"> is </w:t>
      </w:r>
      <w:r w:rsidR="00D416B3" w:rsidRPr="00A76468">
        <w:rPr>
          <w:rFonts w:asciiTheme="minorHAnsi" w:hAnsiTheme="minorHAnsi" w:cstheme="minorHAnsi"/>
          <w:sz w:val="20"/>
          <w:szCs w:val="20"/>
        </w:rPr>
        <w:t>Motor Vehicle Tax; AIT</w:t>
      </w:r>
      <w:r w:rsidR="00A76468">
        <w:rPr>
          <w:rFonts w:asciiTheme="minorHAnsi" w:hAnsiTheme="minorHAnsi" w:cstheme="minorHAnsi"/>
          <w:sz w:val="20"/>
          <w:szCs w:val="20"/>
        </w:rPr>
        <w:t xml:space="preserve"> is </w:t>
      </w:r>
      <w:r w:rsidR="00D416B3" w:rsidRPr="00A53C65">
        <w:rPr>
          <w:rFonts w:asciiTheme="minorHAnsi" w:hAnsiTheme="minorHAnsi" w:cstheme="minorBidi"/>
          <w:color w:val="0D0D0D" w:themeColor="text1" w:themeTint="F2"/>
          <w:sz w:val="20"/>
          <w:szCs w:val="20"/>
        </w:rPr>
        <w:t>Agricultural Income Tax</w:t>
      </w:r>
      <w:r w:rsidR="00A76468">
        <w:rPr>
          <w:rFonts w:asciiTheme="minorHAnsi" w:hAnsiTheme="minorHAnsi" w:cstheme="minorBidi"/>
          <w:color w:val="0D0D0D" w:themeColor="text1" w:themeTint="F2"/>
          <w:sz w:val="20"/>
          <w:szCs w:val="20"/>
        </w:rPr>
        <w:t xml:space="preserve"> and </w:t>
      </w:r>
      <w:r w:rsidR="00D416B3" w:rsidRPr="00A53C65">
        <w:rPr>
          <w:rFonts w:asciiTheme="minorHAnsi" w:hAnsiTheme="minorHAnsi" w:cstheme="minorBidi"/>
          <w:color w:val="0D0D0D" w:themeColor="text1" w:themeTint="F2"/>
          <w:sz w:val="20"/>
          <w:szCs w:val="20"/>
        </w:rPr>
        <w:t>STS</w:t>
      </w:r>
      <w:r w:rsidR="00A76468">
        <w:rPr>
          <w:rFonts w:asciiTheme="minorHAnsi" w:hAnsiTheme="minorHAnsi" w:cstheme="minorBidi"/>
          <w:color w:val="0D0D0D" w:themeColor="text1" w:themeTint="F2"/>
          <w:sz w:val="20"/>
          <w:szCs w:val="20"/>
        </w:rPr>
        <w:t xml:space="preserve"> is </w:t>
      </w:r>
      <w:r w:rsidR="00415C7A" w:rsidRPr="00A53C65">
        <w:rPr>
          <w:rFonts w:asciiTheme="minorHAnsi" w:hAnsiTheme="minorHAnsi" w:cstheme="minorBidi"/>
          <w:color w:val="0D0D0D" w:themeColor="text1" w:themeTint="F2"/>
          <w:sz w:val="20"/>
          <w:szCs w:val="20"/>
        </w:rPr>
        <w:t>Sales Tax on Services</w:t>
      </w:r>
    </w:p>
    <w:p w14:paraId="7E47EDE9" w14:textId="77777777" w:rsidR="00F349AA" w:rsidRDefault="00F349AA" w:rsidP="003D4FF1">
      <w:pPr>
        <w:rPr>
          <w:rFonts w:asciiTheme="minorHAnsi" w:hAnsiTheme="minorHAnsi"/>
          <w:b/>
          <w:bCs/>
          <w:color w:val="auto"/>
          <w:sz w:val="22"/>
          <w:szCs w:val="22"/>
        </w:rPr>
      </w:pPr>
    </w:p>
    <w:p w14:paraId="1ED2D521" w14:textId="31D85FA0" w:rsidR="007C5BE3"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4A3024">
        <w:rPr>
          <w:rFonts w:asciiTheme="minorHAnsi" w:hAnsiTheme="minorHAnsi"/>
          <w:b/>
          <w:bCs/>
          <w:color w:val="auto"/>
        </w:rPr>
        <w:t>The Program’s tax-related interventions focus on expanding the tax base without introducing any new taxes or raising tax rates.</w:t>
      </w:r>
      <w:r w:rsidRPr="00131E3B">
        <w:rPr>
          <w:rFonts w:asciiTheme="minorHAnsi" w:hAnsiTheme="minorHAnsi"/>
          <w:bCs/>
          <w:color w:val="auto"/>
        </w:rPr>
        <w:t xml:space="preserve"> This approach is known as the ‘Broad Base, Low Rate’ principle, which aims to minimize economic distortions. Broadening the tax base can be done by reducing tax exemptions (tax policy), bringing more taxpayers into the tax net (increasing registration of new taxpayers)</w:t>
      </w:r>
      <w:r w:rsidRPr="002863B7">
        <w:rPr>
          <w:rFonts w:asciiTheme="minorHAnsi" w:hAnsiTheme="minorHAnsi"/>
          <w:bCs/>
          <w:color w:val="auto"/>
        </w:rPr>
        <w:t>,</w:t>
      </w:r>
      <w:r w:rsidRPr="00131E3B">
        <w:rPr>
          <w:rFonts w:asciiTheme="minorHAnsi" w:hAnsiTheme="minorHAnsi"/>
          <w:bCs/>
          <w:color w:val="auto"/>
        </w:rPr>
        <w:t xml:space="preserve"> and increasing taxpayer compliance (tax administration). The Program therefore focuses on the GSTS as the tax with </w:t>
      </w:r>
      <w:r w:rsidR="009373E6">
        <w:rPr>
          <w:rFonts w:asciiTheme="minorHAnsi" w:hAnsiTheme="minorHAnsi"/>
          <w:bCs/>
          <w:color w:val="auto"/>
        </w:rPr>
        <w:t xml:space="preserve">the </w:t>
      </w:r>
      <w:r w:rsidRPr="00131E3B">
        <w:rPr>
          <w:rFonts w:asciiTheme="minorHAnsi" w:hAnsiTheme="minorHAnsi"/>
          <w:bCs/>
          <w:color w:val="auto"/>
        </w:rPr>
        <w:t xml:space="preserve">largest gains to be made from increased compliance. Services are the largest and fastest-growing sector of the KP economy, accounting for an estimated 64 percent of the province’s </w:t>
      </w:r>
      <w:r w:rsidR="00C85748">
        <w:rPr>
          <w:rFonts w:asciiTheme="minorHAnsi" w:hAnsiTheme="minorHAnsi"/>
          <w:bCs/>
          <w:color w:val="auto"/>
        </w:rPr>
        <w:t>gross domestic product (</w:t>
      </w:r>
      <w:r w:rsidRPr="00131E3B">
        <w:rPr>
          <w:rFonts w:asciiTheme="minorHAnsi" w:hAnsiTheme="minorHAnsi"/>
          <w:bCs/>
          <w:color w:val="auto"/>
        </w:rPr>
        <w:t>GDP</w:t>
      </w:r>
      <w:r w:rsidR="00C85748">
        <w:rPr>
          <w:rFonts w:asciiTheme="minorHAnsi" w:hAnsiTheme="minorHAnsi"/>
          <w:bCs/>
          <w:color w:val="auto"/>
        </w:rPr>
        <w:t>)</w:t>
      </w:r>
      <w:r w:rsidRPr="00131E3B">
        <w:rPr>
          <w:rFonts w:asciiTheme="minorHAnsi" w:hAnsiTheme="minorHAnsi"/>
          <w:bCs/>
          <w:color w:val="auto"/>
        </w:rPr>
        <w:t>. In turn, the GSTS accounted for 64 percent of KP tax revenue and one</w:t>
      </w:r>
      <w:r w:rsidR="00C85748">
        <w:rPr>
          <w:rFonts w:asciiTheme="minorHAnsi" w:hAnsiTheme="minorHAnsi"/>
          <w:bCs/>
          <w:color w:val="auto"/>
        </w:rPr>
        <w:t>-</w:t>
      </w:r>
      <w:r w:rsidRPr="00131E3B">
        <w:rPr>
          <w:rFonts w:asciiTheme="minorHAnsi" w:hAnsiTheme="minorHAnsi"/>
          <w:bCs/>
          <w:color w:val="auto"/>
        </w:rPr>
        <w:t xml:space="preserve">third of </w:t>
      </w:r>
      <w:r w:rsidR="00381483">
        <w:rPr>
          <w:rFonts w:asciiTheme="minorHAnsi" w:hAnsiTheme="minorHAnsi"/>
          <w:bCs/>
          <w:color w:val="auto"/>
        </w:rPr>
        <w:t xml:space="preserve">the </w:t>
      </w:r>
      <w:r w:rsidRPr="00131E3B">
        <w:rPr>
          <w:rFonts w:asciiTheme="minorHAnsi" w:hAnsiTheme="minorHAnsi"/>
          <w:bCs/>
          <w:color w:val="auto"/>
        </w:rPr>
        <w:t xml:space="preserve">total OSR receipts in </w:t>
      </w:r>
      <w:r w:rsidRPr="00A71E45">
        <w:rPr>
          <w:rFonts w:asciiTheme="minorHAnsi" w:hAnsiTheme="minorHAnsi"/>
          <w:bCs/>
          <w:color w:val="auto"/>
        </w:rPr>
        <w:t>FY2016/17</w:t>
      </w:r>
      <w:r w:rsidRPr="00131E3B">
        <w:rPr>
          <w:rFonts w:asciiTheme="minorHAnsi" w:hAnsiTheme="minorHAnsi"/>
          <w:bCs/>
          <w:color w:val="auto"/>
        </w:rPr>
        <w:t xml:space="preserve"> (Figure 1.B). Despite a rapid increase in GSTS receipts in the past three years, these receipts amounted to only 0.4 percent of the estimated output of the services sector.</w:t>
      </w:r>
      <w:r w:rsidR="00C225E8">
        <w:rPr>
          <w:rFonts w:asciiTheme="minorHAnsi" w:hAnsiTheme="minorHAnsi"/>
          <w:bCs/>
          <w:color w:val="auto"/>
        </w:rPr>
        <w:t xml:space="preserve"> </w:t>
      </w:r>
      <w:r w:rsidRPr="00131E3B">
        <w:rPr>
          <w:rFonts w:asciiTheme="minorHAnsi" w:hAnsiTheme="minorHAnsi"/>
          <w:bCs/>
          <w:color w:val="auto"/>
        </w:rPr>
        <w:t xml:space="preserve">It is therefore evident that even a threefold increase in </w:t>
      </w:r>
      <w:r w:rsidR="00381483">
        <w:rPr>
          <w:rFonts w:asciiTheme="minorHAnsi" w:hAnsiTheme="minorHAnsi"/>
          <w:bCs/>
          <w:color w:val="auto"/>
        </w:rPr>
        <w:t xml:space="preserve">the </w:t>
      </w:r>
      <w:r w:rsidRPr="00131E3B">
        <w:rPr>
          <w:rFonts w:asciiTheme="minorHAnsi" w:hAnsiTheme="minorHAnsi"/>
          <w:bCs/>
          <w:color w:val="auto"/>
        </w:rPr>
        <w:t xml:space="preserve">GSTS receipts would amount to a low tax burden, especially considering that compliance improvement measures will focus primarily on large taxpayers. </w:t>
      </w:r>
    </w:p>
    <w:p w14:paraId="194726FC" w14:textId="7EA1DA6A" w:rsidR="007C5BE3"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A recent World Bank analysis estimates that the GoKP is capturing about a quarter of the potential GSTS revenue due to low compliance and extensive exemptions.</w:t>
      </w:r>
      <w:r w:rsidRPr="003B22C9">
        <w:rPr>
          <w:rFonts w:asciiTheme="minorHAnsi" w:hAnsiTheme="minorHAnsi"/>
          <w:bCs/>
          <w:color w:val="auto"/>
        </w:rPr>
        <w:t xml:space="preserve"> The exemption of the eight districts designated as Provincially Administered Tribal Areas (PATA) and </w:t>
      </w:r>
      <w:r w:rsidR="00381483">
        <w:rPr>
          <w:rFonts w:asciiTheme="minorHAnsi" w:hAnsiTheme="minorHAnsi"/>
          <w:bCs/>
          <w:color w:val="auto"/>
        </w:rPr>
        <w:t xml:space="preserve">the </w:t>
      </w:r>
      <w:r w:rsidRPr="003B22C9">
        <w:rPr>
          <w:rFonts w:asciiTheme="minorHAnsi" w:hAnsiTheme="minorHAnsi"/>
          <w:bCs/>
          <w:color w:val="auto"/>
        </w:rPr>
        <w:t xml:space="preserve">Kohistan </w:t>
      </w:r>
      <w:r w:rsidR="00A71E45">
        <w:rPr>
          <w:rFonts w:asciiTheme="minorHAnsi" w:hAnsiTheme="minorHAnsi"/>
          <w:bCs/>
          <w:color w:val="auto"/>
        </w:rPr>
        <w:t>D</w:t>
      </w:r>
      <w:r w:rsidRPr="00A71E45">
        <w:rPr>
          <w:rFonts w:asciiTheme="minorHAnsi" w:hAnsiTheme="minorHAnsi"/>
          <w:bCs/>
          <w:color w:val="auto"/>
        </w:rPr>
        <w:t>istrict</w:t>
      </w:r>
      <w:r w:rsidRPr="003B22C9">
        <w:rPr>
          <w:rFonts w:asciiTheme="minorHAnsi" w:hAnsiTheme="minorHAnsi"/>
          <w:bCs/>
          <w:color w:val="auto"/>
        </w:rPr>
        <w:t xml:space="preserve"> from most </w:t>
      </w:r>
      <w:proofErr w:type="gramStart"/>
      <w:r w:rsidRPr="003B22C9">
        <w:rPr>
          <w:rFonts w:asciiTheme="minorHAnsi" w:hAnsiTheme="minorHAnsi"/>
          <w:bCs/>
          <w:color w:val="auto"/>
        </w:rPr>
        <w:t>taxes</w:t>
      </w:r>
      <w:proofErr w:type="gramEnd"/>
      <w:r w:rsidRPr="003B22C9">
        <w:rPr>
          <w:rFonts w:asciiTheme="minorHAnsi" w:hAnsiTheme="minorHAnsi"/>
          <w:bCs/>
          <w:color w:val="auto"/>
        </w:rPr>
        <w:t xml:space="preserve"> accounts for as much as 60 percent of the GSTS tax gap. Some of these districts have substantial services sectors, including tourism, which is a growing industry. GSTS compliance in the taxable districts of KP is estimated at 23 percent. Compliance rates vary across sectors, ranging from 48 percent in banking </w:t>
      </w:r>
      <w:r w:rsidRPr="003B22C9">
        <w:rPr>
          <w:rFonts w:asciiTheme="minorHAnsi" w:hAnsiTheme="minorHAnsi"/>
          <w:bCs/>
          <w:color w:val="auto"/>
        </w:rPr>
        <w:lastRenderedPageBreak/>
        <w:t>and telecom to 6 percent in transport (Figure 2.B).</w:t>
      </w:r>
      <w:r w:rsidR="00C225E8">
        <w:rPr>
          <w:rFonts w:asciiTheme="minorHAnsi" w:hAnsiTheme="minorHAnsi"/>
          <w:bCs/>
          <w:color w:val="auto"/>
        </w:rPr>
        <w:t xml:space="preserve"> </w:t>
      </w:r>
      <w:r w:rsidRPr="003B22C9">
        <w:rPr>
          <w:rFonts w:asciiTheme="minorHAnsi" w:hAnsiTheme="minorHAnsi"/>
          <w:bCs/>
          <w:color w:val="auto"/>
        </w:rPr>
        <w:t>It therefore makes sense for the GoKP to concentrate its efforts and resources on increasing GSTS compliance</w:t>
      </w:r>
      <w:r w:rsidR="00377DCB">
        <w:rPr>
          <w:rFonts w:asciiTheme="minorHAnsi" w:hAnsiTheme="minorHAnsi"/>
          <w:bCs/>
          <w:color w:val="auto"/>
        </w:rPr>
        <w:t>—</w:t>
      </w:r>
      <w:r w:rsidRPr="003B22C9">
        <w:rPr>
          <w:rFonts w:asciiTheme="minorHAnsi" w:hAnsiTheme="minorHAnsi"/>
          <w:bCs/>
          <w:color w:val="auto"/>
        </w:rPr>
        <w:t>with</w:t>
      </w:r>
      <w:r>
        <w:rPr>
          <w:rFonts w:asciiTheme="minorHAnsi" w:hAnsiTheme="minorHAnsi"/>
          <w:bCs/>
          <w:color w:val="auto"/>
        </w:rPr>
        <w:t xml:space="preserve"> </w:t>
      </w:r>
      <w:r w:rsidRPr="003B22C9">
        <w:rPr>
          <w:rFonts w:asciiTheme="minorHAnsi" w:hAnsiTheme="minorHAnsi"/>
          <w:bCs/>
          <w:color w:val="auto"/>
        </w:rPr>
        <w:t>a focus on large sectors (</w:t>
      </w:r>
      <w:r w:rsidR="00377DCB">
        <w:rPr>
          <w:rFonts w:asciiTheme="minorHAnsi" w:hAnsiTheme="minorHAnsi"/>
          <w:bCs/>
          <w:color w:val="auto"/>
        </w:rPr>
        <w:t>for example</w:t>
      </w:r>
      <w:r w:rsidRPr="003B22C9">
        <w:rPr>
          <w:rFonts w:asciiTheme="minorHAnsi" w:hAnsiTheme="minorHAnsi"/>
          <w:bCs/>
          <w:color w:val="auto"/>
        </w:rPr>
        <w:t xml:space="preserve">, telecom, banking, construction, </w:t>
      </w:r>
      <w:r w:rsidR="00377DCB">
        <w:rPr>
          <w:rFonts w:asciiTheme="minorHAnsi" w:hAnsiTheme="minorHAnsi"/>
          <w:bCs/>
          <w:color w:val="auto"/>
        </w:rPr>
        <w:t xml:space="preserve">and </w:t>
      </w:r>
      <w:r w:rsidRPr="003B22C9">
        <w:rPr>
          <w:rFonts w:asciiTheme="minorHAnsi" w:hAnsiTheme="minorHAnsi"/>
          <w:bCs/>
          <w:color w:val="auto"/>
        </w:rPr>
        <w:t xml:space="preserve">transport and logistics) and taxpayers. The Program’s interventions therefore aim to increase compliance by strengthening the </w:t>
      </w:r>
      <w:r w:rsidR="00377DCB" w:rsidRPr="003B22C9">
        <w:rPr>
          <w:rFonts w:asciiTheme="minorHAnsi" w:hAnsiTheme="minorHAnsi"/>
          <w:bCs/>
          <w:color w:val="auto"/>
        </w:rPr>
        <w:t xml:space="preserve">capacity </w:t>
      </w:r>
      <w:r w:rsidR="00377DCB">
        <w:rPr>
          <w:rFonts w:asciiTheme="minorHAnsi" w:hAnsiTheme="minorHAnsi"/>
          <w:bCs/>
          <w:color w:val="auto"/>
        </w:rPr>
        <w:t xml:space="preserve">of the </w:t>
      </w:r>
      <w:r w:rsidR="00377DCB" w:rsidRPr="003236D4">
        <w:rPr>
          <w:rFonts w:asciiTheme="minorHAnsi" w:hAnsiTheme="minorHAnsi"/>
          <w:color w:val="auto"/>
        </w:rPr>
        <w:t>KP Revenue Authority</w:t>
      </w:r>
      <w:r w:rsidR="00377DCB" w:rsidRPr="003B22C9">
        <w:rPr>
          <w:rFonts w:asciiTheme="minorHAnsi" w:hAnsiTheme="minorHAnsi"/>
          <w:bCs/>
          <w:color w:val="auto"/>
        </w:rPr>
        <w:t xml:space="preserve"> </w:t>
      </w:r>
      <w:r w:rsidR="00377DCB">
        <w:rPr>
          <w:rFonts w:asciiTheme="minorHAnsi" w:hAnsiTheme="minorHAnsi"/>
          <w:bCs/>
          <w:color w:val="auto"/>
        </w:rPr>
        <w:t>(</w:t>
      </w:r>
      <w:r w:rsidRPr="003B22C9">
        <w:rPr>
          <w:rFonts w:asciiTheme="minorHAnsi" w:hAnsiTheme="minorHAnsi"/>
          <w:bCs/>
          <w:color w:val="auto"/>
        </w:rPr>
        <w:t>KPRA</w:t>
      </w:r>
      <w:r w:rsidR="00377DCB">
        <w:rPr>
          <w:rFonts w:asciiTheme="minorHAnsi" w:hAnsiTheme="minorHAnsi"/>
          <w:bCs/>
          <w:color w:val="auto"/>
        </w:rPr>
        <w:t>)</w:t>
      </w:r>
      <w:r w:rsidRPr="003B22C9">
        <w:rPr>
          <w:rFonts w:asciiTheme="minorHAnsi" w:hAnsiTheme="minorHAnsi"/>
          <w:bCs/>
          <w:color w:val="auto"/>
        </w:rPr>
        <w:t xml:space="preserve"> to detect and deter tax evasion and by encouraging taxpayers’ compliance through facilitation measures.</w:t>
      </w:r>
    </w:p>
    <w:p w14:paraId="59AF5CC6" w14:textId="7A98E6D3" w:rsidR="007C5BE3" w:rsidRPr="003236D4"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color w:val="auto"/>
        </w:rPr>
      </w:pPr>
      <w:r w:rsidRPr="4A4D1A57">
        <w:rPr>
          <w:rFonts w:asciiTheme="minorHAnsi" w:hAnsiTheme="minorHAnsi"/>
          <w:b/>
          <w:bCs/>
          <w:color w:val="auto"/>
        </w:rPr>
        <w:t xml:space="preserve">The Program also targets </w:t>
      </w:r>
      <w:r w:rsidRPr="002863B7">
        <w:rPr>
          <w:rFonts w:asciiTheme="minorHAnsi" w:hAnsiTheme="minorHAnsi"/>
          <w:b/>
          <w:bCs/>
          <w:color w:val="auto"/>
        </w:rPr>
        <w:t>the</w:t>
      </w:r>
      <w:r w:rsidRPr="4A4D1A57">
        <w:rPr>
          <w:rFonts w:asciiTheme="minorHAnsi" w:hAnsiTheme="minorHAnsi"/>
          <w:b/>
          <w:bCs/>
          <w:color w:val="auto"/>
        </w:rPr>
        <w:t xml:space="preserve"> UIPT because of its large tax gap, which is mainly due to the low valuations used for taxation purposes.</w:t>
      </w:r>
      <w:r w:rsidRPr="003236D4">
        <w:rPr>
          <w:rFonts w:asciiTheme="minorHAnsi" w:hAnsiTheme="minorHAnsi"/>
          <w:color w:val="auto"/>
        </w:rPr>
        <w:t xml:space="preserve"> UIPT valuations are about 20 percent of current market values, resulting in comparatively low receipts that contribute 4.4 percent of KP OSR tax receipts in </w:t>
      </w:r>
      <w:r w:rsidRPr="00A71E45">
        <w:rPr>
          <w:rFonts w:asciiTheme="minorHAnsi" w:hAnsiTheme="minorHAnsi"/>
          <w:color w:val="auto"/>
        </w:rPr>
        <w:t>FY2016/17</w:t>
      </w:r>
      <w:r w:rsidRPr="003236D4">
        <w:rPr>
          <w:rFonts w:asciiTheme="minorHAnsi" w:hAnsiTheme="minorHAnsi"/>
          <w:color w:val="auto"/>
        </w:rPr>
        <w:t xml:space="preserve">, compared to 6 percent in Punjab. Other reasons for the underperformance of UIPT revenues relate to incomplete tax records, large-scale exemptions, and a narrow delineation of city boundaries that exclude peri-urban areas. Bringing UIPT valuations closer to market values has several advantages. First, it would generate additional revenue for Tehsil Municipal Administrations (TMAs) to expand and improve municipal services such as waste collection, which are severely underfunded. Second, current exemptions for small properties ensure that the new valuations would not have a negative impact on low-income households or </w:t>
      </w:r>
      <w:r w:rsidRPr="002863B7">
        <w:rPr>
          <w:rFonts w:asciiTheme="minorHAnsi" w:hAnsiTheme="minorHAnsi"/>
          <w:color w:val="auto"/>
        </w:rPr>
        <w:t>microbusinesses</w:t>
      </w:r>
      <w:r w:rsidRPr="003236D4">
        <w:rPr>
          <w:rFonts w:asciiTheme="minorHAnsi" w:hAnsiTheme="minorHAnsi"/>
          <w:color w:val="auto"/>
        </w:rPr>
        <w:t xml:space="preserve">. Third, it would help counter distortions in economic incentives due to the </w:t>
      </w:r>
      <w:r w:rsidRPr="00D827AB">
        <w:rPr>
          <w:rFonts w:asciiTheme="minorHAnsi" w:hAnsiTheme="minorHAnsi"/>
          <w:color w:val="auto"/>
        </w:rPr>
        <w:t>under-taxation</w:t>
      </w:r>
      <w:r w:rsidRPr="003236D4">
        <w:rPr>
          <w:rFonts w:asciiTheme="minorHAnsi" w:hAnsiTheme="minorHAnsi"/>
          <w:color w:val="auto"/>
        </w:rPr>
        <w:t xml:space="preserve"> of property in Pakistan, which favor investment in real estate over other sectors. The Program will therefore support the </w:t>
      </w:r>
      <w:r w:rsidR="00377DCB" w:rsidRPr="003236D4">
        <w:rPr>
          <w:rFonts w:asciiTheme="minorHAnsi" w:hAnsiTheme="minorHAnsi"/>
          <w:color w:val="auto"/>
        </w:rPr>
        <w:t xml:space="preserve">initiative </w:t>
      </w:r>
      <w:r w:rsidR="00377DCB">
        <w:rPr>
          <w:rFonts w:asciiTheme="minorHAnsi" w:hAnsiTheme="minorHAnsi"/>
          <w:color w:val="auto"/>
        </w:rPr>
        <w:t xml:space="preserve">of the </w:t>
      </w:r>
      <w:r w:rsidRPr="003236D4">
        <w:rPr>
          <w:rFonts w:asciiTheme="minorHAnsi" w:hAnsiTheme="minorHAnsi"/>
          <w:color w:val="auto"/>
        </w:rPr>
        <w:t>Excise, Taxation</w:t>
      </w:r>
      <w:r w:rsidR="00377DCB">
        <w:rPr>
          <w:rFonts w:asciiTheme="minorHAnsi" w:hAnsiTheme="minorHAnsi"/>
          <w:color w:val="auto"/>
        </w:rPr>
        <w:t>,</w:t>
      </w:r>
      <w:r w:rsidRPr="003236D4">
        <w:rPr>
          <w:rFonts w:asciiTheme="minorHAnsi" w:hAnsiTheme="minorHAnsi"/>
          <w:color w:val="auto"/>
        </w:rPr>
        <w:t xml:space="preserve"> and Narcotics Control Department (ETNCD) to revise valuation tables to bring them closer to market values (up to 40 percent of sale or rental values) in the province’s major urban centers.</w:t>
      </w:r>
    </w:p>
    <w:p w14:paraId="3786FFDB" w14:textId="3DC704C6" w:rsidR="007C5BE3" w:rsidRPr="003D4FF1" w:rsidRDefault="007C5BE3" w:rsidP="002863B7">
      <w:pPr>
        <w:pStyle w:val="Caption"/>
        <w:rPr>
          <w:i/>
        </w:rPr>
      </w:pPr>
      <w:bookmarkStart w:id="7" w:name="_Toc530148522"/>
      <w:r w:rsidRPr="003D4FF1">
        <w:t xml:space="preserve">Figure </w:t>
      </w:r>
      <w:r w:rsidR="004670A5">
        <w:rPr>
          <w:noProof/>
        </w:rPr>
        <w:fldChar w:fldCharType="begin"/>
      </w:r>
      <w:r w:rsidR="004670A5">
        <w:rPr>
          <w:noProof/>
        </w:rPr>
        <w:instrText xml:space="preserve"> SEQ Figure \* ARABIC </w:instrText>
      </w:r>
      <w:r w:rsidR="004670A5">
        <w:rPr>
          <w:noProof/>
        </w:rPr>
        <w:fldChar w:fldCharType="separate"/>
      </w:r>
      <w:r w:rsidR="009627F9">
        <w:rPr>
          <w:noProof/>
        </w:rPr>
        <w:t>2</w:t>
      </w:r>
      <w:r w:rsidR="004670A5">
        <w:rPr>
          <w:noProof/>
        </w:rPr>
        <w:fldChar w:fldCharType="end"/>
      </w:r>
      <w:r w:rsidRPr="003D4FF1">
        <w:t xml:space="preserve">: Revenue </w:t>
      </w:r>
      <w:r w:rsidR="00D827AB">
        <w:t>P</w:t>
      </w:r>
      <w:r w:rsidRPr="003D4FF1">
        <w:t xml:space="preserve">otential in KP’s GSTS, by </w:t>
      </w:r>
      <w:r w:rsidR="00D827AB">
        <w:t>V</w:t>
      </w:r>
      <w:r w:rsidRPr="003D4FF1">
        <w:t xml:space="preserve">arious </w:t>
      </w:r>
      <w:r w:rsidR="00D827AB">
        <w:t>C</w:t>
      </w:r>
      <w:r w:rsidRPr="003D4FF1">
        <w:t xml:space="preserve">ompliance </w:t>
      </w:r>
      <w:r w:rsidR="00D827AB">
        <w:t>S</w:t>
      </w:r>
      <w:r w:rsidRPr="003D4FF1">
        <w:t>cenarios</w:t>
      </w:r>
      <w:bookmarkEnd w:id="7"/>
    </w:p>
    <w:p w14:paraId="51124BED" w14:textId="77777777" w:rsidR="007C5BE3" w:rsidRDefault="007C5BE3" w:rsidP="00EB060B">
      <w:pPr>
        <w:jc w:val="center"/>
        <w:rPr>
          <w:rFonts w:asciiTheme="minorHAnsi" w:hAnsiTheme="minorHAnsi"/>
          <w:bCs/>
          <w:color w:val="auto"/>
          <w:sz w:val="22"/>
          <w:szCs w:val="22"/>
        </w:rPr>
      </w:pPr>
      <w:r w:rsidRPr="006E067B">
        <w:rPr>
          <w:noProof/>
        </w:rPr>
        <w:drawing>
          <wp:inline distT="0" distB="0" distL="0" distR="0" wp14:anchorId="7F04D5CD" wp14:editId="778B08E3">
            <wp:extent cx="5943600" cy="21945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16666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943600" cy="2194560"/>
                    </a:xfrm>
                    <a:prstGeom prst="rect">
                      <a:avLst/>
                    </a:prstGeom>
                    <a:noFill/>
                    <a:ln>
                      <a:noFill/>
                    </a:ln>
                  </pic:spPr>
                </pic:pic>
              </a:graphicData>
            </a:graphic>
          </wp:inline>
        </w:drawing>
      </w:r>
    </w:p>
    <w:p w14:paraId="45F794FF" w14:textId="77777777" w:rsidR="007C5BE3" w:rsidRDefault="007C5BE3" w:rsidP="003D4FF1">
      <w:pPr>
        <w:rPr>
          <w:rFonts w:asciiTheme="minorHAnsi" w:hAnsiTheme="minorHAnsi"/>
          <w:bCs/>
          <w:color w:val="auto"/>
          <w:sz w:val="22"/>
          <w:szCs w:val="22"/>
        </w:rPr>
      </w:pPr>
    </w:p>
    <w:p w14:paraId="461BC291" w14:textId="23438953" w:rsidR="007C5BE3"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 xml:space="preserve">The Program’s design is informed by global experience of using </w:t>
      </w:r>
      <w:r w:rsidR="00377DCB">
        <w:rPr>
          <w:rFonts w:asciiTheme="minorHAnsi" w:hAnsiTheme="minorHAnsi"/>
          <w:b/>
          <w:bCs/>
          <w:color w:val="auto"/>
        </w:rPr>
        <w:t>information and communication technology (</w:t>
      </w:r>
      <w:r w:rsidRPr="003B22C9">
        <w:rPr>
          <w:rFonts w:asciiTheme="minorHAnsi" w:hAnsiTheme="minorHAnsi"/>
          <w:b/>
          <w:bCs/>
          <w:color w:val="auto"/>
        </w:rPr>
        <w:t>ICT</w:t>
      </w:r>
      <w:r w:rsidR="00377DCB">
        <w:rPr>
          <w:rFonts w:asciiTheme="minorHAnsi" w:hAnsiTheme="minorHAnsi"/>
          <w:b/>
          <w:bCs/>
          <w:color w:val="auto"/>
        </w:rPr>
        <w:t>)</w:t>
      </w:r>
      <w:r w:rsidRPr="003B22C9">
        <w:rPr>
          <w:rFonts w:asciiTheme="minorHAnsi" w:hAnsiTheme="minorHAnsi"/>
          <w:b/>
          <w:bCs/>
          <w:color w:val="auto"/>
        </w:rPr>
        <w:t xml:space="preserve"> to facilitate taxpayer compliance, tackle tax evasion, and reduce the cost of tax collection. </w:t>
      </w:r>
      <w:r w:rsidRPr="003B22C9">
        <w:rPr>
          <w:rFonts w:asciiTheme="minorHAnsi" w:hAnsiTheme="minorHAnsi"/>
          <w:bCs/>
          <w:color w:val="auto"/>
        </w:rPr>
        <w:t>Digitizing tax records, simplifying and automating business processes, and integrating databases to expand and cross-check taxpayer information are proven ways of improving the performance of tax administration. Taxpayers benefit from more convenient and cheaper ways to access information</w:t>
      </w:r>
      <w:r w:rsidR="00377DCB">
        <w:rPr>
          <w:rFonts w:asciiTheme="minorHAnsi" w:hAnsiTheme="minorHAnsi"/>
          <w:bCs/>
          <w:color w:val="auto"/>
        </w:rPr>
        <w:t xml:space="preserve"> and</w:t>
      </w:r>
      <w:r w:rsidRPr="003B22C9">
        <w:rPr>
          <w:rFonts w:asciiTheme="minorHAnsi" w:hAnsiTheme="minorHAnsi"/>
          <w:bCs/>
          <w:color w:val="auto"/>
        </w:rPr>
        <w:t xml:space="preserve"> file and pay their taxes. Tax authorities enhance their ability to compile and analyze taxpayer information while reducing their operational costs (</w:t>
      </w:r>
      <w:r w:rsidR="00377DCB">
        <w:rPr>
          <w:rFonts w:asciiTheme="minorHAnsi" w:hAnsiTheme="minorHAnsi"/>
          <w:bCs/>
          <w:color w:val="auto"/>
        </w:rPr>
        <w:t>for example</w:t>
      </w:r>
      <w:r w:rsidRPr="003B22C9">
        <w:rPr>
          <w:rFonts w:asciiTheme="minorHAnsi" w:hAnsiTheme="minorHAnsi"/>
          <w:bCs/>
          <w:color w:val="auto"/>
        </w:rPr>
        <w:t xml:space="preserve">, by undertaking fewer, better-targeted inspections). ICT is critical to the business intelligence function, which is very effective in increasing compliance. Business intelligence uses large datasets and algorithm-based systems to track the timeliness of tax declarations, detect cases of potential under-declaration, monitor tax arrears, identify potential taxpayers to be brought into the tax net, and select cases for tax audit. The Program therefore </w:t>
      </w:r>
      <w:r w:rsidRPr="003B22C9">
        <w:rPr>
          <w:rFonts w:asciiTheme="minorHAnsi" w:hAnsiTheme="minorHAnsi"/>
          <w:bCs/>
          <w:color w:val="auto"/>
        </w:rPr>
        <w:lastRenderedPageBreak/>
        <w:t>provides for the automation of key business processes and integration of datasets through a data warehouse solution for all three tax authorities.</w:t>
      </w:r>
    </w:p>
    <w:p w14:paraId="32041CE7" w14:textId="0D10E159" w:rsidR="007C5BE3" w:rsidRPr="003236D4"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color w:val="auto"/>
        </w:rPr>
      </w:pPr>
      <w:r w:rsidRPr="4A4D1A57">
        <w:rPr>
          <w:rFonts w:asciiTheme="minorHAnsi" w:hAnsiTheme="minorHAnsi"/>
          <w:b/>
          <w:bCs/>
          <w:color w:val="auto"/>
        </w:rPr>
        <w:t>The Program’s interventions related to automation build on the KP tax authorities’ existing achievements, taking account of their constraints and priorities.</w:t>
      </w:r>
      <w:r w:rsidRPr="003236D4">
        <w:rPr>
          <w:rFonts w:asciiTheme="minorHAnsi" w:hAnsiTheme="minorHAnsi"/>
          <w:color w:val="auto"/>
        </w:rPr>
        <w:t xml:space="preserve"> For core business processes, the KPRA uses the e-filing system provided by Pakistan Revenue Automation Limited (PRAL), a company administered by the Federal Board of Revenue</w:t>
      </w:r>
      <w:r w:rsidR="00AF46BE">
        <w:rPr>
          <w:rFonts w:asciiTheme="minorHAnsi" w:hAnsiTheme="minorHAnsi"/>
          <w:color w:val="auto"/>
        </w:rPr>
        <w:t xml:space="preserve"> (FBR</w:t>
      </w:r>
      <w:r w:rsidR="0019245B">
        <w:rPr>
          <w:rFonts w:asciiTheme="minorHAnsi" w:hAnsiTheme="minorHAnsi"/>
          <w:color w:val="auto"/>
        </w:rPr>
        <w:t>)</w:t>
      </w:r>
      <w:r w:rsidR="0019245B" w:rsidRPr="003236D4">
        <w:rPr>
          <w:rFonts w:asciiTheme="minorHAnsi" w:hAnsiTheme="minorHAnsi"/>
          <w:color w:val="auto"/>
        </w:rPr>
        <w:t xml:space="preserve"> and</w:t>
      </w:r>
      <w:r w:rsidRPr="003236D4">
        <w:rPr>
          <w:rFonts w:asciiTheme="minorHAnsi" w:hAnsiTheme="minorHAnsi"/>
          <w:color w:val="auto"/>
        </w:rPr>
        <w:t xml:space="preserve"> used by all tax authorities that collect GSTS in Pakistan. This system enables automated processing of tax returns and flags registered taxpayers who have failed to file their returns (stop-filers) or pay within the deadlines (delinquent taxpayers). The system also allows taxpayers to register and file their taxes online. This system has recently enabled online payments to the FBR and the Sindh Revenue Board (SRB). This functionality is also available to </w:t>
      </w:r>
      <w:r w:rsidR="00AF46BE">
        <w:rPr>
          <w:rFonts w:asciiTheme="minorHAnsi" w:hAnsiTheme="minorHAnsi"/>
          <w:color w:val="auto"/>
        </w:rPr>
        <w:t xml:space="preserve">the </w:t>
      </w:r>
      <w:r w:rsidRPr="003236D4">
        <w:rPr>
          <w:rFonts w:asciiTheme="minorHAnsi" w:hAnsiTheme="minorHAnsi"/>
          <w:color w:val="auto"/>
        </w:rPr>
        <w:t>KPRA</w:t>
      </w:r>
      <w:r w:rsidR="00107DD0">
        <w:rPr>
          <w:rFonts w:asciiTheme="minorHAnsi" w:hAnsiTheme="minorHAnsi"/>
          <w:color w:val="auto"/>
        </w:rPr>
        <w:t>,</w:t>
      </w:r>
      <w:r w:rsidRPr="003236D4">
        <w:rPr>
          <w:rFonts w:asciiTheme="minorHAnsi" w:hAnsiTheme="minorHAnsi"/>
          <w:color w:val="auto"/>
        </w:rPr>
        <w:t xml:space="preserve"> but the authority still needs to conclude bilateral agreements with commercial banks to provide payment options to taxpayers (</w:t>
      </w:r>
      <w:r w:rsidR="00AF46BE">
        <w:rPr>
          <w:rFonts w:asciiTheme="minorHAnsi" w:hAnsiTheme="minorHAnsi"/>
          <w:color w:val="auto"/>
        </w:rPr>
        <w:t>for example,</w:t>
      </w:r>
      <w:r w:rsidRPr="003236D4">
        <w:rPr>
          <w:rFonts w:asciiTheme="minorHAnsi" w:hAnsiTheme="minorHAnsi"/>
          <w:color w:val="auto"/>
        </w:rPr>
        <w:t xml:space="preserve"> payments at ATMs, online transfers, </w:t>
      </w:r>
      <w:r w:rsidR="00AF46BE">
        <w:rPr>
          <w:rFonts w:asciiTheme="minorHAnsi" w:hAnsiTheme="minorHAnsi"/>
          <w:color w:val="auto"/>
        </w:rPr>
        <w:t>and so on</w:t>
      </w:r>
      <w:r w:rsidRPr="003236D4">
        <w:rPr>
          <w:rFonts w:asciiTheme="minorHAnsi" w:hAnsiTheme="minorHAnsi"/>
          <w:color w:val="auto"/>
        </w:rPr>
        <w:t xml:space="preserve">). At present, taxpayers can pay only at branches of the National Bank of Pakistan or Bank of Khyber. </w:t>
      </w:r>
    </w:p>
    <w:p w14:paraId="62D596CB" w14:textId="751C18C3" w:rsidR="007C5BE3" w:rsidRPr="003236D4"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color w:val="auto"/>
        </w:rPr>
      </w:pPr>
      <w:r w:rsidRPr="4A4D1A57">
        <w:rPr>
          <w:rFonts w:asciiTheme="minorHAnsi" w:hAnsiTheme="minorHAnsi"/>
          <w:b/>
          <w:bCs/>
          <w:color w:val="auto"/>
        </w:rPr>
        <w:t>The Program’s ICT interventions in tax administration also reflect lessons from the experience of other tax authorities in Pakistan.</w:t>
      </w:r>
      <w:r w:rsidRPr="003236D4">
        <w:rPr>
          <w:rFonts w:asciiTheme="minorHAnsi" w:hAnsiTheme="minorHAnsi"/>
          <w:color w:val="auto"/>
        </w:rPr>
        <w:t xml:space="preserve"> One example is the automated issuance of invoices for </w:t>
      </w:r>
      <w:r w:rsidR="009373E6">
        <w:rPr>
          <w:rFonts w:asciiTheme="minorHAnsi" w:hAnsiTheme="minorHAnsi"/>
          <w:color w:val="auto"/>
        </w:rPr>
        <w:t xml:space="preserve">the </w:t>
      </w:r>
      <w:r w:rsidRPr="003236D4">
        <w:rPr>
          <w:rFonts w:asciiTheme="minorHAnsi" w:hAnsiTheme="minorHAnsi"/>
          <w:color w:val="auto"/>
        </w:rPr>
        <w:t xml:space="preserve">UIPT in Punjab, which has contributed to higher receipts and reduced taxpayer appeals, especially as taxpayers are able to review their properties’ data and tax liabilities online. The Punjab </w:t>
      </w:r>
      <w:r w:rsidR="00F349AA">
        <w:rPr>
          <w:rFonts w:asciiTheme="minorHAnsi" w:hAnsiTheme="minorHAnsi"/>
          <w:color w:val="auto"/>
        </w:rPr>
        <w:t>Excise and Taxation Department (</w:t>
      </w:r>
      <w:r w:rsidRPr="003236D4">
        <w:rPr>
          <w:rFonts w:asciiTheme="minorHAnsi" w:hAnsiTheme="minorHAnsi"/>
          <w:color w:val="auto"/>
        </w:rPr>
        <w:t>ETD</w:t>
      </w:r>
      <w:r w:rsidR="00F349AA">
        <w:rPr>
          <w:rFonts w:asciiTheme="minorHAnsi" w:hAnsiTheme="minorHAnsi"/>
          <w:color w:val="auto"/>
        </w:rPr>
        <w:t>)</w:t>
      </w:r>
      <w:r w:rsidRPr="003236D4">
        <w:rPr>
          <w:rFonts w:asciiTheme="minorHAnsi" w:hAnsiTheme="minorHAnsi"/>
          <w:color w:val="auto"/>
        </w:rPr>
        <w:t xml:space="preserve"> also offers taxpayer facilitation services through a telephone hotline, which answers taxpayers’ queries. The SRB has established database links with other institutions such as the FBR and the Securities and Exchange Commission of Pakistan (SECP). These links have helped the SRB identify firms that provide services in the province without registering with the SRB.</w:t>
      </w:r>
    </w:p>
    <w:p w14:paraId="3706D186" w14:textId="2DDC3074" w:rsidR="007C5BE3" w:rsidRPr="003B22C9"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The Program also targets revenue generation from government-owned real estate.</w:t>
      </w:r>
      <w:r w:rsidRPr="003B22C9">
        <w:rPr>
          <w:rFonts w:asciiTheme="minorHAnsi" w:hAnsiTheme="minorHAnsi"/>
          <w:bCs/>
          <w:color w:val="auto"/>
        </w:rPr>
        <w:t xml:space="preserve"> The GoKP owns land and buildings, not all of which are used by government entities. Revenues from the lease of public properties amounted to PKR 0.4 billion in </w:t>
      </w:r>
      <w:r w:rsidRPr="00A71E45">
        <w:rPr>
          <w:rFonts w:asciiTheme="minorHAnsi" w:hAnsiTheme="minorHAnsi"/>
          <w:bCs/>
          <w:color w:val="auto"/>
        </w:rPr>
        <w:t>FY2016/17</w:t>
      </w:r>
      <w:r w:rsidRPr="003B22C9">
        <w:rPr>
          <w:rFonts w:asciiTheme="minorHAnsi" w:hAnsiTheme="minorHAnsi"/>
          <w:bCs/>
          <w:color w:val="auto"/>
        </w:rPr>
        <w:t>, which was only 3 percent of non-tax revenue. The Program’s targeted result is to consolidate these assets in a commercially</w:t>
      </w:r>
      <w:r w:rsidR="00AF46BE">
        <w:rPr>
          <w:rFonts w:asciiTheme="minorHAnsi" w:hAnsiTheme="minorHAnsi"/>
          <w:bCs/>
          <w:color w:val="auto"/>
        </w:rPr>
        <w:t xml:space="preserve"> </w:t>
      </w:r>
      <w:r w:rsidRPr="003B22C9">
        <w:rPr>
          <w:rFonts w:asciiTheme="minorHAnsi" w:hAnsiTheme="minorHAnsi"/>
          <w:bCs/>
          <w:color w:val="auto"/>
        </w:rPr>
        <w:t>managed portfolio. This approach has helped subnational governments around the world generate substantial and sustainable revenue streams, with annual yields ranging from 3 percent to over 10 percent of portfolio value.</w:t>
      </w:r>
      <w:r w:rsidR="00C225E8">
        <w:rPr>
          <w:rFonts w:asciiTheme="minorHAnsi" w:hAnsiTheme="minorHAnsi"/>
          <w:bCs/>
          <w:color w:val="auto"/>
        </w:rPr>
        <w:t xml:space="preserve"> </w:t>
      </w:r>
      <w:r w:rsidRPr="003B22C9">
        <w:rPr>
          <w:rFonts w:asciiTheme="minorHAnsi" w:hAnsiTheme="minorHAnsi"/>
          <w:bCs/>
          <w:color w:val="auto"/>
        </w:rPr>
        <w:t xml:space="preserve">Program results relate to compiling an asset map with detailed profiles of each asset, including geo-tagging and market-based valuation, followed by the establishment of a government-owned asset management company. The company will have the mandate to invest revenue from mature assets with high rental value in developing other assets to increase the value and future yield of the portfolio. The company’s governance setup will exclude incumbent and retired public officials from the management and Board of Directors to ensure that business decisions are based on commercial criteria. This approach has been successfully implemented in many countries and has much potential </w:t>
      </w:r>
      <w:r w:rsidR="00AF46BE">
        <w:rPr>
          <w:rFonts w:asciiTheme="minorHAnsi" w:hAnsiTheme="minorHAnsi"/>
          <w:bCs/>
          <w:color w:val="auto"/>
        </w:rPr>
        <w:t>for</w:t>
      </w:r>
      <w:r w:rsidRPr="003B22C9">
        <w:rPr>
          <w:rFonts w:asciiTheme="minorHAnsi" w:hAnsiTheme="minorHAnsi"/>
          <w:bCs/>
          <w:color w:val="auto"/>
        </w:rPr>
        <w:t xml:space="preserve"> Maximiz</w:t>
      </w:r>
      <w:r w:rsidR="00AF46BE">
        <w:rPr>
          <w:rFonts w:asciiTheme="minorHAnsi" w:hAnsiTheme="minorHAnsi"/>
          <w:bCs/>
          <w:color w:val="auto"/>
        </w:rPr>
        <w:t>ing</w:t>
      </w:r>
      <w:r w:rsidRPr="003B22C9">
        <w:rPr>
          <w:rFonts w:asciiTheme="minorHAnsi" w:hAnsiTheme="minorHAnsi"/>
          <w:bCs/>
          <w:color w:val="auto"/>
        </w:rPr>
        <w:t xml:space="preserve"> Finance for Development by making public land available for development by private firms, thereby bringing investment and jobs in growth sectors such as logistics and hospitality.</w:t>
      </w:r>
    </w:p>
    <w:p w14:paraId="1BA0CB1D" w14:textId="3E39F040" w:rsidR="007C5BE3" w:rsidRDefault="007C5BE3" w:rsidP="002863B7">
      <w:pPr>
        <w:pStyle w:val="Heading3"/>
      </w:pPr>
      <w:bookmarkStart w:id="8" w:name="_Toc530148513"/>
      <w:r>
        <w:t xml:space="preserve">Results </w:t>
      </w:r>
      <w:r w:rsidRPr="006F2A2C">
        <w:t>A</w:t>
      </w:r>
      <w:r w:rsidRPr="001D0C27">
        <w:t xml:space="preserve">rea 2: Management of </w:t>
      </w:r>
      <w:r>
        <w:t>P</w:t>
      </w:r>
      <w:r w:rsidRPr="001D0C27">
        <w:t xml:space="preserve">ublic </w:t>
      </w:r>
      <w:r>
        <w:t>R</w:t>
      </w:r>
      <w:r w:rsidRPr="001D0C27">
        <w:t>esources</w:t>
      </w:r>
      <w:bookmarkEnd w:id="8"/>
    </w:p>
    <w:p w14:paraId="029CCB51" w14:textId="77777777" w:rsidR="007C5BE3" w:rsidRPr="00025BC8" w:rsidRDefault="007C5BE3" w:rsidP="007C5BE3"/>
    <w:p w14:paraId="5430833E" w14:textId="51E6CB81" w:rsidR="007C5BE3" w:rsidRPr="003236D4"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
          <w:bCs/>
          <w:i/>
          <w:iCs/>
          <w:color w:val="auto"/>
        </w:rPr>
      </w:pPr>
      <w:r w:rsidRPr="4A4D1A57">
        <w:rPr>
          <w:rFonts w:asciiTheme="minorHAnsi" w:hAnsiTheme="minorHAnsi"/>
          <w:b/>
          <w:bCs/>
          <w:color w:val="auto"/>
        </w:rPr>
        <w:t>The Program’s second results area targets the more efficient and strategic use of the province’s financial resources.</w:t>
      </w:r>
      <w:r w:rsidRPr="003236D4">
        <w:rPr>
          <w:rFonts w:asciiTheme="minorHAnsi" w:hAnsiTheme="minorHAnsi"/>
          <w:color w:val="auto"/>
        </w:rPr>
        <w:t xml:space="preserve"> Interventions relate to four main results: cash management through regular consolidation of government cash balances</w:t>
      </w:r>
      <w:r w:rsidR="00AF46BE">
        <w:rPr>
          <w:rFonts w:asciiTheme="minorHAnsi" w:hAnsiTheme="minorHAnsi"/>
          <w:color w:val="auto"/>
        </w:rPr>
        <w:t>,</w:t>
      </w:r>
      <w:r w:rsidRPr="003236D4">
        <w:rPr>
          <w:rFonts w:asciiTheme="minorHAnsi" w:hAnsiTheme="minorHAnsi"/>
          <w:color w:val="auto"/>
        </w:rPr>
        <w:t xml:space="preserve"> integration of local governments’ budgets in the National Financial Management Information System (NFMIS)</w:t>
      </w:r>
      <w:r w:rsidR="00AF46BE">
        <w:rPr>
          <w:rFonts w:asciiTheme="minorHAnsi" w:hAnsiTheme="minorHAnsi"/>
          <w:color w:val="auto"/>
        </w:rPr>
        <w:t>,</w:t>
      </w:r>
      <w:r w:rsidRPr="003236D4">
        <w:rPr>
          <w:rFonts w:asciiTheme="minorHAnsi" w:hAnsiTheme="minorHAnsi"/>
          <w:color w:val="auto"/>
        </w:rPr>
        <w:t xml:space="preserve"> improved management of KP special-purpose funds with calibrated investment strategies and associated risk management</w:t>
      </w:r>
      <w:r w:rsidR="00AF46BE">
        <w:rPr>
          <w:rFonts w:asciiTheme="minorHAnsi" w:hAnsiTheme="minorHAnsi"/>
          <w:color w:val="auto"/>
        </w:rPr>
        <w:t>,</w:t>
      </w:r>
      <w:r w:rsidRPr="003236D4">
        <w:rPr>
          <w:rFonts w:asciiTheme="minorHAnsi" w:hAnsiTheme="minorHAnsi"/>
          <w:color w:val="auto"/>
        </w:rPr>
        <w:t xml:space="preserve"> and reorientation of development </w:t>
      </w:r>
      <w:r w:rsidRPr="003236D4">
        <w:rPr>
          <w:rFonts w:asciiTheme="minorHAnsi" w:hAnsiTheme="minorHAnsi"/>
          <w:color w:val="auto"/>
        </w:rPr>
        <w:lastRenderedPageBreak/>
        <w:t xml:space="preserve">spending toward infrastructure investment. These results relate to large pools of funds that present opportunities for substantial efficiency gains through the Program’s interventions. </w:t>
      </w:r>
    </w:p>
    <w:p w14:paraId="6427D0CB" w14:textId="4EAF8686" w:rsidR="007C5BE3" w:rsidRPr="001D0C27"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4A3024">
        <w:rPr>
          <w:rFonts w:asciiTheme="minorHAnsi" w:hAnsiTheme="minorHAnsi"/>
          <w:b/>
          <w:bCs/>
          <w:color w:val="auto"/>
        </w:rPr>
        <w:t xml:space="preserve">Cash management is a critical </w:t>
      </w:r>
      <w:r w:rsidR="00AF46BE">
        <w:rPr>
          <w:rFonts w:asciiTheme="minorHAnsi" w:hAnsiTheme="minorHAnsi"/>
          <w:b/>
          <w:bCs/>
          <w:color w:val="auto"/>
        </w:rPr>
        <w:t>public financial management (</w:t>
      </w:r>
      <w:r>
        <w:rPr>
          <w:rFonts w:asciiTheme="minorHAnsi" w:hAnsiTheme="minorHAnsi"/>
          <w:b/>
          <w:bCs/>
          <w:color w:val="auto"/>
        </w:rPr>
        <w:t>PFM</w:t>
      </w:r>
      <w:r w:rsidR="00AF46BE">
        <w:rPr>
          <w:rFonts w:asciiTheme="minorHAnsi" w:hAnsiTheme="minorHAnsi"/>
          <w:b/>
          <w:bCs/>
          <w:color w:val="auto"/>
        </w:rPr>
        <w:t>)</w:t>
      </w:r>
      <w:r>
        <w:rPr>
          <w:rFonts w:asciiTheme="minorHAnsi" w:hAnsiTheme="minorHAnsi"/>
          <w:b/>
          <w:bCs/>
          <w:color w:val="auto"/>
        </w:rPr>
        <w:t xml:space="preserve"> issue in </w:t>
      </w:r>
      <w:r w:rsidRPr="004A3024">
        <w:rPr>
          <w:rFonts w:asciiTheme="minorHAnsi" w:hAnsiTheme="minorHAnsi"/>
          <w:b/>
          <w:bCs/>
          <w:color w:val="auto"/>
        </w:rPr>
        <w:t xml:space="preserve">Pakistan because substantial government funds remain outside the </w:t>
      </w:r>
      <w:r>
        <w:rPr>
          <w:rFonts w:asciiTheme="minorHAnsi" w:hAnsiTheme="minorHAnsi"/>
          <w:b/>
          <w:bCs/>
          <w:color w:val="auto"/>
        </w:rPr>
        <w:t>Treasury Single Account (</w:t>
      </w:r>
      <w:r w:rsidRPr="004A3024">
        <w:rPr>
          <w:rFonts w:asciiTheme="minorHAnsi" w:hAnsiTheme="minorHAnsi"/>
          <w:b/>
          <w:bCs/>
          <w:color w:val="auto"/>
        </w:rPr>
        <w:t>TSA</w:t>
      </w:r>
      <w:r>
        <w:rPr>
          <w:rFonts w:asciiTheme="minorHAnsi" w:hAnsiTheme="minorHAnsi"/>
          <w:b/>
          <w:bCs/>
          <w:color w:val="auto"/>
        </w:rPr>
        <w:t>)</w:t>
      </w:r>
      <w:r w:rsidRPr="004A3024">
        <w:rPr>
          <w:rFonts w:asciiTheme="minorHAnsi" w:hAnsiTheme="minorHAnsi"/>
          <w:b/>
          <w:bCs/>
          <w:color w:val="auto"/>
        </w:rPr>
        <w:t xml:space="preserve"> at all levels of government, including in KP. </w:t>
      </w:r>
      <w:r w:rsidRPr="00137023">
        <w:rPr>
          <w:rFonts w:asciiTheme="minorHAnsi" w:hAnsiTheme="minorHAnsi"/>
          <w:bCs/>
          <w:color w:val="auto"/>
        </w:rPr>
        <w:t>When the NFMIS was established, no legislation was adopted to require all government funds to be deposited in the TSA.</w:t>
      </w:r>
      <w:r w:rsidRPr="001D0C27">
        <w:rPr>
          <w:rFonts w:asciiTheme="minorHAnsi" w:hAnsiTheme="minorHAnsi"/>
          <w:bCs/>
          <w:color w:val="auto"/>
        </w:rPr>
        <w:t xml:space="preserve"> Instead, the old practice of government entities putting budget funds in commercial bank accounts continued, especially for the execution of development budget</w:t>
      </w:r>
      <w:r w:rsidR="009373E6">
        <w:rPr>
          <w:rFonts w:asciiTheme="minorHAnsi" w:hAnsiTheme="minorHAnsi"/>
          <w:bCs/>
          <w:color w:val="auto"/>
        </w:rPr>
        <w:t>s</w:t>
      </w:r>
      <w:r w:rsidRPr="001D0C27">
        <w:rPr>
          <w:rFonts w:asciiTheme="minorHAnsi" w:hAnsiTheme="minorHAnsi"/>
          <w:bCs/>
          <w:color w:val="auto"/>
        </w:rPr>
        <w:t xml:space="preserve">. This practice gives rise to several problems, most notably the following: </w:t>
      </w:r>
    </w:p>
    <w:p w14:paraId="6681E279" w14:textId="322C9EB6" w:rsidR="007C5BE3" w:rsidRPr="003236D4" w:rsidRDefault="007C5BE3" w:rsidP="00EB060B">
      <w:pPr>
        <w:pStyle w:val="ListParagraph"/>
        <w:widowControl/>
        <w:numPr>
          <w:ilvl w:val="0"/>
          <w:numId w:val="13"/>
        </w:numPr>
        <w:autoSpaceDE/>
        <w:autoSpaceDN/>
        <w:adjustRightInd/>
        <w:spacing w:after="240"/>
        <w:ind w:left="1195" w:hanging="475"/>
        <w:contextualSpacing w:val="0"/>
        <w:jc w:val="both"/>
        <w:rPr>
          <w:rFonts w:asciiTheme="minorHAnsi" w:hAnsiTheme="minorHAnsi"/>
          <w:bCs/>
          <w:color w:val="auto"/>
        </w:rPr>
      </w:pPr>
      <w:r w:rsidRPr="003236D4">
        <w:rPr>
          <w:rFonts w:asciiTheme="minorHAnsi" w:hAnsiTheme="minorHAnsi"/>
          <w:b/>
          <w:bCs/>
          <w:color w:val="auto"/>
        </w:rPr>
        <w:t>The GoKP lacks accurate and timely information about its cash position, which hinders smooth budget execution.</w:t>
      </w:r>
      <w:r w:rsidRPr="003236D4">
        <w:rPr>
          <w:rFonts w:asciiTheme="minorHAnsi" w:hAnsiTheme="minorHAnsi"/>
          <w:bCs/>
          <w:color w:val="auto"/>
        </w:rPr>
        <w:t xml:space="preserve"> This is because government entities’ bank accounts are not linked to the TSA, so their balances are not tracked through the NFMIS. Lack of timely and comprehensive information about cash availability compels the </w:t>
      </w:r>
      <w:r w:rsidRPr="007F373B">
        <w:rPr>
          <w:rFonts w:asciiTheme="minorHAnsi" w:hAnsiTheme="minorHAnsi"/>
          <w:bCs/>
          <w:color w:val="auto"/>
        </w:rPr>
        <w:t>FD</w:t>
      </w:r>
      <w:r w:rsidRPr="003236D4">
        <w:rPr>
          <w:rFonts w:asciiTheme="minorHAnsi" w:hAnsiTheme="minorHAnsi"/>
          <w:bCs/>
          <w:color w:val="auto"/>
        </w:rPr>
        <w:t xml:space="preserve"> to take a cautious approach in releasing funds for budgeted expenditures to avoid a shortfall of funds. This is also necessary due to the non-recording of new commitments in the NFMIS at the time they are incurred, which makes it difficult for the </w:t>
      </w:r>
      <w:r>
        <w:rPr>
          <w:rFonts w:asciiTheme="minorHAnsi" w:hAnsiTheme="minorHAnsi"/>
          <w:bCs/>
          <w:color w:val="auto"/>
        </w:rPr>
        <w:t xml:space="preserve">FD </w:t>
      </w:r>
      <w:r w:rsidRPr="003236D4">
        <w:rPr>
          <w:rFonts w:asciiTheme="minorHAnsi" w:hAnsiTheme="minorHAnsi"/>
          <w:bCs/>
          <w:color w:val="auto"/>
        </w:rPr>
        <w:t xml:space="preserve">to estimate the volume and timing of pending payments. In turn, however, this form of cash rationing holds back budget execution, especially on the development side and impairs the predictability of resource flows to service delivery entities. </w:t>
      </w:r>
    </w:p>
    <w:p w14:paraId="1FDA16EC" w14:textId="77777777" w:rsidR="007C5BE3" w:rsidRPr="0015549B" w:rsidRDefault="007C5BE3" w:rsidP="00EB060B">
      <w:pPr>
        <w:pStyle w:val="ListParagraph"/>
        <w:widowControl/>
        <w:numPr>
          <w:ilvl w:val="0"/>
          <w:numId w:val="13"/>
        </w:numPr>
        <w:autoSpaceDE/>
        <w:autoSpaceDN/>
        <w:adjustRightInd/>
        <w:spacing w:after="240"/>
        <w:ind w:left="1195" w:hanging="475"/>
        <w:contextualSpacing w:val="0"/>
        <w:jc w:val="both"/>
        <w:rPr>
          <w:rFonts w:asciiTheme="minorHAnsi" w:hAnsiTheme="minorHAnsi"/>
          <w:bCs/>
          <w:color w:val="auto"/>
        </w:rPr>
      </w:pPr>
      <w:r w:rsidRPr="0015549B">
        <w:rPr>
          <w:rFonts w:asciiTheme="minorHAnsi" w:hAnsiTheme="minorHAnsi"/>
          <w:b/>
          <w:bCs/>
          <w:color w:val="auto"/>
        </w:rPr>
        <w:t>Government entities’ cash deposits are essentially idle funds that return miniscule interest.</w:t>
      </w:r>
      <w:r w:rsidRPr="0015549B">
        <w:rPr>
          <w:rFonts w:asciiTheme="minorHAnsi" w:hAnsiTheme="minorHAnsi"/>
          <w:bCs/>
          <w:color w:val="auto"/>
        </w:rPr>
        <w:t xml:space="preserve"> This deprives the GoKP of the opportunity to invest surplus cash in revenue-generating instruments. </w:t>
      </w:r>
    </w:p>
    <w:p w14:paraId="0CAE22D8" w14:textId="54C33105" w:rsidR="007C5BE3" w:rsidRPr="001D0C27" w:rsidRDefault="007C5BE3" w:rsidP="00EB060B">
      <w:pPr>
        <w:pStyle w:val="ListParagraph"/>
        <w:widowControl/>
        <w:numPr>
          <w:ilvl w:val="0"/>
          <w:numId w:val="13"/>
        </w:numPr>
        <w:autoSpaceDE/>
        <w:autoSpaceDN/>
        <w:adjustRightInd/>
        <w:spacing w:after="240"/>
        <w:ind w:left="1195" w:hanging="475"/>
        <w:contextualSpacing w:val="0"/>
        <w:jc w:val="both"/>
        <w:rPr>
          <w:rFonts w:asciiTheme="minorHAnsi" w:hAnsiTheme="minorHAnsi"/>
          <w:bCs/>
          <w:color w:val="auto"/>
        </w:rPr>
      </w:pPr>
      <w:r w:rsidRPr="004A3024">
        <w:rPr>
          <w:rFonts w:asciiTheme="minorHAnsi" w:hAnsiTheme="minorHAnsi"/>
          <w:b/>
          <w:bCs/>
          <w:color w:val="auto"/>
        </w:rPr>
        <w:t xml:space="preserve">The channeling of development </w:t>
      </w:r>
      <w:r>
        <w:rPr>
          <w:rFonts w:asciiTheme="minorHAnsi" w:hAnsiTheme="minorHAnsi"/>
          <w:b/>
          <w:bCs/>
          <w:color w:val="auto"/>
        </w:rPr>
        <w:t>funds</w:t>
      </w:r>
      <w:r w:rsidRPr="004A3024">
        <w:rPr>
          <w:rFonts w:asciiTheme="minorHAnsi" w:hAnsiTheme="minorHAnsi"/>
          <w:b/>
          <w:bCs/>
          <w:color w:val="auto"/>
        </w:rPr>
        <w:t xml:space="preserve"> deprives the GoKP of accurate information on budget execution.</w:t>
      </w:r>
      <w:r w:rsidRPr="001D0C27">
        <w:rPr>
          <w:rFonts w:asciiTheme="minorHAnsi" w:hAnsiTheme="minorHAnsi"/>
          <w:bCs/>
          <w:color w:val="auto"/>
        </w:rPr>
        <w:t xml:space="preserve"> Several government entities that have previously obtained FD authorization to open accounts in commercial banks routinely transfer funds from their development budgets to their bank accounts to facilitate project implementation. These transfers are recorded in the NFMIS as actual expenditures of specific development projects, though the funds may be spent later or not at all. This practice inflates the development expenditure reported in the NFMIS, thereby affecting the fiscal balance. Moreover, the large number of bank accounts makes it impossible for the GoKP and the A</w:t>
      </w:r>
      <w:r>
        <w:rPr>
          <w:rFonts w:asciiTheme="minorHAnsi" w:hAnsiTheme="minorHAnsi"/>
          <w:bCs/>
          <w:color w:val="auto"/>
        </w:rPr>
        <w:t xml:space="preserve">uditor </w:t>
      </w:r>
      <w:r w:rsidRPr="001D0C27">
        <w:rPr>
          <w:rFonts w:asciiTheme="minorHAnsi" w:hAnsiTheme="minorHAnsi"/>
          <w:bCs/>
          <w:color w:val="auto"/>
        </w:rPr>
        <w:t>G</w:t>
      </w:r>
      <w:r>
        <w:rPr>
          <w:rFonts w:asciiTheme="minorHAnsi" w:hAnsiTheme="minorHAnsi"/>
          <w:bCs/>
          <w:color w:val="auto"/>
        </w:rPr>
        <w:t xml:space="preserve">eneral of </w:t>
      </w:r>
      <w:r w:rsidRPr="001D0C27">
        <w:rPr>
          <w:rFonts w:asciiTheme="minorHAnsi" w:hAnsiTheme="minorHAnsi"/>
          <w:bCs/>
          <w:color w:val="auto"/>
        </w:rPr>
        <w:t>P</w:t>
      </w:r>
      <w:r>
        <w:rPr>
          <w:rFonts w:asciiTheme="minorHAnsi" w:hAnsiTheme="minorHAnsi"/>
          <w:bCs/>
          <w:color w:val="auto"/>
        </w:rPr>
        <w:t>akistan</w:t>
      </w:r>
      <w:r w:rsidRPr="001D0C27">
        <w:rPr>
          <w:rFonts w:asciiTheme="minorHAnsi" w:hAnsiTheme="minorHAnsi"/>
          <w:bCs/>
          <w:color w:val="auto"/>
        </w:rPr>
        <w:t xml:space="preserve"> to ascertain whether the funds have been spent for the intended purpose.</w:t>
      </w:r>
      <w:r w:rsidR="00C225E8">
        <w:rPr>
          <w:rFonts w:asciiTheme="minorHAnsi" w:hAnsiTheme="minorHAnsi"/>
          <w:bCs/>
          <w:color w:val="auto"/>
        </w:rPr>
        <w:t xml:space="preserve"> </w:t>
      </w:r>
    </w:p>
    <w:p w14:paraId="0F7B7A69" w14:textId="77777777" w:rsidR="007C5BE3" w:rsidRPr="001D0C27" w:rsidRDefault="007C5BE3" w:rsidP="00EB060B">
      <w:pPr>
        <w:pStyle w:val="ListParagraph"/>
        <w:widowControl/>
        <w:numPr>
          <w:ilvl w:val="0"/>
          <w:numId w:val="13"/>
        </w:numPr>
        <w:autoSpaceDE/>
        <w:autoSpaceDN/>
        <w:adjustRightInd/>
        <w:spacing w:after="240"/>
        <w:ind w:left="1195" w:hanging="475"/>
        <w:contextualSpacing w:val="0"/>
        <w:jc w:val="both"/>
        <w:rPr>
          <w:rFonts w:asciiTheme="minorHAnsi" w:hAnsiTheme="minorHAnsi"/>
          <w:bCs/>
          <w:color w:val="auto"/>
        </w:rPr>
      </w:pPr>
      <w:r w:rsidRPr="004A3024">
        <w:rPr>
          <w:rFonts w:asciiTheme="minorHAnsi" w:hAnsiTheme="minorHAnsi"/>
          <w:b/>
          <w:bCs/>
          <w:color w:val="auto"/>
        </w:rPr>
        <w:t>The GoKP is unable to track municipal governments’ expenditures in a reliable and timely manner.</w:t>
      </w:r>
      <w:r w:rsidRPr="001D0C27">
        <w:rPr>
          <w:rFonts w:asciiTheme="minorHAnsi" w:hAnsiTheme="minorHAnsi"/>
          <w:bCs/>
          <w:color w:val="auto"/>
        </w:rPr>
        <w:t xml:space="preserve"> Like in other provinces, local governments units below the district level (TMAs, Village and Neighborhood Councils) currently execute their budgets through accounts in commercial banks. Neither their budgets nor their expenditures are recorded in the NFMIS. This means that their cash balances do not show up as part of the consolidated balance of the KP Consolidated Fund. The NFMIS </w:t>
      </w:r>
      <w:r>
        <w:rPr>
          <w:rFonts w:asciiTheme="minorHAnsi" w:hAnsiTheme="minorHAnsi"/>
          <w:bCs/>
          <w:color w:val="auto"/>
        </w:rPr>
        <w:t xml:space="preserve">currently </w:t>
      </w:r>
      <w:r w:rsidRPr="001D0C27">
        <w:rPr>
          <w:rFonts w:asciiTheme="minorHAnsi" w:hAnsiTheme="minorHAnsi"/>
          <w:bCs/>
          <w:color w:val="auto"/>
        </w:rPr>
        <w:t xml:space="preserve">records only transfers from the provincial level to municipalities, which in turn are shown as spent. </w:t>
      </w:r>
    </w:p>
    <w:p w14:paraId="0F13BBA1" w14:textId="254936F6" w:rsidR="007C5BE3"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4A3024">
        <w:rPr>
          <w:rFonts w:asciiTheme="minorHAnsi" w:hAnsiTheme="minorHAnsi"/>
          <w:b/>
          <w:bCs/>
          <w:color w:val="auto"/>
        </w:rPr>
        <w:t>KP has been the first province to take steps to improve cash management by bringing deposits of government entities in commercial banks into the KP Consolidated Fund.</w:t>
      </w:r>
      <w:r w:rsidRPr="001D0C27">
        <w:rPr>
          <w:rFonts w:asciiTheme="minorHAnsi" w:hAnsiTheme="minorHAnsi"/>
          <w:bCs/>
          <w:color w:val="auto"/>
        </w:rPr>
        <w:t xml:space="preserve"> In 2017, the GoKP requested and obtained detailed information from the State Bank of Pakistan (SBP) on the accounts held by KP government entities, including local governments, in commercial banks. The FD subsequently analyzed this information and found that out of a total PKR 186 billion (around US$1.6 billion), PKR 89.4 billion </w:t>
      </w:r>
      <w:r w:rsidRPr="001D0C27">
        <w:rPr>
          <w:rFonts w:asciiTheme="minorHAnsi" w:hAnsiTheme="minorHAnsi"/>
          <w:bCs/>
          <w:color w:val="auto"/>
        </w:rPr>
        <w:lastRenderedPageBreak/>
        <w:t>belonged to the province’s special-purpose funds, while the remaining PKR 96.5 billion w</w:t>
      </w:r>
      <w:r w:rsidR="00AF46BE">
        <w:rPr>
          <w:rFonts w:asciiTheme="minorHAnsi" w:hAnsiTheme="minorHAnsi"/>
          <w:bCs/>
          <w:color w:val="auto"/>
        </w:rPr>
        <w:t>as</w:t>
      </w:r>
      <w:r w:rsidRPr="001D0C27">
        <w:rPr>
          <w:rFonts w:asciiTheme="minorHAnsi" w:hAnsiTheme="minorHAnsi"/>
          <w:bCs/>
          <w:color w:val="auto"/>
        </w:rPr>
        <w:t xml:space="preserve"> held by various government entities, including provincial departments, authorities, and local governments. The GoKP therefore took immediate steps to address the problem. First, the GoKP issued a directive to all departments forbidding the transfer of funds from assignment accounts (under </w:t>
      </w:r>
      <w:r w:rsidR="00AF46BE">
        <w:rPr>
          <w:rFonts w:asciiTheme="minorHAnsi" w:hAnsiTheme="minorHAnsi"/>
          <w:bCs/>
          <w:color w:val="auto"/>
        </w:rPr>
        <w:t xml:space="preserve">the </w:t>
      </w:r>
      <w:r w:rsidRPr="001D0C27">
        <w:rPr>
          <w:rFonts w:asciiTheme="minorHAnsi" w:hAnsiTheme="minorHAnsi"/>
          <w:bCs/>
          <w:color w:val="auto"/>
        </w:rPr>
        <w:t xml:space="preserve">TSA) to accounts in commercial banks. </w:t>
      </w:r>
      <w:r>
        <w:rPr>
          <w:rFonts w:asciiTheme="minorHAnsi" w:hAnsiTheme="minorHAnsi"/>
          <w:bCs/>
          <w:color w:val="auto"/>
        </w:rPr>
        <w:t>Second,</w:t>
      </w:r>
      <w:r w:rsidRPr="001D0C27">
        <w:rPr>
          <w:rFonts w:asciiTheme="minorHAnsi" w:hAnsiTheme="minorHAnsi"/>
          <w:bCs/>
          <w:color w:val="auto"/>
        </w:rPr>
        <w:t xml:space="preserve"> </w:t>
      </w:r>
      <w:r>
        <w:rPr>
          <w:rFonts w:asciiTheme="minorHAnsi" w:hAnsiTheme="minorHAnsi"/>
          <w:bCs/>
          <w:color w:val="auto"/>
        </w:rPr>
        <w:t xml:space="preserve">the GoKP requested entities with accounts in commercial banks </w:t>
      </w:r>
      <w:r w:rsidRPr="001D0C27">
        <w:rPr>
          <w:rFonts w:asciiTheme="minorHAnsi" w:hAnsiTheme="minorHAnsi"/>
          <w:bCs/>
          <w:color w:val="auto"/>
        </w:rPr>
        <w:t xml:space="preserve">to submit monthly bank statements to </w:t>
      </w:r>
      <w:r w:rsidR="00AF46BE">
        <w:rPr>
          <w:rFonts w:asciiTheme="minorHAnsi" w:hAnsiTheme="minorHAnsi"/>
          <w:bCs/>
          <w:color w:val="auto"/>
        </w:rPr>
        <w:t xml:space="preserve">the </w:t>
      </w:r>
      <w:r w:rsidRPr="001D0C27">
        <w:rPr>
          <w:rFonts w:asciiTheme="minorHAnsi" w:hAnsiTheme="minorHAnsi"/>
          <w:bCs/>
          <w:color w:val="auto"/>
        </w:rPr>
        <w:t xml:space="preserve">FD. </w:t>
      </w:r>
    </w:p>
    <w:p w14:paraId="0311CCC9" w14:textId="76E0535B" w:rsidR="007C5BE3"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The Program supports targeted results of the GoKP in improving cash management.</w:t>
      </w:r>
      <w:r w:rsidRPr="003B22C9">
        <w:rPr>
          <w:rFonts w:asciiTheme="minorHAnsi" w:hAnsiTheme="minorHAnsi"/>
          <w:bCs/>
          <w:color w:val="auto"/>
        </w:rPr>
        <w:t xml:space="preserve"> The main results in this area will include </w:t>
      </w:r>
      <w:r>
        <w:rPr>
          <w:rFonts w:asciiTheme="minorHAnsi" w:hAnsiTheme="minorHAnsi"/>
          <w:bCs/>
          <w:color w:val="auto"/>
        </w:rPr>
        <w:t>regular</w:t>
      </w:r>
      <w:r w:rsidRPr="003B22C9">
        <w:rPr>
          <w:rFonts w:asciiTheme="minorHAnsi" w:hAnsiTheme="minorHAnsi"/>
          <w:bCs/>
          <w:color w:val="auto"/>
        </w:rPr>
        <w:t xml:space="preserve"> consolidation of </w:t>
      </w:r>
      <w:r w:rsidR="001A5E3B">
        <w:rPr>
          <w:rFonts w:asciiTheme="minorHAnsi" w:hAnsiTheme="minorHAnsi"/>
          <w:bCs/>
          <w:color w:val="auto"/>
        </w:rPr>
        <w:t xml:space="preserve">the </w:t>
      </w:r>
      <w:r w:rsidRPr="003B22C9">
        <w:rPr>
          <w:rFonts w:asciiTheme="minorHAnsi" w:hAnsiTheme="minorHAnsi"/>
          <w:bCs/>
          <w:color w:val="auto"/>
        </w:rPr>
        <w:t xml:space="preserve">GoKP cash balances under the TSA, the adoption of a cash management policy and revised accounting rules, and the preparation of cash plans to inform the release of budget funds to spending entities. The consolidation of cash balances </w:t>
      </w:r>
      <w:r>
        <w:rPr>
          <w:rFonts w:asciiTheme="minorHAnsi" w:hAnsiTheme="minorHAnsi"/>
          <w:bCs/>
          <w:color w:val="auto"/>
        </w:rPr>
        <w:t xml:space="preserve">by all government entities (except those </w:t>
      </w:r>
      <w:r w:rsidRPr="0076137E">
        <w:rPr>
          <w:rFonts w:asciiTheme="minorHAnsi" w:hAnsiTheme="minorHAnsi"/>
          <w:bCs/>
          <w:color w:val="auto"/>
        </w:rPr>
        <w:t xml:space="preserve">holding </w:t>
      </w:r>
      <w:r>
        <w:rPr>
          <w:rFonts w:asciiTheme="minorHAnsi" w:hAnsiTheme="minorHAnsi"/>
          <w:bCs/>
          <w:color w:val="auto"/>
        </w:rPr>
        <w:t>dedicated funds</w:t>
      </w:r>
      <w:r w:rsidRPr="0076137E">
        <w:rPr>
          <w:rFonts w:asciiTheme="minorHAnsi" w:hAnsiTheme="minorHAnsi"/>
          <w:bCs/>
          <w:color w:val="auto"/>
        </w:rPr>
        <w:t>, endowment funds, and monies parked in courts as a result of disputes</w:t>
      </w:r>
      <w:r>
        <w:rPr>
          <w:rFonts w:asciiTheme="minorHAnsi" w:hAnsiTheme="minorHAnsi"/>
          <w:bCs/>
          <w:color w:val="auto"/>
        </w:rPr>
        <w:t>)</w:t>
      </w:r>
      <w:r w:rsidRPr="0076137E">
        <w:rPr>
          <w:rFonts w:asciiTheme="minorHAnsi" w:hAnsiTheme="minorHAnsi"/>
          <w:bCs/>
          <w:color w:val="auto"/>
        </w:rPr>
        <w:t xml:space="preserve"> </w:t>
      </w:r>
      <w:r w:rsidRPr="003B22C9">
        <w:rPr>
          <w:rFonts w:asciiTheme="minorHAnsi" w:hAnsiTheme="minorHAnsi"/>
          <w:bCs/>
          <w:color w:val="auto"/>
        </w:rPr>
        <w:t xml:space="preserve">is expected to proceed </w:t>
      </w:r>
      <w:r w:rsidRPr="00AF410F">
        <w:rPr>
          <w:rFonts w:asciiTheme="minorHAnsi" w:hAnsiTheme="minorHAnsi"/>
          <w:bCs/>
          <w:color w:val="auto"/>
        </w:rPr>
        <w:t>in phase-wise frequency, starting with monthly</w:t>
      </w:r>
      <w:r w:rsidR="00AF410F" w:rsidRPr="00AF410F">
        <w:rPr>
          <w:rFonts w:asciiTheme="minorHAnsi" w:hAnsiTheme="minorHAnsi"/>
          <w:bCs/>
          <w:color w:val="auto"/>
        </w:rPr>
        <w:t xml:space="preserve"> </w:t>
      </w:r>
      <w:r w:rsidR="00AF410F">
        <w:rPr>
          <w:rFonts w:asciiTheme="minorHAnsi" w:hAnsiTheme="minorHAnsi"/>
          <w:bCs/>
          <w:color w:val="auto"/>
        </w:rPr>
        <w:t>consolidation</w:t>
      </w:r>
      <w:r w:rsidRPr="003B22C9">
        <w:rPr>
          <w:rFonts w:asciiTheme="minorHAnsi" w:hAnsiTheme="minorHAnsi"/>
          <w:bCs/>
          <w:color w:val="auto"/>
        </w:rPr>
        <w:t xml:space="preserve">, followed by </w:t>
      </w:r>
      <w:r>
        <w:rPr>
          <w:rFonts w:asciiTheme="minorHAnsi" w:hAnsiTheme="minorHAnsi"/>
          <w:bCs/>
          <w:color w:val="auto"/>
        </w:rPr>
        <w:t>fortnightly</w:t>
      </w:r>
      <w:r w:rsidR="00186627">
        <w:rPr>
          <w:rFonts w:asciiTheme="minorHAnsi" w:hAnsiTheme="minorHAnsi"/>
          <w:bCs/>
          <w:color w:val="auto"/>
        </w:rPr>
        <w:t>,</w:t>
      </w:r>
      <w:r>
        <w:rPr>
          <w:rFonts w:asciiTheme="minorHAnsi" w:hAnsiTheme="minorHAnsi"/>
          <w:bCs/>
          <w:color w:val="auto"/>
        </w:rPr>
        <w:t xml:space="preserve"> and leading to a weekly consolidation.</w:t>
      </w:r>
      <w:r w:rsidRPr="003B22C9">
        <w:rPr>
          <w:rFonts w:asciiTheme="minorHAnsi" w:hAnsiTheme="minorHAnsi"/>
          <w:bCs/>
          <w:color w:val="auto"/>
        </w:rPr>
        <w:t xml:space="preserve"> </w:t>
      </w:r>
      <w:r>
        <w:rPr>
          <w:rFonts w:asciiTheme="minorHAnsi" w:hAnsiTheme="minorHAnsi"/>
          <w:bCs/>
          <w:color w:val="auto"/>
        </w:rPr>
        <w:t xml:space="preserve">This </w:t>
      </w:r>
      <w:r w:rsidRPr="003B22C9">
        <w:rPr>
          <w:rFonts w:asciiTheme="minorHAnsi" w:hAnsiTheme="minorHAnsi"/>
          <w:bCs/>
          <w:color w:val="auto"/>
        </w:rPr>
        <w:t>consolidation of accounts will require the closure of all but a few accounts in commercial banks (</w:t>
      </w:r>
      <w:r w:rsidR="00186627">
        <w:rPr>
          <w:rFonts w:asciiTheme="minorHAnsi" w:hAnsiTheme="minorHAnsi"/>
          <w:bCs/>
          <w:color w:val="auto"/>
        </w:rPr>
        <w:t>for example,</w:t>
      </w:r>
      <w:r w:rsidRPr="003B22C9">
        <w:rPr>
          <w:rFonts w:asciiTheme="minorHAnsi" w:hAnsiTheme="minorHAnsi"/>
          <w:bCs/>
          <w:color w:val="auto"/>
        </w:rPr>
        <w:t xml:space="preserve"> those of special-purpose funds) so that government entities’ cash balances will be held in TSA</w:t>
      </w:r>
      <w:r w:rsidR="00186627">
        <w:rPr>
          <w:rFonts w:asciiTheme="minorHAnsi" w:hAnsiTheme="minorHAnsi"/>
          <w:bCs/>
          <w:color w:val="auto"/>
        </w:rPr>
        <w:t>-linked</w:t>
      </w:r>
      <w:r w:rsidRPr="003B22C9">
        <w:rPr>
          <w:rFonts w:asciiTheme="minorHAnsi" w:hAnsiTheme="minorHAnsi"/>
          <w:bCs/>
          <w:color w:val="auto"/>
        </w:rPr>
        <w:t xml:space="preserve"> subaccounts. In turn, all expenditures from these accounts will have to be recorded in the NFMIS. The GoKP may maintain </w:t>
      </w:r>
      <w:r w:rsidR="00186627">
        <w:rPr>
          <w:rFonts w:asciiTheme="minorHAnsi" w:hAnsiTheme="minorHAnsi"/>
          <w:bCs/>
          <w:color w:val="auto"/>
        </w:rPr>
        <w:t xml:space="preserve">a </w:t>
      </w:r>
      <w:r w:rsidRPr="003B22C9">
        <w:rPr>
          <w:rFonts w:asciiTheme="minorHAnsi" w:hAnsiTheme="minorHAnsi"/>
          <w:bCs/>
          <w:color w:val="auto"/>
        </w:rPr>
        <w:t>few ‘zero balance’ bank accounts authorized for specific purposes such as the collection of revenue receipts to be transferred to the TSA.</w:t>
      </w:r>
    </w:p>
    <w:p w14:paraId="5CE9DE76" w14:textId="4ACC93FB" w:rsidR="007C5BE3"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 xml:space="preserve">The Program also supports the plan of the GoKP to bring the accounts </w:t>
      </w:r>
      <w:r w:rsidRPr="007F373B">
        <w:rPr>
          <w:rFonts w:asciiTheme="minorHAnsi" w:hAnsiTheme="minorHAnsi"/>
          <w:b/>
          <w:bCs/>
          <w:color w:val="auto"/>
        </w:rPr>
        <w:t>for</w:t>
      </w:r>
      <w:r w:rsidRPr="003B22C9">
        <w:rPr>
          <w:rFonts w:asciiTheme="minorHAnsi" w:hAnsiTheme="minorHAnsi"/>
          <w:b/>
          <w:bCs/>
          <w:color w:val="auto"/>
        </w:rPr>
        <w:t xml:space="preserve"> municipal governments into the TSA and the NFMIS. </w:t>
      </w:r>
      <w:r w:rsidRPr="003B22C9">
        <w:rPr>
          <w:rFonts w:asciiTheme="minorHAnsi" w:hAnsiTheme="minorHAnsi"/>
          <w:bCs/>
          <w:color w:val="auto"/>
        </w:rPr>
        <w:t>KP will be the first province to fully extend the NFMIS to city governments (TMAs) and bring their accounts under the TSA. This measure is especially relevant in KP, given that local governments receive substantial financing from the provincial budget equal to at least 30 percent of the development budget. Bringing the municipal accounts in</w:t>
      </w:r>
      <w:r w:rsidR="00256679">
        <w:rPr>
          <w:rFonts w:asciiTheme="minorHAnsi" w:hAnsiTheme="minorHAnsi"/>
          <w:bCs/>
          <w:color w:val="auto"/>
        </w:rPr>
        <w:t>to</w:t>
      </w:r>
      <w:r w:rsidRPr="003B22C9">
        <w:rPr>
          <w:rFonts w:asciiTheme="minorHAnsi" w:hAnsiTheme="minorHAnsi"/>
          <w:bCs/>
          <w:color w:val="auto"/>
        </w:rPr>
        <w:t xml:space="preserve"> the TSA will make them part of the province’s consolidated cash balance and allow the FD to monitor their budget execution to inform releases of budget funds. The subaccounts for TMAs will be held under a new TSA main account, Account</w:t>
      </w:r>
      <w:r w:rsidR="00256679">
        <w:rPr>
          <w:rFonts w:asciiTheme="minorHAnsi" w:hAnsiTheme="minorHAnsi"/>
          <w:bCs/>
          <w:color w:val="auto"/>
        </w:rPr>
        <w:t>-</w:t>
      </w:r>
      <w:r w:rsidRPr="003B22C9">
        <w:rPr>
          <w:rFonts w:asciiTheme="minorHAnsi" w:hAnsiTheme="minorHAnsi"/>
          <w:bCs/>
          <w:color w:val="auto"/>
        </w:rPr>
        <w:t xml:space="preserve"> 5, and those for </w:t>
      </w:r>
      <w:r w:rsidR="00D416B3" w:rsidRPr="00A53C65">
        <w:rPr>
          <w:rFonts w:asciiTheme="minorHAnsi" w:hAnsiTheme="minorHAnsi" w:cstheme="minorHAnsi"/>
        </w:rPr>
        <w:t>Village/Neighborhood Councils</w:t>
      </w:r>
      <w:r w:rsidR="00D416B3" w:rsidRPr="003B22C9">
        <w:rPr>
          <w:rFonts w:asciiTheme="minorHAnsi" w:hAnsiTheme="minorHAnsi"/>
          <w:bCs/>
          <w:color w:val="auto"/>
        </w:rPr>
        <w:t xml:space="preserve"> </w:t>
      </w:r>
      <w:r w:rsidR="00D416B3">
        <w:rPr>
          <w:rFonts w:asciiTheme="minorHAnsi" w:hAnsiTheme="minorHAnsi"/>
          <w:bCs/>
          <w:color w:val="auto"/>
        </w:rPr>
        <w:t>(</w:t>
      </w:r>
      <w:r w:rsidRPr="003B22C9">
        <w:rPr>
          <w:rFonts w:asciiTheme="minorHAnsi" w:hAnsiTheme="minorHAnsi"/>
          <w:bCs/>
          <w:color w:val="auto"/>
        </w:rPr>
        <w:t>VCs/NCs</w:t>
      </w:r>
      <w:r w:rsidR="00D416B3">
        <w:rPr>
          <w:rFonts w:asciiTheme="minorHAnsi" w:hAnsiTheme="minorHAnsi"/>
          <w:bCs/>
          <w:color w:val="auto"/>
        </w:rPr>
        <w:t>)</w:t>
      </w:r>
      <w:r w:rsidRPr="003B22C9">
        <w:rPr>
          <w:rFonts w:asciiTheme="minorHAnsi" w:hAnsiTheme="minorHAnsi"/>
          <w:bCs/>
          <w:color w:val="auto"/>
        </w:rPr>
        <w:t xml:space="preserve"> in a new Account</w:t>
      </w:r>
      <w:r w:rsidR="00256679">
        <w:rPr>
          <w:rFonts w:asciiTheme="minorHAnsi" w:hAnsiTheme="minorHAnsi"/>
          <w:bCs/>
          <w:color w:val="auto"/>
        </w:rPr>
        <w:t>-</w:t>
      </w:r>
      <w:r w:rsidRPr="003B22C9">
        <w:rPr>
          <w:rFonts w:asciiTheme="minorHAnsi" w:hAnsiTheme="minorHAnsi"/>
          <w:bCs/>
          <w:color w:val="auto"/>
        </w:rPr>
        <w:t xml:space="preserve">6. The NFMIS is due to be gradually rolled out to TMAs, which will then be able to upload their budgets and make in-year </w:t>
      </w:r>
      <w:r w:rsidRPr="00A71E45">
        <w:rPr>
          <w:rFonts w:asciiTheme="minorHAnsi" w:hAnsiTheme="minorHAnsi"/>
          <w:bCs/>
          <w:color w:val="auto"/>
        </w:rPr>
        <w:t>re</w:t>
      </w:r>
      <w:r w:rsidR="0001439B">
        <w:rPr>
          <w:rFonts w:asciiTheme="minorHAnsi" w:hAnsiTheme="minorHAnsi"/>
          <w:bCs/>
          <w:color w:val="auto"/>
        </w:rPr>
        <w:t>-</w:t>
      </w:r>
      <w:r w:rsidRPr="00A71E45">
        <w:rPr>
          <w:rFonts w:asciiTheme="minorHAnsi" w:hAnsiTheme="minorHAnsi"/>
          <w:bCs/>
          <w:color w:val="auto"/>
        </w:rPr>
        <w:t>ap</w:t>
      </w:r>
      <w:r w:rsidRPr="003B22C9">
        <w:rPr>
          <w:rFonts w:asciiTheme="minorHAnsi" w:hAnsiTheme="minorHAnsi"/>
          <w:bCs/>
          <w:color w:val="auto"/>
        </w:rPr>
        <w:t xml:space="preserve">propriations in the NFMIS with support from the Accountant General’s office. The Accountant General’s office, through satellite </w:t>
      </w:r>
      <w:r w:rsidR="00186627">
        <w:rPr>
          <w:rFonts w:asciiTheme="minorHAnsi" w:hAnsiTheme="minorHAnsi"/>
          <w:bCs/>
          <w:color w:val="auto"/>
        </w:rPr>
        <w:t>d</w:t>
      </w:r>
      <w:r w:rsidRPr="003B22C9">
        <w:rPr>
          <w:rFonts w:asciiTheme="minorHAnsi" w:hAnsiTheme="minorHAnsi"/>
          <w:bCs/>
          <w:color w:val="auto"/>
        </w:rPr>
        <w:t xml:space="preserve">istrict and/or TMA accounting units, will be able to record </w:t>
      </w:r>
      <w:r w:rsidR="00186627">
        <w:rPr>
          <w:rFonts w:asciiTheme="minorHAnsi" w:hAnsiTheme="minorHAnsi"/>
          <w:bCs/>
          <w:color w:val="auto"/>
        </w:rPr>
        <w:t xml:space="preserve">the </w:t>
      </w:r>
      <w:r w:rsidRPr="003B22C9">
        <w:rPr>
          <w:rFonts w:asciiTheme="minorHAnsi" w:hAnsiTheme="minorHAnsi"/>
          <w:bCs/>
          <w:color w:val="auto"/>
        </w:rPr>
        <w:t>TMAs’ expenditures in detail in the NFMIS, thereby providing much more granular information on the utilization of municipal budgets.</w:t>
      </w:r>
      <w:r w:rsidR="00C225E8">
        <w:rPr>
          <w:rFonts w:asciiTheme="minorHAnsi" w:hAnsiTheme="minorHAnsi"/>
          <w:bCs/>
          <w:color w:val="auto"/>
        </w:rPr>
        <w:t xml:space="preserve"> </w:t>
      </w:r>
    </w:p>
    <w:p w14:paraId="13082B7D" w14:textId="1D7AB0D2" w:rsidR="007C5BE3"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The Program’s results also target improvements in the management of another important financial resource, the KP special-purpose funds.</w:t>
      </w:r>
      <w:r w:rsidRPr="003B22C9">
        <w:rPr>
          <w:rFonts w:asciiTheme="minorHAnsi" w:hAnsiTheme="minorHAnsi"/>
          <w:bCs/>
          <w:color w:val="auto"/>
        </w:rPr>
        <w:t xml:space="preserve"> These funds consist of the Hydroelectricity Development Fund (HDF, also known as the Hydel Fund), the Pension Fund, and the General Provident Investment Fund (GPIF). The purpose of the HDF is to finance new investments in hydropower, including as co-financing for potential </w:t>
      </w:r>
      <w:r w:rsidR="00395C40">
        <w:rPr>
          <w:rFonts w:asciiTheme="minorHAnsi" w:hAnsiTheme="minorHAnsi"/>
          <w:bCs/>
          <w:color w:val="auto"/>
        </w:rPr>
        <w:t>p</w:t>
      </w:r>
      <w:r w:rsidRPr="00395C40">
        <w:rPr>
          <w:rFonts w:asciiTheme="minorHAnsi" w:hAnsiTheme="minorHAnsi"/>
          <w:bCs/>
          <w:color w:val="auto"/>
        </w:rPr>
        <w:t>ublic</w:t>
      </w:r>
      <w:r w:rsidR="00186627" w:rsidRPr="00395C40">
        <w:rPr>
          <w:rFonts w:asciiTheme="minorHAnsi" w:hAnsiTheme="minorHAnsi"/>
          <w:bCs/>
          <w:color w:val="auto"/>
        </w:rPr>
        <w:t>-</w:t>
      </w:r>
      <w:r w:rsidR="00395C40">
        <w:rPr>
          <w:rFonts w:asciiTheme="minorHAnsi" w:hAnsiTheme="minorHAnsi"/>
          <w:bCs/>
          <w:color w:val="auto"/>
        </w:rPr>
        <w:t>p</w:t>
      </w:r>
      <w:r w:rsidRPr="00395C40">
        <w:rPr>
          <w:rFonts w:asciiTheme="minorHAnsi" w:hAnsiTheme="minorHAnsi"/>
          <w:bCs/>
          <w:color w:val="auto"/>
        </w:rPr>
        <w:t xml:space="preserve">rivate </w:t>
      </w:r>
      <w:r w:rsidR="00395C40">
        <w:rPr>
          <w:rFonts w:asciiTheme="minorHAnsi" w:hAnsiTheme="minorHAnsi"/>
          <w:bCs/>
          <w:color w:val="auto"/>
        </w:rPr>
        <w:t>p</w:t>
      </w:r>
      <w:r w:rsidRPr="00395C40">
        <w:rPr>
          <w:rFonts w:asciiTheme="minorHAnsi" w:hAnsiTheme="minorHAnsi"/>
          <w:bCs/>
          <w:color w:val="auto"/>
        </w:rPr>
        <w:t>artnership</w:t>
      </w:r>
      <w:r w:rsidRPr="003B22C9">
        <w:rPr>
          <w:rFonts w:asciiTheme="minorHAnsi" w:hAnsiTheme="minorHAnsi"/>
          <w:bCs/>
          <w:color w:val="auto"/>
        </w:rPr>
        <w:t xml:space="preserve"> (PPP) projects. At present, the HDF has no liabilities, though fiscal risks could arise from future PPPs. The main issue for the HDF is therefore to diversify its investment instruments to generate more income while managing portfolio risks. It is also important to increase transparency of the HDF through detailed financial reporting to build confidence among citizens and prospective investors. The Program will therefore support improved financial reporting and disclosure for these three funds. </w:t>
      </w:r>
    </w:p>
    <w:p w14:paraId="3B7923FE" w14:textId="06DE2296" w:rsidR="007C5BE3"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 xml:space="preserve">In the case of </w:t>
      </w:r>
      <w:r w:rsidR="00186627">
        <w:rPr>
          <w:rFonts w:asciiTheme="minorHAnsi" w:hAnsiTheme="minorHAnsi"/>
          <w:b/>
          <w:bCs/>
          <w:color w:val="auto"/>
        </w:rPr>
        <w:t xml:space="preserve">the </w:t>
      </w:r>
      <w:r w:rsidRPr="003B22C9">
        <w:rPr>
          <w:rFonts w:asciiTheme="minorHAnsi" w:hAnsiTheme="minorHAnsi"/>
          <w:b/>
          <w:bCs/>
          <w:color w:val="auto"/>
        </w:rPr>
        <w:t>Pension Fund, the main issue is to ensure adequate resources to match ballooning liabilities.</w:t>
      </w:r>
      <w:r w:rsidRPr="003B22C9">
        <w:rPr>
          <w:rFonts w:asciiTheme="minorHAnsi" w:hAnsiTheme="minorHAnsi"/>
          <w:bCs/>
          <w:color w:val="auto"/>
        </w:rPr>
        <w:t xml:space="preserve"> </w:t>
      </w:r>
      <w:r>
        <w:rPr>
          <w:rFonts w:asciiTheme="minorHAnsi" w:hAnsiTheme="minorHAnsi"/>
          <w:bCs/>
          <w:color w:val="auto"/>
        </w:rPr>
        <w:t xml:space="preserve">The policy framework on </w:t>
      </w:r>
      <w:r w:rsidRPr="008F408E">
        <w:rPr>
          <w:rFonts w:asciiTheme="minorHAnsi" w:hAnsiTheme="minorHAnsi"/>
          <w:bCs/>
          <w:color w:val="auto"/>
        </w:rPr>
        <w:t xml:space="preserve">pension </w:t>
      </w:r>
      <w:r>
        <w:rPr>
          <w:rFonts w:asciiTheme="minorHAnsi" w:hAnsiTheme="minorHAnsi"/>
          <w:bCs/>
          <w:color w:val="auto"/>
        </w:rPr>
        <w:t>obligations</w:t>
      </w:r>
      <w:r w:rsidRPr="008F408E">
        <w:rPr>
          <w:rFonts w:asciiTheme="minorHAnsi" w:hAnsiTheme="minorHAnsi"/>
          <w:bCs/>
          <w:color w:val="auto"/>
        </w:rPr>
        <w:t xml:space="preserve"> </w:t>
      </w:r>
      <w:r>
        <w:rPr>
          <w:rFonts w:asciiTheme="minorHAnsi" w:hAnsiTheme="minorHAnsi"/>
          <w:bCs/>
          <w:color w:val="auto"/>
        </w:rPr>
        <w:t xml:space="preserve">is a federal responsibility. Provinces typically follow suit and, in some cases, announce generous increases in pension benefits </w:t>
      </w:r>
      <w:r w:rsidRPr="003B22C9">
        <w:rPr>
          <w:rFonts w:asciiTheme="minorHAnsi" w:hAnsiTheme="minorHAnsi"/>
          <w:bCs/>
          <w:color w:val="auto"/>
        </w:rPr>
        <w:t>(</w:t>
      </w:r>
      <w:r w:rsidR="00186627">
        <w:rPr>
          <w:rFonts w:asciiTheme="minorHAnsi" w:hAnsiTheme="minorHAnsi"/>
          <w:bCs/>
          <w:color w:val="auto"/>
        </w:rPr>
        <w:t>for example</w:t>
      </w:r>
      <w:r w:rsidRPr="003B22C9">
        <w:rPr>
          <w:rFonts w:asciiTheme="minorHAnsi" w:hAnsiTheme="minorHAnsi"/>
          <w:bCs/>
          <w:color w:val="auto"/>
        </w:rPr>
        <w:t xml:space="preserve">, </w:t>
      </w:r>
      <w:r w:rsidR="00186627">
        <w:rPr>
          <w:rFonts w:asciiTheme="minorHAnsi" w:hAnsiTheme="minorHAnsi"/>
          <w:bCs/>
          <w:color w:val="auto"/>
        </w:rPr>
        <w:lastRenderedPageBreak/>
        <w:t xml:space="preserve">the </w:t>
      </w:r>
      <w:r>
        <w:rPr>
          <w:rFonts w:asciiTheme="minorHAnsi" w:hAnsiTheme="minorHAnsi"/>
          <w:bCs/>
          <w:color w:val="auto"/>
        </w:rPr>
        <w:t xml:space="preserve">GoKP announced a </w:t>
      </w:r>
      <w:r w:rsidRPr="003B22C9">
        <w:rPr>
          <w:rFonts w:asciiTheme="minorHAnsi" w:hAnsiTheme="minorHAnsi"/>
          <w:bCs/>
          <w:color w:val="auto"/>
        </w:rPr>
        <w:t xml:space="preserve">15 percent </w:t>
      </w:r>
      <w:r>
        <w:rPr>
          <w:rFonts w:asciiTheme="minorHAnsi" w:hAnsiTheme="minorHAnsi"/>
          <w:bCs/>
          <w:color w:val="auto"/>
        </w:rPr>
        <w:t xml:space="preserve">increase </w:t>
      </w:r>
      <w:r w:rsidRPr="003B22C9">
        <w:rPr>
          <w:rFonts w:asciiTheme="minorHAnsi" w:hAnsiTheme="minorHAnsi"/>
          <w:bCs/>
          <w:color w:val="auto"/>
        </w:rPr>
        <w:t xml:space="preserve">in </w:t>
      </w:r>
      <w:r w:rsidRPr="00A71E45">
        <w:rPr>
          <w:rFonts w:asciiTheme="minorHAnsi" w:hAnsiTheme="minorHAnsi"/>
          <w:bCs/>
          <w:color w:val="auto"/>
        </w:rPr>
        <w:t>FY2016/17</w:t>
      </w:r>
      <w:r>
        <w:rPr>
          <w:rFonts w:asciiTheme="minorHAnsi" w:hAnsiTheme="minorHAnsi"/>
          <w:bCs/>
          <w:color w:val="auto"/>
        </w:rPr>
        <w:t xml:space="preserve"> while the </w:t>
      </w:r>
      <w:r w:rsidRPr="007F373B">
        <w:rPr>
          <w:rFonts w:asciiTheme="minorHAnsi" w:hAnsiTheme="minorHAnsi"/>
          <w:bCs/>
          <w:color w:val="auto"/>
        </w:rPr>
        <w:t>federal government</w:t>
      </w:r>
      <w:r>
        <w:rPr>
          <w:rFonts w:asciiTheme="minorHAnsi" w:hAnsiTheme="minorHAnsi"/>
          <w:bCs/>
          <w:color w:val="auto"/>
        </w:rPr>
        <w:t xml:space="preserve"> had announced 10 percent</w:t>
      </w:r>
      <w:r w:rsidRPr="003B22C9">
        <w:rPr>
          <w:rFonts w:asciiTheme="minorHAnsi" w:hAnsiTheme="minorHAnsi"/>
          <w:bCs/>
          <w:color w:val="auto"/>
        </w:rPr>
        <w:t>)</w:t>
      </w:r>
      <w:r>
        <w:rPr>
          <w:rFonts w:asciiTheme="minorHAnsi" w:hAnsiTheme="minorHAnsi"/>
          <w:bCs/>
          <w:color w:val="auto"/>
        </w:rPr>
        <w:t>. However, undertaking pension reforms is a larger subject and requires coordination across federating units. However,</w:t>
      </w:r>
      <w:r w:rsidRPr="008F408E">
        <w:rPr>
          <w:rFonts w:asciiTheme="minorHAnsi" w:hAnsiTheme="minorHAnsi"/>
          <w:bCs/>
          <w:color w:val="auto"/>
        </w:rPr>
        <w:t xml:space="preserve"> </w:t>
      </w:r>
      <w:r>
        <w:rPr>
          <w:rFonts w:asciiTheme="minorHAnsi" w:hAnsiTheme="minorHAnsi"/>
          <w:bCs/>
          <w:color w:val="auto"/>
        </w:rPr>
        <w:t xml:space="preserve">provinces are responsible for </w:t>
      </w:r>
      <w:r w:rsidRPr="008F408E">
        <w:rPr>
          <w:rFonts w:asciiTheme="minorHAnsi" w:hAnsiTheme="minorHAnsi"/>
          <w:bCs/>
          <w:color w:val="auto"/>
        </w:rPr>
        <w:t xml:space="preserve">pension </w:t>
      </w:r>
      <w:r>
        <w:rPr>
          <w:rFonts w:asciiTheme="minorHAnsi" w:hAnsiTheme="minorHAnsi"/>
          <w:bCs/>
          <w:color w:val="auto"/>
        </w:rPr>
        <w:t xml:space="preserve">payments from their budgets. To effectively manage these liabilities, the GoKP established a Pension Fund in 1998. </w:t>
      </w:r>
      <w:r w:rsidRPr="003B22C9">
        <w:rPr>
          <w:rFonts w:asciiTheme="minorHAnsi" w:hAnsiTheme="minorHAnsi"/>
          <w:bCs/>
          <w:color w:val="auto"/>
        </w:rPr>
        <w:t>Th</w:t>
      </w:r>
      <w:r>
        <w:rPr>
          <w:rFonts w:asciiTheme="minorHAnsi" w:hAnsiTheme="minorHAnsi"/>
          <w:bCs/>
          <w:color w:val="auto"/>
        </w:rPr>
        <w:t>is</w:t>
      </w:r>
      <w:r w:rsidRPr="003B22C9">
        <w:rPr>
          <w:rFonts w:asciiTheme="minorHAnsi" w:hAnsiTheme="minorHAnsi"/>
          <w:bCs/>
          <w:color w:val="auto"/>
        </w:rPr>
        <w:t xml:space="preserve"> fund </w:t>
      </w:r>
      <w:r>
        <w:rPr>
          <w:rFonts w:asciiTheme="minorHAnsi" w:hAnsiTheme="minorHAnsi"/>
          <w:bCs/>
          <w:color w:val="auto"/>
        </w:rPr>
        <w:t>is</w:t>
      </w:r>
      <w:r w:rsidRPr="003B22C9">
        <w:rPr>
          <w:rFonts w:asciiTheme="minorHAnsi" w:hAnsiTheme="minorHAnsi"/>
          <w:bCs/>
          <w:color w:val="auto"/>
        </w:rPr>
        <w:t xml:space="preserve"> financed through</w:t>
      </w:r>
      <w:r>
        <w:rPr>
          <w:rFonts w:asciiTheme="minorHAnsi" w:hAnsiTheme="minorHAnsi"/>
          <w:bCs/>
          <w:color w:val="auto"/>
        </w:rPr>
        <w:t xml:space="preserve"> equity injections</w:t>
      </w:r>
      <w:r w:rsidRPr="003B22C9">
        <w:rPr>
          <w:rFonts w:asciiTheme="minorHAnsi" w:hAnsiTheme="minorHAnsi"/>
          <w:bCs/>
          <w:color w:val="auto"/>
        </w:rPr>
        <w:t xml:space="preserve"> from the GoKP budget</w:t>
      </w:r>
      <w:r w:rsidR="00186627">
        <w:rPr>
          <w:rFonts w:asciiTheme="minorHAnsi" w:hAnsiTheme="minorHAnsi"/>
          <w:bCs/>
          <w:color w:val="auto"/>
        </w:rPr>
        <w:t>,</w:t>
      </w:r>
      <w:r>
        <w:rPr>
          <w:rFonts w:asciiTheme="minorHAnsi" w:hAnsiTheme="minorHAnsi"/>
          <w:bCs/>
          <w:color w:val="auto"/>
        </w:rPr>
        <w:t xml:space="preserve"> but these transfers have historically been miniscule and sporadic</w:t>
      </w:r>
      <w:r w:rsidRPr="003B22C9">
        <w:rPr>
          <w:rFonts w:asciiTheme="minorHAnsi" w:hAnsiTheme="minorHAnsi"/>
          <w:bCs/>
          <w:color w:val="auto"/>
        </w:rPr>
        <w:t xml:space="preserve">. </w:t>
      </w:r>
      <w:r>
        <w:rPr>
          <w:rFonts w:asciiTheme="minorHAnsi" w:hAnsiTheme="minorHAnsi"/>
          <w:bCs/>
          <w:color w:val="auto"/>
        </w:rPr>
        <w:t xml:space="preserve">Over the last five years, the GoKP </w:t>
      </w:r>
      <w:r w:rsidR="00186627">
        <w:rPr>
          <w:rFonts w:asciiTheme="minorHAnsi" w:hAnsiTheme="minorHAnsi"/>
          <w:bCs/>
          <w:color w:val="auto"/>
        </w:rPr>
        <w:t xml:space="preserve">has </w:t>
      </w:r>
      <w:r>
        <w:rPr>
          <w:rFonts w:asciiTheme="minorHAnsi" w:hAnsiTheme="minorHAnsi"/>
          <w:bCs/>
          <w:color w:val="auto"/>
        </w:rPr>
        <w:t xml:space="preserve">injected PKR 2.5 billion on average. </w:t>
      </w:r>
      <w:r w:rsidRPr="003B22C9">
        <w:rPr>
          <w:rFonts w:asciiTheme="minorHAnsi" w:hAnsiTheme="minorHAnsi"/>
          <w:bCs/>
          <w:color w:val="auto"/>
        </w:rPr>
        <w:t>The</w:t>
      </w:r>
      <w:r>
        <w:rPr>
          <w:rFonts w:asciiTheme="minorHAnsi" w:hAnsiTheme="minorHAnsi"/>
          <w:bCs/>
          <w:color w:val="auto"/>
        </w:rPr>
        <w:t xml:space="preserve"> pension</w:t>
      </w:r>
      <w:r w:rsidRPr="003B22C9">
        <w:rPr>
          <w:rFonts w:asciiTheme="minorHAnsi" w:hAnsiTheme="minorHAnsi"/>
          <w:bCs/>
          <w:color w:val="auto"/>
        </w:rPr>
        <w:t xml:space="preserve"> liabilities have</w:t>
      </w:r>
      <w:r>
        <w:rPr>
          <w:rFonts w:asciiTheme="minorHAnsi" w:hAnsiTheme="minorHAnsi"/>
          <w:bCs/>
          <w:color w:val="auto"/>
        </w:rPr>
        <w:t>,</w:t>
      </w:r>
      <w:r w:rsidRPr="003B22C9">
        <w:rPr>
          <w:rFonts w:asciiTheme="minorHAnsi" w:hAnsiTheme="minorHAnsi"/>
          <w:bCs/>
          <w:color w:val="auto"/>
        </w:rPr>
        <w:t xml:space="preserve"> however</w:t>
      </w:r>
      <w:r>
        <w:rPr>
          <w:rFonts w:asciiTheme="minorHAnsi" w:hAnsiTheme="minorHAnsi"/>
          <w:bCs/>
          <w:color w:val="auto"/>
        </w:rPr>
        <w:t>,</w:t>
      </w:r>
      <w:r w:rsidRPr="003B22C9">
        <w:rPr>
          <w:rFonts w:asciiTheme="minorHAnsi" w:hAnsiTheme="minorHAnsi"/>
          <w:bCs/>
          <w:color w:val="auto"/>
        </w:rPr>
        <w:t xml:space="preserve"> grow</w:t>
      </w:r>
      <w:r>
        <w:rPr>
          <w:rFonts w:asciiTheme="minorHAnsi" w:hAnsiTheme="minorHAnsi"/>
          <w:bCs/>
          <w:color w:val="auto"/>
        </w:rPr>
        <w:t xml:space="preserve">n faster than the holding of </w:t>
      </w:r>
      <w:r w:rsidR="00186627">
        <w:rPr>
          <w:rFonts w:asciiTheme="minorHAnsi" w:hAnsiTheme="minorHAnsi"/>
          <w:bCs/>
          <w:color w:val="auto"/>
        </w:rPr>
        <w:t xml:space="preserve">the </w:t>
      </w:r>
      <w:r>
        <w:rPr>
          <w:rFonts w:asciiTheme="minorHAnsi" w:hAnsiTheme="minorHAnsi"/>
          <w:bCs/>
          <w:color w:val="auto"/>
        </w:rPr>
        <w:t xml:space="preserve">Pension Fund (estimated at PKR 40 billion as of end-June 2018) that is not enough to cover just an annual payout (PKR 60 billion estimated for </w:t>
      </w:r>
      <w:r w:rsidRPr="00A71E45">
        <w:rPr>
          <w:rFonts w:asciiTheme="minorHAnsi" w:hAnsiTheme="minorHAnsi"/>
          <w:bCs/>
          <w:color w:val="auto"/>
        </w:rPr>
        <w:t>FY2018/19</w:t>
      </w:r>
      <w:r>
        <w:rPr>
          <w:rFonts w:asciiTheme="minorHAnsi" w:hAnsiTheme="minorHAnsi"/>
          <w:bCs/>
          <w:color w:val="auto"/>
        </w:rPr>
        <w:t>)</w:t>
      </w:r>
      <w:r w:rsidRPr="003B22C9">
        <w:rPr>
          <w:rFonts w:asciiTheme="minorHAnsi" w:hAnsiTheme="minorHAnsi"/>
          <w:bCs/>
          <w:color w:val="auto"/>
        </w:rPr>
        <w:t xml:space="preserve">. </w:t>
      </w:r>
      <w:r>
        <w:rPr>
          <w:rFonts w:asciiTheme="minorHAnsi" w:hAnsiTheme="minorHAnsi"/>
          <w:bCs/>
          <w:color w:val="auto"/>
        </w:rPr>
        <w:t>Moreover, t</w:t>
      </w:r>
      <w:r w:rsidRPr="003B22C9">
        <w:rPr>
          <w:rFonts w:asciiTheme="minorHAnsi" w:hAnsiTheme="minorHAnsi"/>
          <w:bCs/>
          <w:color w:val="auto"/>
        </w:rPr>
        <w:t xml:space="preserve">he GoKP has followed a deliberately conservative investment policy to minimize the risk of principal losses by placing most </w:t>
      </w:r>
      <w:r>
        <w:rPr>
          <w:rFonts w:asciiTheme="minorHAnsi" w:hAnsiTheme="minorHAnsi"/>
          <w:bCs/>
          <w:color w:val="auto"/>
        </w:rPr>
        <w:t xml:space="preserve">of </w:t>
      </w:r>
      <w:r w:rsidRPr="003B22C9">
        <w:rPr>
          <w:rFonts w:asciiTheme="minorHAnsi" w:hAnsiTheme="minorHAnsi"/>
          <w:bCs/>
          <w:color w:val="auto"/>
        </w:rPr>
        <w:t xml:space="preserve">the funds’ resources in short-term instruments, notably government securities and </w:t>
      </w:r>
      <w:r>
        <w:rPr>
          <w:rFonts w:asciiTheme="minorHAnsi" w:hAnsiTheme="minorHAnsi"/>
          <w:bCs/>
          <w:color w:val="auto"/>
        </w:rPr>
        <w:t>deposits</w:t>
      </w:r>
      <w:r w:rsidRPr="003B22C9">
        <w:rPr>
          <w:rFonts w:asciiTheme="minorHAnsi" w:hAnsiTheme="minorHAnsi"/>
          <w:bCs/>
          <w:color w:val="auto"/>
        </w:rPr>
        <w:t xml:space="preserve"> in </w:t>
      </w:r>
      <w:r>
        <w:rPr>
          <w:rFonts w:asciiTheme="minorHAnsi" w:hAnsiTheme="minorHAnsi"/>
          <w:bCs/>
          <w:color w:val="auto"/>
        </w:rPr>
        <w:t xml:space="preserve">the Bank of </w:t>
      </w:r>
      <w:r w:rsidRPr="003B22C9">
        <w:rPr>
          <w:rFonts w:asciiTheme="minorHAnsi" w:hAnsiTheme="minorHAnsi"/>
          <w:bCs/>
          <w:color w:val="auto"/>
        </w:rPr>
        <w:t xml:space="preserve">Khyber. As a result, the returns on these funds’ capital have been modest. At the same time, the reliance on short-term investments does not match these funds’ long-term obligations, and the concentration of investments </w:t>
      </w:r>
      <w:r>
        <w:rPr>
          <w:rFonts w:asciiTheme="minorHAnsi" w:hAnsiTheme="minorHAnsi"/>
          <w:bCs/>
          <w:color w:val="auto"/>
        </w:rPr>
        <w:t>is not</w:t>
      </w:r>
      <w:r w:rsidRPr="003B22C9">
        <w:rPr>
          <w:rFonts w:asciiTheme="minorHAnsi" w:hAnsiTheme="minorHAnsi"/>
          <w:bCs/>
          <w:color w:val="auto"/>
        </w:rPr>
        <w:t xml:space="preserve"> optimal from a risk management perspective. In addition to </w:t>
      </w:r>
      <w:r>
        <w:rPr>
          <w:rFonts w:asciiTheme="minorHAnsi" w:hAnsiTheme="minorHAnsi"/>
          <w:bCs/>
          <w:color w:val="auto"/>
        </w:rPr>
        <w:t xml:space="preserve">strengthening institutional framework and </w:t>
      </w:r>
      <w:r w:rsidRPr="003B22C9">
        <w:rPr>
          <w:rFonts w:asciiTheme="minorHAnsi" w:hAnsiTheme="minorHAnsi"/>
          <w:bCs/>
          <w:color w:val="auto"/>
        </w:rPr>
        <w:t>improved reporting and disclosure, the Program will support an actuarial analysis of pension liabilities, which will inform a financing strategy to cover the Pension Fund’s future obligations</w:t>
      </w:r>
      <w:r>
        <w:rPr>
          <w:rFonts w:asciiTheme="minorHAnsi" w:hAnsiTheme="minorHAnsi"/>
          <w:bCs/>
          <w:color w:val="auto"/>
        </w:rPr>
        <w:t xml:space="preserve"> and ensure a conservative level of equity injection during the life of the Program</w:t>
      </w:r>
      <w:r w:rsidRPr="003B22C9">
        <w:rPr>
          <w:rFonts w:asciiTheme="minorHAnsi" w:hAnsiTheme="minorHAnsi"/>
          <w:bCs/>
          <w:color w:val="auto"/>
        </w:rPr>
        <w:t>.</w:t>
      </w:r>
      <w:r>
        <w:rPr>
          <w:rFonts w:asciiTheme="minorHAnsi" w:hAnsiTheme="minorHAnsi"/>
          <w:bCs/>
          <w:color w:val="auto"/>
        </w:rPr>
        <w:t xml:space="preserve"> Once the results of the actuarial analysis are out, </w:t>
      </w:r>
      <w:r w:rsidR="00186627">
        <w:rPr>
          <w:rFonts w:asciiTheme="minorHAnsi" w:hAnsiTheme="minorHAnsi"/>
          <w:bCs/>
          <w:color w:val="auto"/>
        </w:rPr>
        <w:t xml:space="preserve">the </w:t>
      </w:r>
      <w:r>
        <w:rPr>
          <w:rFonts w:asciiTheme="minorHAnsi" w:hAnsiTheme="minorHAnsi"/>
          <w:bCs/>
          <w:color w:val="auto"/>
        </w:rPr>
        <w:t xml:space="preserve">GoKP may consider revisiting these levels to adequately cover for the estimated pension liabilities. </w:t>
      </w:r>
    </w:p>
    <w:p w14:paraId="316688FD" w14:textId="3F8EB108" w:rsidR="007C5BE3"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 xml:space="preserve">Finally, the Program targets improvements in the quality of development expenditure by increasing the focus on capital investment and strengthening planning and appraisal. </w:t>
      </w:r>
      <w:r w:rsidRPr="003B22C9">
        <w:rPr>
          <w:rFonts w:asciiTheme="minorHAnsi" w:hAnsiTheme="minorHAnsi"/>
          <w:bCs/>
          <w:color w:val="auto"/>
        </w:rPr>
        <w:t xml:space="preserve">The World Bank has conducted an analysis of the province’s development expenditure, which shows that just under half of the </w:t>
      </w:r>
      <w:r w:rsidR="00F349AA">
        <w:rPr>
          <w:rFonts w:asciiTheme="minorHAnsi" w:hAnsiTheme="minorHAnsi"/>
          <w:bCs/>
          <w:color w:val="auto"/>
        </w:rPr>
        <w:t>Annual Development Plan (</w:t>
      </w:r>
      <w:r w:rsidRPr="00395C40">
        <w:rPr>
          <w:rFonts w:asciiTheme="minorHAnsi" w:hAnsiTheme="minorHAnsi"/>
          <w:bCs/>
          <w:color w:val="auto"/>
        </w:rPr>
        <w:t>ADP</w:t>
      </w:r>
      <w:r w:rsidR="00F349AA">
        <w:rPr>
          <w:rFonts w:asciiTheme="minorHAnsi" w:hAnsiTheme="minorHAnsi"/>
          <w:bCs/>
          <w:color w:val="auto"/>
        </w:rPr>
        <w:t>)</w:t>
      </w:r>
      <w:r w:rsidRPr="003B22C9">
        <w:rPr>
          <w:rFonts w:asciiTheme="minorHAnsi" w:hAnsiTheme="minorHAnsi"/>
          <w:bCs/>
          <w:color w:val="auto"/>
        </w:rPr>
        <w:t xml:space="preserve"> is spent on capital investment, </w:t>
      </w:r>
      <w:r w:rsidR="00186627">
        <w:rPr>
          <w:rFonts w:asciiTheme="minorHAnsi" w:hAnsiTheme="minorHAnsi"/>
          <w:bCs/>
          <w:color w:val="auto"/>
        </w:rPr>
        <w:t>that is,</w:t>
      </w:r>
      <w:r w:rsidRPr="003B22C9">
        <w:rPr>
          <w:rFonts w:asciiTheme="minorHAnsi" w:hAnsiTheme="minorHAnsi"/>
          <w:bCs/>
          <w:color w:val="auto"/>
        </w:rPr>
        <w:t xml:space="preserve"> on new fixed assets such as new infrastructure, durable equipment, and ICT systems. </w:t>
      </w:r>
      <w:r w:rsidRPr="00D827AB">
        <w:rPr>
          <w:rFonts w:asciiTheme="minorHAnsi" w:hAnsiTheme="minorHAnsi"/>
          <w:bCs/>
          <w:color w:val="auto"/>
        </w:rPr>
        <w:t>Like</w:t>
      </w:r>
      <w:r w:rsidRPr="003B22C9">
        <w:rPr>
          <w:rFonts w:asciiTheme="minorHAnsi" w:hAnsiTheme="minorHAnsi"/>
          <w:bCs/>
          <w:color w:val="auto"/>
        </w:rPr>
        <w:t xml:space="preserve"> in other provinces, the ADP also includes some recurrent expenditures such as social transfers (</w:t>
      </w:r>
      <w:r w:rsidR="00186627">
        <w:rPr>
          <w:rFonts w:asciiTheme="minorHAnsi" w:hAnsiTheme="minorHAnsi"/>
          <w:bCs/>
          <w:color w:val="auto"/>
        </w:rPr>
        <w:t>for example</w:t>
      </w:r>
      <w:r w:rsidRPr="003B22C9">
        <w:rPr>
          <w:rFonts w:asciiTheme="minorHAnsi" w:hAnsiTheme="minorHAnsi"/>
          <w:bCs/>
          <w:color w:val="auto"/>
        </w:rPr>
        <w:t>, subsidies to farmers, scholarships), repairs of existing infrastructure, and salary and operational costs of administrative units that are not part of approved organograms. While such expenditures may be well justified, their inclusion in the ADP makes it difficult to measure spending on new infrastructure</w:t>
      </w:r>
      <w:r w:rsidR="00186627">
        <w:rPr>
          <w:rFonts w:asciiTheme="minorHAnsi" w:hAnsiTheme="minorHAnsi"/>
          <w:bCs/>
          <w:color w:val="auto"/>
        </w:rPr>
        <w:t>—</w:t>
      </w:r>
      <w:r w:rsidRPr="003B22C9">
        <w:rPr>
          <w:rFonts w:asciiTheme="minorHAnsi" w:hAnsiTheme="minorHAnsi"/>
          <w:bCs/>
          <w:color w:val="auto"/>
        </w:rPr>
        <w:t>an important indicator of public expenditure’s potential contribution to economic growth. The Program’s main targeted result is therefore to increase the share of capital investment in the ADP, including by planning regular repairs and maintenance of infrastructure assets under the recurrent budget. Another important result targeted by the DLI is to strengthen the emphasis on planning and project preparation by minimizing budget allocations to projects that have not been adequately prepared and appraised before being included in the ADP.</w:t>
      </w:r>
    </w:p>
    <w:p w14:paraId="7BF727DF" w14:textId="65C9CDCA" w:rsidR="007C5BE3" w:rsidRDefault="007C5BE3" w:rsidP="007C5BE3">
      <w:pPr>
        <w:pStyle w:val="Heading2"/>
      </w:pPr>
      <w:bookmarkStart w:id="9" w:name="_Toc530148514"/>
      <w:r>
        <w:t>Technical Assistance and Capacity Building Component</w:t>
      </w:r>
      <w:bookmarkEnd w:id="9"/>
    </w:p>
    <w:p w14:paraId="53C19DB5" w14:textId="77777777" w:rsidR="007C5BE3" w:rsidRPr="001F0F4A" w:rsidRDefault="007C5BE3" w:rsidP="007C5BE3"/>
    <w:p w14:paraId="45CC00CB" w14:textId="34D7FF95" w:rsidR="007C5BE3" w:rsidRPr="001D00FF"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1D00FF">
        <w:rPr>
          <w:rFonts w:asciiTheme="minorHAnsi" w:hAnsiTheme="minorHAnsi"/>
          <w:b/>
          <w:bCs/>
          <w:color w:val="auto"/>
        </w:rPr>
        <w:t xml:space="preserve">The TA component is to be delivered under two subcomponents: </w:t>
      </w:r>
      <w:r w:rsidR="00186627" w:rsidRPr="001D00FF">
        <w:rPr>
          <w:rFonts w:asciiTheme="minorHAnsi" w:hAnsiTheme="minorHAnsi"/>
          <w:bCs/>
          <w:color w:val="auto"/>
        </w:rPr>
        <w:t>(a</w:t>
      </w:r>
      <w:r w:rsidRPr="001D00FF">
        <w:rPr>
          <w:rFonts w:asciiTheme="minorHAnsi" w:hAnsiTheme="minorHAnsi"/>
          <w:bCs/>
          <w:color w:val="auto"/>
        </w:rPr>
        <w:t xml:space="preserve">) foundations of e-government and </w:t>
      </w:r>
      <w:r w:rsidR="00186627" w:rsidRPr="001D00FF">
        <w:rPr>
          <w:rFonts w:asciiTheme="minorHAnsi" w:hAnsiTheme="minorHAnsi"/>
          <w:bCs/>
          <w:color w:val="auto"/>
        </w:rPr>
        <w:t>(b</w:t>
      </w:r>
      <w:r w:rsidRPr="001D00FF">
        <w:rPr>
          <w:rFonts w:asciiTheme="minorHAnsi" w:hAnsiTheme="minorHAnsi"/>
          <w:bCs/>
          <w:color w:val="auto"/>
        </w:rPr>
        <w:t xml:space="preserve">) program coordination and support. The first entails activities in relation to </w:t>
      </w:r>
      <w:r w:rsidRPr="00395C40">
        <w:rPr>
          <w:rFonts w:asciiTheme="minorHAnsi" w:hAnsiTheme="minorHAnsi"/>
          <w:bCs/>
          <w:color w:val="auto"/>
        </w:rPr>
        <w:t>business process reviews</w:t>
      </w:r>
      <w:r w:rsidRPr="001D00FF">
        <w:rPr>
          <w:rFonts w:asciiTheme="minorHAnsi" w:hAnsiTheme="minorHAnsi"/>
          <w:bCs/>
          <w:color w:val="auto"/>
        </w:rPr>
        <w:t xml:space="preserve"> (BPR</w:t>
      </w:r>
      <w:r w:rsidR="00395C40">
        <w:rPr>
          <w:rFonts w:asciiTheme="minorHAnsi" w:hAnsiTheme="minorHAnsi"/>
          <w:bCs/>
          <w:color w:val="auto"/>
        </w:rPr>
        <w:t>s</w:t>
      </w:r>
      <w:r w:rsidRPr="001D00FF">
        <w:rPr>
          <w:rFonts w:asciiTheme="minorHAnsi" w:hAnsiTheme="minorHAnsi"/>
          <w:bCs/>
          <w:color w:val="auto"/>
        </w:rPr>
        <w:t>), e-archiving, indexing (document management), related change management, and website and email domain. The second involves capacity building, training, studies</w:t>
      </w:r>
      <w:r w:rsidR="00C60A4C">
        <w:rPr>
          <w:rFonts w:asciiTheme="minorHAnsi" w:hAnsiTheme="minorHAnsi"/>
          <w:bCs/>
          <w:color w:val="auto"/>
        </w:rPr>
        <w:t>,</w:t>
      </w:r>
      <w:r w:rsidRPr="001D00FF">
        <w:rPr>
          <w:rFonts w:asciiTheme="minorHAnsi" w:hAnsiTheme="minorHAnsi"/>
          <w:bCs/>
          <w:color w:val="auto"/>
        </w:rPr>
        <w:t xml:space="preserve"> and monitoring and evaluation. BPR, which is critical to simplification and acceleration of activities and functions in the public sector, has been designed for inclusion in the operation in line with the specifications and processes catering to the needs of the organizations through a </w:t>
      </w:r>
      <w:r w:rsidRPr="00395C40">
        <w:rPr>
          <w:rFonts w:asciiTheme="minorHAnsi" w:hAnsiTheme="minorHAnsi"/>
          <w:bCs/>
          <w:color w:val="auto"/>
        </w:rPr>
        <w:t>Business Process Mapping</w:t>
      </w:r>
      <w:r w:rsidRPr="001D00FF">
        <w:rPr>
          <w:rFonts w:asciiTheme="minorHAnsi" w:hAnsiTheme="minorHAnsi"/>
          <w:bCs/>
          <w:color w:val="auto"/>
        </w:rPr>
        <w:t xml:space="preserve"> (BPM) that will identify (</w:t>
      </w:r>
      <w:r w:rsidR="00C60A4C">
        <w:rPr>
          <w:rFonts w:asciiTheme="minorHAnsi" w:hAnsiTheme="minorHAnsi"/>
          <w:bCs/>
          <w:color w:val="auto"/>
        </w:rPr>
        <w:t>a</w:t>
      </w:r>
      <w:r w:rsidRPr="001D00FF">
        <w:rPr>
          <w:rFonts w:asciiTheme="minorHAnsi" w:hAnsiTheme="minorHAnsi"/>
          <w:bCs/>
          <w:color w:val="auto"/>
        </w:rPr>
        <w:t xml:space="preserve">) critical business processes </w:t>
      </w:r>
      <w:r w:rsidR="00C60A4C">
        <w:rPr>
          <w:rFonts w:asciiTheme="minorHAnsi" w:hAnsiTheme="minorHAnsi"/>
          <w:bCs/>
          <w:color w:val="auto"/>
        </w:rPr>
        <w:t>and</w:t>
      </w:r>
      <w:r w:rsidRPr="001D00FF">
        <w:rPr>
          <w:rFonts w:asciiTheme="minorHAnsi" w:hAnsiTheme="minorHAnsi"/>
          <w:bCs/>
          <w:color w:val="auto"/>
        </w:rPr>
        <w:t xml:space="preserve"> vital business functions; (</w:t>
      </w:r>
      <w:r w:rsidR="00C60A4C">
        <w:rPr>
          <w:rFonts w:asciiTheme="minorHAnsi" w:hAnsiTheme="minorHAnsi"/>
          <w:bCs/>
          <w:color w:val="auto"/>
        </w:rPr>
        <w:t>b</w:t>
      </w:r>
      <w:r w:rsidRPr="001D00FF">
        <w:rPr>
          <w:rFonts w:asciiTheme="minorHAnsi" w:hAnsiTheme="minorHAnsi"/>
          <w:bCs/>
          <w:color w:val="auto"/>
        </w:rPr>
        <w:t>) hidden processes</w:t>
      </w:r>
      <w:r w:rsidR="00C60A4C">
        <w:rPr>
          <w:rFonts w:asciiTheme="minorHAnsi" w:hAnsiTheme="minorHAnsi"/>
          <w:bCs/>
          <w:color w:val="auto"/>
        </w:rPr>
        <w:t>;</w:t>
      </w:r>
      <w:r w:rsidRPr="001D00FF">
        <w:rPr>
          <w:rFonts w:asciiTheme="minorHAnsi" w:hAnsiTheme="minorHAnsi"/>
          <w:bCs/>
          <w:color w:val="auto"/>
        </w:rPr>
        <w:t xml:space="preserve"> (</w:t>
      </w:r>
      <w:r w:rsidR="00C60A4C">
        <w:rPr>
          <w:rFonts w:asciiTheme="minorHAnsi" w:hAnsiTheme="minorHAnsi"/>
          <w:bCs/>
          <w:color w:val="auto"/>
        </w:rPr>
        <w:t>c</w:t>
      </w:r>
      <w:r w:rsidRPr="001D00FF">
        <w:rPr>
          <w:rFonts w:asciiTheme="minorHAnsi" w:hAnsiTheme="minorHAnsi"/>
          <w:bCs/>
          <w:color w:val="auto"/>
        </w:rPr>
        <w:t>) potential problems caused by disruption</w:t>
      </w:r>
      <w:r w:rsidR="00C60A4C">
        <w:rPr>
          <w:rFonts w:asciiTheme="minorHAnsi" w:hAnsiTheme="minorHAnsi"/>
          <w:bCs/>
          <w:color w:val="auto"/>
        </w:rPr>
        <w:t>;</w:t>
      </w:r>
      <w:r w:rsidRPr="001D00FF">
        <w:rPr>
          <w:rFonts w:asciiTheme="minorHAnsi" w:hAnsiTheme="minorHAnsi"/>
          <w:bCs/>
          <w:color w:val="auto"/>
        </w:rPr>
        <w:t xml:space="preserve"> (</w:t>
      </w:r>
      <w:r w:rsidR="00C60A4C">
        <w:rPr>
          <w:rFonts w:asciiTheme="minorHAnsi" w:hAnsiTheme="minorHAnsi"/>
          <w:bCs/>
          <w:color w:val="auto"/>
        </w:rPr>
        <w:t>d</w:t>
      </w:r>
      <w:r w:rsidRPr="001D00FF">
        <w:rPr>
          <w:rFonts w:asciiTheme="minorHAnsi" w:hAnsiTheme="minorHAnsi"/>
          <w:bCs/>
          <w:color w:val="auto"/>
        </w:rPr>
        <w:t>) possible escalations caused by problems; and (</w:t>
      </w:r>
      <w:r w:rsidR="00C60A4C">
        <w:rPr>
          <w:rFonts w:asciiTheme="minorHAnsi" w:hAnsiTheme="minorHAnsi"/>
          <w:bCs/>
          <w:color w:val="auto"/>
        </w:rPr>
        <w:t>e</w:t>
      </w:r>
      <w:r w:rsidRPr="001D00FF">
        <w:rPr>
          <w:rFonts w:asciiTheme="minorHAnsi" w:hAnsiTheme="minorHAnsi"/>
          <w:bCs/>
          <w:color w:val="auto"/>
        </w:rPr>
        <w:t>) essential resources required to enable continuity of critical business processes, including resources and needs for future/further automation.</w:t>
      </w:r>
    </w:p>
    <w:p w14:paraId="3E4755FF" w14:textId="0CA4653B" w:rsidR="007C5BE3" w:rsidRDefault="007C5BE3" w:rsidP="00186627">
      <w:pPr>
        <w:pStyle w:val="Heading1"/>
        <w:widowControl/>
      </w:pPr>
      <w:bookmarkStart w:id="10" w:name="_Toc530148515"/>
      <w:r w:rsidRPr="00722CCA">
        <w:lastRenderedPageBreak/>
        <w:t>Program Expenditure Framework</w:t>
      </w:r>
      <w:r>
        <w:t xml:space="preserve"> and Boundary</w:t>
      </w:r>
      <w:bookmarkEnd w:id="10"/>
    </w:p>
    <w:p w14:paraId="095083B5" w14:textId="0B8F565F" w:rsidR="007C5BE3" w:rsidRPr="003236D4" w:rsidRDefault="005139DA" w:rsidP="00186627">
      <w:pPr>
        <w:pStyle w:val="ListParagraph"/>
        <w:widowControl/>
        <w:numPr>
          <w:ilvl w:val="0"/>
          <w:numId w:val="14"/>
        </w:numPr>
        <w:autoSpaceDE/>
        <w:autoSpaceDN/>
        <w:adjustRightInd/>
        <w:spacing w:before="240" w:after="240"/>
        <w:ind w:left="0" w:firstLine="0"/>
        <w:contextualSpacing w:val="0"/>
        <w:jc w:val="both"/>
        <w:rPr>
          <w:rFonts w:asciiTheme="minorHAnsi" w:hAnsiTheme="minorHAnsi"/>
          <w:color w:val="auto"/>
        </w:rPr>
      </w:pPr>
      <w:r>
        <w:rPr>
          <w:rFonts w:asciiTheme="minorHAnsi" w:hAnsiTheme="minorHAnsi"/>
          <w:b/>
          <w:bCs/>
          <w:color w:val="auto"/>
        </w:rPr>
        <w:t xml:space="preserve">Government program: </w:t>
      </w:r>
      <w:r w:rsidR="007C5BE3" w:rsidRPr="4A4D1A57">
        <w:rPr>
          <w:rFonts w:asciiTheme="minorHAnsi" w:hAnsiTheme="minorHAnsi"/>
          <w:b/>
          <w:bCs/>
          <w:color w:val="auto"/>
        </w:rPr>
        <w:t xml:space="preserve"> </w:t>
      </w:r>
      <w:r w:rsidR="007C5BE3" w:rsidRPr="003236D4">
        <w:rPr>
          <w:rFonts w:asciiTheme="minorHAnsi" w:hAnsiTheme="minorHAnsi"/>
          <w:color w:val="auto"/>
        </w:rPr>
        <w:t xml:space="preserve">The overall </w:t>
      </w:r>
      <w:r>
        <w:rPr>
          <w:rFonts w:asciiTheme="minorHAnsi" w:hAnsiTheme="minorHAnsi"/>
          <w:color w:val="auto"/>
        </w:rPr>
        <w:t xml:space="preserve">Government program </w:t>
      </w:r>
      <w:r w:rsidR="008F228D">
        <w:rPr>
          <w:rFonts w:asciiTheme="minorHAnsi" w:hAnsiTheme="minorHAnsi"/>
          <w:color w:val="auto"/>
        </w:rPr>
        <w:t xml:space="preserve">cost </w:t>
      </w:r>
      <w:r w:rsidR="008F228D" w:rsidRPr="003236D4">
        <w:rPr>
          <w:rFonts w:asciiTheme="minorHAnsi" w:hAnsiTheme="minorHAnsi"/>
          <w:color w:val="auto"/>
        </w:rPr>
        <w:t>for</w:t>
      </w:r>
      <w:r w:rsidR="007C5BE3" w:rsidRPr="003236D4">
        <w:rPr>
          <w:rFonts w:asciiTheme="minorHAnsi" w:hAnsiTheme="minorHAnsi"/>
          <w:color w:val="auto"/>
        </w:rPr>
        <w:t xml:space="preserve"> 2019</w:t>
      </w:r>
      <w:r w:rsidR="00C60A4C">
        <w:rPr>
          <w:rFonts w:asciiTheme="minorHAnsi" w:hAnsiTheme="minorHAnsi"/>
          <w:color w:val="auto"/>
        </w:rPr>
        <w:t>–</w:t>
      </w:r>
      <w:r w:rsidR="007C5BE3" w:rsidRPr="003236D4">
        <w:rPr>
          <w:rFonts w:asciiTheme="minorHAnsi" w:hAnsiTheme="minorHAnsi"/>
          <w:color w:val="auto"/>
        </w:rPr>
        <w:t xml:space="preserve">2023 is estimated at PKR 43.8 billion (US$330 million). The government program supported by this operation is implemented by the following key entities: </w:t>
      </w:r>
      <w:r w:rsidR="00C60A4C">
        <w:rPr>
          <w:rFonts w:asciiTheme="minorHAnsi" w:hAnsiTheme="minorHAnsi"/>
          <w:color w:val="auto"/>
        </w:rPr>
        <w:t xml:space="preserve">the </w:t>
      </w:r>
      <w:r w:rsidR="007C5BE3" w:rsidRPr="003236D4">
        <w:rPr>
          <w:rFonts w:asciiTheme="minorHAnsi" w:hAnsiTheme="minorHAnsi"/>
          <w:color w:val="auto"/>
        </w:rPr>
        <w:t>FD</w:t>
      </w:r>
      <w:r w:rsidR="00C60A4C">
        <w:rPr>
          <w:rFonts w:asciiTheme="minorHAnsi" w:hAnsiTheme="minorHAnsi"/>
          <w:color w:val="auto"/>
        </w:rPr>
        <w:t>,</w:t>
      </w:r>
      <w:r w:rsidR="007C5BE3" w:rsidRPr="003236D4">
        <w:rPr>
          <w:rFonts w:asciiTheme="minorHAnsi" w:hAnsiTheme="minorHAnsi"/>
          <w:color w:val="auto"/>
        </w:rPr>
        <w:t xml:space="preserve"> ETNCD</w:t>
      </w:r>
      <w:r w:rsidR="00C60A4C">
        <w:rPr>
          <w:rFonts w:asciiTheme="minorHAnsi" w:hAnsiTheme="minorHAnsi"/>
          <w:color w:val="auto"/>
        </w:rPr>
        <w:t>,</w:t>
      </w:r>
      <w:r w:rsidR="007C5BE3" w:rsidRPr="003236D4">
        <w:rPr>
          <w:rFonts w:asciiTheme="minorHAnsi" w:hAnsiTheme="minorHAnsi"/>
          <w:color w:val="auto"/>
        </w:rPr>
        <w:t xml:space="preserve"> </w:t>
      </w:r>
      <w:r w:rsidR="007C5BE3" w:rsidRPr="00395C40">
        <w:rPr>
          <w:rFonts w:asciiTheme="minorHAnsi" w:hAnsiTheme="minorHAnsi"/>
          <w:color w:val="auto"/>
        </w:rPr>
        <w:t>Planning and Development Department (</w:t>
      </w:r>
      <w:r w:rsidR="007C5BE3" w:rsidRPr="003236D4">
        <w:rPr>
          <w:rFonts w:asciiTheme="minorHAnsi" w:hAnsiTheme="minorHAnsi"/>
          <w:color w:val="auto"/>
        </w:rPr>
        <w:t>P&amp;DD)</w:t>
      </w:r>
      <w:r w:rsidR="00C60A4C">
        <w:rPr>
          <w:rFonts w:asciiTheme="minorHAnsi" w:hAnsiTheme="minorHAnsi"/>
          <w:color w:val="auto"/>
        </w:rPr>
        <w:t>,</w:t>
      </w:r>
      <w:r w:rsidR="007C5BE3" w:rsidRPr="003236D4">
        <w:rPr>
          <w:rFonts w:asciiTheme="minorHAnsi" w:hAnsiTheme="minorHAnsi"/>
          <w:color w:val="auto"/>
        </w:rPr>
        <w:t xml:space="preserve"> Revenue and Estate Department</w:t>
      </w:r>
      <w:r w:rsidR="00C60A4C">
        <w:rPr>
          <w:rFonts w:asciiTheme="minorHAnsi" w:hAnsiTheme="minorHAnsi"/>
          <w:color w:val="auto"/>
        </w:rPr>
        <w:t>,</w:t>
      </w:r>
      <w:r w:rsidR="007C5BE3" w:rsidRPr="003236D4">
        <w:rPr>
          <w:rFonts w:asciiTheme="minorHAnsi" w:hAnsiTheme="minorHAnsi"/>
          <w:color w:val="auto"/>
        </w:rPr>
        <w:t xml:space="preserve"> and </w:t>
      </w:r>
      <w:r w:rsidR="007C5BE3" w:rsidRPr="00395C40">
        <w:rPr>
          <w:rFonts w:asciiTheme="minorHAnsi" w:hAnsiTheme="minorHAnsi"/>
          <w:color w:val="auto"/>
        </w:rPr>
        <w:t>Science Technology and Information Technology</w:t>
      </w:r>
      <w:r w:rsidR="007C5BE3" w:rsidRPr="003236D4">
        <w:rPr>
          <w:rFonts w:asciiTheme="minorHAnsi" w:hAnsiTheme="minorHAnsi"/>
          <w:color w:val="auto"/>
        </w:rPr>
        <w:t xml:space="preserve"> (ST&amp;IT). The entities cover the full scope of core functions and activities needed to deliver on the outcomes of this operation. The IDA financing of US$118 million</w:t>
      </w:r>
      <w:r w:rsidR="00C60A4C">
        <w:rPr>
          <w:rFonts w:asciiTheme="minorHAnsi" w:hAnsiTheme="minorHAnsi"/>
          <w:color w:val="auto"/>
        </w:rPr>
        <w:t>,</w:t>
      </w:r>
      <w:r w:rsidR="007C5BE3" w:rsidRPr="003236D4">
        <w:rPr>
          <w:rFonts w:asciiTheme="minorHAnsi" w:hAnsiTheme="minorHAnsi"/>
          <w:color w:val="auto"/>
        </w:rPr>
        <w:t xml:space="preserve"> out of </w:t>
      </w:r>
      <w:r w:rsidR="0062667D">
        <w:rPr>
          <w:rFonts w:asciiTheme="minorHAnsi" w:hAnsiTheme="minorHAnsi"/>
          <w:color w:val="auto"/>
        </w:rPr>
        <w:t xml:space="preserve">the total </w:t>
      </w:r>
      <w:r w:rsidR="007C5BE3" w:rsidRPr="003236D4">
        <w:rPr>
          <w:rFonts w:asciiTheme="minorHAnsi" w:hAnsiTheme="minorHAnsi"/>
          <w:color w:val="auto"/>
        </w:rPr>
        <w:t>US$330 million</w:t>
      </w:r>
      <w:r w:rsidR="00C60A4C">
        <w:rPr>
          <w:rFonts w:asciiTheme="minorHAnsi" w:hAnsiTheme="minorHAnsi"/>
          <w:color w:val="auto"/>
        </w:rPr>
        <w:t>,</w:t>
      </w:r>
      <w:r w:rsidR="007C5BE3" w:rsidRPr="003236D4">
        <w:rPr>
          <w:rFonts w:asciiTheme="minorHAnsi" w:hAnsiTheme="minorHAnsi"/>
          <w:color w:val="auto"/>
        </w:rPr>
        <w:t xml:space="preserve"> represents 36 percent of the overall </w:t>
      </w:r>
      <w:r w:rsidR="008F228D">
        <w:rPr>
          <w:rFonts w:asciiTheme="minorHAnsi" w:hAnsiTheme="minorHAnsi"/>
          <w:color w:val="auto"/>
        </w:rPr>
        <w:t>program cost</w:t>
      </w:r>
      <w:r w:rsidR="007C5BE3" w:rsidRPr="003236D4">
        <w:rPr>
          <w:rFonts w:asciiTheme="minorHAnsi" w:hAnsiTheme="minorHAnsi"/>
          <w:color w:val="auto"/>
        </w:rPr>
        <w:t xml:space="preserve"> (</w:t>
      </w:r>
      <w:r w:rsidR="000F46D5">
        <w:rPr>
          <w:rFonts w:asciiTheme="minorHAnsi" w:hAnsiTheme="minorHAnsi"/>
          <w:color w:val="auto"/>
        </w:rPr>
        <w:t>t</w:t>
      </w:r>
      <w:r w:rsidR="007C5BE3" w:rsidRPr="003236D4">
        <w:rPr>
          <w:rFonts w:asciiTheme="minorHAnsi" w:hAnsiTheme="minorHAnsi"/>
          <w:color w:val="auto"/>
        </w:rPr>
        <w:t>able 2)</w:t>
      </w:r>
      <w:r w:rsidR="008F228D">
        <w:rPr>
          <w:rFonts w:asciiTheme="minorHAnsi" w:hAnsiTheme="minorHAnsi"/>
          <w:color w:val="auto"/>
        </w:rPr>
        <w:t>.</w:t>
      </w:r>
    </w:p>
    <w:p w14:paraId="70D963EF" w14:textId="31F26DF2" w:rsidR="007C5BE3" w:rsidRPr="003D4FF1" w:rsidRDefault="007C5BE3" w:rsidP="002863B7">
      <w:pPr>
        <w:pStyle w:val="Caption"/>
        <w:rPr>
          <w:i/>
        </w:rPr>
      </w:pPr>
      <w:bookmarkStart w:id="11" w:name="_Toc530148527"/>
      <w:r w:rsidRPr="003D4FF1">
        <w:t xml:space="preserve">Table </w:t>
      </w:r>
      <w:r w:rsidR="004670A5">
        <w:fldChar w:fldCharType="begin"/>
      </w:r>
      <w:r w:rsidR="004670A5">
        <w:instrText xml:space="preserve"> SEQ Table \* ARABIC </w:instrText>
      </w:r>
      <w:r w:rsidR="004670A5">
        <w:fldChar w:fldCharType="separate"/>
      </w:r>
      <w:r w:rsidRPr="003D4FF1">
        <w:t>2</w:t>
      </w:r>
      <w:r w:rsidR="004670A5">
        <w:fldChar w:fldCharType="end"/>
      </w:r>
      <w:r w:rsidRPr="003D4FF1">
        <w:t xml:space="preserve">: </w:t>
      </w:r>
      <w:r w:rsidR="005139DA">
        <w:t xml:space="preserve">Government Program and </w:t>
      </w:r>
      <w:r w:rsidR="005139DA" w:rsidRPr="003D4FF1">
        <w:t>Financing</w:t>
      </w:r>
      <w:r w:rsidRPr="003D4FF1">
        <w:t xml:space="preserve"> Sources</w:t>
      </w:r>
      <w:bookmarkEnd w:id="11"/>
    </w:p>
    <w:tbl>
      <w:tblPr>
        <w:tblStyle w:val="TableGrid"/>
        <w:tblW w:w="5000" w:type="pct"/>
        <w:jc w:val="center"/>
        <w:tblLook w:val="04A0" w:firstRow="1" w:lastRow="0" w:firstColumn="1" w:lastColumn="0" w:noHBand="0" w:noVBand="1"/>
      </w:tblPr>
      <w:tblGrid>
        <w:gridCol w:w="3184"/>
        <w:gridCol w:w="3097"/>
        <w:gridCol w:w="3069"/>
      </w:tblGrid>
      <w:tr w:rsidR="007C5BE3" w:rsidRPr="00722CCA" w14:paraId="5837EEA6" w14:textId="77777777" w:rsidTr="0062667D">
        <w:trPr>
          <w:trHeight w:val="224"/>
          <w:jc w:val="center"/>
        </w:trPr>
        <w:tc>
          <w:tcPr>
            <w:tcW w:w="1703" w:type="pct"/>
            <w:shd w:val="clear" w:color="auto" w:fill="DDEBF7"/>
          </w:tcPr>
          <w:p w14:paraId="5EDBB5F8" w14:textId="77777777" w:rsidR="007C5BE3" w:rsidRPr="00722CCA" w:rsidRDefault="007C5BE3" w:rsidP="00C225E8">
            <w:pPr>
              <w:pStyle w:val="NoSpacing"/>
              <w:rPr>
                <w:rFonts w:cstheme="minorHAnsi"/>
                <w:b/>
                <w:sz w:val="20"/>
                <w:szCs w:val="20"/>
              </w:rPr>
            </w:pPr>
            <w:r w:rsidRPr="00722CCA">
              <w:rPr>
                <w:rFonts w:cstheme="minorHAnsi"/>
                <w:b/>
                <w:sz w:val="20"/>
                <w:szCs w:val="20"/>
              </w:rPr>
              <w:t>Source</w:t>
            </w:r>
            <w:r w:rsidRPr="00722CCA">
              <w:rPr>
                <w:rFonts w:cstheme="minorHAnsi"/>
                <w:b/>
                <w:sz w:val="20"/>
                <w:szCs w:val="20"/>
              </w:rPr>
              <w:tab/>
            </w:r>
          </w:p>
        </w:tc>
        <w:tc>
          <w:tcPr>
            <w:tcW w:w="1656" w:type="pct"/>
            <w:shd w:val="clear" w:color="auto" w:fill="DDEBF7"/>
          </w:tcPr>
          <w:p w14:paraId="2DE0C589" w14:textId="6EC25D81" w:rsidR="007C5BE3" w:rsidRPr="00722CCA" w:rsidRDefault="007C5BE3" w:rsidP="00C225E8">
            <w:pPr>
              <w:pStyle w:val="NoSpacing"/>
              <w:rPr>
                <w:rFonts w:cstheme="minorHAnsi"/>
                <w:b/>
                <w:sz w:val="20"/>
                <w:szCs w:val="20"/>
              </w:rPr>
            </w:pPr>
            <w:r w:rsidRPr="00722CCA">
              <w:rPr>
                <w:rFonts w:cstheme="minorHAnsi"/>
                <w:b/>
                <w:sz w:val="20"/>
                <w:szCs w:val="20"/>
              </w:rPr>
              <w:t>Amount (US</w:t>
            </w:r>
            <w:r w:rsidR="00EB060B">
              <w:rPr>
                <w:rFonts w:cstheme="minorHAnsi"/>
                <w:b/>
                <w:sz w:val="20"/>
                <w:szCs w:val="20"/>
              </w:rPr>
              <w:t>$,</w:t>
            </w:r>
            <w:r w:rsidRPr="00722CCA">
              <w:rPr>
                <w:rFonts w:cstheme="minorHAnsi"/>
                <w:b/>
                <w:sz w:val="20"/>
                <w:szCs w:val="20"/>
              </w:rPr>
              <w:t xml:space="preserve"> million</w:t>
            </w:r>
            <w:r w:rsidR="00EB060B">
              <w:rPr>
                <w:rFonts w:cstheme="minorHAnsi"/>
                <w:b/>
                <w:sz w:val="20"/>
                <w:szCs w:val="20"/>
              </w:rPr>
              <w:t>s</w:t>
            </w:r>
            <w:r w:rsidRPr="00722CCA">
              <w:rPr>
                <w:rFonts w:cstheme="minorHAnsi"/>
                <w:b/>
                <w:sz w:val="20"/>
                <w:szCs w:val="20"/>
              </w:rPr>
              <w:t>)</w:t>
            </w:r>
          </w:p>
        </w:tc>
        <w:tc>
          <w:tcPr>
            <w:tcW w:w="1641" w:type="pct"/>
            <w:shd w:val="clear" w:color="auto" w:fill="DDEBF7"/>
          </w:tcPr>
          <w:p w14:paraId="2306D577" w14:textId="57A16E3D" w:rsidR="007C5BE3" w:rsidRPr="00722CCA" w:rsidRDefault="007C5BE3" w:rsidP="00C225E8">
            <w:pPr>
              <w:pStyle w:val="NoSpacing"/>
              <w:rPr>
                <w:rFonts w:cstheme="minorHAnsi"/>
                <w:b/>
                <w:sz w:val="20"/>
                <w:szCs w:val="20"/>
              </w:rPr>
            </w:pPr>
            <w:r w:rsidRPr="00722CCA">
              <w:rPr>
                <w:rFonts w:cstheme="minorHAnsi"/>
                <w:b/>
                <w:sz w:val="20"/>
                <w:szCs w:val="20"/>
              </w:rPr>
              <w:t>Percent</w:t>
            </w:r>
            <w:r w:rsidR="00EB060B">
              <w:rPr>
                <w:rFonts w:cstheme="minorHAnsi"/>
                <w:b/>
                <w:sz w:val="20"/>
                <w:szCs w:val="20"/>
              </w:rPr>
              <w:t>age</w:t>
            </w:r>
            <w:r w:rsidRPr="00722CCA">
              <w:rPr>
                <w:rFonts w:cstheme="minorHAnsi"/>
                <w:b/>
                <w:sz w:val="20"/>
                <w:szCs w:val="20"/>
              </w:rPr>
              <w:t xml:space="preserve"> of Total</w:t>
            </w:r>
          </w:p>
        </w:tc>
      </w:tr>
      <w:tr w:rsidR="007C5BE3" w:rsidRPr="00722CCA" w14:paraId="639C54B1" w14:textId="77777777" w:rsidTr="00EB060B">
        <w:trPr>
          <w:jc w:val="center"/>
        </w:trPr>
        <w:tc>
          <w:tcPr>
            <w:tcW w:w="1703" w:type="pct"/>
          </w:tcPr>
          <w:p w14:paraId="74CB4DE3" w14:textId="77777777" w:rsidR="007C5BE3" w:rsidRPr="00722CCA" w:rsidRDefault="007C5BE3" w:rsidP="00C225E8">
            <w:pPr>
              <w:pStyle w:val="NoSpacing"/>
              <w:jc w:val="left"/>
              <w:rPr>
                <w:rFonts w:cstheme="minorHAnsi"/>
                <w:sz w:val="20"/>
                <w:szCs w:val="20"/>
              </w:rPr>
            </w:pPr>
            <w:r w:rsidRPr="00722CCA">
              <w:rPr>
                <w:rFonts w:cstheme="minorHAnsi"/>
                <w:sz w:val="20"/>
                <w:szCs w:val="20"/>
              </w:rPr>
              <w:t>Government</w:t>
            </w:r>
          </w:p>
        </w:tc>
        <w:tc>
          <w:tcPr>
            <w:tcW w:w="1656" w:type="pct"/>
          </w:tcPr>
          <w:p w14:paraId="3677F9C6" w14:textId="77777777" w:rsidR="007C5BE3" w:rsidRPr="00722CCA" w:rsidRDefault="007C5BE3" w:rsidP="00C225E8">
            <w:pPr>
              <w:pStyle w:val="NoSpacing"/>
              <w:rPr>
                <w:rFonts w:cstheme="minorHAnsi"/>
                <w:sz w:val="20"/>
                <w:szCs w:val="20"/>
              </w:rPr>
            </w:pPr>
            <w:r>
              <w:rPr>
                <w:rFonts w:cstheme="minorHAnsi"/>
                <w:sz w:val="20"/>
                <w:szCs w:val="20"/>
              </w:rPr>
              <w:t>212</w:t>
            </w:r>
          </w:p>
        </w:tc>
        <w:tc>
          <w:tcPr>
            <w:tcW w:w="1641" w:type="pct"/>
          </w:tcPr>
          <w:p w14:paraId="33B5E198" w14:textId="77777777" w:rsidR="007C5BE3" w:rsidRPr="00722CCA" w:rsidRDefault="007C5BE3" w:rsidP="00C225E8">
            <w:pPr>
              <w:pStyle w:val="NoSpacing"/>
              <w:rPr>
                <w:rFonts w:cstheme="minorHAnsi"/>
                <w:sz w:val="20"/>
                <w:szCs w:val="20"/>
              </w:rPr>
            </w:pPr>
            <w:r>
              <w:rPr>
                <w:rFonts w:cstheme="minorHAnsi"/>
                <w:sz w:val="20"/>
                <w:szCs w:val="20"/>
              </w:rPr>
              <w:t>64</w:t>
            </w:r>
          </w:p>
        </w:tc>
      </w:tr>
      <w:tr w:rsidR="007C5BE3" w:rsidRPr="00722CCA" w14:paraId="51ABF8D2" w14:textId="77777777" w:rsidTr="00EB060B">
        <w:trPr>
          <w:jc w:val="center"/>
        </w:trPr>
        <w:tc>
          <w:tcPr>
            <w:tcW w:w="1703" w:type="pct"/>
          </w:tcPr>
          <w:p w14:paraId="7F69E749" w14:textId="602A5F5D" w:rsidR="007C5BE3" w:rsidRPr="00722CCA" w:rsidRDefault="007C5BE3" w:rsidP="00C225E8">
            <w:pPr>
              <w:pStyle w:val="NoSpacing"/>
              <w:jc w:val="left"/>
              <w:rPr>
                <w:rFonts w:cstheme="minorHAnsi"/>
                <w:sz w:val="20"/>
                <w:szCs w:val="20"/>
              </w:rPr>
            </w:pPr>
            <w:r w:rsidRPr="00722CCA">
              <w:rPr>
                <w:rFonts w:cstheme="minorHAnsi"/>
                <w:sz w:val="20"/>
                <w:szCs w:val="20"/>
              </w:rPr>
              <w:t>IDA</w:t>
            </w:r>
          </w:p>
        </w:tc>
        <w:tc>
          <w:tcPr>
            <w:tcW w:w="1656" w:type="pct"/>
          </w:tcPr>
          <w:p w14:paraId="1CDAC552" w14:textId="6465C8BE" w:rsidR="007C5BE3" w:rsidRPr="00722CCA" w:rsidRDefault="007C5BE3" w:rsidP="00C225E8">
            <w:pPr>
              <w:pStyle w:val="NoSpacing"/>
              <w:rPr>
                <w:rFonts w:cstheme="minorHAnsi"/>
                <w:sz w:val="20"/>
                <w:szCs w:val="20"/>
              </w:rPr>
            </w:pPr>
            <w:r w:rsidRPr="00722CCA">
              <w:rPr>
                <w:rFonts w:cstheme="minorHAnsi"/>
                <w:sz w:val="20"/>
                <w:szCs w:val="20"/>
              </w:rPr>
              <w:t>118</w:t>
            </w:r>
            <w:r w:rsidR="00810FD7" w:rsidRPr="007F373B">
              <w:rPr>
                <w:rFonts w:cstheme="minorHAnsi"/>
                <w:sz w:val="20"/>
                <w:szCs w:val="20"/>
                <w:vertAlign w:val="superscript"/>
              </w:rPr>
              <w:t>a</w:t>
            </w:r>
          </w:p>
        </w:tc>
        <w:tc>
          <w:tcPr>
            <w:tcW w:w="1641" w:type="pct"/>
          </w:tcPr>
          <w:p w14:paraId="0FD0A08D" w14:textId="77777777" w:rsidR="007C5BE3" w:rsidRPr="00722CCA" w:rsidRDefault="007C5BE3" w:rsidP="00C225E8">
            <w:pPr>
              <w:pStyle w:val="NoSpacing"/>
              <w:rPr>
                <w:rFonts w:cstheme="minorHAnsi"/>
                <w:sz w:val="20"/>
                <w:szCs w:val="20"/>
              </w:rPr>
            </w:pPr>
            <w:r>
              <w:rPr>
                <w:rFonts w:cstheme="minorHAnsi"/>
                <w:sz w:val="20"/>
                <w:szCs w:val="20"/>
              </w:rPr>
              <w:t>36</w:t>
            </w:r>
          </w:p>
        </w:tc>
      </w:tr>
      <w:tr w:rsidR="007C5BE3" w:rsidRPr="00722CCA" w14:paraId="21995F22" w14:textId="77777777" w:rsidTr="00EB060B">
        <w:trPr>
          <w:trHeight w:val="64"/>
          <w:jc w:val="center"/>
        </w:trPr>
        <w:tc>
          <w:tcPr>
            <w:tcW w:w="1703" w:type="pct"/>
          </w:tcPr>
          <w:p w14:paraId="4D756196" w14:textId="50894CEF" w:rsidR="007C5BE3" w:rsidRPr="00722CCA" w:rsidRDefault="007C5BE3" w:rsidP="00C225E8">
            <w:pPr>
              <w:pStyle w:val="NoSpacing"/>
              <w:jc w:val="left"/>
              <w:rPr>
                <w:rFonts w:cstheme="minorHAnsi"/>
                <w:sz w:val="20"/>
                <w:szCs w:val="20"/>
              </w:rPr>
            </w:pPr>
            <w:r w:rsidRPr="00722CCA">
              <w:rPr>
                <w:rFonts w:cstheme="minorHAnsi"/>
                <w:sz w:val="20"/>
                <w:szCs w:val="20"/>
              </w:rPr>
              <w:t xml:space="preserve">Other </w:t>
            </w:r>
            <w:r w:rsidR="00C60A4C">
              <w:rPr>
                <w:rFonts w:cstheme="minorHAnsi"/>
                <w:sz w:val="20"/>
                <w:szCs w:val="20"/>
              </w:rPr>
              <w:t>d</w:t>
            </w:r>
            <w:r w:rsidRPr="00722CCA">
              <w:rPr>
                <w:rFonts w:cstheme="minorHAnsi"/>
                <w:sz w:val="20"/>
                <w:szCs w:val="20"/>
              </w:rPr>
              <w:t xml:space="preserve">evelopment </w:t>
            </w:r>
            <w:r w:rsidR="00C60A4C">
              <w:rPr>
                <w:rFonts w:cstheme="minorHAnsi"/>
                <w:sz w:val="20"/>
                <w:szCs w:val="20"/>
              </w:rPr>
              <w:t>p</w:t>
            </w:r>
            <w:r w:rsidRPr="00722CCA">
              <w:rPr>
                <w:rFonts w:cstheme="minorHAnsi"/>
                <w:sz w:val="20"/>
                <w:szCs w:val="20"/>
              </w:rPr>
              <w:t>artners</w:t>
            </w:r>
          </w:p>
        </w:tc>
        <w:tc>
          <w:tcPr>
            <w:tcW w:w="1656" w:type="pct"/>
          </w:tcPr>
          <w:p w14:paraId="2B2D9468" w14:textId="77777777" w:rsidR="007C5BE3" w:rsidRPr="00722CCA" w:rsidRDefault="007C5BE3" w:rsidP="00C225E8">
            <w:pPr>
              <w:pStyle w:val="NoSpacing"/>
              <w:rPr>
                <w:rFonts w:cstheme="minorHAnsi"/>
                <w:sz w:val="20"/>
                <w:szCs w:val="20"/>
              </w:rPr>
            </w:pPr>
            <w:r w:rsidRPr="00722CCA">
              <w:rPr>
                <w:rFonts w:cstheme="minorHAnsi"/>
                <w:sz w:val="20"/>
                <w:szCs w:val="20"/>
              </w:rPr>
              <w:t>0</w:t>
            </w:r>
          </w:p>
        </w:tc>
        <w:tc>
          <w:tcPr>
            <w:tcW w:w="1641" w:type="pct"/>
          </w:tcPr>
          <w:p w14:paraId="0EA31640" w14:textId="77777777" w:rsidR="007C5BE3" w:rsidRPr="00722CCA" w:rsidRDefault="007C5BE3" w:rsidP="00C225E8">
            <w:pPr>
              <w:pStyle w:val="NoSpacing"/>
              <w:rPr>
                <w:rFonts w:cstheme="minorHAnsi"/>
                <w:sz w:val="20"/>
                <w:szCs w:val="20"/>
              </w:rPr>
            </w:pPr>
            <w:r w:rsidRPr="00722CCA">
              <w:rPr>
                <w:rFonts w:cstheme="minorHAnsi"/>
                <w:sz w:val="20"/>
                <w:szCs w:val="20"/>
              </w:rPr>
              <w:t>0</w:t>
            </w:r>
          </w:p>
        </w:tc>
      </w:tr>
      <w:tr w:rsidR="007C5BE3" w:rsidRPr="00722CCA" w14:paraId="5CD70FE1" w14:textId="77777777" w:rsidTr="00EB060B">
        <w:trPr>
          <w:trHeight w:val="215"/>
          <w:jc w:val="center"/>
        </w:trPr>
        <w:tc>
          <w:tcPr>
            <w:tcW w:w="1703" w:type="pct"/>
          </w:tcPr>
          <w:p w14:paraId="13E35294" w14:textId="3E594491" w:rsidR="007C5BE3" w:rsidRPr="00722CCA" w:rsidRDefault="007C5BE3" w:rsidP="00C225E8">
            <w:pPr>
              <w:pStyle w:val="NoSpacing"/>
              <w:jc w:val="left"/>
              <w:rPr>
                <w:rFonts w:cstheme="minorHAnsi"/>
                <w:b/>
                <w:sz w:val="20"/>
                <w:szCs w:val="20"/>
              </w:rPr>
            </w:pPr>
            <w:r w:rsidRPr="00722CCA">
              <w:rPr>
                <w:rFonts w:cstheme="minorHAnsi"/>
                <w:b/>
                <w:sz w:val="20"/>
                <w:szCs w:val="20"/>
              </w:rPr>
              <w:t xml:space="preserve">Total </w:t>
            </w:r>
            <w:r w:rsidR="00C60A4C">
              <w:rPr>
                <w:rFonts w:cstheme="minorHAnsi"/>
                <w:b/>
                <w:sz w:val="20"/>
                <w:szCs w:val="20"/>
              </w:rPr>
              <w:t>P</w:t>
            </w:r>
            <w:r w:rsidRPr="00722CCA">
              <w:rPr>
                <w:rFonts w:cstheme="minorHAnsi"/>
                <w:b/>
                <w:sz w:val="20"/>
                <w:szCs w:val="20"/>
              </w:rPr>
              <w:t>rogram financing</w:t>
            </w:r>
          </w:p>
        </w:tc>
        <w:tc>
          <w:tcPr>
            <w:tcW w:w="1656" w:type="pct"/>
          </w:tcPr>
          <w:p w14:paraId="12E3A639" w14:textId="77777777" w:rsidR="007C5BE3" w:rsidRPr="00722CCA" w:rsidRDefault="007C5BE3" w:rsidP="00C225E8">
            <w:pPr>
              <w:pStyle w:val="NoSpacing"/>
              <w:rPr>
                <w:rFonts w:cstheme="minorHAnsi"/>
                <w:b/>
                <w:sz w:val="20"/>
                <w:szCs w:val="20"/>
              </w:rPr>
            </w:pPr>
            <w:r w:rsidRPr="00722CCA">
              <w:rPr>
                <w:rFonts w:cstheme="minorHAnsi"/>
                <w:sz w:val="20"/>
                <w:szCs w:val="20"/>
              </w:rPr>
              <w:t>330</w:t>
            </w:r>
          </w:p>
        </w:tc>
        <w:tc>
          <w:tcPr>
            <w:tcW w:w="1641" w:type="pct"/>
          </w:tcPr>
          <w:p w14:paraId="426CA3DC" w14:textId="77777777" w:rsidR="007C5BE3" w:rsidRPr="00722CCA" w:rsidRDefault="007C5BE3" w:rsidP="00C225E8">
            <w:pPr>
              <w:pStyle w:val="NoSpacing"/>
              <w:rPr>
                <w:rFonts w:cstheme="minorHAnsi"/>
                <w:b/>
                <w:sz w:val="20"/>
                <w:szCs w:val="20"/>
              </w:rPr>
            </w:pPr>
            <w:r w:rsidRPr="00722CCA">
              <w:rPr>
                <w:rFonts w:cstheme="minorHAnsi"/>
                <w:b/>
                <w:sz w:val="20"/>
                <w:szCs w:val="20"/>
              </w:rPr>
              <w:t>100</w:t>
            </w:r>
          </w:p>
        </w:tc>
      </w:tr>
    </w:tbl>
    <w:p w14:paraId="4E4898AE" w14:textId="79469211" w:rsidR="00810FD7" w:rsidRPr="007F4D65" w:rsidRDefault="00810FD7" w:rsidP="00810FD7">
      <w:pPr>
        <w:pStyle w:val="ListParagraph"/>
        <w:widowControl/>
        <w:autoSpaceDE/>
        <w:autoSpaceDN/>
        <w:adjustRightInd/>
        <w:spacing w:after="240"/>
        <w:ind w:left="0"/>
        <w:contextualSpacing w:val="0"/>
        <w:jc w:val="both"/>
        <w:rPr>
          <w:rFonts w:ascii="Calibri" w:hAnsi="Calibri" w:cs="Calibri"/>
          <w:bCs/>
          <w:color w:val="auto"/>
          <w:sz w:val="20"/>
          <w:szCs w:val="18"/>
        </w:rPr>
      </w:pPr>
      <w:r w:rsidRPr="007F4D65">
        <w:rPr>
          <w:rFonts w:ascii="Calibri" w:hAnsi="Calibri" w:cs="Calibri"/>
          <w:bCs/>
          <w:i/>
          <w:color w:val="auto"/>
          <w:sz w:val="20"/>
          <w:szCs w:val="18"/>
        </w:rPr>
        <w:t>Note:</w:t>
      </w:r>
      <w:r w:rsidRPr="007F4D65">
        <w:rPr>
          <w:rFonts w:ascii="Calibri" w:hAnsi="Calibri" w:cs="Calibri"/>
          <w:bCs/>
          <w:color w:val="auto"/>
          <w:sz w:val="20"/>
          <w:szCs w:val="18"/>
        </w:rPr>
        <w:t xml:space="preserve"> </w:t>
      </w:r>
      <w:r w:rsidR="002843DF" w:rsidRPr="007F4D65">
        <w:rPr>
          <w:rFonts w:ascii="Calibri" w:hAnsi="Calibri" w:cs="Calibri"/>
          <w:bCs/>
          <w:color w:val="auto"/>
          <w:sz w:val="20"/>
          <w:szCs w:val="18"/>
        </w:rPr>
        <w:t xml:space="preserve">a. </w:t>
      </w:r>
      <w:r w:rsidRPr="007F4D65">
        <w:rPr>
          <w:rFonts w:ascii="Calibri" w:hAnsi="Calibri" w:cs="Calibri"/>
          <w:bCs/>
          <w:color w:val="auto"/>
          <w:sz w:val="20"/>
          <w:szCs w:val="18"/>
        </w:rPr>
        <w:t>This includes US$18 million for the TA and Capacity Building component.</w:t>
      </w:r>
    </w:p>
    <w:p w14:paraId="4189063A" w14:textId="14F130D6" w:rsidR="007C5BE3" w:rsidRPr="003236D4" w:rsidRDefault="005139DA" w:rsidP="00EB060B">
      <w:pPr>
        <w:pStyle w:val="ListParagraph"/>
        <w:widowControl/>
        <w:numPr>
          <w:ilvl w:val="0"/>
          <w:numId w:val="14"/>
        </w:numPr>
        <w:autoSpaceDE/>
        <w:autoSpaceDN/>
        <w:adjustRightInd/>
        <w:spacing w:before="240" w:after="240"/>
        <w:ind w:left="0" w:firstLine="0"/>
        <w:contextualSpacing w:val="0"/>
        <w:jc w:val="both"/>
        <w:rPr>
          <w:rFonts w:asciiTheme="minorHAnsi" w:hAnsiTheme="minorHAnsi"/>
          <w:b/>
          <w:bCs/>
          <w:color w:val="auto"/>
        </w:rPr>
      </w:pPr>
      <w:r>
        <w:rPr>
          <w:rFonts w:asciiTheme="minorHAnsi" w:hAnsiTheme="minorHAnsi"/>
          <w:b/>
          <w:bCs/>
          <w:color w:val="auto"/>
        </w:rPr>
        <w:t>PforR (</w:t>
      </w:r>
      <w:r w:rsidR="007C5BE3" w:rsidRPr="003236D4">
        <w:rPr>
          <w:rFonts w:asciiTheme="minorHAnsi" w:hAnsiTheme="minorHAnsi"/>
          <w:b/>
          <w:bCs/>
          <w:color w:val="auto"/>
        </w:rPr>
        <w:t>Program</w:t>
      </w:r>
      <w:r>
        <w:rPr>
          <w:rFonts w:asciiTheme="minorHAnsi" w:hAnsiTheme="minorHAnsi"/>
          <w:b/>
          <w:bCs/>
          <w:color w:val="auto"/>
        </w:rPr>
        <w:t>)</w:t>
      </w:r>
      <w:r w:rsidR="007C5BE3" w:rsidRPr="003236D4">
        <w:rPr>
          <w:rFonts w:asciiTheme="minorHAnsi" w:hAnsiTheme="minorHAnsi"/>
          <w:b/>
          <w:bCs/>
          <w:color w:val="auto"/>
        </w:rPr>
        <w:t xml:space="preserve"> </w:t>
      </w:r>
      <w:r>
        <w:rPr>
          <w:rFonts w:asciiTheme="minorHAnsi" w:hAnsiTheme="minorHAnsi"/>
          <w:b/>
          <w:bCs/>
          <w:color w:val="auto"/>
        </w:rPr>
        <w:t>E</w:t>
      </w:r>
      <w:r w:rsidR="007C5BE3" w:rsidRPr="001E2DF5">
        <w:rPr>
          <w:rFonts w:asciiTheme="minorHAnsi" w:hAnsiTheme="minorHAnsi"/>
          <w:b/>
          <w:bCs/>
          <w:color w:val="auto"/>
        </w:rPr>
        <w:t>xpenditure</w:t>
      </w:r>
      <w:r w:rsidR="007C5BE3" w:rsidRPr="00ED67BD">
        <w:rPr>
          <w:rFonts w:asciiTheme="minorHAnsi" w:hAnsiTheme="minorHAnsi"/>
          <w:b/>
          <w:bCs/>
          <w:color w:val="auto"/>
        </w:rPr>
        <w:t xml:space="preserve"> </w:t>
      </w:r>
      <w:r>
        <w:rPr>
          <w:rFonts w:asciiTheme="minorHAnsi" w:hAnsiTheme="minorHAnsi"/>
          <w:b/>
          <w:bCs/>
          <w:color w:val="auto"/>
        </w:rPr>
        <w:t>B</w:t>
      </w:r>
      <w:r w:rsidR="007C5BE3" w:rsidRPr="003236D4">
        <w:rPr>
          <w:rFonts w:asciiTheme="minorHAnsi" w:hAnsiTheme="minorHAnsi"/>
          <w:b/>
          <w:bCs/>
          <w:color w:val="auto"/>
        </w:rPr>
        <w:t>oundary</w:t>
      </w:r>
      <w:r w:rsidR="00C60A4C">
        <w:rPr>
          <w:rFonts w:asciiTheme="minorHAnsi" w:hAnsiTheme="minorHAnsi"/>
          <w:b/>
          <w:bCs/>
          <w:color w:val="auto"/>
        </w:rPr>
        <w:t>.</w:t>
      </w:r>
      <w:r w:rsidR="007C5BE3" w:rsidRPr="003236D4">
        <w:rPr>
          <w:rFonts w:asciiTheme="minorHAnsi" w:hAnsiTheme="minorHAnsi"/>
          <w:b/>
          <w:bCs/>
          <w:color w:val="auto"/>
        </w:rPr>
        <w:t xml:space="preserve"> </w:t>
      </w:r>
      <w:r w:rsidR="007C5BE3" w:rsidRPr="003236D4">
        <w:rPr>
          <w:rFonts w:asciiTheme="minorHAnsi" w:hAnsiTheme="minorHAnsi"/>
          <w:bCs/>
          <w:color w:val="auto"/>
        </w:rPr>
        <w:t xml:space="preserve">Implementation of the government program primarily requires compensation of staff, </w:t>
      </w:r>
      <w:r w:rsidR="007C5BE3" w:rsidRPr="001E2DF5">
        <w:rPr>
          <w:rFonts w:asciiTheme="minorHAnsi" w:hAnsiTheme="minorHAnsi"/>
          <w:bCs/>
          <w:color w:val="auto"/>
        </w:rPr>
        <w:t>retirement benefits</w:t>
      </w:r>
      <w:r w:rsidR="007C5BE3">
        <w:rPr>
          <w:rFonts w:asciiTheme="minorHAnsi" w:hAnsiTheme="minorHAnsi"/>
          <w:bCs/>
          <w:color w:val="auto"/>
        </w:rPr>
        <w:t>,</w:t>
      </w:r>
      <w:r w:rsidR="007C5BE3" w:rsidRPr="0015549B">
        <w:rPr>
          <w:rFonts w:asciiTheme="minorHAnsi" w:hAnsiTheme="minorHAnsi"/>
          <w:bCs/>
          <w:color w:val="auto"/>
        </w:rPr>
        <w:t xml:space="preserve"> </w:t>
      </w:r>
      <w:r w:rsidR="00FE36F7">
        <w:rPr>
          <w:rFonts w:asciiTheme="minorHAnsi" w:hAnsiTheme="minorHAnsi"/>
          <w:bCs/>
          <w:color w:val="auto"/>
        </w:rPr>
        <w:t xml:space="preserve">and </w:t>
      </w:r>
      <w:r w:rsidR="007C5BE3" w:rsidRPr="003236D4">
        <w:rPr>
          <w:rFonts w:asciiTheme="minorHAnsi" w:hAnsiTheme="minorHAnsi"/>
          <w:bCs/>
          <w:color w:val="auto"/>
        </w:rPr>
        <w:t>operating expenses of the entities as well as repairs and maintenance costs. These constitute recurrent spending.</w:t>
      </w:r>
      <w:r w:rsidR="007C5BE3">
        <w:rPr>
          <w:rFonts w:asciiTheme="minorHAnsi" w:hAnsiTheme="minorHAnsi"/>
          <w:bCs/>
          <w:color w:val="auto"/>
        </w:rPr>
        <w:t xml:space="preserve"> </w:t>
      </w:r>
      <w:r w:rsidR="007C5BE3" w:rsidRPr="003236D4">
        <w:rPr>
          <w:rFonts w:asciiTheme="minorHAnsi" w:hAnsiTheme="minorHAnsi"/>
          <w:bCs/>
          <w:color w:val="auto"/>
        </w:rPr>
        <w:t xml:space="preserve">The </w:t>
      </w:r>
      <w:r w:rsidR="00735E99">
        <w:rPr>
          <w:rFonts w:asciiTheme="minorHAnsi" w:hAnsiTheme="minorHAnsi"/>
          <w:bCs/>
          <w:color w:val="auto"/>
        </w:rPr>
        <w:t>P</w:t>
      </w:r>
      <w:r w:rsidR="007C5BE3" w:rsidRPr="00F349AA">
        <w:rPr>
          <w:rFonts w:asciiTheme="minorHAnsi" w:hAnsiTheme="minorHAnsi"/>
          <w:bCs/>
          <w:color w:val="auto"/>
        </w:rPr>
        <w:t>rogram expenditure boundary</w:t>
      </w:r>
      <w:r w:rsidR="007C5BE3" w:rsidRPr="003236D4">
        <w:rPr>
          <w:rFonts w:asciiTheme="minorHAnsi" w:hAnsiTheme="minorHAnsi"/>
          <w:bCs/>
          <w:color w:val="auto"/>
        </w:rPr>
        <w:t xml:space="preserve"> is, therefore, defined as the total estimated recurrent spending by the</w:t>
      </w:r>
      <w:r w:rsidR="007C5BE3">
        <w:rPr>
          <w:rFonts w:asciiTheme="minorHAnsi" w:hAnsiTheme="minorHAnsi"/>
          <w:bCs/>
          <w:color w:val="auto"/>
        </w:rPr>
        <w:t xml:space="preserve"> five</w:t>
      </w:r>
      <w:r w:rsidR="007C5BE3" w:rsidRPr="003236D4">
        <w:rPr>
          <w:rFonts w:asciiTheme="minorHAnsi" w:hAnsiTheme="minorHAnsi"/>
          <w:bCs/>
          <w:color w:val="auto"/>
        </w:rPr>
        <w:t xml:space="preserve"> entities over the Program duration of 2019</w:t>
      </w:r>
      <w:r w:rsidR="00187EDD">
        <w:rPr>
          <w:rFonts w:asciiTheme="minorHAnsi" w:hAnsiTheme="minorHAnsi"/>
          <w:bCs/>
          <w:color w:val="auto"/>
        </w:rPr>
        <w:t>–</w:t>
      </w:r>
      <w:r w:rsidR="007C5BE3" w:rsidRPr="003236D4">
        <w:rPr>
          <w:rFonts w:asciiTheme="minorHAnsi" w:hAnsiTheme="minorHAnsi"/>
          <w:bCs/>
          <w:color w:val="auto"/>
        </w:rPr>
        <w:t xml:space="preserve">2023. </w:t>
      </w:r>
      <w:r w:rsidRPr="003236D4">
        <w:rPr>
          <w:rFonts w:asciiTheme="minorHAnsi" w:hAnsiTheme="minorHAnsi"/>
          <w:bCs/>
          <w:color w:val="auto"/>
        </w:rPr>
        <w:t>This equates to a total amount of US$157</w:t>
      </w:r>
      <w:r w:rsidRPr="0015549B">
        <w:rPr>
          <w:rFonts w:asciiTheme="minorHAnsi" w:hAnsiTheme="minorHAnsi"/>
          <w:bCs/>
          <w:color w:val="auto"/>
        </w:rPr>
        <w:t xml:space="preserve"> </w:t>
      </w:r>
      <w:r w:rsidRPr="003236D4">
        <w:rPr>
          <w:rFonts w:asciiTheme="minorHAnsi" w:hAnsiTheme="minorHAnsi"/>
          <w:bCs/>
          <w:color w:val="auto"/>
        </w:rPr>
        <w:t xml:space="preserve">million. </w:t>
      </w:r>
      <w:r w:rsidR="007C5BE3" w:rsidRPr="003236D4">
        <w:rPr>
          <w:rFonts w:asciiTheme="minorHAnsi" w:hAnsiTheme="minorHAnsi"/>
          <w:bCs/>
          <w:color w:val="auto"/>
        </w:rPr>
        <w:t xml:space="preserve">The expenditures are derived from the GoKP’s three-year </w:t>
      </w:r>
      <w:r w:rsidR="007C5BE3" w:rsidRPr="00395C40">
        <w:rPr>
          <w:rFonts w:asciiTheme="minorHAnsi" w:hAnsiTheme="minorHAnsi"/>
          <w:bCs/>
          <w:color w:val="auto"/>
        </w:rPr>
        <w:t>Medium-Term Expenditure Framework</w:t>
      </w:r>
      <w:r w:rsidR="007C5BE3" w:rsidRPr="0015549B">
        <w:rPr>
          <w:rFonts w:asciiTheme="minorHAnsi" w:hAnsiTheme="minorHAnsi"/>
          <w:bCs/>
          <w:color w:val="auto"/>
        </w:rPr>
        <w:t xml:space="preserve"> (</w:t>
      </w:r>
      <w:r w:rsidR="007C5BE3" w:rsidRPr="003236D4">
        <w:rPr>
          <w:rFonts w:asciiTheme="minorHAnsi" w:hAnsiTheme="minorHAnsi"/>
          <w:bCs/>
          <w:color w:val="auto"/>
        </w:rPr>
        <w:t>MTEF</w:t>
      </w:r>
      <w:r w:rsidR="007C5BE3" w:rsidRPr="0015549B">
        <w:rPr>
          <w:rFonts w:asciiTheme="minorHAnsi" w:hAnsiTheme="minorHAnsi"/>
          <w:bCs/>
          <w:color w:val="auto"/>
        </w:rPr>
        <w:t>)</w:t>
      </w:r>
      <w:r w:rsidR="007C5BE3" w:rsidRPr="003236D4">
        <w:rPr>
          <w:rFonts w:asciiTheme="minorHAnsi" w:hAnsiTheme="minorHAnsi"/>
          <w:bCs/>
          <w:color w:val="auto"/>
        </w:rPr>
        <w:t xml:space="preserve"> projections plus two forward years. The IDA </w:t>
      </w:r>
      <w:r w:rsidR="00A71E45" w:rsidRPr="003236D4">
        <w:rPr>
          <w:rFonts w:asciiTheme="minorHAnsi" w:hAnsiTheme="minorHAnsi"/>
          <w:bCs/>
          <w:color w:val="auto"/>
        </w:rPr>
        <w:t xml:space="preserve">contribution </w:t>
      </w:r>
      <w:r w:rsidR="007C5BE3" w:rsidRPr="003236D4">
        <w:rPr>
          <w:rFonts w:asciiTheme="minorHAnsi" w:hAnsiTheme="minorHAnsi"/>
          <w:bCs/>
          <w:color w:val="auto"/>
        </w:rPr>
        <w:t>(US$1</w:t>
      </w:r>
      <w:r>
        <w:rPr>
          <w:rFonts w:asciiTheme="minorHAnsi" w:hAnsiTheme="minorHAnsi"/>
          <w:bCs/>
          <w:color w:val="auto"/>
        </w:rPr>
        <w:t>00</w:t>
      </w:r>
      <w:r w:rsidR="007C5BE3" w:rsidRPr="0015549B">
        <w:rPr>
          <w:rFonts w:asciiTheme="minorHAnsi" w:hAnsiTheme="minorHAnsi"/>
          <w:bCs/>
          <w:color w:val="auto"/>
        </w:rPr>
        <w:t xml:space="preserve"> </w:t>
      </w:r>
      <w:r w:rsidR="007C5BE3" w:rsidRPr="003236D4">
        <w:rPr>
          <w:rFonts w:asciiTheme="minorHAnsi" w:hAnsiTheme="minorHAnsi"/>
          <w:bCs/>
          <w:color w:val="auto"/>
        </w:rPr>
        <w:t>million) to this expenditure boundary constitutes 75</w:t>
      </w:r>
      <w:r w:rsidR="007C5BE3" w:rsidRPr="0015549B">
        <w:rPr>
          <w:rFonts w:asciiTheme="minorHAnsi" w:hAnsiTheme="minorHAnsi"/>
          <w:bCs/>
          <w:color w:val="auto"/>
        </w:rPr>
        <w:t xml:space="preserve"> </w:t>
      </w:r>
      <w:r w:rsidR="007C5BE3" w:rsidRPr="003236D4">
        <w:rPr>
          <w:rFonts w:asciiTheme="minorHAnsi" w:hAnsiTheme="minorHAnsi"/>
          <w:bCs/>
          <w:color w:val="auto"/>
        </w:rPr>
        <w:t xml:space="preserve">percent of the </w:t>
      </w:r>
      <w:r w:rsidR="00735E99">
        <w:rPr>
          <w:rFonts w:asciiTheme="minorHAnsi" w:hAnsiTheme="minorHAnsi"/>
          <w:bCs/>
          <w:color w:val="auto"/>
        </w:rPr>
        <w:t>P</w:t>
      </w:r>
      <w:r w:rsidR="007C5BE3" w:rsidRPr="003236D4">
        <w:rPr>
          <w:rFonts w:asciiTheme="minorHAnsi" w:hAnsiTheme="minorHAnsi"/>
          <w:bCs/>
          <w:color w:val="auto"/>
        </w:rPr>
        <w:t xml:space="preserve">rogram </w:t>
      </w:r>
      <w:r w:rsidR="00187EDD" w:rsidRPr="003236D4">
        <w:rPr>
          <w:rFonts w:asciiTheme="minorHAnsi" w:hAnsiTheme="minorHAnsi"/>
          <w:bCs/>
          <w:color w:val="auto"/>
        </w:rPr>
        <w:t>expenditure</w:t>
      </w:r>
      <w:r w:rsidR="00187EDD">
        <w:rPr>
          <w:rFonts w:asciiTheme="minorHAnsi" w:hAnsiTheme="minorHAnsi"/>
          <w:bCs/>
          <w:color w:val="auto"/>
        </w:rPr>
        <w:t xml:space="preserve"> </w:t>
      </w:r>
      <w:r w:rsidR="007C5BE3" w:rsidRPr="003236D4">
        <w:rPr>
          <w:rFonts w:asciiTheme="minorHAnsi" w:hAnsiTheme="minorHAnsi"/>
          <w:bCs/>
          <w:color w:val="auto"/>
        </w:rPr>
        <w:t xml:space="preserve">boundary </w:t>
      </w:r>
      <w:r w:rsidR="007C5BE3" w:rsidRPr="0015549B">
        <w:rPr>
          <w:rFonts w:asciiTheme="minorHAnsi" w:hAnsiTheme="minorHAnsi"/>
          <w:bCs/>
          <w:color w:val="auto"/>
        </w:rPr>
        <w:t>(</w:t>
      </w:r>
      <w:r w:rsidR="000F46D5">
        <w:rPr>
          <w:rFonts w:asciiTheme="minorHAnsi" w:hAnsiTheme="minorHAnsi"/>
          <w:bCs/>
          <w:color w:val="auto"/>
        </w:rPr>
        <w:t>t</w:t>
      </w:r>
      <w:r w:rsidR="007C5BE3" w:rsidRPr="003236D4">
        <w:rPr>
          <w:rFonts w:asciiTheme="minorHAnsi" w:hAnsiTheme="minorHAnsi"/>
          <w:bCs/>
          <w:color w:val="auto"/>
        </w:rPr>
        <w:t>able 3</w:t>
      </w:r>
      <w:r w:rsidR="007C5BE3" w:rsidRPr="0015549B">
        <w:rPr>
          <w:rFonts w:asciiTheme="minorHAnsi" w:hAnsiTheme="minorHAnsi"/>
          <w:bCs/>
          <w:color w:val="auto"/>
        </w:rPr>
        <w:t>)</w:t>
      </w:r>
      <w:r w:rsidR="007C5BE3" w:rsidRPr="003236D4">
        <w:rPr>
          <w:rFonts w:asciiTheme="minorHAnsi" w:hAnsiTheme="minorHAnsi"/>
          <w:bCs/>
          <w:color w:val="auto"/>
        </w:rPr>
        <w:t>.</w:t>
      </w:r>
      <w:r w:rsidR="00C225E8">
        <w:rPr>
          <w:rFonts w:asciiTheme="minorHAnsi" w:hAnsiTheme="minorHAnsi"/>
          <w:bCs/>
          <w:color w:val="auto"/>
        </w:rPr>
        <w:t xml:space="preserve"> </w:t>
      </w:r>
    </w:p>
    <w:p w14:paraId="40C0B098" w14:textId="2EE054D3" w:rsidR="007C5BE3" w:rsidRPr="003D4FF1" w:rsidRDefault="007C5BE3" w:rsidP="002863B7">
      <w:pPr>
        <w:pStyle w:val="Caption"/>
        <w:rPr>
          <w:i/>
        </w:rPr>
      </w:pPr>
      <w:bookmarkStart w:id="12" w:name="_Toc530148528"/>
      <w:r w:rsidRPr="003D4FF1">
        <w:t xml:space="preserve">Table </w:t>
      </w:r>
      <w:r w:rsidR="004670A5">
        <w:fldChar w:fldCharType="begin"/>
      </w:r>
      <w:r w:rsidR="004670A5">
        <w:instrText xml:space="preserve"> SEQ Table \* ARABIC </w:instrText>
      </w:r>
      <w:r w:rsidR="004670A5">
        <w:fldChar w:fldCharType="separate"/>
      </w:r>
      <w:r w:rsidRPr="003D4FF1">
        <w:t>3</w:t>
      </w:r>
      <w:r w:rsidR="004670A5">
        <w:fldChar w:fldCharType="end"/>
      </w:r>
      <w:r w:rsidRPr="003D4FF1">
        <w:t>: Program Expenditure Boundary and Financing Sources</w:t>
      </w:r>
      <w:bookmarkEnd w:id="12"/>
    </w:p>
    <w:tbl>
      <w:tblPr>
        <w:tblStyle w:val="TableGrid"/>
        <w:tblW w:w="5000" w:type="pct"/>
        <w:jc w:val="center"/>
        <w:tblLook w:val="04A0" w:firstRow="1" w:lastRow="0" w:firstColumn="1" w:lastColumn="0" w:noHBand="0" w:noVBand="1"/>
      </w:tblPr>
      <w:tblGrid>
        <w:gridCol w:w="3184"/>
        <w:gridCol w:w="3097"/>
        <w:gridCol w:w="3069"/>
      </w:tblGrid>
      <w:tr w:rsidR="007C5BE3" w:rsidRPr="00722CCA" w14:paraId="11F3A1F7" w14:textId="77777777" w:rsidTr="0062667D">
        <w:trPr>
          <w:trHeight w:val="224"/>
          <w:jc w:val="center"/>
        </w:trPr>
        <w:tc>
          <w:tcPr>
            <w:tcW w:w="1703" w:type="pct"/>
            <w:shd w:val="clear" w:color="auto" w:fill="DDEBF7"/>
          </w:tcPr>
          <w:p w14:paraId="3B4382AC" w14:textId="77777777" w:rsidR="007C5BE3" w:rsidRPr="00722CCA" w:rsidRDefault="007C5BE3" w:rsidP="00C225E8">
            <w:pPr>
              <w:pStyle w:val="NoSpacing"/>
              <w:rPr>
                <w:rFonts w:cstheme="minorHAnsi"/>
                <w:b/>
                <w:sz w:val="20"/>
                <w:szCs w:val="20"/>
              </w:rPr>
            </w:pPr>
            <w:r w:rsidRPr="00722CCA">
              <w:rPr>
                <w:rFonts w:cstheme="minorHAnsi"/>
                <w:b/>
                <w:sz w:val="20"/>
                <w:szCs w:val="20"/>
              </w:rPr>
              <w:t>Source</w:t>
            </w:r>
            <w:r w:rsidRPr="00722CCA">
              <w:rPr>
                <w:rFonts w:cstheme="minorHAnsi"/>
                <w:b/>
                <w:sz w:val="20"/>
                <w:szCs w:val="20"/>
              </w:rPr>
              <w:tab/>
            </w:r>
          </w:p>
        </w:tc>
        <w:tc>
          <w:tcPr>
            <w:tcW w:w="1656" w:type="pct"/>
            <w:shd w:val="clear" w:color="auto" w:fill="DDEBF7"/>
          </w:tcPr>
          <w:p w14:paraId="27F8D6F4" w14:textId="0339A62A" w:rsidR="007C5BE3" w:rsidRPr="00722CCA" w:rsidRDefault="007C5BE3" w:rsidP="00C225E8">
            <w:pPr>
              <w:pStyle w:val="NoSpacing"/>
              <w:rPr>
                <w:rFonts w:cstheme="minorHAnsi"/>
                <w:b/>
                <w:sz w:val="20"/>
                <w:szCs w:val="20"/>
              </w:rPr>
            </w:pPr>
            <w:r w:rsidRPr="00722CCA">
              <w:rPr>
                <w:rFonts w:cstheme="minorHAnsi"/>
                <w:b/>
                <w:sz w:val="20"/>
                <w:szCs w:val="20"/>
              </w:rPr>
              <w:t>Amount (US</w:t>
            </w:r>
            <w:r w:rsidR="00810FD7">
              <w:rPr>
                <w:rFonts w:cstheme="minorHAnsi"/>
                <w:b/>
                <w:sz w:val="20"/>
                <w:szCs w:val="20"/>
              </w:rPr>
              <w:t>$,</w:t>
            </w:r>
            <w:r w:rsidRPr="00722CCA">
              <w:rPr>
                <w:rFonts w:cstheme="minorHAnsi"/>
                <w:b/>
                <w:sz w:val="20"/>
                <w:szCs w:val="20"/>
              </w:rPr>
              <w:t xml:space="preserve"> million</w:t>
            </w:r>
            <w:r w:rsidR="00810FD7">
              <w:rPr>
                <w:rFonts w:cstheme="minorHAnsi"/>
                <w:b/>
                <w:sz w:val="20"/>
                <w:szCs w:val="20"/>
              </w:rPr>
              <w:t>s</w:t>
            </w:r>
            <w:r w:rsidRPr="00722CCA">
              <w:rPr>
                <w:rFonts w:cstheme="minorHAnsi"/>
                <w:b/>
                <w:sz w:val="20"/>
                <w:szCs w:val="20"/>
              </w:rPr>
              <w:t>)</w:t>
            </w:r>
          </w:p>
        </w:tc>
        <w:tc>
          <w:tcPr>
            <w:tcW w:w="1641" w:type="pct"/>
            <w:shd w:val="clear" w:color="auto" w:fill="DDEBF7"/>
          </w:tcPr>
          <w:p w14:paraId="105B19A6" w14:textId="38E5CEE1" w:rsidR="007C5BE3" w:rsidRPr="00722CCA" w:rsidRDefault="007C5BE3" w:rsidP="00C225E8">
            <w:pPr>
              <w:pStyle w:val="NoSpacing"/>
              <w:rPr>
                <w:rFonts w:cstheme="minorHAnsi"/>
                <w:b/>
                <w:sz w:val="20"/>
                <w:szCs w:val="20"/>
              </w:rPr>
            </w:pPr>
            <w:r w:rsidRPr="00722CCA">
              <w:rPr>
                <w:rFonts w:cstheme="minorHAnsi"/>
                <w:b/>
                <w:sz w:val="20"/>
                <w:szCs w:val="20"/>
              </w:rPr>
              <w:t>Percent</w:t>
            </w:r>
            <w:r w:rsidR="00810FD7">
              <w:rPr>
                <w:rFonts w:cstheme="minorHAnsi"/>
                <w:b/>
                <w:sz w:val="20"/>
                <w:szCs w:val="20"/>
              </w:rPr>
              <w:t>age</w:t>
            </w:r>
            <w:r w:rsidRPr="00722CCA">
              <w:rPr>
                <w:rFonts w:cstheme="minorHAnsi"/>
                <w:b/>
                <w:sz w:val="20"/>
                <w:szCs w:val="20"/>
              </w:rPr>
              <w:t xml:space="preserve"> of Total</w:t>
            </w:r>
          </w:p>
        </w:tc>
      </w:tr>
      <w:tr w:rsidR="007C5BE3" w:rsidRPr="00722CCA" w14:paraId="32FD037A" w14:textId="77777777" w:rsidTr="00EB060B">
        <w:trPr>
          <w:jc w:val="center"/>
        </w:trPr>
        <w:tc>
          <w:tcPr>
            <w:tcW w:w="1703" w:type="pct"/>
          </w:tcPr>
          <w:p w14:paraId="4A993E19" w14:textId="77777777" w:rsidR="007C5BE3" w:rsidRPr="00722CCA" w:rsidRDefault="007C5BE3" w:rsidP="00C225E8">
            <w:pPr>
              <w:pStyle w:val="NoSpacing"/>
              <w:jc w:val="left"/>
              <w:rPr>
                <w:rFonts w:cstheme="minorHAnsi"/>
                <w:sz w:val="20"/>
                <w:szCs w:val="20"/>
              </w:rPr>
            </w:pPr>
            <w:r w:rsidRPr="00722CCA">
              <w:rPr>
                <w:rFonts w:cstheme="minorHAnsi"/>
                <w:sz w:val="20"/>
                <w:szCs w:val="20"/>
              </w:rPr>
              <w:t>Government</w:t>
            </w:r>
          </w:p>
        </w:tc>
        <w:tc>
          <w:tcPr>
            <w:tcW w:w="1656" w:type="pct"/>
          </w:tcPr>
          <w:p w14:paraId="73F015DA" w14:textId="5D9DE131" w:rsidR="007C5BE3" w:rsidRPr="00722CCA" w:rsidRDefault="005139DA" w:rsidP="00C225E8">
            <w:pPr>
              <w:pStyle w:val="NoSpacing"/>
              <w:rPr>
                <w:rFonts w:cstheme="minorHAnsi"/>
                <w:sz w:val="20"/>
                <w:szCs w:val="20"/>
              </w:rPr>
            </w:pPr>
            <w:r>
              <w:rPr>
                <w:rFonts w:cstheme="minorHAnsi"/>
                <w:sz w:val="20"/>
                <w:szCs w:val="20"/>
              </w:rPr>
              <w:t>57</w:t>
            </w:r>
          </w:p>
        </w:tc>
        <w:tc>
          <w:tcPr>
            <w:tcW w:w="1641" w:type="pct"/>
          </w:tcPr>
          <w:p w14:paraId="5C83450E" w14:textId="6440684B" w:rsidR="007C5BE3" w:rsidRPr="00722CCA" w:rsidRDefault="005139DA" w:rsidP="00C225E8">
            <w:pPr>
              <w:pStyle w:val="NoSpacing"/>
              <w:rPr>
                <w:rFonts w:cstheme="minorHAnsi"/>
                <w:sz w:val="20"/>
                <w:szCs w:val="20"/>
              </w:rPr>
            </w:pPr>
            <w:r>
              <w:rPr>
                <w:rFonts w:cstheme="minorHAnsi"/>
                <w:sz w:val="20"/>
                <w:szCs w:val="20"/>
              </w:rPr>
              <w:t>36</w:t>
            </w:r>
          </w:p>
        </w:tc>
      </w:tr>
      <w:tr w:rsidR="007C5BE3" w:rsidRPr="00722CCA" w14:paraId="11D3D1FA" w14:textId="77777777" w:rsidTr="00EB060B">
        <w:trPr>
          <w:jc w:val="center"/>
        </w:trPr>
        <w:tc>
          <w:tcPr>
            <w:tcW w:w="1703" w:type="pct"/>
          </w:tcPr>
          <w:p w14:paraId="2F7B2D8C" w14:textId="77777777" w:rsidR="007C5BE3" w:rsidRPr="00722CCA" w:rsidRDefault="007C5BE3" w:rsidP="00C225E8">
            <w:pPr>
              <w:pStyle w:val="NoSpacing"/>
              <w:jc w:val="left"/>
              <w:rPr>
                <w:rFonts w:cstheme="minorHAnsi"/>
                <w:sz w:val="20"/>
                <w:szCs w:val="20"/>
              </w:rPr>
            </w:pPr>
            <w:r w:rsidRPr="00722CCA">
              <w:rPr>
                <w:rFonts w:cstheme="minorHAnsi"/>
                <w:sz w:val="20"/>
                <w:szCs w:val="20"/>
              </w:rPr>
              <w:t>IBRD/IDA</w:t>
            </w:r>
          </w:p>
        </w:tc>
        <w:tc>
          <w:tcPr>
            <w:tcW w:w="1656" w:type="pct"/>
          </w:tcPr>
          <w:p w14:paraId="238F1F9D" w14:textId="656574B1" w:rsidR="007C5BE3" w:rsidRPr="00722CCA" w:rsidRDefault="007C5BE3" w:rsidP="00C225E8">
            <w:pPr>
              <w:pStyle w:val="NoSpacing"/>
              <w:rPr>
                <w:rFonts w:cstheme="minorHAnsi"/>
                <w:sz w:val="20"/>
                <w:szCs w:val="20"/>
              </w:rPr>
            </w:pPr>
            <w:r w:rsidRPr="00722CCA">
              <w:rPr>
                <w:rFonts w:cstheme="minorHAnsi"/>
                <w:sz w:val="20"/>
                <w:szCs w:val="20"/>
              </w:rPr>
              <w:t>1</w:t>
            </w:r>
            <w:r w:rsidR="005139DA">
              <w:rPr>
                <w:rFonts w:cstheme="minorHAnsi"/>
                <w:sz w:val="20"/>
                <w:szCs w:val="20"/>
              </w:rPr>
              <w:t>00</w:t>
            </w:r>
          </w:p>
        </w:tc>
        <w:tc>
          <w:tcPr>
            <w:tcW w:w="1641" w:type="pct"/>
          </w:tcPr>
          <w:p w14:paraId="44BC9603" w14:textId="62984BF8" w:rsidR="007C5BE3" w:rsidRPr="00722CCA" w:rsidRDefault="005139DA" w:rsidP="00C225E8">
            <w:pPr>
              <w:pStyle w:val="NoSpacing"/>
              <w:rPr>
                <w:rFonts w:cstheme="minorHAnsi"/>
                <w:sz w:val="20"/>
                <w:szCs w:val="20"/>
              </w:rPr>
            </w:pPr>
            <w:r>
              <w:rPr>
                <w:rFonts w:cstheme="minorHAnsi"/>
                <w:sz w:val="20"/>
                <w:szCs w:val="20"/>
              </w:rPr>
              <w:t>64</w:t>
            </w:r>
          </w:p>
        </w:tc>
      </w:tr>
      <w:tr w:rsidR="007C5BE3" w:rsidRPr="00722CCA" w14:paraId="78B1D1AF" w14:textId="77777777" w:rsidTr="00EB060B">
        <w:trPr>
          <w:trHeight w:val="64"/>
          <w:jc w:val="center"/>
        </w:trPr>
        <w:tc>
          <w:tcPr>
            <w:tcW w:w="1703" w:type="pct"/>
          </w:tcPr>
          <w:p w14:paraId="062B11FB" w14:textId="0B8FEFAF" w:rsidR="007C5BE3" w:rsidRPr="00722CCA" w:rsidRDefault="007C5BE3" w:rsidP="00C225E8">
            <w:pPr>
              <w:pStyle w:val="NoSpacing"/>
              <w:jc w:val="left"/>
              <w:rPr>
                <w:rFonts w:cstheme="minorHAnsi"/>
                <w:sz w:val="20"/>
                <w:szCs w:val="20"/>
              </w:rPr>
            </w:pPr>
            <w:r w:rsidRPr="00722CCA">
              <w:rPr>
                <w:rFonts w:cstheme="minorHAnsi"/>
                <w:sz w:val="20"/>
                <w:szCs w:val="20"/>
              </w:rPr>
              <w:t xml:space="preserve">Other </w:t>
            </w:r>
            <w:r w:rsidR="00187EDD">
              <w:rPr>
                <w:rFonts w:cstheme="minorHAnsi"/>
                <w:sz w:val="20"/>
                <w:szCs w:val="20"/>
              </w:rPr>
              <w:t>d</w:t>
            </w:r>
            <w:r w:rsidRPr="00722CCA">
              <w:rPr>
                <w:rFonts w:cstheme="minorHAnsi"/>
                <w:sz w:val="20"/>
                <w:szCs w:val="20"/>
              </w:rPr>
              <w:t xml:space="preserve">evelopment </w:t>
            </w:r>
            <w:r w:rsidR="00187EDD">
              <w:rPr>
                <w:rFonts w:cstheme="minorHAnsi"/>
                <w:sz w:val="20"/>
                <w:szCs w:val="20"/>
              </w:rPr>
              <w:t>p</w:t>
            </w:r>
            <w:r w:rsidRPr="00722CCA">
              <w:rPr>
                <w:rFonts w:cstheme="minorHAnsi"/>
                <w:sz w:val="20"/>
                <w:szCs w:val="20"/>
              </w:rPr>
              <w:t>artners</w:t>
            </w:r>
          </w:p>
        </w:tc>
        <w:tc>
          <w:tcPr>
            <w:tcW w:w="1656" w:type="pct"/>
          </w:tcPr>
          <w:p w14:paraId="3D5D7977" w14:textId="77777777" w:rsidR="007C5BE3" w:rsidRPr="00722CCA" w:rsidRDefault="007C5BE3" w:rsidP="00C225E8">
            <w:pPr>
              <w:pStyle w:val="NoSpacing"/>
              <w:rPr>
                <w:rFonts w:cstheme="minorHAnsi"/>
                <w:sz w:val="20"/>
                <w:szCs w:val="20"/>
              </w:rPr>
            </w:pPr>
            <w:r w:rsidRPr="00722CCA">
              <w:rPr>
                <w:rFonts w:cstheme="minorHAnsi"/>
                <w:sz w:val="20"/>
                <w:szCs w:val="20"/>
              </w:rPr>
              <w:t>0</w:t>
            </w:r>
          </w:p>
        </w:tc>
        <w:tc>
          <w:tcPr>
            <w:tcW w:w="1641" w:type="pct"/>
          </w:tcPr>
          <w:p w14:paraId="4609954F" w14:textId="77777777" w:rsidR="007C5BE3" w:rsidRPr="00722CCA" w:rsidRDefault="007C5BE3" w:rsidP="00C225E8">
            <w:pPr>
              <w:pStyle w:val="NoSpacing"/>
              <w:rPr>
                <w:rFonts w:cstheme="minorHAnsi"/>
                <w:sz w:val="20"/>
                <w:szCs w:val="20"/>
              </w:rPr>
            </w:pPr>
            <w:r w:rsidRPr="00722CCA">
              <w:rPr>
                <w:rFonts w:cstheme="minorHAnsi"/>
                <w:sz w:val="20"/>
                <w:szCs w:val="20"/>
              </w:rPr>
              <w:t>0</w:t>
            </w:r>
          </w:p>
        </w:tc>
      </w:tr>
      <w:tr w:rsidR="007C5BE3" w:rsidRPr="00722CCA" w14:paraId="2850951A" w14:textId="77777777" w:rsidTr="00EB060B">
        <w:trPr>
          <w:trHeight w:val="215"/>
          <w:jc w:val="center"/>
        </w:trPr>
        <w:tc>
          <w:tcPr>
            <w:tcW w:w="1703" w:type="pct"/>
          </w:tcPr>
          <w:p w14:paraId="58C62C8B" w14:textId="2BEAC4EC" w:rsidR="007C5BE3" w:rsidRPr="00722CCA" w:rsidRDefault="007C5BE3" w:rsidP="00C225E8">
            <w:pPr>
              <w:pStyle w:val="NoSpacing"/>
              <w:jc w:val="left"/>
              <w:rPr>
                <w:rFonts w:cstheme="minorHAnsi"/>
                <w:b/>
                <w:sz w:val="20"/>
                <w:szCs w:val="20"/>
              </w:rPr>
            </w:pPr>
            <w:r w:rsidRPr="00722CCA">
              <w:rPr>
                <w:rFonts w:cstheme="minorHAnsi"/>
                <w:b/>
                <w:sz w:val="20"/>
                <w:szCs w:val="20"/>
              </w:rPr>
              <w:t xml:space="preserve">Total </w:t>
            </w:r>
            <w:r w:rsidR="00187EDD">
              <w:rPr>
                <w:rFonts w:cstheme="minorHAnsi"/>
                <w:b/>
                <w:sz w:val="20"/>
                <w:szCs w:val="20"/>
              </w:rPr>
              <w:t>P</w:t>
            </w:r>
            <w:r w:rsidRPr="00722CCA">
              <w:rPr>
                <w:rFonts w:cstheme="minorHAnsi"/>
                <w:b/>
                <w:sz w:val="20"/>
                <w:szCs w:val="20"/>
              </w:rPr>
              <w:t>rogram financing</w:t>
            </w:r>
          </w:p>
        </w:tc>
        <w:tc>
          <w:tcPr>
            <w:tcW w:w="1656" w:type="pct"/>
          </w:tcPr>
          <w:p w14:paraId="45A7C802" w14:textId="77777777" w:rsidR="007C5BE3" w:rsidRPr="00722CCA" w:rsidRDefault="007C5BE3" w:rsidP="00C225E8">
            <w:pPr>
              <w:pStyle w:val="NoSpacing"/>
              <w:rPr>
                <w:rFonts w:cstheme="minorHAnsi"/>
                <w:b/>
                <w:sz w:val="20"/>
                <w:szCs w:val="20"/>
              </w:rPr>
            </w:pPr>
            <w:r>
              <w:rPr>
                <w:rFonts w:cstheme="minorHAnsi"/>
                <w:sz w:val="20"/>
                <w:szCs w:val="20"/>
              </w:rPr>
              <w:t>157</w:t>
            </w:r>
          </w:p>
        </w:tc>
        <w:tc>
          <w:tcPr>
            <w:tcW w:w="1641" w:type="pct"/>
          </w:tcPr>
          <w:p w14:paraId="50B0C3B3" w14:textId="77777777" w:rsidR="007C5BE3" w:rsidRPr="00722CCA" w:rsidRDefault="007C5BE3" w:rsidP="00C225E8">
            <w:pPr>
              <w:pStyle w:val="NoSpacing"/>
              <w:rPr>
                <w:rFonts w:cstheme="minorHAnsi"/>
                <w:b/>
                <w:sz w:val="20"/>
                <w:szCs w:val="20"/>
              </w:rPr>
            </w:pPr>
            <w:r w:rsidRPr="00722CCA">
              <w:rPr>
                <w:rFonts w:cstheme="minorHAnsi"/>
                <w:b/>
                <w:sz w:val="20"/>
                <w:szCs w:val="20"/>
              </w:rPr>
              <w:t>100</w:t>
            </w:r>
          </w:p>
        </w:tc>
      </w:tr>
    </w:tbl>
    <w:p w14:paraId="3674CF94" w14:textId="6BABB13F" w:rsidR="007C5BE3" w:rsidRPr="007B597C" w:rsidRDefault="007C5BE3" w:rsidP="00EB060B">
      <w:pPr>
        <w:pStyle w:val="ListParagraph"/>
        <w:widowControl/>
        <w:numPr>
          <w:ilvl w:val="0"/>
          <w:numId w:val="14"/>
        </w:numPr>
        <w:autoSpaceDE/>
        <w:autoSpaceDN/>
        <w:adjustRightInd/>
        <w:spacing w:before="240" w:after="240"/>
        <w:ind w:left="0" w:firstLine="0"/>
        <w:contextualSpacing w:val="0"/>
        <w:jc w:val="both"/>
        <w:rPr>
          <w:rFonts w:ascii="Calibri" w:hAnsi="Calibri" w:cs="Times New Roman"/>
        </w:rPr>
      </w:pPr>
      <w:r w:rsidRPr="007B597C">
        <w:rPr>
          <w:rFonts w:asciiTheme="minorHAnsi" w:hAnsiTheme="minorHAnsi" w:cstheme="minorHAnsi"/>
          <w:b/>
          <w:color w:val="000000" w:themeColor="text1"/>
        </w:rPr>
        <w:t>The</w:t>
      </w:r>
      <w:r w:rsidRPr="007B597C">
        <w:rPr>
          <w:rFonts w:ascii="Calibri" w:hAnsi="Calibri" w:cs="Times New Roman"/>
          <w:b/>
        </w:rPr>
        <w:t xml:space="preserve"> expenditure framework is defined in </w:t>
      </w:r>
      <w:r w:rsidR="00187EDD">
        <w:rPr>
          <w:rFonts w:ascii="Calibri" w:hAnsi="Calibri" w:cs="Times New Roman"/>
          <w:b/>
        </w:rPr>
        <w:fldChar w:fldCharType="begin"/>
      </w:r>
      <w:r w:rsidR="00187EDD">
        <w:rPr>
          <w:rFonts w:ascii="Calibri" w:hAnsi="Calibri" w:cs="Times New Roman"/>
          <w:b/>
        </w:rPr>
        <w:instrText xml:space="preserve"> REF _Ref529961952 \h  \* MERGEFORMAT </w:instrText>
      </w:r>
      <w:r w:rsidR="00187EDD">
        <w:rPr>
          <w:rFonts w:ascii="Calibri" w:hAnsi="Calibri" w:cs="Times New Roman"/>
          <w:b/>
        </w:rPr>
      </w:r>
      <w:r w:rsidR="00187EDD">
        <w:rPr>
          <w:rFonts w:ascii="Calibri" w:hAnsi="Calibri" w:cs="Times New Roman"/>
          <w:b/>
        </w:rPr>
        <w:fldChar w:fldCharType="separate"/>
      </w:r>
      <w:r w:rsidR="000F46D5">
        <w:rPr>
          <w:rFonts w:ascii="Calibri" w:hAnsi="Calibri" w:cs="Times New Roman"/>
          <w:b/>
        </w:rPr>
        <w:t>t</w:t>
      </w:r>
      <w:r w:rsidR="00187EDD" w:rsidRPr="00187EDD">
        <w:rPr>
          <w:rFonts w:ascii="Calibri" w:hAnsi="Calibri" w:cs="Times New Roman"/>
          <w:b/>
        </w:rPr>
        <w:t>able 4</w:t>
      </w:r>
      <w:r w:rsidR="00187EDD">
        <w:rPr>
          <w:rFonts w:ascii="Calibri" w:hAnsi="Calibri" w:cs="Times New Roman"/>
          <w:b/>
        </w:rPr>
        <w:fldChar w:fldCharType="end"/>
      </w:r>
      <w:r w:rsidRPr="00187EDD">
        <w:rPr>
          <w:rFonts w:ascii="Calibri" w:hAnsi="Calibri" w:cs="Times New Roman"/>
          <w:b/>
        </w:rPr>
        <w:t xml:space="preserve"> (by</w:t>
      </w:r>
      <w:r w:rsidRPr="007B597C">
        <w:rPr>
          <w:rFonts w:ascii="Calibri" w:hAnsi="Calibri" w:cs="Times New Roman"/>
          <w:b/>
        </w:rPr>
        <w:t xml:space="preserve"> object classification) and in </w:t>
      </w:r>
      <w:r w:rsidR="00187EDD">
        <w:rPr>
          <w:rFonts w:ascii="Calibri" w:hAnsi="Calibri" w:cs="Times New Roman"/>
          <w:b/>
        </w:rPr>
        <w:fldChar w:fldCharType="begin"/>
      </w:r>
      <w:r w:rsidR="00187EDD">
        <w:rPr>
          <w:rFonts w:ascii="Calibri" w:hAnsi="Calibri" w:cs="Times New Roman"/>
          <w:b/>
        </w:rPr>
        <w:instrText xml:space="preserve"> REF _Ref529961959 \h  \* MERGEFORMAT </w:instrText>
      </w:r>
      <w:r w:rsidR="00187EDD">
        <w:rPr>
          <w:rFonts w:ascii="Calibri" w:hAnsi="Calibri" w:cs="Times New Roman"/>
          <w:b/>
        </w:rPr>
      </w:r>
      <w:r w:rsidR="00187EDD">
        <w:rPr>
          <w:rFonts w:ascii="Calibri" w:hAnsi="Calibri" w:cs="Times New Roman"/>
          <w:b/>
        </w:rPr>
        <w:fldChar w:fldCharType="separate"/>
      </w:r>
      <w:r w:rsidR="000F46D5">
        <w:rPr>
          <w:rFonts w:ascii="Calibri" w:hAnsi="Calibri" w:cs="Times New Roman"/>
          <w:b/>
        </w:rPr>
        <w:t>t</w:t>
      </w:r>
      <w:r w:rsidR="00187EDD" w:rsidRPr="00187EDD">
        <w:rPr>
          <w:rFonts w:ascii="Calibri" w:hAnsi="Calibri" w:cs="Times New Roman"/>
          <w:b/>
        </w:rPr>
        <w:t>able 5</w:t>
      </w:r>
      <w:r w:rsidR="00187EDD">
        <w:rPr>
          <w:rFonts w:ascii="Calibri" w:hAnsi="Calibri" w:cs="Times New Roman"/>
          <w:b/>
        </w:rPr>
        <w:fldChar w:fldCharType="end"/>
      </w:r>
      <w:r w:rsidRPr="007B597C">
        <w:rPr>
          <w:rFonts w:ascii="Calibri" w:hAnsi="Calibri" w:cs="Times New Roman"/>
          <w:b/>
        </w:rPr>
        <w:t xml:space="preserve"> (by </w:t>
      </w:r>
      <w:r w:rsidR="00A71E45">
        <w:rPr>
          <w:rFonts w:ascii="Calibri" w:hAnsi="Calibri" w:cs="Times New Roman"/>
          <w:b/>
        </w:rPr>
        <w:t>entities</w:t>
      </w:r>
      <w:r w:rsidRPr="007B597C">
        <w:rPr>
          <w:rFonts w:ascii="Calibri" w:hAnsi="Calibri" w:cs="Times New Roman"/>
          <w:b/>
        </w:rPr>
        <w:t>).</w:t>
      </w:r>
      <w:r w:rsidRPr="007B597C">
        <w:rPr>
          <w:rFonts w:ascii="Calibri" w:hAnsi="Calibri" w:cs="Times New Roman"/>
        </w:rPr>
        <w:t xml:space="preserve"> The government’s expenditure framework provides clarity regarding the specific Program expenditure (type and amount) to be incurred by the five core implementing entities</w:t>
      </w:r>
      <w:r>
        <w:rPr>
          <w:rFonts w:ascii="Calibri" w:hAnsi="Calibri" w:cs="Times New Roman"/>
        </w:rPr>
        <w:t xml:space="preserve"> (</w:t>
      </w:r>
      <w:r w:rsidR="00187EDD" w:rsidRPr="00187EDD">
        <w:rPr>
          <w:rFonts w:ascii="Calibri" w:hAnsi="Calibri" w:cs="Times New Roman"/>
        </w:rPr>
        <w:fldChar w:fldCharType="begin"/>
      </w:r>
      <w:r w:rsidR="00187EDD" w:rsidRPr="00187EDD">
        <w:rPr>
          <w:rFonts w:ascii="Calibri" w:hAnsi="Calibri" w:cs="Times New Roman"/>
        </w:rPr>
        <w:instrText xml:space="preserve"> REF _Ref529961964 \h  \* MERGEFORMAT </w:instrText>
      </w:r>
      <w:r w:rsidR="00187EDD" w:rsidRPr="00187EDD">
        <w:rPr>
          <w:rFonts w:ascii="Calibri" w:hAnsi="Calibri" w:cs="Times New Roman"/>
        </w:rPr>
      </w:r>
      <w:r w:rsidR="00187EDD" w:rsidRPr="00187EDD">
        <w:rPr>
          <w:rFonts w:ascii="Calibri" w:hAnsi="Calibri" w:cs="Times New Roman"/>
        </w:rPr>
        <w:fldChar w:fldCharType="separate"/>
      </w:r>
      <w:r w:rsidR="000F46D5">
        <w:rPr>
          <w:rFonts w:ascii="Calibri" w:hAnsi="Calibri" w:cs="Times New Roman"/>
        </w:rPr>
        <w:t>t</w:t>
      </w:r>
      <w:r w:rsidR="00187EDD" w:rsidRPr="00395C40">
        <w:rPr>
          <w:rFonts w:ascii="Calibri" w:hAnsi="Calibri" w:cs="Times New Roman"/>
        </w:rPr>
        <w:t>able 6</w:t>
      </w:r>
      <w:r w:rsidR="00187EDD" w:rsidRPr="00187EDD">
        <w:rPr>
          <w:rFonts w:ascii="Calibri" w:hAnsi="Calibri" w:cs="Times New Roman"/>
        </w:rPr>
        <w:fldChar w:fldCharType="end"/>
      </w:r>
      <w:r>
        <w:rPr>
          <w:rFonts w:ascii="Calibri" w:hAnsi="Calibri" w:cs="Times New Roman"/>
        </w:rPr>
        <w:t>)</w:t>
      </w:r>
      <w:r w:rsidRPr="007B597C">
        <w:rPr>
          <w:rFonts w:ascii="Calibri" w:hAnsi="Calibri" w:cs="Times New Roman"/>
        </w:rPr>
        <w:t>.</w:t>
      </w:r>
    </w:p>
    <w:p w14:paraId="3A4C1F08" w14:textId="106271EE" w:rsidR="007C5BE3" w:rsidRPr="003D4FF1" w:rsidRDefault="007C5BE3" w:rsidP="002863B7">
      <w:pPr>
        <w:pStyle w:val="Caption"/>
        <w:rPr>
          <w:i/>
        </w:rPr>
      </w:pPr>
      <w:bookmarkStart w:id="13" w:name="_Ref529961952"/>
      <w:bookmarkStart w:id="14" w:name="_Toc530148529"/>
      <w:r w:rsidRPr="003D4FF1">
        <w:lastRenderedPageBreak/>
        <w:t xml:space="preserve">Table </w:t>
      </w:r>
      <w:r w:rsidR="004670A5">
        <w:fldChar w:fldCharType="begin"/>
      </w:r>
      <w:r w:rsidR="004670A5">
        <w:instrText xml:space="preserve"> SEQ Table \* ARABIC </w:instrText>
      </w:r>
      <w:r w:rsidR="004670A5">
        <w:fldChar w:fldCharType="separate"/>
      </w:r>
      <w:r w:rsidRPr="003D4FF1">
        <w:t>4</w:t>
      </w:r>
      <w:r w:rsidR="004670A5">
        <w:fldChar w:fldCharType="end"/>
      </w:r>
      <w:bookmarkEnd w:id="13"/>
      <w:r w:rsidRPr="003D4FF1">
        <w:t xml:space="preserve">: Overall </w:t>
      </w:r>
      <w:r w:rsidR="008F228D">
        <w:t xml:space="preserve"> Government </w:t>
      </w:r>
      <w:r w:rsidRPr="003D4FF1">
        <w:t xml:space="preserve">Program </w:t>
      </w:r>
      <w:r w:rsidR="008F228D">
        <w:t>Cost</w:t>
      </w:r>
      <w:r w:rsidRPr="003D4FF1">
        <w:t xml:space="preserve"> (by object classification)</w:t>
      </w:r>
      <w:bookmarkEnd w:id="14"/>
    </w:p>
    <w:p w14:paraId="154F4D93" w14:textId="77777777" w:rsidR="007C5BE3" w:rsidRDefault="007C5BE3" w:rsidP="007C5BE3">
      <w:pPr>
        <w:jc w:val="center"/>
        <w:rPr>
          <w:lang w:val="en-GB" w:eastAsia="en-GB"/>
        </w:rPr>
      </w:pPr>
      <w:r w:rsidRPr="00CB742D">
        <w:rPr>
          <w:noProof/>
        </w:rPr>
        <w:drawing>
          <wp:inline distT="0" distB="0" distL="0" distR="0" wp14:anchorId="2BE0F091" wp14:editId="19C9347B">
            <wp:extent cx="6078008" cy="3108766"/>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522" cy="3118235"/>
                    </a:xfrm>
                    <a:prstGeom prst="rect">
                      <a:avLst/>
                    </a:prstGeom>
                    <a:noFill/>
                    <a:ln>
                      <a:noFill/>
                    </a:ln>
                  </pic:spPr>
                </pic:pic>
              </a:graphicData>
            </a:graphic>
          </wp:inline>
        </w:drawing>
      </w:r>
    </w:p>
    <w:p w14:paraId="1E5FC7D0" w14:textId="76003441" w:rsidR="007C5BE3" w:rsidRPr="003D4FF1" w:rsidRDefault="007C5BE3" w:rsidP="002863B7">
      <w:pPr>
        <w:pStyle w:val="Caption"/>
        <w:rPr>
          <w:i/>
        </w:rPr>
      </w:pPr>
      <w:bookmarkStart w:id="15" w:name="_Ref529961959"/>
      <w:bookmarkStart w:id="16" w:name="_Toc530148530"/>
      <w:r w:rsidRPr="003D4FF1">
        <w:t xml:space="preserve">Table </w:t>
      </w:r>
      <w:r w:rsidR="004670A5">
        <w:fldChar w:fldCharType="begin"/>
      </w:r>
      <w:r w:rsidR="004670A5">
        <w:instrText xml:space="preserve"> SEQ Table \* ARABIC </w:instrText>
      </w:r>
      <w:r w:rsidR="004670A5">
        <w:fldChar w:fldCharType="separate"/>
      </w:r>
      <w:r w:rsidRPr="003D4FF1">
        <w:t>5</w:t>
      </w:r>
      <w:r w:rsidR="004670A5">
        <w:fldChar w:fldCharType="end"/>
      </w:r>
      <w:bookmarkEnd w:id="15"/>
      <w:r w:rsidRPr="003D4FF1">
        <w:t xml:space="preserve">: Overall </w:t>
      </w:r>
      <w:r w:rsidR="008F228D">
        <w:t xml:space="preserve">Government </w:t>
      </w:r>
      <w:r w:rsidR="008F228D" w:rsidRPr="003D4FF1">
        <w:t xml:space="preserve">Program </w:t>
      </w:r>
      <w:r w:rsidR="008F228D">
        <w:t>Cost</w:t>
      </w:r>
      <w:r w:rsidR="008F228D" w:rsidRPr="003D4FF1">
        <w:t xml:space="preserve"> (</w:t>
      </w:r>
      <w:r w:rsidR="008F228D" w:rsidRPr="003D4FF1" w:rsidDel="008F228D">
        <w:t xml:space="preserve"> </w:t>
      </w:r>
      <w:r w:rsidRPr="003D4FF1">
        <w:t>(by entities)</w:t>
      </w:r>
      <w:bookmarkEnd w:id="16"/>
    </w:p>
    <w:tbl>
      <w:tblPr>
        <w:tblpPr w:leftFromText="180" w:rightFromText="180" w:vertAnchor="text" w:horzAnchor="margin" w:tblpXSpec="center" w:tblpY="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4A0" w:firstRow="1" w:lastRow="0" w:firstColumn="1" w:lastColumn="0" w:noHBand="0" w:noVBand="1"/>
      </w:tblPr>
      <w:tblGrid>
        <w:gridCol w:w="2870"/>
        <w:gridCol w:w="1081"/>
        <w:gridCol w:w="1081"/>
        <w:gridCol w:w="1081"/>
        <w:gridCol w:w="1081"/>
        <w:gridCol w:w="1081"/>
        <w:gridCol w:w="1075"/>
      </w:tblGrid>
      <w:tr w:rsidR="007C5BE3" w:rsidRPr="003D4FF1" w14:paraId="640CD35A" w14:textId="77777777" w:rsidTr="00187EDD">
        <w:trPr>
          <w:trHeight w:val="210"/>
        </w:trPr>
        <w:tc>
          <w:tcPr>
            <w:tcW w:w="1535" w:type="pct"/>
            <w:shd w:val="clear" w:color="auto" w:fill="DDEBF7"/>
            <w:noWrap/>
            <w:vAlign w:val="center"/>
            <w:hideMark/>
          </w:tcPr>
          <w:p w14:paraId="5B812E02" w14:textId="77777777" w:rsidR="007C5BE3" w:rsidRPr="003D4FF1" w:rsidRDefault="007C5BE3" w:rsidP="00187EDD">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Department</w:t>
            </w:r>
          </w:p>
        </w:tc>
        <w:tc>
          <w:tcPr>
            <w:tcW w:w="578" w:type="pct"/>
            <w:shd w:val="clear" w:color="auto" w:fill="DDEBF7"/>
            <w:noWrap/>
            <w:vAlign w:val="center"/>
            <w:hideMark/>
          </w:tcPr>
          <w:p w14:paraId="05CEEC74" w14:textId="2B82D2FA" w:rsidR="007C5BE3" w:rsidRPr="003D4FF1" w:rsidRDefault="007C5BE3" w:rsidP="00187EDD">
            <w:pPr>
              <w:jc w:val="center"/>
              <w:rPr>
                <w:rFonts w:asciiTheme="minorHAnsi" w:eastAsia="Times New Roman" w:hAnsiTheme="minorHAnsi" w:cstheme="minorBidi"/>
                <w:b/>
                <w:bCs/>
                <w:sz w:val="20"/>
                <w:szCs w:val="20"/>
              </w:rPr>
            </w:pPr>
            <w:r w:rsidRPr="00D827AB">
              <w:rPr>
                <w:rFonts w:asciiTheme="minorHAnsi" w:eastAsia="Times New Roman" w:hAnsiTheme="minorHAnsi" w:cstheme="minorBidi"/>
                <w:b/>
                <w:bCs/>
                <w:sz w:val="20"/>
                <w:szCs w:val="20"/>
              </w:rPr>
              <w:t>FY2018/19</w:t>
            </w:r>
          </w:p>
        </w:tc>
        <w:tc>
          <w:tcPr>
            <w:tcW w:w="578" w:type="pct"/>
            <w:shd w:val="clear" w:color="auto" w:fill="DDEBF7"/>
            <w:noWrap/>
            <w:vAlign w:val="center"/>
            <w:hideMark/>
          </w:tcPr>
          <w:p w14:paraId="6E51DCEE" w14:textId="54E48108" w:rsidR="007C5BE3" w:rsidRPr="003D4FF1" w:rsidRDefault="007C5BE3" w:rsidP="00187EDD">
            <w:pPr>
              <w:jc w:val="center"/>
              <w:rPr>
                <w:rFonts w:asciiTheme="minorHAnsi" w:eastAsia="Times New Roman" w:hAnsiTheme="minorHAnsi" w:cstheme="minorBidi"/>
                <w:b/>
                <w:bCs/>
                <w:sz w:val="20"/>
                <w:szCs w:val="20"/>
              </w:rPr>
            </w:pPr>
            <w:r w:rsidRPr="003D4FF1">
              <w:rPr>
                <w:rFonts w:asciiTheme="minorHAnsi" w:eastAsia="Times New Roman" w:hAnsiTheme="minorHAnsi" w:cstheme="minorBidi"/>
                <w:b/>
                <w:bCs/>
                <w:sz w:val="20"/>
                <w:szCs w:val="20"/>
              </w:rPr>
              <w:t>FY2019/20</w:t>
            </w:r>
          </w:p>
        </w:tc>
        <w:tc>
          <w:tcPr>
            <w:tcW w:w="578" w:type="pct"/>
            <w:shd w:val="clear" w:color="auto" w:fill="DDEBF7"/>
            <w:noWrap/>
            <w:vAlign w:val="center"/>
            <w:hideMark/>
          </w:tcPr>
          <w:p w14:paraId="5595788B" w14:textId="5D37034B" w:rsidR="007C5BE3" w:rsidRPr="003D4FF1" w:rsidRDefault="007C5BE3" w:rsidP="00187EDD">
            <w:pPr>
              <w:jc w:val="center"/>
              <w:rPr>
                <w:rFonts w:asciiTheme="minorHAnsi" w:eastAsia="Times New Roman" w:hAnsiTheme="minorHAnsi" w:cstheme="minorBidi"/>
                <w:b/>
                <w:bCs/>
                <w:sz w:val="20"/>
                <w:szCs w:val="20"/>
              </w:rPr>
            </w:pPr>
            <w:r w:rsidRPr="003D4FF1">
              <w:rPr>
                <w:rFonts w:asciiTheme="minorHAnsi" w:eastAsia="Times New Roman" w:hAnsiTheme="minorHAnsi" w:cstheme="minorBidi"/>
                <w:b/>
                <w:bCs/>
                <w:sz w:val="20"/>
                <w:szCs w:val="20"/>
              </w:rPr>
              <w:t>FY2020/21</w:t>
            </w:r>
          </w:p>
        </w:tc>
        <w:tc>
          <w:tcPr>
            <w:tcW w:w="578" w:type="pct"/>
            <w:shd w:val="clear" w:color="auto" w:fill="DDEBF7"/>
            <w:noWrap/>
            <w:vAlign w:val="center"/>
            <w:hideMark/>
          </w:tcPr>
          <w:p w14:paraId="623E3D7E" w14:textId="228649F6" w:rsidR="007C5BE3" w:rsidRPr="003D4FF1" w:rsidRDefault="007C5BE3" w:rsidP="00187EDD">
            <w:pPr>
              <w:jc w:val="center"/>
              <w:rPr>
                <w:rFonts w:asciiTheme="minorHAnsi" w:eastAsia="Times New Roman" w:hAnsiTheme="minorHAnsi" w:cstheme="minorBidi"/>
                <w:b/>
                <w:bCs/>
                <w:sz w:val="20"/>
                <w:szCs w:val="20"/>
              </w:rPr>
            </w:pPr>
            <w:r w:rsidRPr="003D4FF1">
              <w:rPr>
                <w:rFonts w:asciiTheme="minorHAnsi" w:eastAsia="Times New Roman" w:hAnsiTheme="minorHAnsi" w:cstheme="minorBidi"/>
                <w:b/>
                <w:bCs/>
                <w:sz w:val="20"/>
                <w:szCs w:val="20"/>
              </w:rPr>
              <w:t>FY2021/22</w:t>
            </w:r>
          </w:p>
        </w:tc>
        <w:tc>
          <w:tcPr>
            <w:tcW w:w="578" w:type="pct"/>
            <w:shd w:val="clear" w:color="auto" w:fill="DDEBF7"/>
            <w:noWrap/>
            <w:vAlign w:val="center"/>
            <w:hideMark/>
          </w:tcPr>
          <w:p w14:paraId="08C9F22E" w14:textId="14D0238F" w:rsidR="007C5BE3" w:rsidRPr="003D4FF1" w:rsidRDefault="007C5BE3" w:rsidP="00187EDD">
            <w:pPr>
              <w:jc w:val="center"/>
              <w:rPr>
                <w:rFonts w:asciiTheme="minorHAnsi" w:eastAsia="Times New Roman" w:hAnsiTheme="minorHAnsi" w:cstheme="minorBidi"/>
                <w:b/>
                <w:bCs/>
                <w:sz w:val="20"/>
                <w:szCs w:val="20"/>
              </w:rPr>
            </w:pPr>
            <w:r w:rsidRPr="003D4FF1">
              <w:rPr>
                <w:rFonts w:asciiTheme="minorHAnsi" w:eastAsia="Times New Roman" w:hAnsiTheme="minorHAnsi" w:cstheme="minorBidi"/>
                <w:b/>
                <w:bCs/>
                <w:sz w:val="20"/>
                <w:szCs w:val="20"/>
              </w:rPr>
              <w:t>FY2022/23</w:t>
            </w:r>
          </w:p>
        </w:tc>
        <w:tc>
          <w:tcPr>
            <w:tcW w:w="575" w:type="pct"/>
            <w:shd w:val="clear" w:color="auto" w:fill="DDEBF7"/>
            <w:vAlign w:val="center"/>
          </w:tcPr>
          <w:p w14:paraId="465C754D" w14:textId="77777777" w:rsidR="007C5BE3" w:rsidRPr="003D4FF1" w:rsidRDefault="007C5BE3" w:rsidP="00187EDD">
            <w:pPr>
              <w:jc w:val="center"/>
              <w:rPr>
                <w:rFonts w:asciiTheme="minorHAnsi" w:eastAsia="Times New Roman" w:hAnsiTheme="minorHAnsi" w:cstheme="minorBidi"/>
                <w:b/>
                <w:bCs/>
                <w:sz w:val="20"/>
                <w:szCs w:val="20"/>
              </w:rPr>
            </w:pPr>
            <w:r w:rsidRPr="003D4FF1">
              <w:rPr>
                <w:rFonts w:asciiTheme="minorHAnsi" w:eastAsia="Times New Roman" w:hAnsiTheme="minorHAnsi" w:cstheme="minorBidi"/>
                <w:b/>
                <w:bCs/>
                <w:sz w:val="20"/>
                <w:szCs w:val="20"/>
              </w:rPr>
              <w:t>Total</w:t>
            </w:r>
          </w:p>
        </w:tc>
      </w:tr>
      <w:tr w:rsidR="007C5BE3" w:rsidRPr="003D4FF1" w14:paraId="393F6E3C" w14:textId="77777777" w:rsidTr="00187EDD">
        <w:trPr>
          <w:trHeight w:val="244"/>
        </w:trPr>
        <w:tc>
          <w:tcPr>
            <w:tcW w:w="1535" w:type="pct"/>
            <w:noWrap/>
            <w:vAlign w:val="center"/>
            <w:hideMark/>
          </w:tcPr>
          <w:p w14:paraId="5B150F5E" w14:textId="0FF0D97A" w:rsidR="007C5BE3" w:rsidRPr="003D4FF1" w:rsidRDefault="007C5BE3" w:rsidP="00C225E8">
            <w:pPr>
              <w:rPr>
                <w:rFonts w:asciiTheme="minorHAnsi" w:eastAsia="Times New Roman" w:hAnsiTheme="minorHAnsi" w:cstheme="minorBidi"/>
                <w:sz w:val="20"/>
                <w:szCs w:val="20"/>
              </w:rPr>
            </w:pPr>
            <w:r w:rsidRPr="003D4FF1">
              <w:rPr>
                <w:rFonts w:asciiTheme="minorHAnsi" w:eastAsia="Times New Roman" w:hAnsiTheme="minorHAnsi" w:cstheme="minorBidi"/>
                <w:sz w:val="20"/>
                <w:szCs w:val="20"/>
              </w:rPr>
              <w:t>Excise, Taxation</w:t>
            </w:r>
            <w:r w:rsidR="00187EDD">
              <w:rPr>
                <w:rFonts w:asciiTheme="minorHAnsi" w:eastAsia="Times New Roman" w:hAnsiTheme="minorHAnsi" w:cstheme="minorBidi"/>
                <w:sz w:val="20"/>
                <w:szCs w:val="20"/>
              </w:rPr>
              <w:t>,</w:t>
            </w:r>
            <w:r w:rsidRPr="003D4FF1">
              <w:rPr>
                <w:rFonts w:asciiTheme="minorHAnsi" w:eastAsia="Times New Roman" w:hAnsiTheme="minorHAnsi" w:cstheme="minorBidi"/>
                <w:sz w:val="20"/>
                <w:szCs w:val="20"/>
              </w:rPr>
              <w:t xml:space="preserve"> </w:t>
            </w:r>
            <w:r w:rsidR="00187EDD">
              <w:rPr>
                <w:rFonts w:asciiTheme="minorHAnsi" w:eastAsia="Times New Roman" w:hAnsiTheme="minorHAnsi" w:cstheme="minorBidi"/>
                <w:sz w:val="20"/>
                <w:szCs w:val="20"/>
              </w:rPr>
              <w:t>and</w:t>
            </w:r>
            <w:r w:rsidR="00187EDD" w:rsidRPr="003D4FF1">
              <w:rPr>
                <w:rFonts w:asciiTheme="minorHAnsi" w:eastAsia="Times New Roman" w:hAnsiTheme="minorHAnsi" w:cstheme="minorBidi"/>
                <w:sz w:val="20"/>
                <w:szCs w:val="20"/>
              </w:rPr>
              <w:t xml:space="preserve"> </w:t>
            </w:r>
            <w:r w:rsidRPr="003D4FF1">
              <w:rPr>
                <w:rFonts w:asciiTheme="minorHAnsi" w:eastAsia="Times New Roman" w:hAnsiTheme="minorHAnsi" w:cstheme="minorBidi"/>
                <w:sz w:val="20"/>
                <w:szCs w:val="20"/>
              </w:rPr>
              <w:t xml:space="preserve">Narcotics Control (KPRA) </w:t>
            </w:r>
          </w:p>
        </w:tc>
        <w:tc>
          <w:tcPr>
            <w:tcW w:w="578" w:type="pct"/>
            <w:noWrap/>
            <w:vAlign w:val="center"/>
            <w:hideMark/>
          </w:tcPr>
          <w:p w14:paraId="51FB63A9"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1,339</w:t>
            </w:r>
          </w:p>
        </w:tc>
        <w:tc>
          <w:tcPr>
            <w:tcW w:w="578" w:type="pct"/>
            <w:noWrap/>
            <w:vAlign w:val="center"/>
            <w:hideMark/>
          </w:tcPr>
          <w:p w14:paraId="342B346B"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1,425</w:t>
            </w:r>
          </w:p>
        </w:tc>
        <w:tc>
          <w:tcPr>
            <w:tcW w:w="578" w:type="pct"/>
            <w:noWrap/>
            <w:vAlign w:val="center"/>
            <w:hideMark/>
          </w:tcPr>
          <w:p w14:paraId="7886C788"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1,372</w:t>
            </w:r>
          </w:p>
        </w:tc>
        <w:tc>
          <w:tcPr>
            <w:tcW w:w="578" w:type="pct"/>
            <w:noWrap/>
            <w:vAlign w:val="center"/>
            <w:hideMark/>
          </w:tcPr>
          <w:p w14:paraId="65A1A45D"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1,455</w:t>
            </w:r>
          </w:p>
        </w:tc>
        <w:tc>
          <w:tcPr>
            <w:tcW w:w="578" w:type="pct"/>
            <w:noWrap/>
            <w:vAlign w:val="center"/>
            <w:hideMark/>
          </w:tcPr>
          <w:p w14:paraId="052B7CA6"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1,560</w:t>
            </w:r>
          </w:p>
        </w:tc>
        <w:tc>
          <w:tcPr>
            <w:tcW w:w="575" w:type="pct"/>
            <w:vAlign w:val="center"/>
          </w:tcPr>
          <w:p w14:paraId="70599F41"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7,151</w:t>
            </w:r>
          </w:p>
        </w:tc>
      </w:tr>
      <w:tr w:rsidR="007C5BE3" w:rsidRPr="003D4FF1" w14:paraId="4C6545EE" w14:textId="77777777" w:rsidTr="00187EDD">
        <w:trPr>
          <w:trHeight w:val="210"/>
        </w:trPr>
        <w:tc>
          <w:tcPr>
            <w:tcW w:w="1535" w:type="pct"/>
            <w:noWrap/>
            <w:vAlign w:val="center"/>
            <w:hideMark/>
          </w:tcPr>
          <w:p w14:paraId="5174C3BF" w14:textId="18B316B3" w:rsidR="007C5BE3" w:rsidRPr="003D4FF1" w:rsidRDefault="007C5BE3" w:rsidP="00C225E8">
            <w:pP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Finance</w:t>
            </w:r>
          </w:p>
        </w:tc>
        <w:tc>
          <w:tcPr>
            <w:tcW w:w="578" w:type="pct"/>
            <w:noWrap/>
            <w:vAlign w:val="center"/>
            <w:hideMark/>
          </w:tcPr>
          <w:p w14:paraId="078648F6"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3,676</w:t>
            </w:r>
          </w:p>
        </w:tc>
        <w:tc>
          <w:tcPr>
            <w:tcW w:w="578" w:type="pct"/>
            <w:noWrap/>
            <w:vAlign w:val="center"/>
            <w:hideMark/>
          </w:tcPr>
          <w:p w14:paraId="45A9BF49"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4,003</w:t>
            </w:r>
          </w:p>
        </w:tc>
        <w:tc>
          <w:tcPr>
            <w:tcW w:w="578" w:type="pct"/>
            <w:noWrap/>
            <w:vAlign w:val="center"/>
            <w:hideMark/>
          </w:tcPr>
          <w:p w14:paraId="1C1C3D05"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4,426</w:t>
            </w:r>
          </w:p>
        </w:tc>
        <w:tc>
          <w:tcPr>
            <w:tcW w:w="578" w:type="pct"/>
            <w:noWrap/>
            <w:vAlign w:val="center"/>
            <w:hideMark/>
          </w:tcPr>
          <w:p w14:paraId="025DB912"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4,944</w:t>
            </w:r>
          </w:p>
        </w:tc>
        <w:tc>
          <w:tcPr>
            <w:tcW w:w="578" w:type="pct"/>
            <w:noWrap/>
            <w:vAlign w:val="center"/>
            <w:hideMark/>
          </w:tcPr>
          <w:p w14:paraId="60918941"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2,051</w:t>
            </w:r>
          </w:p>
        </w:tc>
        <w:tc>
          <w:tcPr>
            <w:tcW w:w="575" w:type="pct"/>
            <w:vAlign w:val="center"/>
          </w:tcPr>
          <w:p w14:paraId="4A4B78C7"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19,100</w:t>
            </w:r>
          </w:p>
        </w:tc>
      </w:tr>
      <w:tr w:rsidR="007C5BE3" w:rsidRPr="003D4FF1" w14:paraId="20F75736" w14:textId="77777777" w:rsidTr="00187EDD">
        <w:trPr>
          <w:trHeight w:val="210"/>
        </w:trPr>
        <w:tc>
          <w:tcPr>
            <w:tcW w:w="1535" w:type="pct"/>
            <w:noWrap/>
            <w:vAlign w:val="center"/>
            <w:hideMark/>
          </w:tcPr>
          <w:p w14:paraId="64389AEB" w14:textId="25D3DD76" w:rsidR="007C5BE3" w:rsidRPr="003D4FF1" w:rsidRDefault="007C5BE3" w:rsidP="00C225E8">
            <w:pP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 xml:space="preserve">Planning </w:t>
            </w:r>
            <w:r w:rsidR="00187EDD">
              <w:rPr>
                <w:rFonts w:asciiTheme="minorHAnsi" w:eastAsia="Times New Roman" w:hAnsiTheme="minorHAnsi" w:cstheme="minorHAnsi"/>
                <w:sz w:val="20"/>
                <w:szCs w:val="20"/>
              </w:rPr>
              <w:t>and</w:t>
            </w:r>
            <w:r w:rsidRPr="003D4FF1">
              <w:rPr>
                <w:rFonts w:asciiTheme="minorHAnsi" w:eastAsia="Times New Roman" w:hAnsiTheme="minorHAnsi" w:cstheme="minorHAnsi"/>
                <w:sz w:val="20"/>
                <w:szCs w:val="20"/>
              </w:rPr>
              <w:t xml:space="preserve"> Development</w:t>
            </w:r>
          </w:p>
        </w:tc>
        <w:tc>
          <w:tcPr>
            <w:tcW w:w="578" w:type="pct"/>
            <w:noWrap/>
            <w:vAlign w:val="center"/>
            <w:hideMark/>
          </w:tcPr>
          <w:p w14:paraId="6A9C12F1"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2,820</w:t>
            </w:r>
          </w:p>
        </w:tc>
        <w:tc>
          <w:tcPr>
            <w:tcW w:w="578" w:type="pct"/>
            <w:noWrap/>
            <w:vAlign w:val="center"/>
            <w:hideMark/>
          </w:tcPr>
          <w:p w14:paraId="008FA523"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1,364</w:t>
            </w:r>
          </w:p>
        </w:tc>
        <w:tc>
          <w:tcPr>
            <w:tcW w:w="578" w:type="pct"/>
            <w:noWrap/>
            <w:vAlign w:val="center"/>
            <w:hideMark/>
          </w:tcPr>
          <w:p w14:paraId="21BECD50"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645</w:t>
            </w:r>
          </w:p>
        </w:tc>
        <w:tc>
          <w:tcPr>
            <w:tcW w:w="578" w:type="pct"/>
            <w:noWrap/>
            <w:vAlign w:val="center"/>
            <w:hideMark/>
          </w:tcPr>
          <w:p w14:paraId="2FD7463D"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519</w:t>
            </w:r>
          </w:p>
        </w:tc>
        <w:tc>
          <w:tcPr>
            <w:tcW w:w="578" w:type="pct"/>
            <w:noWrap/>
            <w:vAlign w:val="center"/>
            <w:hideMark/>
          </w:tcPr>
          <w:p w14:paraId="70AE5EC6"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545</w:t>
            </w:r>
          </w:p>
        </w:tc>
        <w:tc>
          <w:tcPr>
            <w:tcW w:w="575" w:type="pct"/>
            <w:vAlign w:val="center"/>
          </w:tcPr>
          <w:p w14:paraId="6C76B47F"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5,893</w:t>
            </w:r>
          </w:p>
        </w:tc>
      </w:tr>
      <w:tr w:rsidR="007C5BE3" w:rsidRPr="003D4FF1" w14:paraId="1EF600A6" w14:textId="77777777" w:rsidTr="00187EDD">
        <w:trPr>
          <w:trHeight w:val="210"/>
        </w:trPr>
        <w:tc>
          <w:tcPr>
            <w:tcW w:w="1535" w:type="pct"/>
            <w:noWrap/>
            <w:vAlign w:val="center"/>
            <w:hideMark/>
          </w:tcPr>
          <w:p w14:paraId="4BD97BD2" w14:textId="4BE3BDED" w:rsidR="007C5BE3" w:rsidRPr="003D4FF1" w:rsidRDefault="007C5BE3" w:rsidP="00C225E8">
            <w:pP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 xml:space="preserve">Revenue </w:t>
            </w:r>
            <w:r w:rsidR="00187EDD">
              <w:rPr>
                <w:rFonts w:asciiTheme="minorHAnsi" w:eastAsia="Times New Roman" w:hAnsiTheme="minorHAnsi" w:cstheme="minorHAnsi"/>
                <w:sz w:val="20"/>
                <w:szCs w:val="20"/>
              </w:rPr>
              <w:t>and</w:t>
            </w:r>
            <w:r w:rsidRPr="003D4FF1">
              <w:rPr>
                <w:rFonts w:asciiTheme="minorHAnsi" w:eastAsia="Times New Roman" w:hAnsiTheme="minorHAnsi" w:cstheme="minorHAnsi"/>
                <w:sz w:val="20"/>
                <w:szCs w:val="20"/>
              </w:rPr>
              <w:t xml:space="preserve"> Estate </w:t>
            </w:r>
          </w:p>
        </w:tc>
        <w:tc>
          <w:tcPr>
            <w:tcW w:w="578" w:type="pct"/>
            <w:noWrap/>
            <w:vAlign w:val="center"/>
            <w:hideMark/>
          </w:tcPr>
          <w:p w14:paraId="717012E2"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1,884</w:t>
            </w:r>
          </w:p>
        </w:tc>
        <w:tc>
          <w:tcPr>
            <w:tcW w:w="578" w:type="pct"/>
            <w:noWrap/>
            <w:vAlign w:val="center"/>
            <w:hideMark/>
          </w:tcPr>
          <w:p w14:paraId="73916202"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1,824</w:t>
            </w:r>
          </w:p>
        </w:tc>
        <w:tc>
          <w:tcPr>
            <w:tcW w:w="578" w:type="pct"/>
            <w:noWrap/>
            <w:vAlign w:val="center"/>
            <w:hideMark/>
          </w:tcPr>
          <w:p w14:paraId="2B69D4F3"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1,909</w:t>
            </w:r>
          </w:p>
        </w:tc>
        <w:tc>
          <w:tcPr>
            <w:tcW w:w="578" w:type="pct"/>
            <w:noWrap/>
            <w:vAlign w:val="center"/>
            <w:hideMark/>
          </w:tcPr>
          <w:p w14:paraId="161B2940"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1,857</w:t>
            </w:r>
          </w:p>
        </w:tc>
        <w:tc>
          <w:tcPr>
            <w:tcW w:w="578" w:type="pct"/>
            <w:noWrap/>
            <w:vAlign w:val="center"/>
            <w:hideMark/>
          </w:tcPr>
          <w:p w14:paraId="2B0A2DDB"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1,694</w:t>
            </w:r>
          </w:p>
        </w:tc>
        <w:tc>
          <w:tcPr>
            <w:tcW w:w="575" w:type="pct"/>
            <w:vAlign w:val="center"/>
          </w:tcPr>
          <w:p w14:paraId="408DE77A"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9,168</w:t>
            </w:r>
          </w:p>
        </w:tc>
      </w:tr>
      <w:tr w:rsidR="007C5BE3" w:rsidRPr="003D4FF1" w14:paraId="2E2B9258" w14:textId="77777777" w:rsidTr="00187EDD">
        <w:trPr>
          <w:trHeight w:val="210"/>
        </w:trPr>
        <w:tc>
          <w:tcPr>
            <w:tcW w:w="1535" w:type="pct"/>
            <w:noWrap/>
            <w:vAlign w:val="center"/>
          </w:tcPr>
          <w:p w14:paraId="5E83A52A" w14:textId="63F4A1DA" w:rsidR="007C5BE3" w:rsidRPr="003D4FF1" w:rsidRDefault="007C5BE3" w:rsidP="00C225E8">
            <w:pPr>
              <w:rPr>
                <w:rFonts w:asciiTheme="minorHAnsi" w:eastAsia="Times New Roman" w:hAnsiTheme="minorHAnsi" w:cstheme="minorBidi"/>
                <w:sz w:val="20"/>
                <w:szCs w:val="20"/>
              </w:rPr>
            </w:pPr>
            <w:r w:rsidRPr="003D4FF1">
              <w:rPr>
                <w:rFonts w:asciiTheme="minorHAnsi" w:eastAsia="Times New Roman" w:hAnsiTheme="minorHAnsi" w:cstheme="minorBidi"/>
                <w:sz w:val="20"/>
                <w:szCs w:val="20"/>
              </w:rPr>
              <w:t>ST</w:t>
            </w:r>
            <w:r w:rsidRPr="007F373B">
              <w:rPr>
                <w:rFonts w:asciiTheme="minorHAnsi" w:eastAsia="Times New Roman" w:hAnsiTheme="minorHAnsi" w:cstheme="minorBidi"/>
                <w:sz w:val="20"/>
                <w:szCs w:val="20"/>
              </w:rPr>
              <w:t>&amp;</w:t>
            </w:r>
            <w:r w:rsidRPr="003D4FF1">
              <w:rPr>
                <w:rFonts w:asciiTheme="minorHAnsi" w:eastAsia="Times New Roman" w:hAnsiTheme="minorHAnsi" w:cstheme="minorBidi"/>
                <w:sz w:val="20"/>
                <w:szCs w:val="20"/>
              </w:rPr>
              <w:t>IT (KPITB)</w:t>
            </w:r>
          </w:p>
        </w:tc>
        <w:tc>
          <w:tcPr>
            <w:tcW w:w="578" w:type="pct"/>
            <w:noWrap/>
            <w:vAlign w:val="center"/>
          </w:tcPr>
          <w:p w14:paraId="7B641352"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515</w:t>
            </w:r>
          </w:p>
        </w:tc>
        <w:tc>
          <w:tcPr>
            <w:tcW w:w="578" w:type="pct"/>
            <w:noWrap/>
            <w:vAlign w:val="center"/>
          </w:tcPr>
          <w:p w14:paraId="4946338A"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440</w:t>
            </w:r>
          </w:p>
        </w:tc>
        <w:tc>
          <w:tcPr>
            <w:tcW w:w="578" w:type="pct"/>
            <w:noWrap/>
            <w:vAlign w:val="center"/>
          </w:tcPr>
          <w:p w14:paraId="25340DA0"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470</w:t>
            </w:r>
          </w:p>
        </w:tc>
        <w:tc>
          <w:tcPr>
            <w:tcW w:w="578" w:type="pct"/>
            <w:noWrap/>
            <w:vAlign w:val="center"/>
          </w:tcPr>
          <w:p w14:paraId="58FB7A75"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502</w:t>
            </w:r>
          </w:p>
        </w:tc>
        <w:tc>
          <w:tcPr>
            <w:tcW w:w="578" w:type="pct"/>
            <w:noWrap/>
            <w:vAlign w:val="center"/>
          </w:tcPr>
          <w:p w14:paraId="4295B159"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537</w:t>
            </w:r>
          </w:p>
        </w:tc>
        <w:tc>
          <w:tcPr>
            <w:tcW w:w="575" w:type="pct"/>
            <w:vAlign w:val="center"/>
          </w:tcPr>
          <w:p w14:paraId="03C16AD1"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2,464</w:t>
            </w:r>
          </w:p>
        </w:tc>
      </w:tr>
      <w:tr w:rsidR="007C5BE3" w:rsidRPr="003D4FF1" w14:paraId="2273E2B0" w14:textId="77777777" w:rsidTr="00187EDD">
        <w:trPr>
          <w:trHeight w:val="210"/>
        </w:trPr>
        <w:tc>
          <w:tcPr>
            <w:tcW w:w="1535" w:type="pct"/>
            <w:shd w:val="clear" w:color="auto" w:fill="DDEBF7"/>
            <w:noWrap/>
            <w:vAlign w:val="center"/>
            <w:hideMark/>
          </w:tcPr>
          <w:p w14:paraId="5899F935" w14:textId="4E9812E2" w:rsidR="007C5BE3" w:rsidRPr="003D4FF1" w:rsidRDefault="007C5BE3" w:rsidP="00C225E8">
            <w:pP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Grand Total (PKR</w:t>
            </w:r>
            <w:r w:rsidR="00810FD7" w:rsidRPr="003D4FF1">
              <w:rPr>
                <w:rFonts w:asciiTheme="minorHAnsi" w:eastAsia="Times New Roman" w:hAnsiTheme="minorHAnsi" w:cstheme="minorHAnsi"/>
                <w:b/>
                <w:bCs/>
                <w:sz w:val="20"/>
                <w:szCs w:val="20"/>
              </w:rPr>
              <w:t>,</w:t>
            </w:r>
            <w:r w:rsidRPr="003D4FF1">
              <w:rPr>
                <w:rFonts w:asciiTheme="minorHAnsi" w:eastAsia="Times New Roman" w:hAnsiTheme="minorHAnsi" w:cstheme="minorHAnsi"/>
                <w:b/>
                <w:bCs/>
                <w:sz w:val="20"/>
                <w:szCs w:val="20"/>
              </w:rPr>
              <w:t xml:space="preserve"> million</w:t>
            </w:r>
            <w:r w:rsidR="00810FD7" w:rsidRPr="003D4FF1">
              <w:rPr>
                <w:rFonts w:asciiTheme="minorHAnsi" w:eastAsia="Times New Roman" w:hAnsiTheme="minorHAnsi" w:cstheme="minorHAnsi"/>
                <w:b/>
                <w:bCs/>
                <w:sz w:val="20"/>
                <w:szCs w:val="20"/>
              </w:rPr>
              <w:t>s</w:t>
            </w:r>
            <w:r w:rsidRPr="003D4FF1">
              <w:rPr>
                <w:rFonts w:asciiTheme="minorHAnsi" w:eastAsia="Times New Roman" w:hAnsiTheme="minorHAnsi" w:cstheme="minorHAnsi"/>
                <w:b/>
                <w:bCs/>
                <w:sz w:val="20"/>
                <w:szCs w:val="20"/>
              </w:rPr>
              <w:t>)</w:t>
            </w:r>
          </w:p>
        </w:tc>
        <w:tc>
          <w:tcPr>
            <w:tcW w:w="578" w:type="pct"/>
            <w:shd w:val="clear" w:color="auto" w:fill="DDEBF7"/>
            <w:noWrap/>
            <w:vAlign w:val="center"/>
            <w:hideMark/>
          </w:tcPr>
          <w:p w14:paraId="25FA4BC9" w14:textId="4123F705"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10,23</w:t>
            </w:r>
            <w:r w:rsidR="00415C7A">
              <w:rPr>
                <w:rFonts w:asciiTheme="minorHAnsi" w:eastAsia="Times New Roman" w:hAnsiTheme="minorHAnsi" w:cstheme="minorHAnsi"/>
                <w:b/>
                <w:bCs/>
                <w:sz w:val="20"/>
                <w:szCs w:val="20"/>
              </w:rPr>
              <w:t>4</w:t>
            </w:r>
          </w:p>
        </w:tc>
        <w:tc>
          <w:tcPr>
            <w:tcW w:w="578" w:type="pct"/>
            <w:shd w:val="clear" w:color="auto" w:fill="DDEBF7"/>
            <w:noWrap/>
            <w:vAlign w:val="center"/>
            <w:hideMark/>
          </w:tcPr>
          <w:p w14:paraId="0E3A1638" w14:textId="1BC84200"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9,05</w:t>
            </w:r>
            <w:r w:rsidR="00415C7A">
              <w:rPr>
                <w:rFonts w:asciiTheme="minorHAnsi" w:eastAsia="Times New Roman" w:hAnsiTheme="minorHAnsi" w:cstheme="minorHAnsi"/>
                <w:b/>
                <w:bCs/>
                <w:sz w:val="20"/>
                <w:szCs w:val="20"/>
              </w:rPr>
              <w:t>6</w:t>
            </w:r>
          </w:p>
        </w:tc>
        <w:tc>
          <w:tcPr>
            <w:tcW w:w="578" w:type="pct"/>
            <w:shd w:val="clear" w:color="auto" w:fill="DDEBF7"/>
            <w:noWrap/>
            <w:vAlign w:val="center"/>
            <w:hideMark/>
          </w:tcPr>
          <w:p w14:paraId="65731EA9"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8,822</w:t>
            </w:r>
          </w:p>
        </w:tc>
        <w:tc>
          <w:tcPr>
            <w:tcW w:w="578" w:type="pct"/>
            <w:shd w:val="clear" w:color="auto" w:fill="DDEBF7"/>
            <w:noWrap/>
            <w:vAlign w:val="center"/>
            <w:hideMark/>
          </w:tcPr>
          <w:p w14:paraId="0C6C1BB4"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9,277</w:t>
            </w:r>
          </w:p>
        </w:tc>
        <w:tc>
          <w:tcPr>
            <w:tcW w:w="578" w:type="pct"/>
            <w:shd w:val="clear" w:color="auto" w:fill="DDEBF7"/>
            <w:noWrap/>
            <w:vAlign w:val="center"/>
            <w:hideMark/>
          </w:tcPr>
          <w:p w14:paraId="2A6F87DB"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6,388</w:t>
            </w:r>
          </w:p>
        </w:tc>
        <w:tc>
          <w:tcPr>
            <w:tcW w:w="575" w:type="pct"/>
            <w:shd w:val="clear" w:color="auto" w:fill="DDEBF7"/>
            <w:vAlign w:val="center"/>
          </w:tcPr>
          <w:p w14:paraId="13BBB0A2" w14:textId="6C98C2E7" w:rsidR="007C5BE3" w:rsidRPr="003D4FF1" w:rsidRDefault="00415C7A" w:rsidP="00810FD7">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43,777</w:t>
            </w:r>
          </w:p>
        </w:tc>
      </w:tr>
      <w:tr w:rsidR="007C5BE3" w:rsidRPr="003D4FF1" w14:paraId="621A229C" w14:textId="77777777" w:rsidTr="00187EDD">
        <w:trPr>
          <w:trHeight w:val="210"/>
        </w:trPr>
        <w:tc>
          <w:tcPr>
            <w:tcW w:w="1535" w:type="pct"/>
            <w:shd w:val="clear" w:color="auto" w:fill="DDEBF7"/>
            <w:noWrap/>
            <w:vAlign w:val="center"/>
          </w:tcPr>
          <w:p w14:paraId="52CC3761" w14:textId="543CDE20" w:rsidR="007C5BE3" w:rsidRPr="003D4FF1" w:rsidRDefault="007C5BE3" w:rsidP="00C225E8">
            <w:pP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Grand Total (US$</w:t>
            </w:r>
            <w:r w:rsidR="00810FD7" w:rsidRPr="003D4FF1">
              <w:rPr>
                <w:rFonts w:asciiTheme="minorHAnsi" w:eastAsia="Times New Roman" w:hAnsiTheme="minorHAnsi" w:cstheme="minorHAnsi"/>
                <w:b/>
                <w:bCs/>
                <w:sz w:val="20"/>
                <w:szCs w:val="20"/>
              </w:rPr>
              <w:t>,</w:t>
            </w:r>
            <w:r w:rsidRPr="003D4FF1">
              <w:rPr>
                <w:rFonts w:asciiTheme="minorHAnsi" w:eastAsia="Times New Roman" w:hAnsiTheme="minorHAnsi" w:cstheme="minorHAnsi"/>
                <w:b/>
                <w:bCs/>
                <w:sz w:val="20"/>
                <w:szCs w:val="20"/>
              </w:rPr>
              <w:t xml:space="preserve"> million</w:t>
            </w:r>
            <w:r w:rsidR="00810FD7" w:rsidRPr="003D4FF1">
              <w:rPr>
                <w:rFonts w:asciiTheme="minorHAnsi" w:eastAsia="Times New Roman" w:hAnsiTheme="minorHAnsi" w:cstheme="minorHAnsi"/>
                <w:b/>
                <w:bCs/>
                <w:sz w:val="20"/>
                <w:szCs w:val="20"/>
              </w:rPr>
              <w:t>s</w:t>
            </w:r>
            <w:r w:rsidRPr="003D4FF1">
              <w:rPr>
                <w:rFonts w:asciiTheme="minorHAnsi" w:eastAsia="Times New Roman" w:hAnsiTheme="minorHAnsi" w:cstheme="minorHAnsi"/>
                <w:b/>
                <w:bCs/>
                <w:sz w:val="20"/>
                <w:szCs w:val="20"/>
              </w:rPr>
              <w:t>)</w:t>
            </w:r>
          </w:p>
        </w:tc>
        <w:tc>
          <w:tcPr>
            <w:tcW w:w="578" w:type="pct"/>
            <w:shd w:val="clear" w:color="auto" w:fill="DDEBF7"/>
            <w:noWrap/>
            <w:vAlign w:val="center"/>
          </w:tcPr>
          <w:p w14:paraId="7F755BFA"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77</w:t>
            </w:r>
          </w:p>
        </w:tc>
        <w:tc>
          <w:tcPr>
            <w:tcW w:w="578" w:type="pct"/>
            <w:shd w:val="clear" w:color="auto" w:fill="DDEBF7"/>
            <w:noWrap/>
            <w:vAlign w:val="center"/>
          </w:tcPr>
          <w:p w14:paraId="54567A8F"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68</w:t>
            </w:r>
          </w:p>
        </w:tc>
        <w:tc>
          <w:tcPr>
            <w:tcW w:w="578" w:type="pct"/>
            <w:shd w:val="clear" w:color="auto" w:fill="DDEBF7"/>
            <w:noWrap/>
            <w:vAlign w:val="center"/>
          </w:tcPr>
          <w:p w14:paraId="14A899CB"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67</w:t>
            </w:r>
          </w:p>
        </w:tc>
        <w:tc>
          <w:tcPr>
            <w:tcW w:w="578" w:type="pct"/>
            <w:shd w:val="clear" w:color="auto" w:fill="DDEBF7"/>
            <w:noWrap/>
            <w:vAlign w:val="center"/>
          </w:tcPr>
          <w:p w14:paraId="2320AC0F"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70</w:t>
            </w:r>
          </w:p>
        </w:tc>
        <w:tc>
          <w:tcPr>
            <w:tcW w:w="578" w:type="pct"/>
            <w:shd w:val="clear" w:color="auto" w:fill="DDEBF7"/>
            <w:noWrap/>
            <w:vAlign w:val="center"/>
          </w:tcPr>
          <w:p w14:paraId="37756E7A"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48</w:t>
            </w:r>
          </w:p>
        </w:tc>
        <w:tc>
          <w:tcPr>
            <w:tcW w:w="575" w:type="pct"/>
            <w:shd w:val="clear" w:color="auto" w:fill="DDEBF7"/>
            <w:vAlign w:val="center"/>
          </w:tcPr>
          <w:p w14:paraId="2F1C0C8C"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330</w:t>
            </w:r>
          </w:p>
        </w:tc>
      </w:tr>
    </w:tbl>
    <w:p w14:paraId="7E2BB098" w14:textId="31713B5B" w:rsidR="007F373B" w:rsidRPr="00E24127" w:rsidRDefault="007F373B" w:rsidP="00E24127">
      <w:pPr>
        <w:rPr>
          <w:rFonts w:ascii="Calibri" w:hAnsi="Calibri" w:cs="Calibri"/>
          <w:sz w:val="20"/>
          <w:szCs w:val="20"/>
        </w:rPr>
      </w:pPr>
      <w:bookmarkStart w:id="17" w:name="_Ref529961964"/>
      <w:r>
        <w:rPr>
          <w:rFonts w:ascii="Calibri" w:hAnsi="Calibri" w:cs="Calibri"/>
          <w:i/>
          <w:sz w:val="20"/>
          <w:szCs w:val="20"/>
        </w:rPr>
        <w:t xml:space="preserve">Note: </w:t>
      </w:r>
      <w:r>
        <w:rPr>
          <w:rFonts w:ascii="Calibri" w:hAnsi="Calibri" w:cs="Calibri"/>
          <w:sz w:val="20"/>
          <w:szCs w:val="20"/>
        </w:rPr>
        <w:t xml:space="preserve"> KPITB = </w:t>
      </w:r>
      <w:r w:rsidRPr="007F373B">
        <w:rPr>
          <w:rFonts w:ascii="Calibri" w:hAnsi="Calibri" w:cs="Calibri"/>
          <w:sz w:val="20"/>
          <w:szCs w:val="20"/>
        </w:rPr>
        <w:t>Khyber Pakhtunkhwa Information Technology Board</w:t>
      </w:r>
      <w:r>
        <w:rPr>
          <w:rFonts w:ascii="Calibri" w:hAnsi="Calibri" w:cs="Calibri"/>
          <w:sz w:val="20"/>
          <w:szCs w:val="20"/>
        </w:rPr>
        <w:t>.</w:t>
      </w:r>
    </w:p>
    <w:p w14:paraId="0B302CFA" w14:textId="19E339A2" w:rsidR="007C5BE3" w:rsidRPr="003D4FF1" w:rsidRDefault="007C5BE3" w:rsidP="002863B7">
      <w:pPr>
        <w:pStyle w:val="Caption"/>
        <w:rPr>
          <w:i/>
        </w:rPr>
      </w:pPr>
      <w:bookmarkStart w:id="18" w:name="_Toc530148531"/>
      <w:r w:rsidRPr="003D4FF1">
        <w:t xml:space="preserve">Table </w:t>
      </w:r>
      <w:r w:rsidR="004670A5">
        <w:fldChar w:fldCharType="begin"/>
      </w:r>
      <w:r w:rsidR="004670A5">
        <w:instrText xml:space="preserve"> SEQ Table \* ARABIC </w:instrText>
      </w:r>
      <w:r w:rsidR="004670A5">
        <w:fldChar w:fldCharType="separate"/>
      </w:r>
      <w:r w:rsidRPr="003D4FF1">
        <w:t>6</w:t>
      </w:r>
      <w:r w:rsidR="004670A5">
        <w:fldChar w:fldCharType="end"/>
      </w:r>
      <w:bookmarkEnd w:id="17"/>
      <w:r w:rsidRPr="003D4FF1">
        <w:t xml:space="preserve">: Program </w:t>
      </w:r>
      <w:r w:rsidR="008F228D">
        <w:t xml:space="preserve">(PforR) </w:t>
      </w:r>
      <w:r w:rsidRPr="003D4FF1">
        <w:t>Expenditure Boundary</w:t>
      </w:r>
      <w:bookmarkEnd w:id="18"/>
    </w:p>
    <w:tbl>
      <w:tblPr>
        <w:tblW w:w="5000" w:type="pct"/>
        <w:jc w:val="center"/>
        <w:tblLook w:val="04A0" w:firstRow="1" w:lastRow="0" w:firstColumn="1" w:lastColumn="0" w:noHBand="0" w:noVBand="1"/>
      </w:tblPr>
      <w:tblGrid>
        <w:gridCol w:w="2875"/>
        <w:gridCol w:w="1106"/>
        <w:gridCol w:w="1106"/>
        <w:gridCol w:w="1106"/>
        <w:gridCol w:w="1106"/>
        <w:gridCol w:w="1106"/>
        <w:gridCol w:w="945"/>
      </w:tblGrid>
      <w:tr w:rsidR="007C5BE3" w:rsidRPr="003D4FF1" w14:paraId="0B2DD041" w14:textId="77777777" w:rsidTr="00A71E45">
        <w:trPr>
          <w:jc w:val="center"/>
        </w:trPr>
        <w:tc>
          <w:tcPr>
            <w:tcW w:w="287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23A20FA" w14:textId="77777777" w:rsidR="007C5BE3" w:rsidRPr="003D4FF1" w:rsidRDefault="007C5BE3" w:rsidP="00187EDD">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Major Object Description</w:t>
            </w:r>
          </w:p>
        </w:tc>
        <w:tc>
          <w:tcPr>
            <w:tcW w:w="1106" w:type="dxa"/>
            <w:tcBorders>
              <w:top w:val="single" w:sz="4" w:space="0" w:color="auto"/>
              <w:left w:val="nil"/>
              <w:bottom w:val="single" w:sz="4" w:space="0" w:color="auto"/>
              <w:right w:val="single" w:sz="4" w:space="0" w:color="auto"/>
            </w:tcBorders>
            <w:shd w:val="clear" w:color="auto" w:fill="DDEBF7"/>
            <w:noWrap/>
            <w:vAlign w:val="center"/>
            <w:hideMark/>
          </w:tcPr>
          <w:p w14:paraId="1B0FEC77" w14:textId="77777777" w:rsidR="007C5BE3" w:rsidRPr="003D4FF1" w:rsidRDefault="007C5BE3" w:rsidP="00187EDD">
            <w:pPr>
              <w:jc w:val="center"/>
              <w:rPr>
                <w:rFonts w:asciiTheme="minorHAnsi" w:eastAsia="Times New Roman" w:hAnsiTheme="minorHAnsi" w:cstheme="minorBidi"/>
                <w:b/>
                <w:bCs/>
                <w:sz w:val="20"/>
                <w:szCs w:val="20"/>
              </w:rPr>
            </w:pPr>
            <w:r w:rsidRPr="00D827AB">
              <w:rPr>
                <w:rFonts w:asciiTheme="minorHAnsi" w:eastAsia="Times New Roman" w:hAnsiTheme="minorHAnsi" w:cstheme="minorBidi"/>
                <w:b/>
                <w:bCs/>
                <w:sz w:val="20"/>
                <w:szCs w:val="20"/>
              </w:rPr>
              <w:t>FY2018/19</w:t>
            </w:r>
          </w:p>
        </w:tc>
        <w:tc>
          <w:tcPr>
            <w:tcW w:w="1106" w:type="dxa"/>
            <w:tcBorders>
              <w:top w:val="single" w:sz="4" w:space="0" w:color="auto"/>
              <w:left w:val="nil"/>
              <w:bottom w:val="single" w:sz="4" w:space="0" w:color="auto"/>
              <w:right w:val="single" w:sz="4" w:space="0" w:color="auto"/>
            </w:tcBorders>
            <w:shd w:val="clear" w:color="auto" w:fill="DDEBF7"/>
            <w:noWrap/>
            <w:vAlign w:val="center"/>
            <w:hideMark/>
          </w:tcPr>
          <w:p w14:paraId="4CEF5C4F" w14:textId="77777777" w:rsidR="007C5BE3" w:rsidRPr="003D4FF1" w:rsidRDefault="007C5BE3" w:rsidP="00187EDD">
            <w:pPr>
              <w:jc w:val="center"/>
              <w:rPr>
                <w:rFonts w:asciiTheme="minorHAnsi" w:eastAsia="Times New Roman" w:hAnsiTheme="minorHAnsi" w:cstheme="minorBidi"/>
                <w:b/>
                <w:bCs/>
                <w:sz w:val="20"/>
                <w:szCs w:val="20"/>
              </w:rPr>
            </w:pPr>
            <w:r w:rsidRPr="003D4FF1">
              <w:rPr>
                <w:rFonts w:asciiTheme="minorHAnsi" w:eastAsia="Times New Roman" w:hAnsiTheme="minorHAnsi" w:cstheme="minorBidi"/>
                <w:b/>
                <w:bCs/>
                <w:sz w:val="20"/>
                <w:szCs w:val="20"/>
              </w:rPr>
              <w:t>FY2019/20</w:t>
            </w:r>
          </w:p>
        </w:tc>
        <w:tc>
          <w:tcPr>
            <w:tcW w:w="1106" w:type="dxa"/>
            <w:tcBorders>
              <w:top w:val="single" w:sz="4" w:space="0" w:color="auto"/>
              <w:left w:val="nil"/>
              <w:bottom w:val="single" w:sz="4" w:space="0" w:color="auto"/>
              <w:right w:val="single" w:sz="4" w:space="0" w:color="auto"/>
            </w:tcBorders>
            <w:shd w:val="clear" w:color="auto" w:fill="DDEBF7"/>
            <w:noWrap/>
            <w:vAlign w:val="center"/>
            <w:hideMark/>
          </w:tcPr>
          <w:p w14:paraId="15B51CB1" w14:textId="77777777" w:rsidR="007C5BE3" w:rsidRPr="003D4FF1" w:rsidRDefault="007C5BE3" w:rsidP="00187EDD">
            <w:pPr>
              <w:jc w:val="center"/>
              <w:rPr>
                <w:rFonts w:asciiTheme="minorHAnsi" w:eastAsia="Times New Roman" w:hAnsiTheme="minorHAnsi" w:cstheme="minorBidi"/>
                <w:b/>
                <w:bCs/>
                <w:sz w:val="20"/>
                <w:szCs w:val="20"/>
              </w:rPr>
            </w:pPr>
            <w:r w:rsidRPr="003D4FF1">
              <w:rPr>
                <w:rFonts w:asciiTheme="minorHAnsi" w:eastAsia="Times New Roman" w:hAnsiTheme="minorHAnsi" w:cstheme="minorBidi"/>
                <w:b/>
                <w:bCs/>
                <w:sz w:val="20"/>
                <w:szCs w:val="20"/>
              </w:rPr>
              <w:t>FY2020/21</w:t>
            </w:r>
          </w:p>
        </w:tc>
        <w:tc>
          <w:tcPr>
            <w:tcW w:w="1106" w:type="dxa"/>
            <w:tcBorders>
              <w:top w:val="single" w:sz="4" w:space="0" w:color="auto"/>
              <w:left w:val="nil"/>
              <w:bottom w:val="single" w:sz="4" w:space="0" w:color="auto"/>
              <w:right w:val="single" w:sz="4" w:space="0" w:color="auto"/>
            </w:tcBorders>
            <w:shd w:val="clear" w:color="auto" w:fill="DDEBF7"/>
            <w:noWrap/>
            <w:vAlign w:val="center"/>
            <w:hideMark/>
          </w:tcPr>
          <w:p w14:paraId="601A6B8B" w14:textId="77777777" w:rsidR="007C5BE3" w:rsidRPr="003D4FF1" w:rsidRDefault="007C5BE3" w:rsidP="00187EDD">
            <w:pPr>
              <w:jc w:val="center"/>
              <w:rPr>
                <w:rFonts w:asciiTheme="minorHAnsi" w:eastAsia="Times New Roman" w:hAnsiTheme="minorHAnsi" w:cstheme="minorBidi"/>
                <w:b/>
                <w:bCs/>
                <w:sz w:val="20"/>
                <w:szCs w:val="20"/>
              </w:rPr>
            </w:pPr>
            <w:r w:rsidRPr="003D4FF1">
              <w:rPr>
                <w:rFonts w:asciiTheme="minorHAnsi" w:eastAsia="Times New Roman" w:hAnsiTheme="minorHAnsi" w:cstheme="minorBidi"/>
                <w:b/>
                <w:bCs/>
                <w:sz w:val="20"/>
                <w:szCs w:val="20"/>
              </w:rPr>
              <w:t>FY2021/22</w:t>
            </w:r>
          </w:p>
        </w:tc>
        <w:tc>
          <w:tcPr>
            <w:tcW w:w="1106" w:type="dxa"/>
            <w:tcBorders>
              <w:top w:val="single" w:sz="4" w:space="0" w:color="auto"/>
              <w:left w:val="nil"/>
              <w:bottom w:val="single" w:sz="4" w:space="0" w:color="auto"/>
              <w:right w:val="single" w:sz="4" w:space="0" w:color="auto"/>
            </w:tcBorders>
            <w:shd w:val="clear" w:color="auto" w:fill="DDEBF7"/>
            <w:noWrap/>
            <w:vAlign w:val="center"/>
            <w:hideMark/>
          </w:tcPr>
          <w:p w14:paraId="709CAB01" w14:textId="77777777" w:rsidR="007C5BE3" w:rsidRPr="003D4FF1" w:rsidRDefault="007C5BE3" w:rsidP="00187EDD">
            <w:pPr>
              <w:jc w:val="center"/>
              <w:rPr>
                <w:rFonts w:asciiTheme="minorHAnsi" w:eastAsia="Times New Roman" w:hAnsiTheme="minorHAnsi" w:cstheme="minorBidi"/>
                <w:b/>
                <w:bCs/>
                <w:sz w:val="20"/>
                <w:szCs w:val="20"/>
              </w:rPr>
            </w:pPr>
            <w:r w:rsidRPr="003D4FF1">
              <w:rPr>
                <w:rFonts w:asciiTheme="minorHAnsi" w:eastAsia="Times New Roman" w:hAnsiTheme="minorHAnsi" w:cstheme="minorBidi"/>
                <w:b/>
                <w:bCs/>
                <w:sz w:val="20"/>
                <w:szCs w:val="20"/>
              </w:rPr>
              <w:t>FY2022/23</w:t>
            </w:r>
          </w:p>
        </w:tc>
        <w:tc>
          <w:tcPr>
            <w:tcW w:w="945" w:type="dxa"/>
            <w:tcBorders>
              <w:top w:val="single" w:sz="4" w:space="0" w:color="auto"/>
              <w:left w:val="nil"/>
              <w:bottom w:val="single" w:sz="4" w:space="0" w:color="auto"/>
              <w:right w:val="single" w:sz="4" w:space="0" w:color="auto"/>
            </w:tcBorders>
            <w:shd w:val="clear" w:color="auto" w:fill="DDEBF7"/>
            <w:vAlign w:val="center"/>
            <w:hideMark/>
          </w:tcPr>
          <w:p w14:paraId="45593AB3" w14:textId="77777777" w:rsidR="007C5BE3" w:rsidRPr="003D4FF1" w:rsidRDefault="007C5BE3" w:rsidP="00187EDD">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Total</w:t>
            </w:r>
          </w:p>
        </w:tc>
      </w:tr>
      <w:tr w:rsidR="007C5BE3" w:rsidRPr="003D4FF1" w14:paraId="10B7CB31" w14:textId="77777777" w:rsidTr="00A71E45">
        <w:trPr>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79AFE50" w14:textId="4333244F" w:rsidR="007C5BE3" w:rsidRPr="003D4FF1" w:rsidRDefault="007C5BE3" w:rsidP="00C225E8">
            <w:pP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A01: Employee</w:t>
            </w:r>
            <w:r w:rsidR="00E61D82">
              <w:rPr>
                <w:rFonts w:asciiTheme="minorHAnsi" w:eastAsia="Times New Roman" w:hAnsiTheme="minorHAnsi" w:cstheme="minorHAnsi"/>
                <w:sz w:val="20"/>
                <w:szCs w:val="20"/>
              </w:rPr>
              <w:t>-</w:t>
            </w:r>
            <w:r w:rsidRPr="003D4FF1">
              <w:rPr>
                <w:rFonts w:asciiTheme="minorHAnsi" w:eastAsia="Times New Roman" w:hAnsiTheme="minorHAnsi" w:cstheme="minorHAnsi"/>
                <w:sz w:val="20"/>
                <w:szCs w:val="20"/>
              </w:rPr>
              <w:t>related expenses</w:t>
            </w:r>
          </w:p>
        </w:tc>
        <w:tc>
          <w:tcPr>
            <w:tcW w:w="1106" w:type="dxa"/>
            <w:tcBorders>
              <w:top w:val="nil"/>
              <w:left w:val="nil"/>
              <w:bottom w:val="single" w:sz="4" w:space="0" w:color="auto"/>
              <w:right w:val="single" w:sz="4" w:space="0" w:color="auto"/>
            </w:tcBorders>
            <w:shd w:val="clear" w:color="auto" w:fill="auto"/>
            <w:noWrap/>
            <w:vAlign w:val="center"/>
            <w:hideMark/>
          </w:tcPr>
          <w:p w14:paraId="101B45D1"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2,529</w:t>
            </w:r>
          </w:p>
        </w:tc>
        <w:tc>
          <w:tcPr>
            <w:tcW w:w="1106" w:type="dxa"/>
            <w:tcBorders>
              <w:top w:val="nil"/>
              <w:left w:val="nil"/>
              <w:bottom w:val="single" w:sz="4" w:space="0" w:color="auto"/>
              <w:right w:val="single" w:sz="4" w:space="0" w:color="auto"/>
            </w:tcBorders>
            <w:shd w:val="clear" w:color="auto" w:fill="auto"/>
            <w:noWrap/>
            <w:vAlign w:val="center"/>
            <w:hideMark/>
          </w:tcPr>
          <w:p w14:paraId="0152150F" w14:textId="03295C90"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2</w:t>
            </w:r>
            <w:r w:rsidR="00187EDD">
              <w:rPr>
                <w:rFonts w:asciiTheme="minorHAnsi" w:eastAsia="Times New Roman" w:hAnsiTheme="minorHAnsi" w:cstheme="minorHAnsi"/>
                <w:sz w:val="20"/>
                <w:szCs w:val="20"/>
              </w:rPr>
              <w:t>,</w:t>
            </w:r>
            <w:r w:rsidRPr="003D4FF1">
              <w:rPr>
                <w:rFonts w:asciiTheme="minorHAnsi" w:eastAsia="Times New Roman" w:hAnsiTheme="minorHAnsi" w:cstheme="minorHAnsi"/>
                <w:sz w:val="20"/>
                <w:szCs w:val="20"/>
              </w:rPr>
              <w:t>584</w:t>
            </w:r>
          </w:p>
        </w:tc>
        <w:tc>
          <w:tcPr>
            <w:tcW w:w="1106" w:type="dxa"/>
            <w:tcBorders>
              <w:top w:val="nil"/>
              <w:left w:val="nil"/>
              <w:bottom w:val="single" w:sz="4" w:space="0" w:color="auto"/>
              <w:right w:val="single" w:sz="4" w:space="0" w:color="auto"/>
            </w:tcBorders>
            <w:shd w:val="clear" w:color="auto" w:fill="auto"/>
            <w:noWrap/>
            <w:vAlign w:val="center"/>
            <w:hideMark/>
          </w:tcPr>
          <w:p w14:paraId="44FE816B" w14:textId="64D0A34D"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2</w:t>
            </w:r>
            <w:r w:rsidR="00187EDD">
              <w:rPr>
                <w:rFonts w:asciiTheme="minorHAnsi" w:eastAsia="Times New Roman" w:hAnsiTheme="minorHAnsi" w:cstheme="minorHAnsi"/>
                <w:sz w:val="20"/>
                <w:szCs w:val="20"/>
              </w:rPr>
              <w:t>,</w:t>
            </w:r>
            <w:r w:rsidRPr="003D4FF1">
              <w:rPr>
                <w:rFonts w:asciiTheme="minorHAnsi" w:eastAsia="Times New Roman" w:hAnsiTheme="minorHAnsi" w:cstheme="minorHAnsi"/>
                <w:sz w:val="20"/>
                <w:szCs w:val="20"/>
              </w:rPr>
              <w:t>644</w:t>
            </w:r>
          </w:p>
        </w:tc>
        <w:tc>
          <w:tcPr>
            <w:tcW w:w="1106" w:type="dxa"/>
            <w:tcBorders>
              <w:top w:val="nil"/>
              <w:left w:val="nil"/>
              <w:bottom w:val="single" w:sz="4" w:space="0" w:color="auto"/>
              <w:right w:val="single" w:sz="4" w:space="0" w:color="auto"/>
            </w:tcBorders>
            <w:shd w:val="clear" w:color="auto" w:fill="auto"/>
            <w:noWrap/>
            <w:vAlign w:val="center"/>
            <w:hideMark/>
          </w:tcPr>
          <w:p w14:paraId="72B7BCB6" w14:textId="3315BA83"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2</w:t>
            </w:r>
            <w:r w:rsidR="00187EDD">
              <w:rPr>
                <w:rFonts w:asciiTheme="minorHAnsi" w:eastAsia="Times New Roman" w:hAnsiTheme="minorHAnsi" w:cstheme="minorHAnsi"/>
                <w:sz w:val="20"/>
                <w:szCs w:val="20"/>
              </w:rPr>
              <w:t>,</w:t>
            </w:r>
            <w:r w:rsidRPr="003D4FF1">
              <w:rPr>
                <w:rFonts w:asciiTheme="minorHAnsi" w:eastAsia="Times New Roman" w:hAnsiTheme="minorHAnsi" w:cstheme="minorHAnsi"/>
                <w:sz w:val="20"/>
                <w:szCs w:val="20"/>
              </w:rPr>
              <w:t>707</w:t>
            </w:r>
          </w:p>
        </w:tc>
        <w:tc>
          <w:tcPr>
            <w:tcW w:w="1106" w:type="dxa"/>
            <w:tcBorders>
              <w:top w:val="nil"/>
              <w:left w:val="nil"/>
              <w:bottom w:val="single" w:sz="4" w:space="0" w:color="auto"/>
              <w:right w:val="single" w:sz="4" w:space="0" w:color="auto"/>
            </w:tcBorders>
            <w:shd w:val="clear" w:color="auto" w:fill="auto"/>
            <w:noWrap/>
            <w:vAlign w:val="center"/>
            <w:hideMark/>
          </w:tcPr>
          <w:p w14:paraId="0DCF8B6E" w14:textId="63A0EF88"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2</w:t>
            </w:r>
            <w:r w:rsidR="00187EDD">
              <w:rPr>
                <w:rFonts w:asciiTheme="minorHAnsi" w:eastAsia="Times New Roman" w:hAnsiTheme="minorHAnsi" w:cstheme="minorHAnsi"/>
                <w:sz w:val="20"/>
                <w:szCs w:val="20"/>
              </w:rPr>
              <w:t>,</w:t>
            </w:r>
            <w:r w:rsidRPr="003D4FF1">
              <w:rPr>
                <w:rFonts w:asciiTheme="minorHAnsi" w:eastAsia="Times New Roman" w:hAnsiTheme="minorHAnsi" w:cstheme="minorHAnsi"/>
                <w:sz w:val="20"/>
                <w:szCs w:val="20"/>
              </w:rPr>
              <w:t>771</w:t>
            </w:r>
          </w:p>
        </w:tc>
        <w:tc>
          <w:tcPr>
            <w:tcW w:w="945" w:type="dxa"/>
            <w:tcBorders>
              <w:top w:val="nil"/>
              <w:left w:val="nil"/>
              <w:bottom w:val="single" w:sz="4" w:space="0" w:color="auto"/>
              <w:right w:val="single" w:sz="4" w:space="0" w:color="auto"/>
            </w:tcBorders>
            <w:shd w:val="clear" w:color="auto" w:fill="auto"/>
            <w:vAlign w:val="center"/>
            <w:hideMark/>
          </w:tcPr>
          <w:p w14:paraId="6E24B16E"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13,235</w:t>
            </w:r>
          </w:p>
        </w:tc>
      </w:tr>
      <w:tr w:rsidR="007C5BE3" w:rsidRPr="003D4FF1" w14:paraId="41ADD40A" w14:textId="77777777" w:rsidTr="00A71E45">
        <w:trPr>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5FABE96" w14:textId="77777777" w:rsidR="007C5BE3" w:rsidRPr="003D4FF1" w:rsidRDefault="007C5BE3" w:rsidP="00C225E8">
            <w:pP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A03: Operating expenses</w:t>
            </w:r>
          </w:p>
        </w:tc>
        <w:tc>
          <w:tcPr>
            <w:tcW w:w="1106" w:type="dxa"/>
            <w:tcBorders>
              <w:top w:val="nil"/>
              <w:left w:val="nil"/>
              <w:bottom w:val="single" w:sz="4" w:space="0" w:color="auto"/>
              <w:right w:val="single" w:sz="4" w:space="0" w:color="auto"/>
            </w:tcBorders>
            <w:shd w:val="clear" w:color="auto" w:fill="auto"/>
            <w:noWrap/>
            <w:vAlign w:val="center"/>
            <w:hideMark/>
          </w:tcPr>
          <w:p w14:paraId="2F6E6BA4" w14:textId="30896DD9"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w:t>
            </w:r>
            <w:r w:rsidR="00187EDD">
              <w:rPr>
                <w:rFonts w:asciiTheme="minorHAnsi" w:eastAsia="Times New Roman" w:hAnsiTheme="minorHAnsi" w:cstheme="minorHAnsi"/>
                <w:sz w:val="20"/>
                <w:szCs w:val="20"/>
              </w:rPr>
              <w:t>,</w:t>
            </w:r>
            <w:r w:rsidRPr="003D4FF1">
              <w:rPr>
                <w:rFonts w:asciiTheme="minorHAnsi" w:eastAsia="Times New Roman" w:hAnsiTheme="minorHAnsi" w:cstheme="minorHAnsi"/>
                <w:sz w:val="20"/>
                <w:szCs w:val="20"/>
              </w:rPr>
              <w:t>088</w:t>
            </w:r>
          </w:p>
        </w:tc>
        <w:tc>
          <w:tcPr>
            <w:tcW w:w="1106" w:type="dxa"/>
            <w:tcBorders>
              <w:top w:val="nil"/>
              <w:left w:val="nil"/>
              <w:bottom w:val="single" w:sz="4" w:space="0" w:color="auto"/>
              <w:right w:val="single" w:sz="4" w:space="0" w:color="auto"/>
            </w:tcBorders>
            <w:shd w:val="clear" w:color="auto" w:fill="auto"/>
            <w:noWrap/>
            <w:vAlign w:val="center"/>
            <w:hideMark/>
          </w:tcPr>
          <w:p w14:paraId="3A2442D4" w14:textId="2347DB46"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w:t>
            </w:r>
            <w:r w:rsidR="00187EDD">
              <w:rPr>
                <w:rFonts w:asciiTheme="minorHAnsi" w:eastAsia="Times New Roman" w:hAnsiTheme="minorHAnsi" w:cstheme="minorHAnsi"/>
                <w:sz w:val="20"/>
                <w:szCs w:val="20"/>
              </w:rPr>
              <w:t>,</w:t>
            </w:r>
            <w:r w:rsidRPr="003D4FF1">
              <w:rPr>
                <w:rFonts w:asciiTheme="minorHAnsi" w:eastAsia="Times New Roman" w:hAnsiTheme="minorHAnsi" w:cstheme="minorHAnsi"/>
                <w:sz w:val="20"/>
                <w:szCs w:val="20"/>
              </w:rPr>
              <w:t>218</w:t>
            </w:r>
          </w:p>
        </w:tc>
        <w:tc>
          <w:tcPr>
            <w:tcW w:w="1106" w:type="dxa"/>
            <w:tcBorders>
              <w:top w:val="nil"/>
              <w:left w:val="nil"/>
              <w:bottom w:val="single" w:sz="4" w:space="0" w:color="auto"/>
              <w:right w:val="single" w:sz="4" w:space="0" w:color="auto"/>
            </w:tcBorders>
            <w:shd w:val="clear" w:color="auto" w:fill="auto"/>
            <w:noWrap/>
            <w:vAlign w:val="center"/>
            <w:hideMark/>
          </w:tcPr>
          <w:p w14:paraId="1C248719"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1,364</w:t>
            </w:r>
          </w:p>
        </w:tc>
        <w:tc>
          <w:tcPr>
            <w:tcW w:w="1106" w:type="dxa"/>
            <w:tcBorders>
              <w:top w:val="nil"/>
              <w:left w:val="nil"/>
              <w:bottom w:val="single" w:sz="4" w:space="0" w:color="auto"/>
              <w:right w:val="single" w:sz="4" w:space="0" w:color="auto"/>
            </w:tcBorders>
            <w:shd w:val="clear" w:color="auto" w:fill="auto"/>
            <w:noWrap/>
            <w:vAlign w:val="center"/>
            <w:hideMark/>
          </w:tcPr>
          <w:p w14:paraId="405F99E2" w14:textId="418543DE"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w:t>
            </w:r>
            <w:r w:rsidR="00187EDD">
              <w:rPr>
                <w:rFonts w:asciiTheme="minorHAnsi" w:eastAsia="Times New Roman" w:hAnsiTheme="minorHAnsi" w:cstheme="minorHAnsi"/>
                <w:sz w:val="20"/>
                <w:szCs w:val="20"/>
              </w:rPr>
              <w:t>,</w:t>
            </w:r>
            <w:r w:rsidRPr="003D4FF1">
              <w:rPr>
                <w:rFonts w:asciiTheme="minorHAnsi" w:eastAsia="Times New Roman" w:hAnsiTheme="minorHAnsi" w:cstheme="minorHAnsi"/>
                <w:sz w:val="20"/>
                <w:szCs w:val="20"/>
              </w:rPr>
              <w:t>527</w:t>
            </w:r>
          </w:p>
        </w:tc>
        <w:tc>
          <w:tcPr>
            <w:tcW w:w="1106" w:type="dxa"/>
            <w:tcBorders>
              <w:top w:val="nil"/>
              <w:left w:val="nil"/>
              <w:bottom w:val="single" w:sz="4" w:space="0" w:color="auto"/>
              <w:right w:val="single" w:sz="4" w:space="0" w:color="auto"/>
            </w:tcBorders>
            <w:shd w:val="clear" w:color="auto" w:fill="auto"/>
            <w:noWrap/>
            <w:vAlign w:val="center"/>
            <w:hideMark/>
          </w:tcPr>
          <w:p w14:paraId="2E9F37BD" w14:textId="30121A3C"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w:t>
            </w:r>
            <w:r w:rsidR="00187EDD">
              <w:rPr>
                <w:rFonts w:asciiTheme="minorHAnsi" w:eastAsia="Times New Roman" w:hAnsiTheme="minorHAnsi" w:cstheme="minorHAnsi"/>
                <w:sz w:val="20"/>
                <w:szCs w:val="20"/>
              </w:rPr>
              <w:t>,</w:t>
            </w:r>
            <w:r w:rsidRPr="003D4FF1">
              <w:rPr>
                <w:rFonts w:asciiTheme="minorHAnsi" w:eastAsia="Times New Roman" w:hAnsiTheme="minorHAnsi" w:cstheme="minorHAnsi"/>
                <w:sz w:val="20"/>
                <w:szCs w:val="20"/>
              </w:rPr>
              <w:t>682</w:t>
            </w:r>
          </w:p>
        </w:tc>
        <w:tc>
          <w:tcPr>
            <w:tcW w:w="945" w:type="dxa"/>
            <w:tcBorders>
              <w:top w:val="nil"/>
              <w:left w:val="nil"/>
              <w:bottom w:val="single" w:sz="4" w:space="0" w:color="auto"/>
              <w:right w:val="single" w:sz="4" w:space="0" w:color="auto"/>
            </w:tcBorders>
            <w:shd w:val="clear" w:color="auto" w:fill="auto"/>
            <w:vAlign w:val="center"/>
            <w:hideMark/>
          </w:tcPr>
          <w:p w14:paraId="2D2A0FD3"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6,879</w:t>
            </w:r>
          </w:p>
        </w:tc>
      </w:tr>
      <w:tr w:rsidR="007C5BE3" w:rsidRPr="003D4FF1" w14:paraId="58F59818" w14:textId="77777777" w:rsidTr="00A71E45">
        <w:trPr>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4AC5AED" w14:textId="77777777" w:rsidR="007C5BE3" w:rsidRPr="003D4FF1" w:rsidRDefault="007C5BE3" w:rsidP="00C225E8">
            <w:pP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A04: Employees' retirement benefits</w:t>
            </w:r>
          </w:p>
        </w:tc>
        <w:tc>
          <w:tcPr>
            <w:tcW w:w="1106" w:type="dxa"/>
            <w:tcBorders>
              <w:top w:val="nil"/>
              <w:left w:val="nil"/>
              <w:bottom w:val="single" w:sz="4" w:space="0" w:color="auto"/>
              <w:right w:val="single" w:sz="4" w:space="0" w:color="auto"/>
            </w:tcBorders>
            <w:shd w:val="clear" w:color="auto" w:fill="auto"/>
            <w:noWrap/>
            <w:vAlign w:val="center"/>
            <w:hideMark/>
          </w:tcPr>
          <w:p w14:paraId="23290107"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70</w:t>
            </w:r>
          </w:p>
        </w:tc>
        <w:tc>
          <w:tcPr>
            <w:tcW w:w="1106" w:type="dxa"/>
            <w:tcBorders>
              <w:top w:val="nil"/>
              <w:left w:val="nil"/>
              <w:bottom w:val="single" w:sz="4" w:space="0" w:color="auto"/>
              <w:right w:val="single" w:sz="4" w:space="0" w:color="auto"/>
            </w:tcBorders>
            <w:shd w:val="clear" w:color="auto" w:fill="auto"/>
            <w:noWrap/>
            <w:vAlign w:val="center"/>
            <w:hideMark/>
          </w:tcPr>
          <w:p w14:paraId="77193598"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78</w:t>
            </w:r>
          </w:p>
        </w:tc>
        <w:tc>
          <w:tcPr>
            <w:tcW w:w="1106" w:type="dxa"/>
            <w:tcBorders>
              <w:top w:val="nil"/>
              <w:left w:val="nil"/>
              <w:bottom w:val="single" w:sz="4" w:space="0" w:color="auto"/>
              <w:right w:val="single" w:sz="4" w:space="0" w:color="auto"/>
            </w:tcBorders>
            <w:shd w:val="clear" w:color="auto" w:fill="auto"/>
            <w:noWrap/>
            <w:vAlign w:val="center"/>
            <w:hideMark/>
          </w:tcPr>
          <w:p w14:paraId="1D29F012"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87</w:t>
            </w:r>
          </w:p>
        </w:tc>
        <w:tc>
          <w:tcPr>
            <w:tcW w:w="1106" w:type="dxa"/>
            <w:tcBorders>
              <w:top w:val="nil"/>
              <w:left w:val="nil"/>
              <w:bottom w:val="single" w:sz="4" w:space="0" w:color="auto"/>
              <w:right w:val="single" w:sz="4" w:space="0" w:color="auto"/>
            </w:tcBorders>
            <w:shd w:val="clear" w:color="auto" w:fill="auto"/>
            <w:noWrap/>
            <w:vAlign w:val="center"/>
            <w:hideMark/>
          </w:tcPr>
          <w:p w14:paraId="6CEBB316"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98</w:t>
            </w:r>
          </w:p>
        </w:tc>
        <w:tc>
          <w:tcPr>
            <w:tcW w:w="1106" w:type="dxa"/>
            <w:tcBorders>
              <w:top w:val="nil"/>
              <w:left w:val="nil"/>
              <w:bottom w:val="single" w:sz="4" w:space="0" w:color="auto"/>
              <w:right w:val="single" w:sz="4" w:space="0" w:color="auto"/>
            </w:tcBorders>
            <w:shd w:val="clear" w:color="auto" w:fill="auto"/>
            <w:noWrap/>
            <w:vAlign w:val="center"/>
            <w:hideMark/>
          </w:tcPr>
          <w:p w14:paraId="294236F3"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109</w:t>
            </w:r>
          </w:p>
        </w:tc>
        <w:tc>
          <w:tcPr>
            <w:tcW w:w="945" w:type="dxa"/>
            <w:tcBorders>
              <w:top w:val="nil"/>
              <w:left w:val="nil"/>
              <w:bottom w:val="single" w:sz="4" w:space="0" w:color="auto"/>
              <w:right w:val="single" w:sz="4" w:space="0" w:color="auto"/>
            </w:tcBorders>
            <w:shd w:val="clear" w:color="auto" w:fill="auto"/>
            <w:vAlign w:val="center"/>
            <w:hideMark/>
          </w:tcPr>
          <w:p w14:paraId="6C42C7BD"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442</w:t>
            </w:r>
          </w:p>
        </w:tc>
      </w:tr>
      <w:tr w:rsidR="007C5BE3" w:rsidRPr="003D4FF1" w14:paraId="0B599733" w14:textId="77777777" w:rsidTr="00A71E45">
        <w:trPr>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0D8A310" w14:textId="77777777" w:rsidR="007C5BE3" w:rsidRPr="003D4FF1" w:rsidRDefault="007C5BE3" w:rsidP="00C225E8">
            <w:pP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A13: Repairs and maintenance</w:t>
            </w:r>
          </w:p>
        </w:tc>
        <w:tc>
          <w:tcPr>
            <w:tcW w:w="1106" w:type="dxa"/>
            <w:tcBorders>
              <w:top w:val="nil"/>
              <w:left w:val="nil"/>
              <w:bottom w:val="single" w:sz="4" w:space="0" w:color="auto"/>
              <w:right w:val="single" w:sz="4" w:space="0" w:color="auto"/>
            </w:tcBorders>
            <w:shd w:val="clear" w:color="auto" w:fill="auto"/>
            <w:noWrap/>
            <w:vAlign w:val="center"/>
            <w:hideMark/>
          </w:tcPr>
          <w:p w14:paraId="71F48E8D"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36</w:t>
            </w:r>
          </w:p>
        </w:tc>
        <w:tc>
          <w:tcPr>
            <w:tcW w:w="1106" w:type="dxa"/>
            <w:tcBorders>
              <w:top w:val="nil"/>
              <w:left w:val="nil"/>
              <w:bottom w:val="single" w:sz="4" w:space="0" w:color="auto"/>
              <w:right w:val="single" w:sz="4" w:space="0" w:color="auto"/>
            </w:tcBorders>
            <w:shd w:val="clear" w:color="auto" w:fill="auto"/>
            <w:noWrap/>
            <w:vAlign w:val="center"/>
            <w:hideMark/>
          </w:tcPr>
          <w:p w14:paraId="4E0DAD16"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40</w:t>
            </w:r>
          </w:p>
        </w:tc>
        <w:tc>
          <w:tcPr>
            <w:tcW w:w="1106" w:type="dxa"/>
            <w:tcBorders>
              <w:top w:val="nil"/>
              <w:left w:val="nil"/>
              <w:bottom w:val="single" w:sz="4" w:space="0" w:color="auto"/>
              <w:right w:val="single" w:sz="4" w:space="0" w:color="auto"/>
            </w:tcBorders>
            <w:shd w:val="clear" w:color="auto" w:fill="auto"/>
            <w:noWrap/>
            <w:vAlign w:val="center"/>
            <w:hideMark/>
          </w:tcPr>
          <w:p w14:paraId="7DB5F430"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45</w:t>
            </w:r>
          </w:p>
        </w:tc>
        <w:tc>
          <w:tcPr>
            <w:tcW w:w="1106" w:type="dxa"/>
            <w:tcBorders>
              <w:top w:val="nil"/>
              <w:left w:val="nil"/>
              <w:bottom w:val="single" w:sz="4" w:space="0" w:color="auto"/>
              <w:right w:val="single" w:sz="4" w:space="0" w:color="auto"/>
            </w:tcBorders>
            <w:shd w:val="clear" w:color="auto" w:fill="auto"/>
            <w:noWrap/>
            <w:vAlign w:val="center"/>
            <w:hideMark/>
          </w:tcPr>
          <w:p w14:paraId="4865D56A"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50</w:t>
            </w:r>
          </w:p>
        </w:tc>
        <w:tc>
          <w:tcPr>
            <w:tcW w:w="1106" w:type="dxa"/>
            <w:tcBorders>
              <w:top w:val="nil"/>
              <w:left w:val="nil"/>
              <w:bottom w:val="single" w:sz="4" w:space="0" w:color="auto"/>
              <w:right w:val="single" w:sz="4" w:space="0" w:color="auto"/>
            </w:tcBorders>
            <w:shd w:val="clear" w:color="auto" w:fill="auto"/>
            <w:noWrap/>
            <w:vAlign w:val="center"/>
            <w:hideMark/>
          </w:tcPr>
          <w:p w14:paraId="05B926A4"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56</w:t>
            </w:r>
          </w:p>
        </w:tc>
        <w:tc>
          <w:tcPr>
            <w:tcW w:w="945" w:type="dxa"/>
            <w:tcBorders>
              <w:top w:val="nil"/>
              <w:left w:val="nil"/>
              <w:bottom w:val="single" w:sz="4" w:space="0" w:color="auto"/>
              <w:right w:val="single" w:sz="4" w:space="0" w:color="auto"/>
            </w:tcBorders>
            <w:shd w:val="clear" w:color="auto" w:fill="auto"/>
            <w:vAlign w:val="center"/>
            <w:hideMark/>
          </w:tcPr>
          <w:p w14:paraId="2B0C20F8" w14:textId="77777777" w:rsidR="007C5BE3" w:rsidRPr="003D4FF1" w:rsidRDefault="007C5BE3" w:rsidP="00810FD7">
            <w:pPr>
              <w:jc w:val="center"/>
              <w:rPr>
                <w:rFonts w:asciiTheme="minorHAnsi" w:eastAsia="Times New Roman" w:hAnsiTheme="minorHAnsi" w:cstheme="minorHAnsi"/>
                <w:sz w:val="20"/>
                <w:szCs w:val="20"/>
              </w:rPr>
            </w:pPr>
            <w:r w:rsidRPr="003D4FF1">
              <w:rPr>
                <w:rFonts w:asciiTheme="minorHAnsi" w:eastAsia="Times New Roman" w:hAnsiTheme="minorHAnsi" w:cstheme="minorHAnsi"/>
                <w:sz w:val="20"/>
                <w:szCs w:val="20"/>
              </w:rPr>
              <w:t>227</w:t>
            </w:r>
          </w:p>
        </w:tc>
      </w:tr>
      <w:tr w:rsidR="007C5BE3" w:rsidRPr="003D4FF1" w14:paraId="7522EC1A" w14:textId="77777777" w:rsidTr="00A71E45">
        <w:trPr>
          <w:jc w:val="center"/>
        </w:trPr>
        <w:tc>
          <w:tcPr>
            <w:tcW w:w="287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70A2F7C" w14:textId="1185B6C6" w:rsidR="007C5BE3" w:rsidRPr="003D4FF1" w:rsidRDefault="007C5BE3" w:rsidP="00C225E8">
            <w:pP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Grand Total (PKR</w:t>
            </w:r>
            <w:r w:rsidR="003D4FF1" w:rsidRPr="003D4FF1">
              <w:rPr>
                <w:rFonts w:asciiTheme="minorHAnsi" w:eastAsia="Times New Roman" w:hAnsiTheme="minorHAnsi" w:cstheme="minorHAnsi"/>
                <w:b/>
                <w:bCs/>
                <w:sz w:val="20"/>
                <w:szCs w:val="20"/>
              </w:rPr>
              <w:t>,</w:t>
            </w:r>
            <w:r w:rsidRPr="003D4FF1">
              <w:rPr>
                <w:rFonts w:asciiTheme="minorHAnsi" w:eastAsia="Times New Roman" w:hAnsiTheme="minorHAnsi" w:cstheme="minorHAnsi"/>
                <w:b/>
                <w:bCs/>
                <w:sz w:val="20"/>
                <w:szCs w:val="20"/>
              </w:rPr>
              <w:t xml:space="preserve"> million</w:t>
            </w:r>
            <w:r w:rsidR="003D4FF1" w:rsidRPr="003D4FF1">
              <w:rPr>
                <w:rFonts w:asciiTheme="minorHAnsi" w:eastAsia="Times New Roman" w:hAnsiTheme="minorHAnsi" w:cstheme="minorHAnsi"/>
                <w:b/>
                <w:bCs/>
                <w:sz w:val="20"/>
                <w:szCs w:val="20"/>
              </w:rPr>
              <w:t>s</w:t>
            </w:r>
            <w:r w:rsidRPr="003D4FF1">
              <w:rPr>
                <w:rFonts w:asciiTheme="minorHAnsi" w:eastAsia="Times New Roman" w:hAnsiTheme="minorHAnsi" w:cstheme="minorHAnsi"/>
                <w:b/>
                <w:bCs/>
                <w:sz w:val="20"/>
                <w:szCs w:val="20"/>
              </w:rPr>
              <w:t>)</w:t>
            </w:r>
          </w:p>
        </w:tc>
        <w:tc>
          <w:tcPr>
            <w:tcW w:w="1106" w:type="dxa"/>
            <w:tcBorders>
              <w:top w:val="single" w:sz="4" w:space="0" w:color="auto"/>
              <w:left w:val="nil"/>
              <w:bottom w:val="single" w:sz="4" w:space="0" w:color="auto"/>
              <w:right w:val="single" w:sz="4" w:space="0" w:color="auto"/>
            </w:tcBorders>
            <w:shd w:val="clear" w:color="auto" w:fill="DDEBF7"/>
            <w:vAlign w:val="center"/>
            <w:hideMark/>
          </w:tcPr>
          <w:p w14:paraId="2CCC651D" w14:textId="47758B10" w:rsidR="007C5BE3" w:rsidRPr="003D4FF1" w:rsidRDefault="00187EDD" w:rsidP="00810FD7">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fldChar w:fldCharType="begin"/>
            </w:r>
            <w:r>
              <w:rPr>
                <w:rFonts w:asciiTheme="minorHAnsi" w:eastAsia="Times New Roman" w:hAnsiTheme="minorHAnsi" w:cstheme="minorHAnsi"/>
                <w:b/>
                <w:bCs/>
                <w:sz w:val="20"/>
                <w:szCs w:val="20"/>
              </w:rPr>
              <w:instrText xml:space="preserve"> =SUM(ABOVE) </w:instrText>
            </w:r>
            <w:r>
              <w:rPr>
                <w:rFonts w:asciiTheme="minorHAnsi" w:eastAsia="Times New Roman" w:hAnsiTheme="minorHAnsi" w:cstheme="minorHAnsi"/>
                <w:b/>
                <w:bCs/>
                <w:sz w:val="20"/>
                <w:szCs w:val="20"/>
              </w:rPr>
              <w:fldChar w:fldCharType="separate"/>
            </w:r>
            <w:r>
              <w:rPr>
                <w:rFonts w:asciiTheme="minorHAnsi" w:eastAsia="Times New Roman" w:hAnsiTheme="minorHAnsi" w:cstheme="minorHAnsi"/>
                <w:b/>
                <w:bCs/>
                <w:noProof/>
                <w:sz w:val="20"/>
                <w:szCs w:val="20"/>
              </w:rPr>
              <w:t>3,723</w:t>
            </w:r>
            <w:r>
              <w:rPr>
                <w:rFonts w:asciiTheme="minorHAnsi" w:eastAsia="Times New Roman" w:hAnsiTheme="minorHAnsi" w:cstheme="minorHAnsi"/>
                <w:b/>
                <w:bCs/>
                <w:sz w:val="20"/>
                <w:szCs w:val="20"/>
              </w:rPr>
              <w:fldChar w:fldCharType="end"/>
            </w:r>
          </w:p>
        </w:tc>
        <w:tc>
          <w:tcPr>
            <w:tcW w:w="1106" w:type="dxa"/>
            <w:tcBorders>
              <w:top w:val="single" w:sz="4" w:space="0" w:color="auto"/>
              <w:left w:val="nil"/>
              <w:bottom w:val="single" w:sz="4" w:space="0" w:color="auto"/>
              <w:right w:val="single" w:sz="4" w:space="0" w:color="auto"/>
            </w:tcBorders>
            <w:shd w:val="clear" w:color="auto" w:fill="DDEBF7"/>
            <w:vAlign w:val="center"/>
            <w:hideMark/>
          </w:tcPr>
          <w:p w14:paraId="384FE4CC"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3,920</w:t>
            </w:r>
          </w:p>
        </w:tc>
        <w:tc>
          <w:tcPr>
            <w:tcW w:w="1106" w:type="dxa"/>
            <w:tcBorders>
              <w:top w:val="single" w:sz="4" w:space="0" w:color="auto"/>
              <w:left w:val="nil"/>
              <w:bottom w:val="single" w:sz="4" w:space="0" w:color="auto"/>
              <w:right w:val="single" w:sz="4" w:space="0" w:color="auto"/>
            </w:tcBorders>
            <w:shd w:val="clear" w:color="auto" w:fill="DDEBF7"/>
            <w:vAlign w:val="center"/>
            <w:hideMark/>
          </w:tcPr>
          <w:p w14:paraId="6C094916"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4,140</w:t>
            </w:r>
          </w:p>
        </w:tc>
        <w:tc>
          <w:tcPr>
            <w:tcW w:w="1106" w:type="dxa"/>
            <w:tcBorders>
              <w:top w:val="single" w:sz="4" w:space="0" w:color="auto"/>
              <w:left w:val="nil"/>
              <w:bottom w:val="single" w:sz="4" w:space="0" w:color="auto"/>
              <w:right w:val="single" w:sz="4" w:space="0" w:color="auto"/>
            </w:tcBorders>
            <w:shd w:val="clear" w:color="auto" w:fill="DDEBF7"/>
            <w:vAlign w:val="center"/>
            <w:hideMark/>
          </w:tcPr>
          <w:p w14:paraId="3B45CF2C"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4,382</w:t>
            </w:r>
          </w:p>
        </w:tc>
        <w:tc>
          <w:tcPr>
            <w:tcW w:w="1106" w:type="dxa"/>
            <w:tcBorders>
              <w:top w:val="single" w:sz="4" w:space="0" w:color="auto"/>
              <w:left w:val="nil"/>
              <w:bottom w:val="single" w:sz="4" w:space="0" w:color="auto"/>
              <w:right w:val="single" w:sz="4" w:space="0" w:color="auto"/>
            </w:tcBorders>
            <w:shd w:val="clear" w:color="auto" w:fill="DDEBF7"/>
            <w:vAlign w:val="center"/>
            <w:hideMark/>
          </w:tcPr>
          <w:p w14:paraId="0029A055"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4,618</w:t>
            </w:r>
          </w:p>
        </w:tc>
        <w:tc>
          <w:tcPr>
            <w:tcW w:w="945" w:type="dxa"/>
            <w:tcBorders>
              <w:top w:val="single" w:sz="4" w:space="0" w:color="auto"/>
              <w:left w:val="nil"/>
              <w:bottom w:val="single" w:sz="4" w:space="0" w:color="auto"/>
              <w:right w:val="single" w:sz="4" w:space="0" w:color="auto"/>
            </w:tcBorders>
            <w:shd w:val="clear" w:color="auto" w:fill="DDEBF7"/>
            <w:vAlign w:val="center"/>
            <w:hideMark/>
          </w:tcPr>
          <w:p w14:paraId="57F88C15"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20,783</w:t>
            </w:r>
          </w:p>
        </w:tc>
      </w:tr>
      <w:tr w:rsidR="007C5BE3" w:rsidRPr="003D4FF1" w14:paraId="34BFBD57" w14:textId="77777777" w:rsidTr="00A71E45">
        <w:trPr>
          <w:jc w:val="center"/>
        </w:trPr>
        <w:tc>
          <w:tcPr>
            <w:tcW w:w="2875"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7C88DF1" w14:textId="08845E7B" w:rsidR="007C5BE3" w:rsidRPr="003D4FF1" w:rsidRDefault="007C5BE3" w:rsidP="00C225E8">
            <w:pP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Grand Total (US$</w:t>
            </w:r>
            <w:r w:rsidR="003D4FF1" w:rsidRPr="003D4FF1">
              <w:rPr>
                <w:rFonts w:asciiTheme="minorHAnsi" w:eastAsia="Times New Roman" w:hAnsiTheme="minorHAnsi" w:cstheme="minorHAnsi"/>
                <w:b/>
                <w:bCs/>
                <w:sz w:val="20"/>
                <w:szCs w:val="20"/>
              </w:rPr>
              <w:t>,</w:t>
            </w:r>
            <w:r w:rsidRPr="003D4FF1">
              <w:rPr>
                <w:rFonts w:asciiTheme="minorHAnsi" w:eastAsia="Times New Roman" w:hAnsiTheme="minorHAnsi" w:cstheme="minorHAnsi"/>
                <w:b/>
                <w:bCs/>
                <w:sz w:val="20"/>
                <w:szCs w:val="20"/>
              </w:rPr>
              <w:t xml:space="preserve"> million</w:t>
            </w:r>
            <w:r w:rsidR="003D4FF1" w:rsidRPr="003D4FF1">
              <w:rPr>
                <w:rFonts w:asciiTheme="minorHAnsi" w:eastAsia="Times New Roman" w:hAnsiTheme="minorHAnsi" w:cstheme="minorHAnsi"/>
                <w:b/>
                <w:bCs/>
                <w:sz w:val="20"/>
                <w:szCs w:val="20"/>
              </w:rPr>
              <w:t>s</w:t>
            </w:r>
            <w:r w:rsidRPr="003D4FF1">
              <w:rPr>
                <w:rFonts w:asciiTheme="minorHAnsi" w:eastAsia="Times New Roman" w:hAnsiTheme="minorHAnsi" w:cstheme="minorHAnsi"/>
                <w:b/>
                <w:bCs/>
                <w:sz w:val="20"/>
                <w:szCs w:val="20"/>
              </w:rPr>
              <w:t>)</w:t>
            </w:r>
          </w:p>
        </w:tc>
        <w:tc>
          <w:tcPr>
            <w:tcW w:w="1106" w:type="dxa"/>
            <w:tcBorders>
              <w:top w:val="single" w:sz="4" w:space="0" w:color="auto"/>
              <w:left w:val="nil"/>
              <w:bottom w:val="single" w:sz="4" w:space="0" w:color="auto"/>
              <w:right w:val="single" w:sz="4" w:space="0" w:color="auto"/>
            </w:tcBorders>
            <w:shd w:val="clear" w:color="auto" w:fill="DDEBF7"/>
            <w:vAlign w:val="center"/>
          </w:tcPr>
          <w:p w14:paraId="43FA30FD"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28</w:t>
            </w:r>
          </w:p>
        </w:tc>
        <w:tc>
          <w:tcPr>
            <w:tcW w:w="1106" w:type="dxa"/>
            <w:tcBorders>
              <w:top w:val="single" w:sz="4" w:space="0" w:color="auto"/>
              <w:left w:val="nil"/>
              <w:bottom w:val="single" w:sz="4" w:space="0" w:color="auto"/>
              <w:right w:val="single" w:sz="4" w:space="0" w:color="auto"/>
            </w:tcBorders>
            <w:shd w:val="clear" w:color="auto" w:fill="DDEBF7"/>
            <w:vAlign w:val="center"/>
          </w:tcPr>
          <w:p w14:paraId="70363CF6"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30</w:t>
            </w:r>
          </w:p>
        </w:tc>
        <w:tc>
          <w:tcPr>
            <w:tcW w:w="1106" w:type="dxa"/>
            <w:tcBorders>
              <w:top w:val="single" w:sz="4" w:space="0" w:color="auto"/>
              <w:left w:val="nil"/>
              <w:bottom w:val="single" w:sz="4" w:space="0" w:color="auto"/>
              <w:right w:val="single" w:sz="4" w:space="0" w:color="auto"/>
            </w:tcBorders>
            <w:shd w:val="clear" w:color="auto" w:fill="DDEBF7"/>
            <w:vAlign w:val="center"/>
          </w:tcPr>
          <w:p w14:paraId="6BCDAE83"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31</w:t>
            </w:r>
          </w:p>
        </w:tc>
        <w:tc>
          <w:tcPr>
            <w:tcW w:w="1106" w:type="dxa"/>
            <w:tcBorders>
              <w:top w:val="single" w:sz="4" w:space="0" w:color="auto"/>
              <w:left w:val="nil"/>
              <w:bottom w:val="single" w:sz="4" w:space="0" w:color="auto"/>
              <w:right w:val="single" w:sz="4" w:space="0" w:color="auto"/>
            </w:tcBorders>
            <w:shd w:val="clear" w:color="auto" w:fill="DDEBF7"/>
            <w:vAlign w:val="center"/>
          </w:tcPr>
          <w:p w14:paraId="4CACCF40"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33</w:t>
            </w:r>
          </w:p>
        </w:tc>
        <w:tc>
          <w:tcPr>
            <w:tcW w:w="1106" w:type="dxa"/>
            <w:tcBorders>
              <w:top w:val="single" w:sz="4" w:space="0" w:color="auto"/>
              <w:left w:val="nil"/>
              <w:bottom w:val="single" w:sz="4" w:space="0" w:color="auto"/>
              <w:right w:val="single" w:sz="4" w:space="0" w:color="auto"/>
            </w:tcBorders>
            <w:shd w:val="clear" w:color="auto" w:fill="DDEBF7"/>
            <w:vAlign w:val="center"/>
          </w:tcPr>
          <w:p w14:paraId="1C97A73D"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35</w:t>
            </w:r>
          </w:p>
        </w:tc>
        <w:tc>
          <w:tcPr>
            <w:tcW w:w="945" w:type="dxa"/>
            <w:tcBorders>
              <w:top w:val="single" w:sz="4" w:space="0" w:color="auto"/>
              <w:left w:val="nil"/>
              <w:bottom w:val="single" w:sz="4" w:space="0" w:color="auto"/>
              <w:right w:val="single" w:sz="4" w:space="0" w:color="auto"/>
            </w:tcBorders>
            <w:shd w:val="clear" w:color="auto" w:fill="DDEBF7"/>
            <w:vAlign w:val="center"/>
          </w:tcPr>
          <w:p w14:paraId="00F7929A" w14:textId="77777777" w:rsidR="007C5BE3" w:rsidRPr="003D4FF1" w:rsidRDefault="007C5BE3" w:rsidP="00810FD7">
            <w:pPr>
              <w:jc w:val="center"/>
              <w:rPr>
                <w:rFonts w:asciiTheme="minorHAnsi" w:eastAsia="Times New Roman" w:hAnsiTheme="minorHAnsi" w:cstheme="minorHAnsi"/>
                <w:b/>
                <w:bCs/>
                <w:sz w:val="20"/>
                <w:szCs w:val="20"/>
              </w:rPr>
            </w:pPr>
            <w:r w:rsidRPr="003D4FF1">
              <w:rPr>
                <w:rFonts w:asciiTheme="minorHAnsi" w:eastAsia="Times New Roman" w:hAnsiTheme="minorHAnsi" w:cstheme="minorHAnsi"/>
                <w:b/>
                <w:bCs/>
                <w:sz w:val="20"/>
                <w:szCs w:val="20"/>
              </w:rPr>
              <w:t>157</w:t>
            </w:r>
          </w:p>
        </w:tc>
      </w:tr>
    </w:tbl>
    <w:p w14:paraId="23FA4765" w14:textId="4773CBA4" w:rsidR="009627F9" w:rsidRDefault="009627F9" w:rsidP="007C5BE3">
      <w:pPr>
        <w:pStyle w:val="Heading1"/>
      </w:pPr>
    </w:p>
    <w:p w14:paraId="40582021" w14:textId="178E938E" w:rsidR="009627F9" w:rsidRDefault="009627F9" w:rsidP="009627F9"/>
    <w:p w14:paraId="53BF5EFD" w14:textId="77777777" w:rsidR="009627F9" w:rsidRPr="009627F9" w:rsidRDefault="009627F9" w:rsidP="00A53C65"/>
    <w:p w14:paraId="0CF3B0C1" w14:textId="2EDB9EC7" w:rsidR="009627F9" w:rsidRDefault="007C5BE3" w:rsidP="004670A5">
      <w:pPr>
        <w:pStyle w:val="Heading1"/>
      </w:pPr>
      <w:bookmarkStart w:id="19" w:name="_Toc530148516"/>
      <w:r w:rsidRPr="001D0C27">
        <w:lastRenderedPageBreak/>
        <w:t xml:space="preserve">Results </w:t>
      </w:r>
      <w:r>
        <w:t>C</w:t>
      </w:r>
      <w:r w:rsidRPr="001D0C27">
        <w:t xml:space="preserve">hain and </w:t>
      </w:r>
      <w:r>
        <w:t>S</w:t>
      </w:r>
      <w:r w:rsidRPr="001D0C27">
        <w:t>election of D</w:t>
      </w:r>
      <w:r w:rsidR="00187EDD">
        <w:t xml:space="preserve">isbursement-linked </w:t>
      </w:r>
      <w:r w:rsidRPr="001D0C27">
        <w:t>I</w:t>
      </w:r>
      <w:r w:rsidR="00187EDD">
        <w:t>ndicator</w:t>
      </w:r>
      <w:r w:rsidRPr="001D0C27">
        <w:t>s</w:t>
      </w:r>
      <w:bookmarkEnd w:id="19"/>
    </w:p>
    <w:p w14:paraId="47E9E779" w14:textId="45B9FB90" w:rsidR="007C5BE3" w:rsidRDefault="009627F9" w:rsidP="00A53C65">
      <w:pPr>
        <w:pStyle w:val="Caption"/>
        <w:jc w:val="left"/>
      </w:pPr>
      <w:bookmarkStart w:id="20" w:name="_Toc530148523"/>
      <w:r>
        <w:t xml:space="preserve">Figure </w:t>
      </w:r>
      <w:r w:rsidR="004670A5">
        <w:rPr>
          <w:noProof/>
        </w:rPr>
        <w:fldChar w:fldCharType="begin"/>
      </w:r>
      <w:r w:rsidR="004670A5">
        <w:rPr>
          <w:noProof/>
        </w:rPr>
        <w:instrText xml:space="preserve"> SEQ Figure \* ARABIC </w:instrText>
      </w:r>
      <w:r w:rsidR="004670A5">
        <w:rPr>
          <w:noProof/>
        </w:rPr>
        <w:fldChar w:fldCharType="separate"/>
      </w:r>
      <w:r>
        <w:rPr>
          <w:noProof/>
        </w:rPr>
        <w:t>3</w:t>
      </w:r>
      <w:r w:rsidR="004670A5">
        <w:rPr>
          <w:noProof/>
        </w:rPr>
        <w:fldChar w:fldCharType="end"/>
      </w:r>
      <w:r>
        <w:t>: Theory of Change</w:t>
      </w:r>
      <w:bookmarkEnd w:id="20"/>
    </w:p>
    <w:p w14:paraId="230D9326" w14:textId="250C311D" w:rsidR="009627F9" w:rsidRPr="001D0C27" w:rsidRDefault="00751E6B" w:rsidP="003D4FF1">
      <w:pPr>
        <w:rPr>
          <w:rFonts w:asciiTheme="minorHAnsi" w:hAnsiTheme="minorHAnsi"/>
          <w:b/>
          <w:bCs/>
          <w:i/>
          <w:color w:val="auto"/>
          <w:sz w:val="22"/>
          <w:szCs w:val="22"/>
        </w:rPr>
      </w:pPr>
      <w:r>
        <w:rPr>
          <w:noProof/>
        </w:rPr>
        <w:drawing>
          <wp:inline distT="0" distB="0" distL="0" distR="0" wp14:anchorId="5EDF2FF2" wp14:editId="333F334D">
            <wp:extent cx="5942002" cy="3773347"/>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0489" cy="3791437"/>
                    </a:xfrm>
                    <a:prstGeom prst="rect">
                      <a:avLst/>
                    </a:prstGeom>
                  </pic:spPr>
                </pic:pic>
              </a:graphicData>
            </a:graphic>
          </wp:inline>
        </w:drawing>
      </w:r>
    </w:p>
    <w:p w14:paraId="7361F88D" w14:textId="34BB9D6C" w:rsidR="007C5BE3" w:rsidRPr="007B597C"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cstheme="minorHAnsi"/>
          <w:b/>
          <w:color w:val="000000" w:themeColor="text1"/>
        </w:rPr>
        <w:t>The</w:t>
      </w:r>
      <w:r w:rsidRPr="004A3024">
        <w:rPr>
          <w:rFonts w:asciiTheme="minorHAnsi" w:hAnsiTheme="minorHAnsi"/>
          <w:b/>
          <w:bCs/>
          <w:color w:val="auto"/>
        </w:rPr>
        <w:t xml:space="preserve"> </w:t>
      </w:r>
      <w:r w:rsidR="00187EDD" w:rsidRPr="00A71E45">
        <w:rPr>
          <w:rFonts w:asciiTheme="minorHAnsi" w:hAnsiTheme="minorHAnsi"/>
          <w:b/>
          <w:bCs/>
          <w:color w:val="auto"/>
        </w:rPr>
        <w:t>Disbursement-linked Indicators</w:t>
      </w:r>
      <w:r w:rsidR="00187EDD" w:rsidRPr="00187EDD">
        <w:rPr>
          <w:rFonts w:asciiTheme="minorHAnsi" w:hAnsiTheme="minorHAnsi"/>
          <w:b/>
          <w:bCs/>
          <w:color w:val="auto"/>
        </w:rPr>
        <w:t xml:space="preserve"> </w:t>
      </w:r>
      <w:r w:rsidR="00187EDD">
        <w:rPr>
          <w:rFonts w:asciiTheme="minorHAnsi" w:hAnsiTheme="minorHAnsi"/>
          <w:b/>
          <w:bCs/>
          <w:color w:val="auto"/>
        </w:rPr>
        <w:t>(</w:t>
      </w:r>
      <w:r w:rsidRPr="004A3024">
        <w:rPr>
          <w:rFonts w:asciiTheme="minorHAnsi" w:hAnsiTheme="minorHAnsi"/>
          <w:b/>
          <w:bCs/>
          <w:color w:val="auto"/>
        </w:rPr>
        <w:t>DLIs</w:t>
      </w:r>
      <w:r w:rsidR="00187EDD">
        <w:rPr>
          <w:rFonts w:asciiTheme="minorHAnsi" w:hAnsiTheme="minorHAnsi"/>
          <w:b/>
          <w:bCs/>
          <w:color w:val="auto"/>
        </w:rPr>
        <w:t>)</w:t>
      </w:r>
      <w:r w:rsidRPr="004A3024">
        <w:rPr>
          <w:rFonts w:asciiTheme="minorHAnsi" w:hAnsiTheme="minorHAnsi"/>
          <w:b/>
          <w:bCs/>
          <w:color w:val="auto"/>
        </w:rPr>
        <w:t xml:space="preserve"> of the Program capture outputs or intermediate outcomes that are expected to directly contribute to the higher-level outcomes represented by the </w:t>
      </w:r>
      <w:r w:rsidR="00187EDD" w:rsidRPr="00A71E45">
        <w:rPr>
          <w:rFonts w:asciiTheme="minorHAnsi" w:hAnsiTheme="minorHAnsi"/>
          <w:b/>
          <w:bCs/>
          <w:color w:val="auto"/>
        </w:rPr>
        <w:t>Program Development Objective</w:t>
      </w:r>
      <w:r w:rsidR="00187EDD">
        <w:rPr>
          <w:rFonts w:asciiTheme="minorHAnsi" w:hAnsiTheme="minorHAnsi"/>
          <w:b/>
          <w:bCs/>
          <w:color w:val="auto"/>
        </w:rPr>
        <w:t xml:space="preserve"> (</w:t>
      </w:r>
      <w:r w:rsidRPr="004A3024">
        <w:rPr>
          <w:rFonts w:asciiTheme="minorHAnsi" w:hAnsiTheme="minorHAnsi"/>
          <w:b/>
          <w:bCs/>
          <w:color w:val="auto"/>
        </w:rPr>
        <w:t>PDO</w:t>
      </w:r>
      <w:r w:rsidR="00187EDD">
        <w:rPr>
          <w:rFonts w:asciiTheme="minorHAnsi" w:hAnsiTheme="minorHAnsi"/>
          <w:b/>
          <w:bCs/>
          <w:color w:val="auto"/>
        </w:rPr>
        <w:t>)</w:t>
      </w:r>
      <w:r w:rsidRPr="004A3024">
        <w:rPr>
          <w:rFonts w:asciiTheme="minorHAnsi" w:hAnsiTheme="minorHAnsi"/>
          <w:b/>
          <w:bCs/>
          <w:color w:val="auto"/>
        </w:rPr>
        <w:t xml:space="preserve"> indicators.</w:t>
      </w:r>
      <w:r w:rsidRPr="001D0C27">
        <w:rPr>
          <w:rFonts w:asciiTheme="minorHAnsi" w:hAnsiTheme="minorHAnsi"/>
          <w:bCs/>
          <w:color w:val="auto"/>
        </w:rPr>
        <w:t xml:space="preserve"> The selection of DLIs is informed by two additional criteria: </w:t>
      </w:r>
      <w:r w:rsidR="00187EDD">
        <w:rPr>
          <w:rFonts w:asciiTheme="minorHAnsi" w:hAnsiTheme="minorHAnsi"/>
          <w:bCs/>
          <w:color w:val="auto"/>
        </w:rPr>
        <w:t>(a</w:t>
      </w:r>
      <w:r w:rsidRPr="001D0C27">
        <w:rPr>
          <w:rFonts w:asciiTheme="minorHAnsi" w:hAnsiTheme="minorHAnsi"/>
          <w:bCs/>
          <w:color w:val="auto"/>
        </w:rPr>
        <w:t>) challenging but attainable and within the control of the GoKP and (</w:t>
      </w:r>
      <w:r w:rsidR="00187EDD">
        <w:rPr>
          <w:rFonts w:asciiTheme="minorHAnsi" w:hAnsiTheme="minorHAnsi"/>
          <w:bCs/>
          <w:color w:val="auto"/>
        </w:rPr>
        <w:t>b</w:t>
      </w:r>
      <w:r w:rsidRPr="001D0C27">
        <w:rPr>
          <w:rFonts w:asciiTheme="minorHAnsi" w:hAnsiTheme="minorHAnsi"/>
          <w:bCs/>
          <w:color w:val="auto"/>
        </w:rPr>
        <w:t xml:space="preserve">) readily verifiable, measurable, and scalable. The </w:t>
      </w:r>
      <w:r>
        <w:rPr>
          <w:rFonts w:asciiTheme="minorHAnsi" w:hAnsiTheme="minorHAnsi"/>
          <w:bCs/>
          <w:color w:val="auto"/>
        </w:rPr>
        <w:t>rationale for the selection of DLIs</w:t>
      </w:r>
      <w:r w:rsidRPr="001D0C27">
        <w:rPr>
          <w:rFonts w:asciiTheme="minorHAnsi" w:hAnsiTheme="minorHAnsi"/>
          <w:bCs/>
          <w:color w:val="auto"/>
        </w:rPr>
        <w:t xml:space="preserve"> </w:t>
      </w:r>
      <w:r>
        <w:rPr>
          <w:rFonts w:asciiTheme="minorHAnsi" w:hAnsiTheme="minorHAnsi"/>
          <w:bCs/>
          <w:color w:val="auto"/>
        </w:rPr>
        <w:t xml:space="preserve">is shown in </w:t>
      </w:r>
      <w:r w:rsidR="000F46D5">
        <w:rPr>
          <w:rFonts w:asciiTheme="minorHAnsi" w:hAnsiTheme="minorHAnsi"/>
          <w:bCs/>
          <w:color w:val="auto"/>
        </w:rPr>
        <w:t>t</w:t>
      </w:r>
      <w:r>
        <w:rPr>
          <w:rFonts w:asciiTheme="minorHAnsi" w:hAnsiTheme="minorHAnsi"/>
          <w:bCs/>
          <w:color w:val="auto"/>
        </w:rPr>
        <w:t>able 7.</w:t>
      </w:r>
    </w:p>
    <w:p w14:paraId="10893322" w14:textId="68E733EF" w:rsidR="007C5BE3" w:rsidRDefault="007C5BE3" w:rsidP="002863B7">
      <w:pPr>
        <w:pStyle w:val="Caption"/>
      </w:pPr>
      <w:bookmarkStart w:id="21" w:name="_Toc530148532"/>
      <w:r w:rsidRPr="003D4FF1">
        <w:t xml:space="preserve">Table </w:t>
      </w:r>
      <w:r w:rsidR="004670A5">
        <w:fldChar w:fldCharType="begin"/>
      </w:r>
      <w:r w:rsidR="004670A5">
        <w:instrText xml:space="preserve"> SEQ Table \* ARABIC </w:instrText>
      </w:r>
      <w:r w:rsidR="004670A5">
        <w:fldChar w:fldCharType="separate"/>
      </w:r>
      <w:r w:rsidRPr="003D4FF1">
        <w:t>7</w:t>
      </w:r>
      <w:r w:rsidR="004670A5">
        <w:fldChar w:fldCharType="end"/>
      </w:r>
      <w:r w:rsidRPr="003D4FF1">
        <w:t xml:space="preserve">: DLIs </w:t>
      </w:r>
      <w:r w:rsidR="003D4FF1">
        <w:t>-</w:t>
      </w:r>
      <w:r w:rsidRPr="003D4FF1">
        <w:t xml:space="preserve"> Rationale, Measurement, Verification</w:t>
      </w:r>
      <w:r w:rsidR="00187EDD">
        <w:t>,</w:t>
      </w:r>
      <w:r w:rsidRPr="003D4FF1">
        <w:t xml:space="preserve"> and Scalability</w:t>
      </w:r>
      <w:bookmarkEnd w:id="21"/>
    </w:p>
    <w:tbl>
      <w:tblPr>
        <w:tblStyle w:val="TableGrid"/>
        <w:tblW w:w="5051" w:type="pct"/>
        <w:tblLook w:val="04A0" w:firstRow="1" w:lastRow="0" w:firstColumn="1" w:lastColumn="0" w:noHBand="0" w:noVBand="1"/>
      </w:tblPr>
      <w:tblGrid>
        <w:gridCol w:w="2061"/>
        <w:gridCol w:w="7384"/>
      </w:tblGrid>
      <w:tr w:rsidR="00D416B3" w14:paraId="4F86717D" w14:textId="77777777" w:rsidTr="00A53C65">
        <w:trPr>
          <w:trHeight w:val="270"/>
        </w:trPr>
        <w:tc>
          <w:tcPr>
            <w:tcW w:w="1091" w:type="pct"/>
          </w:tcPr>
          <w:p w14:paraId="52E44396" w14:textId="77777777" w:rsidR="00D416B3" w:rsidRPr="006F0277" w:rsidRDefault="00D416B3" w:rsidP="00A53C65">
            <w:pPr>
              <w:pStyle w:val="ListParagraph"/>
              <w:ind w:left="0"/>
              <w:jc w:val="center"/>
              <w:rPr>
                <w:rFonts w:asciiTheme="minorHAnsi" w:hAnsiTheme="minorHAnsi" w:cstheme="minorHAnsi"/>
                <w:b/>
                <w:sz w:val="20"/>
                <w:szCs w:val="20"/>
              </w:rPr>
            </w:pPr>
            <w:r w:rsidRPr="006F0277">
              <w:rPr>
                <w:rFonts w:asciiTheme="minorHAnsi" w:hAnsiTheme="minorHAnsi" w:cstheme="minorHAnsi"/>
                <w:b/>
                <w:sz w:val="20"/>
                <w:szCs w:val="20"/>
              </w:rPr>
              <w:t>DLIs</w:t>
            </w:r>
          </w:p>
        </w:tc>
        <w:tc>
          <w:tcPr>
            <w:tcW w:w="3909" w:type="pct"/>
          </w:tcPr>
          <w:p w14:paraId="1A01BB98" w14:textId="1C936040" w:rsidR="00D416B3" w:rsidRPr="006F0277" w:rsidRDefault="00415C7A" w:rsidP="00A53C65">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Description</w:t>
            </w:r>
          </w:p>
        </w:tc>
      </w:tr>
      <w:tr w:rsidR="00D416B3" w14:paraId="24CEF843" w14:textId="77777777" w:rsidTr="00A53C65">
        <w:trPr>
          <w:gridAfter w:val="1"/>
          <w:wAfter w:w="3909" w:type="pct"/>
          <w:trHeight w:val="161"/>
        </w:trPr>
        <w:tc>
          <w:tcPr>
            <w:tcW w:w="1091" w:type="pct"/>
          </w:tcPr>
          <w:p w14:paraId="73BC95E2" w14:textId="77777777" w:rsidR="00D416B3" w:rsidRPr="006F0277" w:rsidRDefault="00D416B3" w:rsidP="00BB36B2">
            <w:pPr>
              <w:pStyle w:val="ListParagraph"/>
              <w:ind w:left="0"/>
              <w:rPr>
                <w:rFonts w:asciiTheme="minorHAnsi" w:hAnsiTheme="minorHAnsi" w:cstheme="minorHAnsi"/>
                <w:sz w:val="20"/>
                <w:szCs w:val="20"/>
              </w:rPr>
            </w:pPr>
            <w:r w:rsidRPr="006F0277">
              <w:rPr>
                <w:rFonts w:asciiTheme="minorHAnsi" w:hAnsiTheme="minorHAnsi" w:cstheme="minorHAnsi"/>
                <w:b/>
                <w:sz w:val="20"/>
                <w:szCs w:val="20"/>
              </w:rPr>
              <w:t>Results Area 1: Revenue Mobilization</w:t>
            </w:r>
          </w:p>
        </w:tc>
      </w:tr>
      <w:tr w:rsidR="00D416B3" w14:paraId="13381EF5" w14:textId="77777777" w:rsidTr="00A53C65">
        <w:trPr>
          <w:trHeight w:val="539"/>
        </w:trPr>
        <w:tc>
          <w:tcPr>
            <w:tcW w:w="1091" w:type="pct"/>
          </w:tcPr>
          <w:p w14:paraId="3316F13E" w14:textId="77777777" w:rsidR="00D416B3" w:rsidRPr="006F0277" w:rsidRDefault="00D416B3" w:rsidP="00BB36B2">
            <w:pPr>
              <w:pStyle w:val="ListParagraph"/>
              <w:ind w:left="0"/>
              <w:rPr>
                <w:rFonts w:asciiTheme="minorHAnsi" w:hAnsiTheme="minorHAnsi" w:cstheme="minorHAnsi"/>
                <w:sz w:val="20"/>
                <w:szCs w:val="20"/>
              </w:rPr>
            </w:pPr>
            <w:r>
              <w:rPr>
                <w:rFonts w:asciiTheme="minorHAnsi" w:hAnsiTheme="minorHAnsi" w:cstheme="minorHAnsi"/>
                <w:sz w:val="20"/>
                <w:szCs w:val="20"/>
              </w:rPr>
              <w:t>Registered Tax Payers who filed GSTS in previous year</w:t>
            </w:r>
            <w:r w:rsidRPr="006F0277">
              <w:rPr>
                <w:rFonts w:asciiTheme="minorHAnsi" w:hAnsiTheme="minorHAnsi" w:cstheme="minorHAnsi"/>
                <w:sz w:val="20"/>
                <w:szCs w:val="20"/>
              </w:rPr>
              <w:t xml:space="preserve"> (DLI #1)</w:t>
            </w:r>
          </w:p>
        </w:tc>
        <w:tc>
          <w:tcPr>
            <w:tcW w:w="3909" w:type="pct"/>
          </w:tcPr>
          <w:p w14:paraId="12319544" w14:textId="77777777" w:rsidR="00D416B3" w:rsidRPr="006F0277" w:rsidRDefault="00D416B3" w:rsidP="00BB36B2">
            <w:pPr>
              <w:pStyle w:val="ListParagraph"/>
              <w:ind w:left="0"/>
              <w:rPr>
                <w:rFonts w:asciiTheme="minorHAnsi" w:hAnsiTheme="minorHAnsi" w:cstheme="minorHAnsi"/>
                <w:sz w:val="20"/>
                <w:szCs w:val="20"/>
              </w:rPr>
            </w:pPr>
            <w:r w:rsidRPr="006F0277">
              <w:rPr>
                <w:rFonts w:asciiTheme="minorHAnsi" w:hAnsiTheme="minorHAnsi" w:cstheme="minorHAnsi"/>
                <w:sz w:val="20"/>
                <w:szCs w:val="20"/>
              </w:rPr>
              <w:t>This intermediate outcome indicator is selected due</w:t>
            </w:r>
            <w:r>
              <w:rPr>
                <w:rFonts w:asciiTheme="minorHAnsi" w:hAnsiTheme="minorHAnsi" w:cstheme="minorHAnsi"/>
                <w:sz w:val="20"/>
                <w:szCs w:val="20"/>
              </w:rPr>
              <w:t xml:space="preserve"> to</w:t>
            </w:r>
            <w:r w:rsidRPr="006F0277">
              <w:rPr>
                <w:rFonts w:asciiTheme="minorHAnsi" w:hAnsiTheme="minorHAnsi" w:cstheme="minorHAnsi"/>
                <w:sz w:val="20"/>
                <w:szCs w:val="20"/>
              </w:rPr>
              <w:t xml:space="preserve"> high revenue potential of the GSTS and the critical importance of taxpayer compliance in capturing this potential. It is scalable</w:t>
            </w:r>
            <w:r>
              <w:rPr>
                <w:rFonts w:asciiTheme="minorHAnsi" w:hAnsiTheme="minorHAnsi" w:cstheme="minorHAnsi"/>
                <w:sz w:val="20"/>
                <w:szCs w:val="20"/>
              </w:rPr>
              <w:t>,</w:t>
            </w:r>
            <w:r w:rsidRPr="006F0277">
              <w:rPr>
                <w:rFonts w:asciiTheme="minorHAnsi" w:hAnsiTheme="minorHAnsi" w:cstheme="minorHAnsi"/>
                <w:sz w:val="20"/>
                <w:szCs w:val="20"/>
              </w:rPr>
              <w:t xml:space="preserve"> easy to measure and verif</w:t>
            </w:r>
            <w:r>
              <w:rPr>
                <w:rFonts w:asciiTheme="minorHAnsi" w:hAnsiTheme="minorHAnsi" w:cstheme="minorHAnsi"/>
                <w:sz w:val="20"/>
                <w:szCs w:val="20"/>
              </w:rPr>
              <w:t>iable</w:t>
            </w:r>
            <w:r w:rsidRPr="006F0277">
              <w:rPr>
                <w:rFonts w:asciiTheme="minorHAnsi" w:hAnsiTheme="minorHAnsi" w:cstheme="minorHAnsi"/>
                <w:sz w:val="20"/>
                <w:szCs w:val="20"/>
              </w:rPr>
              <w:t>. To incentivize full achievement, the target for year 1 will not be scalable.</w:t>
            </w:r>
          </w:p>
        </w:tc>
      </w:tr>
      <w:tr w:rsidR="00D416B3" w14:paraId="55C70B53" w14:textId="77777777" w:rsidTr="00A53C65">
        <w:trPr>
          <w:trHeight w:val="1142"/>
        </w:trPr>
        <w:tc>
          <w:tcPr>
            <w:tcW w:w="1091" w:type="pct"/>
          </w:tcPr>
          <w:p w14:paraId="6B085AE4" w14:textId="77777777" w:rsidR="00D416B3" w:rsidRPr="006F0277" w:rsidRDefault="00D416B3" w:rsidP="00BB36B2">
            <w:pPr>
              <w:pStyle w:val="ListParagraph"/>
              <w:ind w:left="0"/>
              <w:rPr>
                <w:rFonts w:asciiTheme="minorHAnsi" w:hAnsiTheme="minorHAnsi" w:cstheme="minorHAnsi"/>
                <w:sz w:val="20"/>
                <w:szCs w:val="20"/>
              </w:rPr>
            </w:pPr>
            <w:r w:rsidRPr="006F0277">
              <w:rPr>
                <w:rFonts w:asciiTheme="minorHAnsi" w:hAnsiTheme="minorHAnsi" w:cstheme="minorHAnsi"/>
                <w:sz w:val="20"/>
                <w:szCs w:val="20"/>
              </w:rPr>
              <w:t>Database integration in tax administration (DLI #2)</w:t>
            </w:r>
          </w:p>
        </w:tc>
        <w:tc>
          <w:tcPr>
            <w:tcW w:w="3909" w:type="pct"/>
          </w:tcPr>
          <w:p w14:paraId="3A93DE61" w14:textId="77777777" w:rsidR="00D416B3" w:rsidRPr="006F0277" w:rsidRDefault="00D416B3" w:rsidP="00BB36B2">
            <w:pPr>
              <w:rPr>
                <w:rFonts w:asciiTheme="minorHAnsi" w:hAnsiTheme="minorHAnsi" w:cstheme="minorHAnsi"/>
                <w:sz w:val="20"/>
                <w:szCs w:val="20"/>
              </w:rPr>
            </w:pPr>
            <w:r w:rsidRPr="006F0277">
              <w:rPr>
                <w:rFonts w:asciiTheme="minorHAnsi" w:hAnsiTheme="minorHAnsi" w:cstheme="minorHAnsi"/>
                <w:sz w:val="20"/>
                <w:szCs w:val="20"/>
              </w:rPr>
              <w:t>This output indicator is critical to the capacity of the tax authorities to broaden the tax bases and incentivize compliance. It is essential to the business intelligence function</w:t>
            </w:r>
            <w:r>
              <w:rPr>
                <w:rFonts w:asciiTheme="minorHAnsi" w:hAnsiTheme="minorHAnsi" w:cstheme="minorHAnsi"/>
                <w:sz w:val="20"/>
                <w:szCs w:val="20"/>
              </w:rPr>
              <w:t xml:space="preserve"> that</w:t>
            </w:r>
            <w:r w:rsidRPr="006F0277">
              <w:rPr>
                <w:rFonts w:asciiTheme="minorHAnsi" w:hAnsiTheme="minorHAnsi" w:cstheme="minorHAnsi"/>
                <w:sz w:val="20"/>
                <w:szCs w:val="20"/>
              </w:rPr>
              <w:t xml:space="preserve"> increase</w:t>
            </w:r>
            <w:r>
              <w:rPr>
                <w:rFonts w:asciiTheme="minorHAnsi" w:hAnsiTheme="minorHAnsi" w:cstheme="minorHAnsi"/>
                <w:sz w:val="20"/>
                <w:szCs w:val="20"/>
              </w:rPr>
              <w:t>s</w:t>
            </w:r>
            <w:r w:rsidRPr="006F0277">
              <w:rPr>
                <w:rFonts w:asciiTheme="minorHAnsi" w:hAnsiTheme="minorHAnsi" w:cstheme="minorHAnsi"/>
                <w:sz w:val="20"/>
                <w:szCs w:val="20"/>
              </w:rPr>
              <w:t xml:space="preserve"> productivity of tax authorities and reduce</w:t>
            </w:r>
            <w:r>
              <w:rPr>
                <w:rFonts w:asciiTheme="minorHAnsi" w:hAnsiTheme="minorHAnsi" w:cstheme="minorHAnsi"/>
                <w:sz w:val="20"/>
                <w:szCs w:val="20"/>
              </w:rPr>
              <w:t>s</w:t>
            </w:r>
            <w:r w:rsidRPr="006F0277">
              <w:rPr>
                <w:rFonts w:asciiTheme="minorHAnsi" w:hAnsiTheme="minorHAnsi" w:cstheme="minorHAnsi"/>
                <w:sz w:val="20"/>
                <w:szCs w:val="20"/>
              </w:rPr>
              <w:t xml:space="preserve"> the cost of tax collection. The targets are discrete, clearly defined</w:t>
            </w:r>
            <w:r>
              <w:rPr>
                <w:rFonts w:asciiTheme="minorHAnsi" w:hAnsiTheme="minorHAnsi" w:cstheme="minorHAnsi"/>
                <w:sz w:val="20"/>
                <w:szCs w:val="20"/>
              </w:rPr>
              <w:t>,</w:t>
            </w:r>
            <w:r w:rsidRPr="006F0277">
              <w:rPr>
                <w:rFonts w:asciiTheme="minorHAnsi" w:hAnsiTheme="minorHAnsi" w:cstheme="minorHAnsi"/>
                <w:sz w:val="20"/>
                <w:szCs w:val="20"/>
              </w:rPr>
              <w:t xml:space="preserve"> </w:t>
            </w:r>
            <w:r>
              <w:rPr>
                <w:rFonts w:asciiTheme="minorHAnsi" w:hAnsiTheme="minorHAnsi" w:cstheme="minorHAnsi"/>
                <w:sz w:val="20"/>
                <w:szCs w:val="20"/>
              </w:rPr>
              <w:t>and</w:t>
            </w:r>
            <w:r w:rsidRPr="006F0277">
              <w:rPr>
                <w:rFonts w:asciiTheme="minorHAnsi" w:hAnsiTheme="minorHAnsi" w:cstheme="minorHAnsi"/>
                <w:sz w:val="20"/>
                <w:szCs w:val="20"/>
              </w:rPr>
              <w:t xml:space="preserve"> easy to verify. The indicator is not scalable.</w:t>
            </w:r>
          </w:p>
        </w:tc>
      </w:tr>
      <w:tr w:rsidR="00D416B3" w14:paraId="50956F13" w14:textId="77777777" w:rsidTr="00A53C65">
        <w:trPr>
          <w:trHeight w:val="1223"/>
        </w:trPr>
        <w:tc>
          <w:tcPr>
            <w:tcW w:w="1091" w:type="pct"/>
          </w:tcPr>
          <w:p w14:paraId="500A520F" w14:textId="77777777" w:rsidR="00D416B3" w:rsidRPr="006F0277" w:rsidRDefault="00D416B3" w:rsidP="00BB36B2">
            <w:pPr>
              <w:pStyle w:val="ListParagraph"/>
              <w:ind w:left="0"/>
              <w:rPr>
                <w:rFonts w:asciiTheme="minorHAnsi" w:hAnsiTheme="minorHAnsi" w:cstheme="minorHAnsi"/>
                <w:sz w:val="20"/>
                <w:szCs w:val="20"/>
              </w:rPr>
            </w:pPr>
            <w:r>
              <w:rPr>
                <w:rFonts w:asciiTheme="minorHAnsi" w:hAnsiTheme="minorHAnsi" w:cstheme="minorHAnsi"/>
                <w:sz w:val="20"/>
                <w:szCs w:val="20"/>
              </w:rPr>
              <w:t>Cities with UIPT survey, valuation and digitized records</w:t>
            </w:r>
            <w:r w:rsidRPr="006F0277">
              <w:rPr>
                <w:rFonts w:asciiTheme="minorHAnsi" w:hAnsiTheme="minorHAnsi" w:cstheme="minorHAnsi"/>
                <w:sz w:val="20"/>
                <w:szCs w:val="20"/>
              </w:rPr>
              <w:t xml:space="preserve"> (DLI #3)</w:t>
            </w:r>
          </w:p>
        </w:tc>
        <w:tc>
          <w:tcPr>
            <w:tcW w:w="3909" w:type="pct"/>
          </w:tcPr>
          <w:p w14:paraId="36FADA4C" w14:textId="77777777" w:rsidR="00D416B3" w:rsidRPr="006F0277" w:rsidRDefault="00D416B3" w:rsidP="00BB36B2">
            <w:r w:rsidRPr="006F0277">
              <w:rPr>
                <w:rFonts w:asciiTheme="minorHAnsi" w:hAnsiTheme="minorHAnsi" w:cstheme="minorHAnsi"/>
                <w:sz w:val="20"/>
                <w:szCs w:val="20"/>
              </w:rPr>
              <w:t xml:space="preserve">This output indicator captures the most important tool to increase UIPT receipts. The surveys have been shown to expand the tax base by adding new properties to the tax records, improving the accuracy and transparency of tax assessments, enabling digitization of tax records and issuance of automated invoices, and providing data on market values to inform valuations used to calculate UIPT liability. This </w:t>
            </w:r>
            <w:r>
              <w:rPr>
                <w:rFonts w:asciiTheme="minorHAnsi" w:hAnsiTheme="minorHAnsi" w:cstheme="minorHAnsi"/>
                <w:sz w:val="20"/>
                <w:szCs w:val="20"/>
              </w:rPr>
              <w:t xml:space="preserve">indicator </w:t>
            </w:r>
            <w:r w:rsidRPr="006F0277">
              <w:rPr>
                <w:rFonts w:asciiTheme="minorHAnsi" w:hAnsiTheme="minorHAnsi" w:cstheme="minorHAnsi"/>
                <w:sz w:val="20"/>
                <w:szCs w:val="20"/>
              </w:rPr>
              <w:t xml:space="preserve">is </w:t>
            </w:r>
            <w:r w:rsidRPr="006F0277">
              <w:rPr>
                <w:rFonts w:asciiTheme="minorHAnsi" w:hAnsiTheme="minorHAnsi" w:cstheme="minorHAnsi"/>
                <w:sz w:val="20"/>
                <w:szCs w:val="20"/>
              </w:rPr>
              <w:lastRenderedPageBreak/>
              <w:t>quantitative</w:t>
            </w:r>
            <w:r>
              <w:rPr>
                <w:rFonts w:asciiTheme="minorHAnsi" w:hAnsiTheme="minorHAnsi" w:cstheme="minorHAnsi"/>
                <w:sz w:val="20"/>
                <w:szCs w:val="20"/>
              </w:rPr>
              <w:t>,</w:t>
            </w:r>
            <w:r w:rsidRPr="006F0277">
              <w:rPr>
                <w:rFonts w:asciiTheme="minorHAnsi" w:hAnsiTheme="minorHAnsi" w:cstheme="minorHAnsi"/>
                <w:sz w:val="20"/>
                <w:szCs w:val="20"/>
              </w:rPr>
              <w:t xml:space="preserve"> scalable and readily verifiable.</w:t>
            </w:r>
          </w:p>
        </w:tc>
      </w:tr>
      <w:tr w:rsidR="00D416B3" w14:paraId="2CDDE3B7" w14:textId="77777777" w:rsidTr="00A53C65">
        <w:trPr>
          <w:gridAfter w:val="1"/>
          <w:wAfter w:w="3909" w:type="pct"/>
          <w:trHeight w:val="125"/>
        </w:trPr>
        <w:tc>
          <w:tcPr>
            <w:tcW w:w="1091" w:type="pct"/>
          </w:tcPr>
          <w:p w14:paraId="0FD30119" w14:textId="77777777" w:rsidR="00D416B3" w:rsidRPr="006F0277" w:rsidRDefault="00D416B3" w:rsidP="00BB36B2">
            <w:pPr>
              <w:pStyle w:val="ListParagraph"/>
              <w:ind w:left="0"/>
              <w:rPr>
                <w:rFonts w:asciiTheme="minorHAnsi" w:hAnsiTheme="minorHAnsi" w:cstheme="minorHAnsi"/>
                <w:sz w:val="20"/>
                <w:szCs w:val="20"/>
              </w:rPr>
            </w:pPr>
            <w:r w:rsidRPr="006F0277">
              <w:rPr>
                <w:rFonts w:asciiTheme="minorHAnsi" w:hAnsiTheme="minorHAnsi" w:cstheme="minorHAnsi"/>
                <w:b/>
                <w:sz w:val="20"/>
                <w:szCs w:val="20"/>
              </w:rPr>
              <w:lastRenderedPageBreak/>
              <w:t>Results Areas 2: Management of Public Resources</w:t>
            </w:r>
          </w:p>
        </w:tc>
      </w:tr>
      <w:tr w:rsidR="00D416B3" w14:paraId="3EB747F0" w14:textId="77777777" w:rsidTr="00A53C65">
        <w:trPr>
          <w:trHeight w:val="1440"/>
        </w:trPr>
        <w:tc>
          <w:tcPr>
            <w:tcW w:w="1091" w:type="pct"/>
          </w:tcPr>
          <w:p w14:paraId="5775AFD5" w14:textId="77777777" w:rsidR="00D416B3" w:rsidRPr="006F0277" w:rsidRDefault="00D416B3" w:rsidP="00BB36B2">
            <w:pPr>
              <w:pStyle w:val="ListParagraph"/>
              <w:ind w:left="0"/>
              <w:rPr>
                <w:rFonts w:asciiTheme="minorHAnsi" w:hAnsiTheme="minorHAnsi" w:cstheme="minorHAnsi"/>
                <w:sz w:val="20"/>
                <w:szCs w:val="20"/>
              </w:rPr>
            </w:pPr>
            <w:r w:rsidRPr="006F0277">
              <w:rPr>
                <w:rFonts w:asciiTheme="minorHAnsi" w:hAnsiTheme="minorHAnsi" w:cstheme="minorHAnsi"/>
                <w:sz w:val="20"/>
                <w:szCs w:val="20"/>
              </w:rPr>
              <w:t>Cash management with regular consolidation of cash balances and cash plans (DLI #4)</w:t>
            </w:r>
          </w:p>
        </w:tc>
        <w:tc>
          <w:tcPr>
            <w:tcW w:w="3909" w:type="pct"/>
          </w:tcPr>
          <w:p w14:paraId="58E75BBD" w14:textId="77777777" w:rsidR="00D416B3" w:rsidRPr="006F0277" w:rsidRDefault="00D416B3" w:rsidP="00BB36B2">
            <w:pPr>
              <w:rPr>
                <w:rFonts w:asciiTheme="minorHAnsi" w:hAnsiTheme="minorHAnsi" w:cstheme="minorHAnsi"/>
                <w:sz w:val="20"/>
                <w:szCs w:val="20"/>
              </w:rPr>
            </w:pPr>
            <w:r w:rsidRPr="006F0277">
              <w:rPr>
                <w:rFonts w:asciiTheme="minorHAnsi" w:hAnsiTheme="minorHAnsi" w:cstheme="minorHAnsi"/>
                <w:sz w:val="20"/>
                <w:szCs w:val="20"/>
              </w:rPr>
              <w:t xml:space="preserve">This </w:t>
            </w:r>
            <w:r>
              <w:rPr>
                <w:rFonts w:asciiTheme="minorHAnsi" w:hAnsiTheme="minorHAnsi" w:cstheme="minorHAnsi"/>
                <w:sz w:val="20"/>
                <w:szCs w:val="20"/>
              </w:rPr>
              <w:t>indicator</w:t>
            </w:r>
            <w:r w:rsidRPr="006F0277">
              <w:rPr>
                <w:rFonts w:asciiTheme="minorHAnsi" w:hAnsiTheme="minorHAnsi" w:cstheme="minorHAnsi"/>
                <w:sz w:val="20"/>
                <w:szCs w:val="20"/>
              </w:rPr>
              <w:t xml:space="preserve"> combines intermediate outcomes and outputs that represent critical milestones in </w:t>
            </w:r>
            <w:r>
              <w:rPr>
                <w:rFonts w:asciiTheme="minorHAnsi" w:hAnsiTheme="minorHAnsi" w:cstheme="minorHAnsi"/>
                <w:sz w:val="20"/>
                <w:szCs w:val="20"/>
              </w:rPr>
              <w:t>achieving sound cash management</w:t>
            </w:r>
            <w:r w:rsidRPr="006F0277">
              <w:rPr>
                <w:rFonts w:asciiTheme="minorHAnsi" w:hAnsiTheme="minorHAnsi" w:cstheme="minorHAnsi"/>
                <w:sz w:val="20"/>
                <w:szCs w:val="20"/>
              </w:rPr>
              <w:t xml:space="preserve">. KP is the first province to prohibit the practice of government entities parking budget funds in commercial banks and to bring these funds into the TSA. This is a prior result under the Program. </w:t>
            </w:r>
            <w:r>
              <w:rPr>
                <w:rFonts w:asciiTheme="minorHAnsi" w:hAnsiTheme="minorHAnsi" w:cstheme="minorHAnsi"/>
                <w:sz w:val="20"/>
                <w:szCs w:val="20"/>
              </w:rPr>
              <w:t xml:space="preserve">The targets require </w:t>
            </w:r>
            <w:r w:rsidRPr="006F0277">
              <w:rPr>
                <w:rFonts w:asciiTheme="minorHAnsi" w:hAnsiTheme="minorHAnsi" w:cstheme="minorHAnsi"/>
                <w:sz w:val="20"/>
                <w:szCs w:val="20"/>
              </w:rPr>
              <w:t>consolidating government cash balances a</w:t>
            </w:r>
            <w:r>
              <w:rPr>
                <w:rFonts w:asciiTheme="minorHAnsi" w:hAnsiTheme="minorHAnsi" w:cstheme="minorHAnsi"/>
                <w:sz w:val="20"/>
                <w:szCs w:val="20"/>
              </w:rPr>
              <w:t xml:space="preserve">s well as preparing cash plans by select GoKP departments to improve </w:t>
            </w:r>
            <w:r w:rsidRPr="003D7B5F">
              <w:rPr>
                <w:rFonts w:asciiTheme="minorHAnsi" w:hAnsiTheme="minorHAnsi" w:cstheme="minorHAnsi"/>
                <w:sz w:val="20"/>
                <w:szCs w:val="20"/>
              </w:rPr>
              <w:t>predictability of spending plans</w:t>
            </w:r>
            <w:r>
              <w:rPr>
                <w:rFonts w:asciiTheme="minorHAnsi" w:hAnsiTheme="minorHAnsi" w:cstheme="minorHAnsi"/>
                <w:sz w:val="20"/>
                <w:szCs w:val="20"/>
              </w:rPr>
              <w:t>.</w:t>
            </w:r>
            <w:r w:rsidRPr="003D7B5F">
              <w:rPr>
                <w:rFonts w:asciiTheme="minorHAnsi" w:hAnsiTheme="minorHAnsi" w:cstheme="minorHAnsi"/>
                <w:sz w:val="20"/>
                <w:szCs w:val="20"/>
              </w:rPr>
              <w:t xml:space="preserve"> </w:t>
            </w:r>
            <w:r w:rsidRPr="006F0277">
              <w:rPr>
                <w:rFonts w:asciiTheme="minorHAnsi" w:hAnsiTheme="minorHAnsi" w:cstheme="minorHAnsi"/>
                <w:sz w:val="20"/>
                <w:szCs w:val="20"/>
              </w:rPr>
              <w:t xml:space="preserve">This indicator </w:t>
            </w:r>
            <w:r>
              <w:rPr>
                <w:rFonts w:asciiTheme="minorHAnsi" w:hAnsiTheme="minorHAnsi" w:cstheme="minorHAnsi"/>
                <w:sz w:val="20"/>
                <w:szCs w:val="20"/>
              </w:rPr>
              <w:t>is</w:t>
            </w:r>
            <w:r w:rsidRPr="006F0277">
              <w:rPr>
                <w:rFonts w:asciiTheme="minorHAnsi" w:hAnsiTheme="minorHAnsi" w:cstheme="minorHAnsi"/>
                <w:sz w:val="20"/>
                <w:szCs w:val="20"/>
              </w:rPr>
              <w:t xml:space="preserve"> clearly defined and verifiable. </w:t>
            </w:r>
            <w:r>
              <w:rPr>
                <w:rFonts w:asciiTheme="minorHAnsi" w:hAnsiTheme="minorHAnsi" w:cstheme="minorHAnsi"/>
                <w:sz w:val="20"/>
                <w:szCs w:val="20"/>
              </w:rPr>
              <w:t>The indicator is not scalable.</w:t>
            </w:r>
          </w:p>
        </w:tc>
      </w:tr>
      <w:tr w:rsidR="00D416B3" w14:paraId="643966C2" w14:textId="77777777" w:rsidTr="00A53C65">
        <w:trPr>
          <w:trHeight w:val="908"/>
        </w:trPr>
        <w:tc>
          <w:tcPr>
            <w:tcW w:w="1091" w:type="pct"/>
          </w:tcPr>
          <w:p w14:paraId="184F99B5" w14:textId="77777777" w:rsidR="00D416B3" w:rsidRPr="006F0277" w:rsidRDefault="00D416B3" w:rsidP="00BB36B2">
            <w:pPr>
              <w:pStyle w:val="ListParagraph"/>
              <w:ind w:left="0"/>
              <w:rPr>
                <w:rFonts w:asciiTheme="minorHAnsi" w:hAnsiTheme="minorHAnsi" w:cstheme="minorHAnsi"/>
                <w:sz w:val="20"/>
                <w:szCs w:val="20"/>
              </w:rPr>
            </w:pPr>
            <w:r w:rsidRPr="006F0277">
              <w:rPr>
                <w:rFonts w:asciiTheme="minorHAnsi" w:hAnsiTheme="minorHAnsi" w:cstheme="minorHAnsi"/>
                <w:bCs/>
                <w:sz w:val="20"/>
                <w:szCs w:val="20"/>
              </w:rPr>
              <w:t>ADP allocation</w:t>
            </w:r>
            <w:r>
              <w:rPr>
                <w:rFonts w:asciiTheme="minorHAnsi" w:hAnsiTheme="minorHAnsi" w:cstheme="minorHAnsi"/>
                <w:bCs/>
                <w:sz w:val="20"/>
                <w:szCs w:val="20"/>
              </w:rPr>
              <w:t>s to unapproved projects (DLI #5</w:t>
            </w:r>
            <w:r w:rsidRPr="006F0277">
              <w:rPr>
                <w:rFonts w:asciiTheme="minorHAnsi" w:hAnsiTheme="minorHAnsi" w:cstheme="minorHAnsi"/>
                <w:bCs/>
                <w:sz w:val="20"/>
                <w:szCs w:val="20"/>
              </w:rPr>
              <w:t>)</w:t>
            </w:r>
          </w:p>
        </w:tc>
        <w:tc>
          <w:tcPr>
            <w:tcW w:w="3909" w:type="pct"/>
          </w:tcPr>
          <w:p w14:paraId="40C86E39" w14:textId="77777777" w:rsidR="00D416B3" w:rsidRPr="006F0277" w:rsidRDefault="00D416B3" w:rsidP="00BB36B2">
            <w:r w:rsidRPr="006F0277">
              <w:rPr>
                <w:rFonts w:asciiTheme="minorHAnsi" w:hAnsiTheme="minorHAnsi" w:cstheme="minorHAnsi"/>
                <w:sz w:val="20"/>
                <w:szCs w:val="20"/>
              </w:rPr>
              <w:t>This intermediate outcome indicator addresses a critical gap in the ADP process: unapproved projects included in the ADP. This indicator seeks to minimize budget allocations to unapproved projects, thereby allowing more funds for projects with higher implementation readiness. Th</w:t>
            </w:r>
            <w:r>
              <w:rPr>
                <w:rFonts w:asciiTheme="minorHAnsi" w:hAnsiTheme="minorHAnsi" w:cstheme="minorHAnsi"/>
                <w:sz w:val="20"/>
                <w:szCs w:val="20"/>
              </w:rPr>
              <w:t>is</w:t>
            </w:r>
            <w:r w:rsidRPr="006F0277">
              <w:rPr>
                <w:rFonts w:asciiTheme="minorHAnsi" w:hAnsiTheme="minorHAnsi" w:cstheme="minorHAnsi"/>
                <w:sz w:val="20"/>
                <w:szCs w:val="20"/>
              </w:rPr>
              <w:t xml:space="preserve"> </w:t>
            </w:r>
            <w:r>
              <w:rPr>
                <w:rFonts w:asciiTheme="minorHAnsi" w:hAnsiTheme="minorHAnsi" w:cstheme="minorHAnsi"/>
                <w:sz w:val="20"/>
                <w:szCs w:val="20"/>
              </w:rPr>
              <w:t xml:space="preserve">indicator </w:t>
            </w:r>
            <w:r w:rsidRPr="006F0277">
              <w:rPr>
                <w:rFonts w:asciiTheme="minorHAnsi" w:hAnsiTheme="minorHAnsi" w:cstheme="minorHAnsi"/>
                <w:sz w:val="20"/>
                <w:szCs w:val="20"/>
              </w:rPr>
              <w:t>is</w:t>
            </w:r>
            <w:r>
              <w:rPr>
                <w:rFonts w:asciiTheme="minorHAnsi" w:hAnsiTheme="minorHAnsi" w:cstheme="minorHAnsi"/>
                <w:sz w:val="20"/>
                <w:szCs w:val="20"/>
              </w:rPr>
              <w:t xml:space="preserve"> </w:t>
            </w:r>
            <w:r w:rsidRPr="006F0277">
              <w:rPr>
                <w:rFonts w:asciiTheme="minorHAnsi" w:hAnsiTheme="minorHAnsi" w:cstheme="minorHAnsi"/>
                <w:sz w:val="20"/>
                <w:szCs w:val="20"/>
              </w:rPr>
              <w:t>quantitative</w:t>
            </w:r>
            <w:r>
              <w:rPr>
                <w:rFonts w:asciiTheme="minorHAnsi" w:hAnsiTheme="minorHAnsi" w:cstheme="minorHAnsi"/>
                <w:sz w:val="20"/>
                <w:szCs w:val="20"/>
              </w:rPr>
              <w:t>,</w:t>
            </w:r>
            <w:r w:rsidRPr="006F0277">
              <w:rPr>
                <w:rFonts w:asciiTheme="minorHAnsi" w:hAnsiTheme="minorHAnsi" w:cstheme="minorHAnsi"/>
                <w:sz w:val="20"/>
                <w:szCs w:val="20"/>
              </w:rPr>
              <w:t xml:space="preserve"> readily verifi</w:t>
            </w:r>
            <w:r>
              <w:rPr>
                <w:rFonts w:asciiTheme="minorHAnsi" w:hAnsiTheme="minorHAnsi" w:cstheme="minorHAnsi"/>
                <w:sz w:val="20"/>
                <w:szCs w:val="20"/>
              </w:rPr>
              <w:t>able</w:t>
            </w:r>
            <w:r w:rsidRPr="006F0277">
              <w:rPr>
                <w:rFonts w:asciiTheme="minorHAnsi" w:hAnsiTheme="minorHAnsi" w:cstheme="minorHAnsi"/>
                <w:sz w:val="20"/>
                <w:szCs w:val="20"/>
              </w:rPr>
              <w:t xml:space="preserve"> </w:t>
            </w:r>
            <w:r>
              <w:rPr>
                <w:rFonts w:asciiTheme="minorHAnsi" w:hAnsiTheme="minorHAnsi" w:cstheme="minorHAnsi"/>
                <w:sz w:val="20"/>
                <w:szCs w:val="20"/>
              </w:rPr>
              <w:t>but</w:t>
            </w:r>
            <w:r w:rsidRPr="006F0277">
              <w:rPr>
                <w:rFonts w:asciiTheme="minorHAnsi" w:hAnsiTheme="minorHAnsi" w:cstheme="minorHAnsi"/>
                <w:sz w:val="20"/>
                <w:szCs w:val="20"/>
              </w:rPr>
              <w:t xml:space="preserve"> not scalable. </w:t>
            </w:r>
          </w:p>
        </w:tc>
      </w:tr>
      <w:tr w:rsidR="00D416B3" w14:paraId="65047162" w14:textId="77777777" w:rsidTr="00A53C65">
        <w:trPr>
          <w:trHeight w:val="359"/>
        </w:trPr>
        <w:tc>
          <w:tcPr>
            <w:tcW w:w="1091" w:type="pct"/>
          </w:tcPr>
          <w:p w14:paraId="09280974" w14:textId="77777777" w:rsidR="00D416B3" w:rsidRPr="006F0277" w:rsidRDefault="00D416B3" w:rsidP="00BB36B2">
            <w:pPr>
              <w:pStyle w:val="ListParagraph"/>
              <w:ind w:left="0"/>
              <w:rPr>
                <w:rFonts w:asciiTheme="minorHAnsi" w:hAnsiTheme="minorHAnsi" w:cstheme="minorHAnsi"/>
                <w:bCs/>
                <w:sz w:val="20"/>
                <w:szCs w:val="20"/>
              </w:rPr>
            </w:pPr>
            <w:r>
              <w:rPr>
                <w:rFonts w:asciiTheme="minorHAnsi" w:hAnsiTheme="minorHAnsi" w:cstheme="minorHAnsi"/>
                <w:sz w:val="20"/>
                <w:szCs w:val="20"/>
              </w:rPr>
              <w:t>TMAs using the NFMIS (DLI #6</w:t>
            </w:r>
            <w:r w:rsidRPr="006F0277">
              <w:rPr>
                <w:rFonts w:asciiTheme="minorHAnsi" w:hAnsiTheme="minorHAnsi" w:cstheme="minorHAnsi"/>
                <w:sz w:val="20"/>
                <w:szCs w:val="20"/>
              </w:rPr>
              <w:t>)</w:t>
            </w:r>
          </w:p>
        </w:tc>
        <w:tc>
          <w:tcPr>
            <w:tcW w:w="3909" w:type="pct"/>
          </w:tcPr>
          <w:p w14:paraId="5FFF6CF9" w14:textId="77777777" w:rsidR="00D416B3" w:rsidRPr="006F0277" w:rsidRDefault="00D416B3" w:rsidP="00BB36B2">
            <w:pPr>
              <w:rPr>
                <w:rFonts w:asciiTheme="minorHAnsi" w:hAnsiTheme="minorHAnsi" w:cstheme="minorHAnsi"/>
                <w:sz w:val="20"/>
                <w:szCs w:val="20"/>
              </w:rPr>
            </w:pPr>
            <w:r w:rsidRPr="006F0277">
              <w:rPr>
                <w:rFonts w:asciiTheme="minorHAnsi" w:hAnsiTheme="minorHAnsi" w:cstheme="minorHAnsi"/>
                <w:sz w:val="20"/>
                <w:szCs w:val="20"/>
              </w:rPr>
              <w:t>This outcome indicator tracks the implementation progress of another groundbreaking reform. KP will be the first province to bring the accounts of municipalities into the NFMIS. Th</w:t>
            </w:r>
            <w:r>
              <w:rPr>
                <w:rFonts w:asciiTheme="minorHAnsi" w:hAnsiTheme="minorHAnsi" w:cstheme="minorHAnsi"/>
                <w:sz w:val="20"/>
                <w:szCs w:val="20"/>
              </w:rPr>
              <w:t>is</w:t>
            </w:r>
            <w:r w:rsidRPr="006F0277">
              <w:rPr>
                <w:rFonts w:asciiTheme="minorHAnsi" w:hAnsiTheme="minorHAnsi" w:cstheme="minorHAnsi"/>
                <w:sz w:val="20"/>
                <w:szCs w:val="20"/>
              </w:rPr>
              <w:t xml:space="preserve"> extension will help manage municipal budgets by making re-appropriations within their budgets, increase transparency of municipal financing and expenditures, and reinforce the cash management function. This </w:t>
            </w:r>
            <w:r>
              <w:rPr>
                <w:rFonts w:asciiTheme="minorHAnsi" w:hAnsiTheme="minorHAnsi" w:cstheme="minorHAnsi"/>
                <w:sz w:val="20"/>
                <w:szCs w:val="20"/>
              </w:rPr>
              <w:t xml:space="preserve">indicator </w:t>
            </w:r>
            <w:r w:rsidRPr="006F0277">
              <w:rPr>
                <w:rFonts w:asciiTheme="minorHAnsi" w:hAnsiTheme="minorHAnsi" w:cstheme="minorHAnsi"/>
                <w:sz w:val="20"/>
                <w:szCs w:val="20"/>
              </w:rPr>
              <w:t xml:space="preserve">is quantitative, scalable </w:t>
            </w:r>
            <w:r>
              <w:rPr>
                <w:rFonts w:asciiTheme="minorHAnsi" w:hAnsiTheme="minorHAnsi" w:cstheme="minorHAnsi"/>
                <w:sz w:val="20"/>
                <w:szCs w:val="20"/>
              </w:rPr>
              <w:t>and</w:t>
            </w:r>
            <w:r w:rsidRPr="006F0277">
              <w:rPr>
                <w:rFonts w:asciiTheme="minorHAnsi" w:hAnsiTheme="minorHAnsi" w:cstheme="minorHAnsi"/>
                <w:sz w:val="20"/>
                <w:szCs w:val="20"/>
              </w:rPr>
              <w:t xml:space="preserve"> easy to verify.</w:t>
            </w:r>
          </w:p>
        </w:tc>
      </w:tr>
    </w:tbl>
    <w:p w14:paraId="21EBC20D" w14:textId="77777777" w:rsidR="007C5BE3" w:rsidRDefault="007C5BE3" w:rsidP="007C5BE3">
      <w:pPr>
        <w:pStyle w:val="Heading1"/>
      </w:pPr>
      <w:bookmarkStart w:id="22" w:name="_Toc530148517"/>
      <w:r w:rsidRPr="001D0C27">
        <w:t xml:space="preserve">Program Action Plan and </w:t>
      </w:r>
      <w:r>
        <w:t>I</w:t>
      </w:r>
      <w:r w:rsidRPr="001D0C27">
        <w:t xml:space="preserve">mplementation </w:t>
      </w:r>
      <w:r>
        <w:t>A</w:t>
      </w:r>
      <w:r w:rsidRPr="001D0C27">
        <w:t>rrangements</w:t>
      </w:r>
      <w:bookmarkEnd w:id="22"/>
    </w:p>
    <w:p w14:paraId="6C802CB6" w14:textId="77777777" w:rsidR="007C5BE3" w:rsidRPr="001D0C27" w:rsidRDefault="007C5BE3" w:rsidP="003D4FF1">
      <w:pPr>
        <w:rPr>
          <w:rFonts w:asciiTheme="minorHAnsi" w:hAnsiTheme="minorHAnsi"/>
          <w:b/>
          <w:bCs/>
          <w:i/>
          <w:color w:val="auto"/>
          <w:sz w:val="22"/>
          <w:szCs w:val="22"/>
        </w:rPr>
      </w:pPr>
    </w:p>
    <w:p w14:paraId="0C40209B" w14:textId="0A7380A3" w:rsidR="007C5BE3" w:rsidRDefault="007C5BE3" w:rsidP="00EB060B">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4A3024">
        <w:rPr>
          <w:rFonts w:asciiTheme="minorHAnsi" w:hAnsiTheme="minorHAnsi"/>
          <w:b/>
          <w:bCs/>
          <w:color w:val="auto"/>
        </w:rPr>
        <w:t>The PAP and legal covenants anchor the implementation arrangements and contain measures to mitigate fiduciary risks and strengthen environmental and social benefits.</w:t>
      </w:r>
      <w:r w:rsidRPr="00C03EC6">
        <w:rPr>
          <w:rFonts w:asciiTheme="minorHAnsi" w:hAnsiTheme="minorHAnsi"/>
          <w:b/>
          <w:bCs/>
          <w:color w:val="auto"/>
        </w:rPr>
        <w:t xml:space="preserve"> </w:t>
      </w:r>
      <w:r w:rsidRPr="00C03EC6">
        <w:rPr>
          <w:rFonts w:asciiTheme="minorHAnsi" w:hAnsiTheme="minorHAnsi"/>
          <w:bCs/>
          <w:color w:val="auto"/>
        </w:rPr>
        <w:t xml:space="preserve">The GoKP is required to assign officials to the </w:t>
      </w:r>
      <w:r w:rsidRPr="003049C3">
        <w:rPr>
          <w:rFonts w:asciiTheme="minorHAnsi" w:hAnsiTheme="minorHAnsi"/>
          <w:bCs/>
          <w:color w:val="auto"/>
        </w:rPr>
        <w:t>Program Coordination Unit</w:t>
      </w:r>
      <w:r w:rsidRPr="00C03EC6">
        <w:rPr>
          <w:rFonts w:asciiTheme="minorHAnsi" w:hAnsiTheme="minorHAnsi"/>
          <w:bCs/>
          <w:color w:val="auto"/>
        </w:rPr>
        <w:t xml:space="preserve"> (PCU) to manage overall Program implementation, resolve any bottlenecks, keep senior officials informed about implementation progress, and seek their guidance as needed. All implementing entities are also required to designate a focal person to participate in the Reform Working Group and that the </w:t>
      </w:r>
      <w:r w:rsidR="003049C3">
        <w:rPr>
          <w:rFonts w:asciiTheme="minorHAnsi" w:hAnsiTheme="minorHAnsi"/>
          <w:bCs/>
          <w:color w:val="auto"/>
        </w:rPr>
        <w:t>g</w:t>
      </w:r>
      <w:r>
        <w:rPr>
          <w:rFonts w:asciiTheme="minorHAnsi" w:hAnsiTheme="minorHAnsi"/>
          <w:bCs/>
          <w:color w:val="auto"/>
        </w:rPr>
        <w:t>roup</w:t>
      </w:r>
      <w:r w:rsidRPr="00C03EC6">
        <w:rPr>
          <w:rFonts w:asciiTheme="minorHAnsi" w:hAnsiTheme="minorHAnsi"/>
          <w:bCs/>
          <w:color w:val="auto"/>
        </w:rPr>
        <w:t xml:space="preserve"> convene on a quarterly basis or more frequently</w:t>
      </w:r>
      <w:r w:rsidR="003049C3">
        <w:rPr>
          <w:rFonts w:asciiTheme="minorHAnsi" w:hAnsiTheme="minorHAnsi"/>
          <w:bCs/>
          <w:color w:val="auto"/>
        </w:rPr>
        <w:t>,</w:t>
      </w:r>
      <w:r w:rsidRPr="00C03EC6">
        <w:rPr>
          <w:rFonts w:asciiTheme="minorHAnsi" w:hAnsiTheme="minorHAnsi"/>
          <w:bCs/>
          <w:color w:val="auto"/>
        </w:rPr>
        <w:t xml:space="preserve"> as needed</w:t>
      </w:r>
      <w:r w:rsidR="003049C3">
        <w:rPr>
          <w:rFonts w:asciiTheme="minorHAnsi" w:hAnsiTheme="minorHAnsi"/>
          <w:bCs/>
          <w:color w:val="auto"/>
        </w:rPr>
        <w:t>,</w:t>
      </w:r>
      <w:r w:rsidRPr="00C03EC6">
        <w:rPr>
          <w:rFonts w:asciiTheme="minorHAnsi" w:hAnsiTheme="minorHAnsi"/>
          <w:bCs/>
          <w:color w:val="auto"/>
        </w:rPr>
        <w:t xml:space="preserve"> to take stock of Program implementation and coordinate </w:t>
      </w:r>
      <w:r w:rsidR="00F34B4E">
        <w:rPr>
          <w:rFonts w:asciiTheme="minorHAnsi" w:hAnsiTheme="minorHAnsi"/>
          <w:bCs/>
          <w:color w:val="auto"/>
        </w:rPr>
        <w:t xml:space="preserve">on </w:t>
      </w:r>
      <w:r w:rsidRPr="00C03EC6">
        <w:rPr>
          <w:rFonts w:asciiTheme="minorHAnsi" w:hAnsiTheme="minorHAnsi"/>
          <w:bCs/>
          <w:color w:val="auto"/>
        </w:rPr>
        <w:t xml:space="preserve">the next steps. The PAP includes actions based on the findings and recommendations of the Integrated Fiduciary Systems Assessment (IFSA) and the Environmental and Social Systems Assessment (ESSA). </w:t>
      </w:r>
    </w:p>
    <w:p w14:paraId="16F8D6D8" w14:textId="77777777" w:rsidR="00F12C1F" w:rsidRPr="00D52503" w:rsidRDefault="00F12C1F" w:rsidP="00A53C65">
      <w:pPr>
        <w:pStyle w:val="ListParagraph"/>
        <w:widowControl/>
        <w:numPr>
          <w:ilvl w:val="0"/>
          <w:numId w:val="14"/>
        </w:numPr>
        <w:autoSpaceDE/>
        <w:autoSpaceDN/>
        <w:adjustRightInd/>
        <w:spacing w:after="240"/>
        <w:ind w:left="0" w:firstLine="0"/>
        <w:contextualSpacing w:val="0"/>
        <w:jc w:val="both"/>
        <w:rPr>
          <w:rFonts w:asciiTheme="minorHAnsi" w:hAnsiTheme="minorHAnsi" w:cstheme="minorHAnsi"/>
          <w:b/>
        </w:rPr>
      </w:pPr>
      <w:r w:rsidRPr="006623D1">
        <w:rPr>
          <w:rFonts w:asciiTheme="minorHAnsi" w:hAnsiTheme="minorHAnsi" w:cstheme="minorHAnsi"/>
          <w:b/>
        </w:rPr>
        <w:t>The FSA finds that PFM practices in GoKP provide reasonable assurance that Program funds will be used for the intended purposes, but overall fiduciary risk remains substantial.</w:t>
      </w:r>
      <w:r w:rsidRPr="006623D1">
        <w:rPr>
          <w:rFonts w:asciiTheme="minorHAnsi" w:hAnsiTheme="minorHAnsi" w:cstheme="minorHAnsi"/>
        </w:rPr>
        <w:t xml:space="preserve"> The PFM performance of the province has been improving as evidenced in the PEFA assessment of 2017. At the same time, significant risks arise from systemic weaknesses such as lack of commitment accounting (a country-wide issue) and limited scope of internal audit as well as insufficient staff capacity in PFM and procurement in some of the implementing entities. The Program Action Plan includes measures to mitigate these risks, including the requirement for internal audit in implementing entities and certification of relevant staff in financial management and procurement through the relevant training courses organized under the GPP. </w:t>
      </w:r>
    </w:p>
    <w:p w14:paraId="6356D3C4" w14:textId="18A04C5C" w:rsidR="00F12C1F" w:rsidRPr="00D52503" w:rsidRDefault="00F12C1F" w:rsidP="00A53C65">
      <w:pPr>
        <w:pStyle w:val="ListParagraph"/>
        <w:widowControl/>
        <w:numPr>
          <w:ilvl w:val="0"/>
          <w:numId w:val="14"/>
        </w:numPr>
        <w:autoSpaceDE/>
        <w:autoSpaceDN/>
        <w:adjustRightInd/>
        <w:spacing w:after="240"/>
        <w:ind w:left="0" w:firstLine="0"/>
        <w:contextualSpacing w:val="0"/>
        <w:jc w:val="both"/>
        <w:rPr>
          <w:rFonts w:asciiTheme="minorHAnsi" w:hAnsiTheme="minorHAnsi" w:cstheme="minorHAnsi"/>
        </w:rPr>
      </w:pPr>
      <w:r w:rsidRPr="006623D1">
        <w:rPr>
          <w:rFonts w:asciiTheme="minorHAnsi" w:hAnsiTheme="minorHAnsi" w:cstheme="minorHAnsi"/>
          <w:b/>
        </w:rPr>
        <w:t>In addition, the Program Expenditure Framework (PEF) does not include major procurement activities, which limits associated fiduciary risks.</w:t>
      </w:r>
      <w:r w:rsidRPr="006623D1">
        <w:rPr>
          <w:rFonts w:asciiTheme="minorHAnsi" w:hAnsiTheme="minorHAnsi" w:cstheme="minorHAnsi"/>
        </w:rPr>
        <w:t xml:space="preserve"> The PEF covers recurrent costs of the implementing </w:t>
      </w:r>
      <w:r w:rsidRPr="006623D1">
        <w:rPr>
          <w:rFonts w:asciiTheme="minorHAnsi" w:hAnsiTheme="minorHAnsi" w:cstheme="minorHAnsi"/>
        </w:rPr>
        <w:lastRenderedPageBreak/>
        <w:t>entities, excluding those related to functions unrelated to the Program (e.g. narcotics control by the ETNCD), and does not include major procurements. ICT-related interventions such as establishing a data warehouse (DW) for the three tax authorities and extending selected NFMIS functionalities to TMAs may involve procurement of some hardware, whose cost is however likely to be modest given the cost efficiency of cloud-based DW solutions and online portals for access to NFMIS. Procurement spending on ICT consultancy services (e.g. for the integration of tax authorities’ databases) are also likely to be limited, as much of this work is expected to be performed by government entities.</w:t>
      </w:r>
    </w:p>
    <w:p w14:paraId="1506E1FE" w14:textId="037177C6" w:rsidR="00F12C1F" w:rsidRPr="00A76468" w:rsidRDefault="00F12C1F" w:rsidP="00F12C1F">
      <w:pPr>
        <w:pStyle w:val="ListParagraph"/>
        <w:widowControl/>
        <w:numPr>
          <w:ilvl w:val="0"/>
          <w:numId w:val="14"/>
        </w:numPr>
        <w:autoSpaceDE/>
        <w:autoSpaceDN/>
        <w:adjustRightInd/>
        <w:spacing w:after="240"/>
        <w:ind w:left="0" w:firstLine="0"/>
        <w:contextualSpacing w:val="0"/>
        <w:jc w:val="both"/>
        <w:rPr>
          <w:rFonts w:asciiTheme="minorHAnsi" w:hAnsiTheme="minorHAnsi" w:cstheme="minorHAnsi"/>
        </w:rPr>
      </w:pPr>
      <w:r w:rsidRPr="006623D1">
        <w:rPr>
          <w:rFonts w:asciiTheme="minorHAnsi" w:hAnsiTheme="minorHAnsi" w:cstheme="minorHAnsi"/>
          <w:b/>
        </w:rPr>
        <w:t>The ESSA indicates that the Program does not present significant environmental or social risks.</w:t>
      </w:r>
      <w:r w:rsidRPr="006623D1">
        <w:rPr>
          <w:rFonts w:asciiTheme="minorHAnsi" w:hAnsiTheme="minorHAnsi" w:cstheme="minorHAnsi"/>
        </w:rPr>
        <w:t xml:space="preserve"> </w:t>
      </w:r>
      <w:r w:rsidRPr="006623D1">
        <w:rPr>
          <w:rFonts w:asciiTheme="minorHAnsi" w:hAnsiTheme="minorHAnsi" w:cstheme="minorHAnsi"/>
          <w:bCs/>
        </w:rPr>
        <w:t xml:space="preserve">The Program does not involve land acquisition, resettlement, any activities affecting indigenous people. Suggested DLIs may have positive social impacts and have the potential to improve social service delivery by expanding fiscal space. The design of measures to expand the tax base and raise non-tax revenues ensures that measures have a low risk of any regressive impacts. </w:t>
      </w:r>
    </w:p>
    <w:p w14:paraId="579534FE" w14:textId="77777777" w:rsidR="00A76468" w:rsidRPr="00A53C65" w:rsidRDefault="00A76468" w:rsidP="00A53C65">
      <w:pPr>
        <w:pStyle w:val="Heading2"/>
      </w:pPr>
      <w:bookmarkStart w:id="23" w:name="_Toc529658663"/>
      <w:bookmarkStart w:id="24" w:name="_Toc530148518"/>
      <w:r w:rsidRPr="00A53C65">
        <w:t>Institutional and Implementation Arrangements</w:t>
      </w:r>
      <w:bookmarkEnd w:id="23"/>
      <w:bookmarkEnd w:id="24"/>
    </w:p>
    <w:p w14:paraId="121ECAAB" w14:textId="77777777" w:rsidR="00A76468" w:rsidRPr="00B82388" w:rsidRDefault="00A76468" w:rsidP="00A76468">
      <w:pPr>
        <w:pStyle w:val="Heading3"/>
        <w:rPr>
          <w:b w:val="0"/>
          <w:i/>
          <w:color w:val="000000" w:themeColor="text1"/>
        </w:rPr>
      </w:pPr>
    </w:p>
    <w:p w14:paraId="4251C628" w14:textId="77777777" w:rsidR="00A76468" w:rsidRPr="00D733F0" w:rsidRDefault="00A76468" w:rsidP="00A53C65">
      <w:pPr>
        <w:pStyle w:val="ListParagraph"/>
        <w:widowControl/>
        <w:numPr>
          <w:ilvl w:val="0"/>
          <w:numId w:val="14"/>
        </w:numPr>
        <w:autoSpaceDE/>
        <w:autoSpaceDN/>
        <w:adjustRightInd/>
        <w:spacing w:after="240"/>
        <w:ind w:left="0" w:firstLine="0"/>
        <w:contextualSpacing w:val="0"/>
        <w:jc w:val="both"/>
      </w:pPr>
      <w:r w:rsidRPr="00D733F0">
        <w:rPr>
          <w:rFonts w:ascii="Calibri" w:hAnsi="Calibri" w:cs="Calibri"/>
          <w:b/>
          <w:bCs/>
        </w:rPr>
        <w:t>The Finance Department (FD) will have the overall responsibility for Program coordination.</w:t>
      </w:r>
      <w:r w:rsidRPr="00D733F0">
        <w:rPr>
          <w:rFonts w:ascii="Calibri" w:hAnsi="Calibri" w:cs="Calibri"/>
        </w:rPr>
        <w:t> A specially designated team of government officials drawn from various departments, the Reform Working Group (RWG), has supported the preparation of this Program and will continue supporting its implementation. A Program Coordination Unit (PCU) staffed with key technical staff covering financial management, procurement, and monitoring and evaluation (M&amp;E) will coordinate implementation. </w:t>
      </w:r>
      <w:r w:rsidRPr="00D733F0">
        <w:rPr>
          <w:rFonts w:asciiTheme="minorHAnsi" w:hAnsiTheme="minorHAnsi" w:cstheme="minorHAnsi"/>
        </w:rPr>
        <w:t xml:space="preserve">The RWG comprises 17 government officials from the implementing entities who are responsible for preparing the Program with the World Bank and will be overseeing program implementation in their respective agencies. The PCU will have the following responsibilities: coordinating among implementing agencies; monitoring progress towards the results indicators and the implementation of the Program Action Plan (PAP); ensuring timely reporting and third-party verification of annual DLI targets; submitting applications for withdrawal of program funds; and assuring compliance with fiduciary requirements. This coordination mechanism reflects the positive experience of Punjab province in managing PforR operations. </w:t>
      </w:r>
    </w:p>
    <w:p w14:paraId="562BC3AC" w14:textId="4ED34F79" w:rsidR="00A76468" w:rsidRDefault="00A76468" w:rsidP="00A53C65">
      <w:pPr>
        <w:pStyle w:val="ListParagraph"/>
        <w:numPr>
          <w:ilvl w:val="0"/>
          <w:numId w:val="14"/>
        </w:numPr>
        <w:ind w:right="1065"/>
        <w:jc w:val="both"/>
        <w:rPr>
          <w:rFonts w:asciiTheme="minorHAnsi" w:hAnsiTheme="minorHAnsi" w:cstheme="minorHAnsi"/>
          <w:b/>
          <w:sz w:val="20"/>
          <w:szCs w:val="20"/>
        </w:rPr>
      </w:pPr>
      <w:r w:rsidRPr="00AF2D55">
        <w:rPr>
          <w:rFonts w:asciiTheme="minorHAnsi" w:hAnsiTheme="minorHAnsi" w:cstheme="minorHAnsi"/>
          <w:b/>
          <w:sz w:val="20"/>
          <w:szCs w:val="20"/>
        </w:rPr>
        <w:t>S</w:t>
      </w:r>
      <w:r w:rsidR="000F46D5">
        <w:rPr>
          <w:rFonts w:asciiTheme="minorHAnsi" w:hAnsiTheme="minorHAnsi" w:cstheme="minorHAnsi"/>
          <w:b/>
          <w:sz w:val="20"/>
          <w:szCs w:val="20"/>
        </w:rPr>
        <w:t>even</w:t>
      </w:r>
      <w:r w:rsidRPr="00AF2D55">
        <w:rPr>
          <w:rFonts w:asciiTheme="minorHAnsi" w:hAnsiTheme="minorHAnsi" w:cstheme="minorHAnsi"/>
          <w:b/>
          <w:sz w:val="20"/>
          <w:szCs w:val="20"/>
        </w:rPr>
        <w:t xml:space="preserve"> implementing entities will be responsible for specific DLIs</w:t>
      </w:r>
      <w:r>
        <w:rPr>
          <w:rFonts w:asciiTheme="minorHAnsi" w:hAnsiTheme="minorHAnsi" w:cstheme="minorHAnsi"/>
          <w:b/>
          <w:sz w:val="20"/>
          <w:szCs w:val="20"/>
        </w:rPr>
        <w:t xml:space="preserve">, as reflected in the table below. </w:t>
      </w:r>
    </w:p>
    <w:p w14:paraId="67FE80D6" w14:textId="77777777" w:rsidR="00A76468" w:rsidRPr="009E0758" w:rsidRDefault="00A76468" w:rsidP="00A76468">
      <w:pPr>
        <w:ind w:right="1065"/>
        <w:jc w:val="both"/>
        <w:rPr>
          <w:rFonts w:asciiTheme="minorHAnsi" w:hAnsiTheme="minorHAnsi" w:cstheme="minorHAnsi"/>
          <w:b/>
          <w:sz w:val="20"/>
          <w:szCs w:val="20"/>
        </w:rPr>
      </w:pPr>
    </w:p>
    <w:p w14:paraId="29A18C67" w14:textId="77777777" w:rsidR="00A76468" w:rsidRPr="003E4FC0" w:rsidRDefault="00A76468" w:rsidP="00A76468">
      <w:pPr>
        <w:pStyle w:val="Caption"/>
        <w:jc w:val="both"/>
        <w:rPr>
          <w:rFonts w:asciiTheme="minorHAnsi" w:hAnsiTheme="minorHAnsi" w:cstheme="minorHAnsi"/>
        </w:rPr>
      </w:pPr>
      <w:bookmarkStart w:id="25" w:name="_Toc529658069"/>
      <w:bookmarkStart w:id="26" w:name="_Toc530148533"/>
      <w:r w:rsidRPr="003E4FC0">
        <w:rPr>
          <w:rFonts w:asciiTheme="minorHAnsi" w:hAnsiTheme="minorHAnsi" w:cstheme="minorHAnsi"/>
          <w:color w:val="000000" w:themeColor="text1"/>
        </w:rPr>
        <w:t xml:space="preserve">Table </w:t>
      </w:r>
      <w:r w:rsidRPr="003E4FC0">
        <w:rPr>
          <w:rFonts w:asciiTheme="minorHAnsi" w:hAnsiTheme="minorHAnsi" w:cstheme="minorHAnsi"/>
          <w:color w:val="000000" w:themeColor="text1"/>
        </w:rPr>
        <w:fldChar w:fldCharType="begin"/>
      </w:r>
      <w:r w:rsidRPr="003E4FC0">
        <w:rPr>
          <w:rFonts w:asciiTheme="minorHAnsi" w:hAnsiTheme="minorHAnsi" w:cstheme="minorHAnsi"/>
          <w:color w:val="000000" w:themeColor="text1"/>
        </w:rPr>
        <w:instrText xml:space="preserve"> SEQ Table \* ARABIC </w:instrText>
      </w:r>
      <w:r w:rsidRPr="003E4FC0">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3</w:t>
      </w:r>
      <w:r w:rsidRPr="003E4FC0">
        <w:rPr>
          <w:rFonts w:asciiTheme="minorHAnsi" w:hAnsiTheme="minorHAnsi" w:cstheme="minorHAnsi"/>
          <w:color w:val="000000" w:themeColor="text1"/>
        </w:rPr>
        <w:fldChar w:fldCharType="end"/>
      </w:r>
      <w:r w:rsidRPr="003E4FC0">
        <w:rPr>
          <w:rFonts w:asciiTheme="minorHAnsi" w:hAnsiTheme="minorHAnsi" w:cstheme="minorHAnsi"/>
          <w:color w:val="000000" w:themeColor="text1"/>
        </w:rPr>
        <w:t>: Entities responsible for specific DLIs</w:t>
      </w:r>
      <w:bookmarkEnd w:id="25"/>
      <w:bookmarkEnd w:id="26"/>
    </w:p>
    <w:tbl>
      <w:tblPr>
        <w:tblStyle w:val="TableGrid"/>
        <w:tblW w:w="9360" w:type="dxa"/>
        <w:tblInd w:w="-5" w:type="dxa"/>
        <w:tblLook w:val="04A0" w:firstRow="1" w:lastRow="0" w:firstColumn="1" w:lastColumn="0" w:noHBand="0" w:noVBand="1"/>
      </w:tblPr>
      <w:tblGrid>
        <w:gridCol w:w="1980"/>
        <w:gridCol w:w="7380"/>
      </w:tblGrid>
      <w:tr w:rsidR="00A76468" w:rsidRPr="0050031E" w14:paraId="0EC0F653" w14:textId="77777777" w:rsidTr="00BB36B2">
        <w:tc>
          <w:tcPr>
            <w:tcW w:w="1980" w:type="dxa"/>
          </w:tcPr>
          <w:p w14:paraId="35940C28" w14:textId="77777777" w:rsidR="00A76468" w:rsidRPr="00AF2D55" w:rsidRDefault="00A76468" w:rsidP="00BB36B2">
            <w:pPr>
              <w:rPr>
                <w:rFonts w:asciiTheme="minorHAnsi" w:hAnsiTheme="minorHAnsi" w:cstheme="minorHAnsi"/>
                <w:b/>
                <w:sz w:val="20"/>
                <w:szCs w:val="20"/>
              </w:rPr>
            </w:pPr>
            <w:r>
              <w:rPr>
                <w:rFonts w:asciiTheme="minorHAnsi" w:hAnsiTheme="minorHAnsi" w:cstheme="minorHAnsi"/>
                <w:b/>
                <w:sz w:val="20"/>
                <w:szCs w:val="20"/>
              </w:rPr>
              <w:t>Entity</w:t>
            </w:r>
          </w:p>
        </w:tc>
        <w:tc>
          <w:tcPr>
            <w:tcW w:w="7380" w:type="dxa"/>
          </w:tcPr>
          <w:p w14:paraId="0BA331FA" w14:textId="77777777" w:rsidR="00A76468" w:rsidRPr="00AF2D55" w:rsidRDefault="00A76468" w:rsidP="00BB36B2">
            <w:pPr>
              <w:rPr>
                <w:rFonts w:asciiTheme="minorHAnsi" w:hAnsiTheme="minorHAnsi" w:cstheme="minorHAnsi"/>
                <w:b/>
                <w:sz w:val="20"/>
                <w:szCs w:val="20"/>
              </w:rPr>
            </w:pPr>
            <w:r w:rsidRPr="00AF2D55">
              <w:rPr>
                <w:rFonts w:asciiTheme="minorHAnsi" w:hAnsiTheme="minorHAnsi" w:cstheme="minorHAnsi"/>
                <w:b/>
                <w:sz w:val="20"/>
                <w:szCs w:val="20"/>
              </w:rPr>
              <w:t>Responsibility</w:t>
            </w:r>
          </w:p>
        </w:tc>
      </w:tr>
      <w:tr w:rsidR="00A76468" w:rsidRPr="0050031E" w14:paraId="19E95D74" w14:textId="77777777" w:rsidTr="00BB36B2">
        <w:tc>
          <w:tcPr>
            <w:tcW w:w="1980" w:type="dxa"/>
          </w:tcPr>
          <w:p w14:paraId="1BB691F7" w14:textId="77777777" w:rsidR="00A76468" w:rsidRPr="00AF2D55" w:rsidRDefault="00A76468" w:rsidP="00BB36B2">
            <w:pPr>
              <w:rPr>
                <w:rFonts w:asciiTheme="minorHAnsi" w:hAnsiTheme="minorHAnsi" w:cstheme="minorHAnsi"/>
                <w:sz w:val="20"/>
                <w:szCs w:val="20"/>
              </w:rPr>
            </w:pPr>
            <w:r w:rsidRPr="00AF2D55">
              <w:rPr>
                <w:rFonts w:asciiTheme="minorHAnsi" w:hAnsiTheme="minorHAnsi" w:cstheme="minorHAnsi"/>
                <w:sz w:val="20"/>
                <w:szCs w:val="20"/>
              </w:rPr>
              <w:t>FD</w:t>
            </w:r>
          </w:p>
        </w:tc>
        <w:tc>
          <w:tcPr>
            <w:tcW w:w="7380" w:type="dxa"/>
          </w:tcPr>
          <w:p w14:paraId="460A72F8" w14:textId="25A98DEC" w:rsidR="00A76468" w:rsidRPr="00AF2D55" w:rsidRDefault="00A76468" w:rsidP="00BB36B2">
            <w:pPr>
              <w:pStyle w:val="Sub-Para2underXY"/>
              <w:numPr>
                <w:ilvl w:val="0"/>
                <w:numId w:val="0"/>
              </w:numPr>
              <w:jc w:val="both"/>
              <w:outlineLvl w:val="9"/>
              <w:rPr>
                <w:rFonts w:asciiTheme="minorHAnsi" w:hAnsiTheme="minorHAnsi" w:cstheme="minorHAnsi"/>
                <w:sz w:val="20"/>
                <w:szCs w:val="20"/>
              </w:rPr>
            </w:pPr>
            <w:r>
              <w:rPr>
                <w:rFonts w:asciiTheme="minorHAnsi" w:hAnsiTheme="minorHAnsi" w:cstheme="minorHAnsi"/>
                <w:sz w:val="20"/>
                <w:szCs w:val="20"/>
              </w:rPr>
              <w:t>R</w:t>
            </w:r>
            <w:r w:rsidRPr="00AF2D55">
              <w:rPr>
                <w:rFonts w:asciiTheme="minorHAnsi" w:hAnsiTheme="minorHAnsi" w:cstheme="minorHAnsi"/>
                <w:sz w:val="20"/>
                <w:szCs w:val="20"/>
              </w:rPr>
              <w:t xml:space="preserve">esponsible for DLIs 2, and the IRIs related to the mobilization of tax revenues through tax policy measures; the coordination of measures aimed at the harmonization of processes and integration of databases among the three tax authorities; and the generation of non-tax revenues from the effective management of government-owned real estate assets (results area 1).  FD will also be responsible for DLIs </w:t>
            </w:r>
            <w:r w:rsidR="0019245B">
              <w:rPr>
                <w:rFonts w:asciiTheme="minorHAnsi" w:hAnsiTheme="minorHAnsi" w:cstheme="minorHAnsi"/>
                <w:sz w:val="20"/>
                <w:szCs w:val="20"/>
              </w:rPr>
              <w:t>4</w:t>
            </w:r>
            <w:r w:rsidRPr="00AF2D55">
              <w:rPr>
                <w:rFonts w:asciiTheme="minorHAnsi" w:hAnsiTheme="minorHAnsi" w:cstheme="minorHAnsi"/>
                <w:sz w:val="20"/>
                <w:szCs w:val="20"/>
              </w:rPr>
              <w:t xml:space="preserve"> and 6 related to cash management and the</w:t>
            </w:r>
            <w:r w:rsidR="0019245B">
              <w:rPr>
                <w:rFonts w:asciiTheme="minorHAnsi" w:hAnsiTheme="minorHAnsi" w:cstheme="minorHAnsi"/>
                <w:sz w:val="20"/>
                <w:szCs w:val="20"/>
              </w:rPr>
              <w:t xml:space="preserve"> use of FMIS to record transactions</w:t>
            </w:r>
            <w:r w:rsidRPr="00AF2D55">
              <w:rPr>
                <w:rFonts w:asciiTheme="minorHAnsi" w:hAnsiTheme="minorHAnsi" w:cstheme="minorHAnsi"/>
                <w:sz w:val="20"/>
                <w:szCs w:val="20"/>
              </w:rPr>
              <w:t>, as well as the IRI related to the strengthening of OBB practices (results area 2).</w:t>
            </w:r>
          </w:p>
        </w:tc>
      </w:tr>
      <w:tr w:rsidR="00A76468" w:rsidRPr="0050031E" w14:paraId="30072CA9" w14:textId="77777777" w:rsidTr="00BB36B2">
        <w:tc>
          <w:tcPr>
            <w:tcW w:w="1980" w:type="dxa"/>
          </w:tcPr>
          <w:p w14:paraId="28B2D7F3" w14:textId="77777777" w:rsidR="00A76468" w:rsidRPr="00AF2D55" w:rsidRDefault="00A76468" w:rsidP="00BB36B2">
            <w:pPr>
              <w:rPr>
                <w:rFonts w:asciiTheme="minorHAnsi" w:hAnsiTheme="minorHAnsi" w:cstheme="minorHAnsi"/>
                <w:sz w:val="20"/>
                <w:szCs w:val="20"/>
              </w:rPr>
            </w:pPr>
            <w:r w:rsidRPr="00AF2D55">
              <w:rPr>
                <w:rFonts w:asciiTheme="minorHAnsi" w:hAnsiTheme="minorHAnsi" w:cstheme="minorHAnsi"/>
                <w:sz w:val="20"/>
                <w:szCs w:val="20"/>
              </w:rPr>
              <w:t>KPRA</w:t>
            </w:r>
          </w:p>
        </w:tc>
        <w:tc>
          <w:tcPr>
            <w:tcW w:w="7380" w:type="dxa"/>
          </w:tcPr>
          <w:p w14:paraId="70135094" w14:textId="77777777" w:rsidR="00A76468" w:rsidRPr="00AF2D55" w:rsidRDefault="00A76468" w:rsidP="00BB36B2">
            <w:pPr>
              <w:pStyle w:val="Sub-Para2underXY"/>
              <w:numPr>
                <w:ilvl w:val="0"/>
                <w:numId w:val="0"/>
              </w:numPr>
              <w:jc w:val="both"/>
              <w:outlineLvl w:val="9"/>
              <w:rPr>
                <w:rFonts w:asciiTheme="minorHAnsi" w:hAnsiTheme="minorHAnsi" w:cstheme="minorHAnsi"/>
                <w:sz w:val="20"/>
                <w:szCs w:val="20"/>
              </w:rPr>
            </w:pPr>
            <w:r>
              <w:rPr>
                <w:rFonts w:asciiTheme="minorHAnsi" w:hAnsiTheme="minorHAnsi" w:cstheme="minorHAnsi"/>
                <w:sz w:val="20"/>
                <w:szCs w:val="20"/>
              </w:rPr>
              <w:t>R</w:t>
            </w:r>
            <w:r w:rsidRPr="00AF2D55">
              <w:rPr>
                <w:rFonts w:asciiTheme="minorHAnsi" w:hAnsiTheme="minorHAnsi" w:cstheme="minorHAnsi"/>
                <w:sz w:val="20"/>
                <w:szCs w:val="20"/>
              </w:rPr>
              <w:t xml:space="preserve">esponsible for DLI 1 on STS taxpayer filing compliance and related measures including relevant tax administration and taxpayer facilitation measures and </w:t>
            </w:r>
            <w:proofErr w:type="gramStart"/>
            <w:r w:rsidRPr="00AF2D55">
              <w:rPr>
                <w:rFonts w:asciiTheme="minorHAnsi" w:hAnsiTheme="minorHAnsi" w:cstheme="minorHAnsi"/>
                <w:sz w:val="20"/>
                <w:szCs w:val="20"/>
              </w:rPr>
              <w:t>outputs, and</w:t>
            </w:r>
            <w:proofErr w:type="gramEnd"/>
            <w:r w:rsidRPr="00AF2D55">
              <w:rPr>
                <w:rFonts w:asciiTheme="minorHAnsi" w:hAnsiTheme="minorHAnsi" w:cstheme="minorHAnsi"/>
                <w:sz w:val="20"/>
                <w:szCs w:val="20"/>
              </w:rPr>
              <w:t xml:space="preserve"> will contribute to DLI 2 (database integration among tax authorities and with third parties).</w:t>
            </w:r>
          </w:p>
        </w:tc>
      </w:tr>
      <w:tr w:rsidR="00A76468" w:rsidRPr="0050031E" w14:paraId="2846D29B" w14:textId="77777777" w:rsidTr="00BB36B2">
        <w:tc>
          <w:tcPr>
            <w:tcW w:w="1980" w:type="dxa"/>
          </w:tcPr>
          <w:p w14:paraId="1E4922A4" w14:textId="77777777" w:rsidR="00A76468" w:rsidRPr="00AF2D55" w:rsidRDefault="00A76468" w:rsidP="00BB36B2">
            <w:pPr>
              <w:rPr>
                <w:rFonts w:asciiTheme="minorHAnsi" w:hAnsiTheme="minorHAnsi" w:cstheme="minorHAnsi"/>
                <w:sz w:val="20"/>
                <w:szCs w:val="20"/>
              </w:rPr>
            </w:pPr>
            <w:r w:rsidRPr="00AF2D55">
              <w:rPr>
                <w:rFonts w:asciiTheme="minorHAnsi" w:hAnsiTheme="minorHAnsi" w:cstheme="minorHAnsi"/>
                <w:sz w:val="20"/>
                <w:szCs w:val="20"/>
              </w:rPr>
              <w:lastRenderedPageBreak/>
              <w:t>KPITB</w:t>
            </w:r>
          </w:p>
        </w:tc>
        <w:tc>
          <w:tcPr>
            <w:tcW w:w="7380" w:type="dxa"/>
          </w:tcPr>
          <w:p w14:paraId="76C2BFD9" w14:textId="77777777" w:rsidR="00A76468" w:rsidRPr="00AF2D55" w:rsidRDefault="00A76468" w:rsidP="00BB36B2">
            <w:pPr>
              <w:pStyle w:val="Sub-Para2underXY"/>
              <w:numPr>
                <w:ilvl w:val="0"/>
                <w:numId w:val="0"/>
              </w:numPr>
              <w:jc w:val="both"/>
              <w:outlineLvl w:val="9"/>
              <w:rPr>
                <w:rFonts w:asciiTheme="minorHAnsi" w:hAnsiTheme="minorHAnsi" w:cstheme="minorHAnsi"/>
                <w:sz w:val="20"/>
                <w:szCs w:val="20"/>
              </w:rPr>
            </w:pPr>
            <w:r>
              <w:rPr>
                <w:rFonts w:asciiTheme="minorHAnsi" w:hAnsiTheme="minorHAnsi" w:cstheme="minorHAnsi"/>
                <w:sz w:val="20"/>
                <w:szCs w:val="20"/>
              </w:rPr>
              <w:t>R</w:t>
            </w:r>
            <w:r w:rsidRPr="00AF2D55">
              <w:rPr>
                <w:rFonts w:asciiTheme="minorHAnsi" w:hAnsiTheme="minorHAnsi" w:cstheme="minorHAnsi"/>
                <w:sz w:val="20"/>
                <w:szCs w:val="20"/>
              </w:rPr>
              <w:t>esponsible for DLI 2 on the integration of databases of the three tax authorities and also for the IRI related to the harmonization and automation of shared business processes among the three tax authorities.</w:t>
            </w:r>
          </w:p>
        </w:tc>
      </w:tr>
      <w:tr w:rsidR="00A76468" w:rsidRPr="0050031E" w14:paraId="6F469BAC" w14:textId="77777777" w:rsidTr="00BB36B2">
        <w:tc>
          <w:tcPr>
            <w:tcW w:w="1980" w:type="dxa"/>
          </w:tcPr>
          <w:p w14:paraId="400A5801" w14:textId="77777777" w:rsidR="00A76468" w:rsidRPr="00AF2D55" w:rsidRDefault="00A76468" w:rsidP="00BB36B2">
            <w:pPr>
              <w:rPr>
                <w:rFonts w:asciiTheme="minorHAnsi" w:hAnsiTheme="minorHAnsi" w:cstheme="minorHAnsi"/>
                <w:sz w:val="20"/>
                <w:szCs w:val="20"/>
              </w:rPr>
            </w:pPr>
            <w:r w:rsidRPr="00AF2D55">
              <w:rPr>
                <w:rFonts w:asciiTheme="minorHAnsi" w:hAnsiTheme="minorHAnsi" w:cstheme="minorHAnsi"/>
                <w:sz w:val="20"/>
                <w:szCs w:val="20"/>
              </w:rPr>
              <w:t>ETNCD</w:t>
            </w:r>
          </w:p>
        </w:tc>
        <w:tc>
          <w:tcPr>
            <w:tcW w:w="7380" w:type="dxa"/>
          </w:tcPr>
          <w:p w14:paraId="67DEF414" w14:textId="77777777" w:rsidR="00A76468" w:rsidRPr="00AF2D55" w:rsidRDefault="00A76468" w:rsidP="00BB36B2">
            <w:pPr>
              <w:pStyle w:val="Sub-Para2underXY"/>
              <w:numPr>
                <w:ilvl w:val="0"/>
                <w:numId w:val="0"/>
              </w:numPr>
              <w:jc w:val="both"/>
              <w:outlineLvl w:val="9"/>
              <w:rPr>
                <w:rFonts w:asciiTheme="minorHAnsi" w:hAnsiTheme="minorHAnsi" w:cstheme="minorHAnsi"/>
                <w:sz w:val="20"/>
                <w:szCs w:val="20"/>
              </w:rPr>
            </w:pPr>
            <w:r>
              <w:rPr>
                <w:rFonts w:asciiTheme="minorHAnsi" w:hAnsiTheme="minorHAnsi" w:cstheme="minorHAnsi"/>
                <w:sz w:val="20"/>
                <w:szCs w:val="20"/>
              </w:rPr>
              <w:t>R</w:t>
            </w:r>
            <w:r w:rsidRPr="00AF2D55">
              <w:rPr>
                <w:rFonts w:asciiTheme="minorHAnsi" w:hAnsiTheme="minorHAnsi" w:cstheme="minorHAnsi"/>
                <w:sz w:val="20"/>
                <w:szCs w:val="20"/>
              </w:rPr>
              <w:t>esponsible for DLI 3 related to the collection of the UIPT and contribute to DLI 2 (results area 1).</w:t>
            </w:r>
          </w:p>
        </w:tc>
      </w:tr>
      <w:tr w:rsidR="00A76468" w:rsidRPr="0050031E" w14:paraId="3731579A" w14:textId="77777777" w:rsidTr="00BB36B2">
        <w:tc>
          <w:tcPr>
            <w:tcW w:w="1980" w:type="dxa"/>
          </w:tcPr>
          <w:p w14:paraId="02CF11B8" w14:textId="77777777" w:rsidR="00A76468" w:rsidRPr="00AF2D55" w:rsidRDefault="00A76468" w:rsidP="00BB36B2">
            <w:pPr>
              <w:rPr>
                <w:rFonts w:asciiTheme="minorHAnsi" w:hAnsiTheme="minorHAnsi" w:cstheme="minorHAnsi"/>
                <w:sz w:val="20"/>
                <w:szCs w:val="20"/>
              </w:rPr>
            </w:pPr>
            <w:r w:rsidRPr="00AF2D55">
              <w:rPr>
                <w:rFonts w:asciiTheme="minorHAnsi" w:hAnsiTheme="minorHAnsi" w:cstheme="minorHAnsi"/>
                <w:sz w:val="20"/>
                <w:szCs w:val="20"/>
              </w:rPr>
              <w:t>P&amp;DD</w:t>
            </w:r>
          </w:p>
        </w:tc>
        <w:tc>
          <w:tcPr>
            <w:tcW w:w="7380" w:type="dxa"/>
          </w:tcPr>
          <w:p w14:paraId="5CE7799D" w14:textId="74B65E37" w:rsidR="00A76468" w:rsidRPr="00AF2D55" w:rsidRDefault="00A76468" w:rsidP="00BB36B2">
            <w:pPr>
              <w:pStyle w:val="Sub-Para2underXY"/>
              <w:numPr>
                <w:ilvl w:val="0"/>
                <w:numId w:val="0"/>
              </w:numPr>
              <w:jc w:val="both"/>
              <w:outlineLvl w:val="9"/>
              <w:rPr>
                <w:rFonts w:asciiTheme="minorHAnsi" w:hAnsiTheme="minorHAnsi" w:cstheme="minorHAnsi"/>
                <w:sz w:val="20"/>
                <w:szCs w:val="20"/>
              </w:rPr>
            </w:pPr>
            <w:r>
              <w:rPr>
                <w:rFonts w:asciiTheme="minorHAnsi" w:hAnsiTheme="minorHAnsi" w:cstheme="minorHAnsi"/>
                <w:sz w:val="20"/>
                <w:szCs w:val="20"/>
              </w:rPr>
              <w:t>R</w:t>
            </w:r>
            <w:r w:rsidRPr="00AF2D55">
              <w:rPr>
                <w:rFonts w:asciiTheme="minorHAnsi" w:hAnsiTheme="minorHAnsi" w:cstheme="minorHAnsi"/>
                <w:sz w:val="20"/>
                <w:szCs w:val="20"/>
              </w:rPr>
              <w:t xml:space="preserve">esponsible for DLI </w:t>
            </w:r>
            <w:r w:rsidR="0019245B">
              <w:rPr>
                <w:rFonts w:asciiTheme="minorHAnsi" w:hAnsiTheme="minorHAnsi" w:cstheme="minorHAnsi"/>
                <w:sz w:val="20"/>
                <w:szCs w:val="20"/>
              </w:rPr>
              <w:t>5</w:t>
            </w:r>
            <w:r w:rsidRPr="00AF2D55">
              <w:rPr>
                <w:rFonts w:asciiTheme="minorHAnsi" w:hAnsiTheme="minorHAnsi" w:cstheme="minorHAnsi"/>
                <w:sz w:val="20"/>
                <w:szCs w:val="20"/>
              </w:rPr>
              <w:t xml:space="preserve"> related to the appraisal of ADP projects, and also for the IRIs related to public investment planning (results area 2).</w:t>
            </w:r>
          </w:p>
        </w:tc>
      </w:tr>
      <w:tr w:rsidR="00A76468" w:rsidRPr="0050031E" w14:paraId="47271A26" w14:textId="77777777" w:rsidTr="00BB36B2">
        <w:tc>
          <w:tcPr>
            <w:tcW w:w="1980" w:type="dxa"/>
          </w:tcPr>
          <w:p w14:paraId="7AFA7812" w14:textId="77777777" w:rsidR="00A76468" w:rsidRPr="00AF2D55" w:rsidRDefault="00A76468" w:rsidP="00BB36B2">
            <w:pPr>
              <w:rPr>
                <w:rFonts w:asciiTheme="minorHAnsi" w:hAnsiTheme="minorHAnsi" w:cstheme="minorHAnsi"/>
                <w:sz w:val="20"/>
                <w:szCs w:val="20"/>
              </w:rPr>
            </w:pPr>
            <w:r w:rsidRPr="00AF2D55">
              <w:rPr>
                <w:rFonts w:asciiTheme="minorHAnsi" w:hAnsiTheme="minorHAnsi" w:cstheme="minorHAnsi"/>
                <w:sz w:val="20"/>
                <w:szCs w:val="20"/>
              </w:rPr>
              <w:t>Local Government Department</w:t>
            </w:r>
          </w:p>
        </w:tc>
        <w:tc>
          <w:tcPr>
            <w:tcW w:w="7380" w:type="dxa"/>
          </w:tcPr>
          <w:p w14:paraId="75DD5587" w14:textId="5E0E4C6E" w:rsidR="00A76468" w:rsidRPr="00AF2D55" w:rsidRDefault="00A76468" w:rsidP="00BB36B2">
            <w:pPr>
              <w:pStyle w:val="Sub-Para2underXY"/>
              <w:numPr>
                <w:ilvl w:val="0"/>
                <w:numId w:val="0"/>
              </w:numPr>
              <w:jc w:val="both"/>
              <w:outlineLvl w:val="9"/>
              <w:rPr>
                <w:rFonts w:asciiTheme="minorHAnsi" w:hAnsiTheme="minorHAnsi" w:cstheme="minorHAnsi"/>
                <w:sz w:val="20"/>
                <w:szCs w:val="20"/>
              </w:rPr>
            </w:pPr>
            <w:r>
              <w:rPr>
                <w:rFonts w:asciiTheme="minorHAnsi" w:hAnsiTheme="minorHAnsi" w:cstheme="minorHAnsi"/>
                <w:sz w:val="20"/>
                <w:szCs w:val="20"/>
              </w:rPr>
              <w:t>R</w:t>
            </w:r>
            <w:r w:rsidRPr="00AF2D55">
              <w:rPr>
                <w:rFonts w:asciiTheme="minorHAnsi" w:hAnsiTheme="minorHAnsi" w:cstheme="minorHAnsi"/>
                <w:sz w:val="20"/>
                <w:szCs w:val="20"/>
              </w:rPr>
              <w:t xml:space="preserve">esponsible for DLI </w:t>
            </w:r>
            <w:r w:rsidR="008F228D">
              <w:rPr>
                <w:rFonts w:asciiTheme="minorHAnsi" w:hAnsiTheme="minorHAnsi" w:cstheme="minorHAnsi"/>
                <w:sz w:val="20"/>
                <w:szCs w:val="20"/>
              </w:rPr>
              <w:t>6</w:t>
            </w:r>
            <w:r w:rsidRPr="00AF2D55">
              <w:rPr>
                <w:rFonts w:asciiTheme="minorHAnsi" w:hAnsiTheme="minorHAnsi" w:cstheme="minorHAnsi"/>
                <w:sz w:val="20"/>
                <w:szCs w:val="20"/>
              </w:rPr>
              <w:t xml:space="preserve"> on the decentralization of the NFMIS to the TMAs (results area 2).</w:t>
            </w:r>
          </w:p>
        </w:tc>
      </w:tr>
      <w:tr w:rsidR="00A76468" w:rsidRPr="0050031E" w14:paraId="15DCA50C" w14:textId="77777777" w:rsidTr="00BB36B2">
        <w:trPr>
          <w:trHeight w:val="593"/>
        </w:trPr>
        <w:tc>
          <w:tcPr>
            <w:tcW w:w="1980" w:type="dxa"/>
          </w:tcPr>
          <w:p w14:paraId="4222F241" w14:textId="77777777" w:rsidR="00A76468" w:rsidRPr="00AF2D55" w:rsidRDefault="00A76468" w:rsidP="00BB36B2">
            <w:pPr>
              <w:rPr>
                <w:rFonts w:asciiTheme="minorHAnsi" w:hAnsiTheme="minorHAnsi" w:cstheme="minorHAnsi"/>
                <w:sz w:val="20"/>
                <w:szCs w:val="20"/>
              </w:rPr>
            </w:pPr>
            <w:r w:rsidRPr="00AF2D55">
              <w:rPr>
                <w:rFonts w:asciiTheme="minorHAnsi" w:hAnsiTheme="minorHAnsi" w:cstheme="minorHAnsi"/>
                <w:sz w:val="20"/>
                <w:szCs w:val="20"/>
              </w:rPr>
              <w:t>BoR</w:t>
            </w:r>
          </w:p>
        </w:tc>
        <w:tc>
          <w:tcPr>
            <w:tcW w:w="7380" w:type="dxa"/>
          </w:tcPr>
          <w:p w14:paraId="51B48845" w14:textId="354D715E" w:rsidR="00A76468" w:rsidRPr="00AF2D55" w:rsidRDefault="00A76468" w:rsidP="00BB36B2">
            <w:pPr>
              <w:pStyle w:val="Sub-Para2underXY"/>
              <w:numPr>
                <w:ilvl w:val="0"/>
                <w:numId w:val="0"/>
              </w:numPr>
              <w:jc w:val="both"/>
              <w:outlineLvl w:val="9"/>
              <w:rPr>
                <w:rFonts w:asciiTheme="minorHAnsi" w:hAnsiTheme="minorHAnsi" w:cstheme="minorHAnsi"/>
                <w:b/>
                <w:sz w:val="20"/>
                <w:szCs w:val="20"/>
              </w:rPr>
            </w:pPr>
            <w:r>
              <w:rPr>
                <w:rFonts w:asciiTheme="minorHAnsi" w:hAnsiTheme="minorHAnsi" w:cstheme="minorHAnsi"/>
                <w:sz w:val="20"/>
                <w:szCs w:val="20"/>
              </w:rPr>
              <w:t>C</w:t>
            </w:r>
            <w:r w:rsidRPr="00AF2D55">
              <w:rPr>
                <w:rFonts w:asciiTheme="minorHAnsi" w:hAnsiTheme="minorHAnsi" w:cstheme="minorHAnsi"/>
                <w:sz w:val="20"/>
                <w:szCs w:val="20"/>
              </w:rPr>
              <w:t xml:space="preserve">ontribute to </w:t>
            </w:r>
            <w:r w:rsidR="0019245B">
              <w:rPr>
                <w:rFonts w:asciiTheme="minorHAnsi" w:hAnsiTheme="minorHAnsi" w:cstheme="minorHAnsi"/>
                <w:sz w:val="20"/>
                <w:szCs w:val="20"/>
              </w:rPr>
              <w:t xml:space="preserve">DLI 2 on  database integration </w:t>
            </w:r>
            <w:r w:rsidRPr="00AF2D55">
              <w:rPr>
                <w:rFonts w:asciiTheme="minorHAnsi" w:hAnsiTheme="minorHAnsi" w:cstheme="minorHAnsi"/>
                <w:sz w:val="20"/>
                <w:szCs w:val="20"/>
              </w:rPr>
              <w:t>and the IRI on the consolidation/reduction of tax instruments (results area 1).</w:t>
            </w:r>
          </w:p>
        </w:tc>
      </w:tr>
    </w:tbl>
    <w:p w14:paraId="330CA472" w14:textId="77777777" w:rsidR="00A76468" w:rsidRPr="00D0483C" w:rsidRDefault="00A76468" w:rsidP="00A53C65">
      <w:pPr>
        <w:pStyle w:val="ListParagraph"/>
        <w:widowControl/>
        <w:autoSpaceDE/>
        <w:autoSpaceDN/>
        <w:adjustRightInd/>
        <w:spacing w:after="240"/>
        <w:ind w:left="0"/>
        <w:contextualSpacing w:val="0"/>
        <w:jc w:val="both"/>
        <w:rPr>
          <w:rFonts w:asciiTheme="minorHAnsi" w:hAnsiTheme="minorHAnsi" w:cstheme="minorHAnsi"/>
        </w:rPr>
      </w:pPr>
    </w:p>
    <w:p w14:paraId="27A50C09" w14:textId="77777777" w:rsidR="00C2146F" w:rsidRDefault="00C2146F" w:rsidP="00C2146F">
      <w:pPr>
        <w:pStyle w:val="Heading1"/>
      </w:pPr>
      <w:bookmarkStart w:id="27" w:name="_Toc530148519"/>
      <w:r w:rsidRPr="001D0C27">
        <w:t xml:space="preserve">Risks and </w:t>
      </w:r>
      <w:r>
        <w:t>M</w:t>
      </w:r>
      <w:r w:rsidRPr="001D0C27">
        <w:t xml:space="preserve">itigation </w:t>
      </w:r>
      <w:r>
        <w:t>M</w:t>
      </w:r>
      <w:r w:rsidRPr="001D0C27">
        <w:t xml:space="preserve">easures in the </w:t>
      </w:r>
      <w:r w:rsidRPr="00D827AB">
        <w:t>Program Action Plan</w:t>
      </w:r>
      <w:bookmarkEnd w:id="27"/>
    </w:p>
    <w:p w14:paraId="01CB6B4C" w14:textId="77777777" w:rsidR="00C2146F" w:rsidRPr="001D0C27" w:rsidRDefault="00C2146F" w:rsidP="00C2146F">
      <w:pPr>
        <w:rPr>
          <w:rFonts w:asciiTheme="minorHAnsi" w:hAnsiTheme="minorHAnsi"/>
          <w:b/>
          <w:bCs/>
          <w:i/>
          <w:color w:val="auto"/>
          <w:sz w:val="22"/>
          <w:szCs w:val="22"/>
        </w:rPr>
      </w:pPr>
    </w:p>
    <w:p w14:paraId="73DFF4A9" w14:textId="77777777" w:rsidR="00C2146F" w:rsidRDefault="00C2146F" w:rsidP="00C2146F">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cstheme="minorHAnsi"/>
          <w:b/>
          <w:color w:val="000000" w:themeColor="text1"/>
        </w:rPr>
        <w:t>The</w:t>
      </w:r>
      <w:r w:rsidRPr="004A3024">
        <w:rPr>
          <w:rFonts w:asciiTheme="minorHAnsi" w:hAnsiTheme="minorHAnsi"/>
          <w:b/>
          <w:bCs/>
          <w:color w:val="auto"/>
        </w:rPr>
        <w:t xml:space="preserve"> targeted results of the Program require consistent policies as well as institutional and behavioral changes, which present risks of partial or delayed implementation.</w:t>
      </w:r>
      <w:r w:rsidRPr="001D0C27">
        <w:rPr>
          <w:rFonts w:asciiTheme="minorHAnsi" w:hAnsiTheme="minorHAnsi"/>
          <w:bCs/>
          <w:color w:val="auto"/>
        </w:rPr>
        <w:t xml:space="preserve"> Improving revenue performance and public resource management require</w:t>
      </w:r>
      <w:r>
        <w:rPr>
          <w:rFonts w:asciiTheme="minorHAnsi" w:hAnsiTheme="minorHAnsi"/>
          <w:bCs/>
          <w:color w:val="auto"/>
        </w:rPr>
        <w:t>s</w:t>
      </w:r>
      <w:r w:rsidRPr="001D0C27">
        <w:rPr>
          <w:rFonts w:asciiTheme="minorHAnsi" w:hAnsiTheme="minorHAnsi"/>
          <w:bCs/>
          <w:color w:val="auto"/>
        </w:rPr>
        <w:t xml:space="preserve"> decisive action from the political and administrative leadership, as well as consistent implementation efforts. For example, bringing urban property valuations closer to market values does not require legislation but cannot realistically proceed without endorsement from the political level. The same applies to stemming the outflow of budget funds into commercial banks. Risks related to the Program’s technical design are moderate given that the Program builds on the government’s own strategy</w:t>
      </w:r>
      <w:r>
        <w:rPr>
          <w:rFonts w:asciiTheme="minorHAnsi" w:hAnsiTheme="minorHAnsi"/>
          <w:bCs/>
          <w:color w:val="auto"/>
        </w:rPr>
        <w:t>,</w:t>
      </w:r>
      <w:r w:rsidRPr="001D0C27">
        <w:rPr>
          <w:rFonts w:asciiTheme="minorHAnsi" w:hAnsiTheme="minorHAnsi"/>
          <w:bCs/>
          <w:color w:val="auto"/>
        </w:rPr>
        <w:t xml:space="preserve"> priorities</w:t>
      </w:r>
      <w:r>
        <w:rPr>
          <w:rFonts w:asciiTheme="minorHAnsi" w:hAnsiTheme="minorHAnsi"/>
          <w:bCs/>
          <w:color w:val="auto"/>
        </w:rPr>
        <w:t>, and initiatives</w:t>
      </w:r>
      <w:r w:rsidRPr="001D0C27">
        <w:rPr>
          <w:rFonts w:asciiTheme="minorHAnsi" w:hAnsiTheme="minorHAnsi"/>
          <w:bCs/>
          <w:color w:val="auto"/>
        </w:rPr>
        <w:t xml:space="preserve">. </w:t>
      </w:r>
    </w:p>
    <w:p w14:paraId="71B9DE1F" w14:textId="77777777" w:rsidR="00C2146F" w:rsidRDefault="00C2146F" w:rsidP="00C2146F">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 xml:space="preserve">Institutional capacity in KP has improved in recent years but it varies across administrative departments and continuity is affected by </w:t>
      </w:r>
      <w:r>
        <w:rPr>
          <w:rFonts w:asciiTheme="minorHAnsi" w:hAnsiTheme="minorHAnsi"/>
          <w:b/>
          <w:bCs/>
          <w:color w:val="auto"/>
        </w:rPr>
        <w:t xml:space="preserve">the </w:t>
      </w:r>
      <w:r w:rsidRPr="003B22C9">
        <w:rPr>
          <w:rFonts w:asciiTheme="minorHAnsi" w:hAnsiTheme="minorHAnsi"/>
          <w:b/>
          <w:bCs/>
          <w:color w:val="auto"/>
        </w:rPr>
        <w:t xml:space="preserve">frequent </w:t>
      </w:r>
      <w:r w:rsidRPr="007F373B">
        <w:rPr>
          <w:rFonts w:asciiTheme="minorHAnsi" w:hAnsiTheme="minorHAnsi"/>
          <w:b/>
          <w:bCs/>
          <w:color w:val="auto"/>
        </w:rPr>
        <w:t>turnover</w:t>
      </w:r>
      <w:r w:rsidRPr="003B22C9">
        <w:rPr>
          <w:rFonts w:asciiTheme="minorHAnsi" w:hAnsiTheme="minorHAnsi"/>
          <w:b/>
          <w:bCs/>
          <w:color w:val="auto"/>
        </w:rPr>
        <w:t xml:space="preserve"> of senior officials.</w:t>
      </w:r>
      <w:r w:rsidRPr="003B22C9">
        <w:rPr>
          <w:rFonts w:asciiTheme="minorHAnsi" w:hAnsiTheme="minorHAnsi"/>
          <w:bCs/>
          <w:color w:val="auto"/>
        </w:rPr>
        <w:t xml:space="preserve"> Senior officials in the FD and other key departments have been prominent reform champions. Turnover at this level</w:t>
      </w:r>
      <w:r>
        <w:rPr>
          <w:rFonts w:asciiTheme="minorHAnsi" w:hAnsiTheme="minorHAnsi"/>
          <w:bCs/>
          <w:color w:val="auto"/>
        </w:rPr>
        <w:t>,</w:t>
      </w:r>
      <w:r w:rsidRPr="003B22C9">
        <w:rPr>
          <w:rFonts w:asciiTheme="minorHAnsi" w:hAnsiTheme="minorHAnsi"/>
          <w:bCs/>
          <w:color w:val="auto"/>
        </w:rPr>
        <w:t xml:space="preserve"> however</w:t>
      </w:r>
      <w:r>
        <w:rPr>
          <w:rFonts w:asciiTheme="minorHAnsi" w:hAnsiTheme="minorHAnsi"/>
          <w:bCs/>
          <w:color w:val="auto"/>
        </w:rPr>
        <w:t>,</w:t>
      </w:r>
      <w:r w:rsidRPr="003B22C9">
        <w:rPr>
          <w:rFonts w:asciiTheme="minorHAnsi" w:hAnsiTheme="minorHAnsi"/>
          <w:bCs/>
          <w:color w:val="auto"/>
        </w:rPr>
        <w:t xml:space="preserve"> tends to be higher than at the working level because, like in other provinces, most senior officials in KP come from the </w:t>
      </w:r>
      <w:r w:rsidRPr="00395C40">
        <w:rPr>
          <w:rFonts w:asciiTheme="minorHAnsi" w:hAnsiTheme="minorHAnsi"/>
          <w:bCs/>
          <w:color w:val="auto"/>
        </w:rPr>
        <w:t>Pakistan Administrative Service</w:t>
      </w:r>
      <w:r w:rsidRPr="003B22C9">
        <w:rPr>
          <w:rFonts w:asciiTheme="minorHAnsi" w:hAnsiTheme="minorHAnsi"/>
          <w:bCs/>
          <w:color w:val="auto"/>
        </w:rPr>
        <w:t xml:space="preserve"> (PAS) and are expected to serve in different provinces and the </w:t>
      </w:r>
      <w:r w:rsidRPr="007F373B">
        <w:rPr>
          <w:rFonts w:asciiTheme="minorHAnsi" w:hAnsiTheme="minorHAnsi"/>
          <w:bCs/>
          <w:color w:val="auto"/>
        </w:rPr>
        <w:t>federal government</w:t>
      </w:r>
      <w:r w:rsidRPr="003B22C9">
        <w:rPr>
          <w:rFonts w:asciiTheme="minorHAnsi" w:hAnsiTheme="minorHAnsi"/>
          <w:bCs/>
          <w:color w:val="auto"/>
        </w:rPr>
        <w:t xml:space="preserve">. To mitigate this risk to implementation capacity, the GoKP and the </w:t>
      </w:r>
      <w:r>
        <w:rPr>
          <w:rFonts w:asciiTheme="minorHAnsi" w:hAnsiTheme="minorHAnsi"/>
          <w:bCs/>
          <w:color w:val="auto"/>
        </w:rPr>
        <w:t xml:space="preserve">World </w:t>
      </w:r>
      <w:r w:rsidRPr="003B22C9">
        <w:rPr>
          <w:rFonts w:asciiTheme="minorHAnsi" w:hAnsiTheme="minorHAnsi"/>
          <w:bCs/>
          <w:color w:val="auto"/>
        </w:rPr>
        <w:t>Bank have worked on the preparation of the Program with the working-level officials of the Reform Working Group. These officials belong to the provincial administrative service and are likely to stay in their departments and follow through on the implementation of Program activities.</w:t>
      </w:r>
    </w:p>
    <w:p w14:paraId="028B3D3B" w14:textId="77777777" w:rsidR="00C2146F" w:rsidRDefault="00C2146F" w:rsidP="00C2146F">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 xml:space="preserve">The limited experience of the GoKP in results-based operations poses a potential risk. </w:t>
      </w:r>
      <w:r w:rsidRPr="003B22C9">
        <w:rPr>
          <w:rFonts w:asciiTheme="minorHAnsi" w:hAnsiTheme="minorHAnsi"/>
          <w:bCs/>
          <w:color w:val="auto"/>
        </w:rPr>
        <w:t xml:space="preserve">The proposed Program will be the first large operation to be financed by the World Bank in KP after a gap of several years. The only operation with DLIs to date is the </w:t>
      </w:r>
      <w:r w:rsidRPr="00395C40">
        <w:rPr>
          <w:rFonts w:asciiTheme="minorHAnsi" w:hAnsiTheme="minorHAnsi"/>
          <w:bCs/>
          <w:color w:val="auto"/>
        </w:rPr>
        <w:t>KP Governance and Policy Project</w:t>
      </w:r>
      <w:r w:rsidRPr="003B22C9">
        <w:rPr>
          <w:rFonts w:asciiTheme="minorHAnsi" w:hAnsiTheme="minorHAnsi"/>
          <w:bCs/>
          <w:color w:val="auto"/>
        </w:rPr>
        <w:t xml:space="preserve"> (KP GPP), which is an </w:t>
      </w:r>
      <w:r w:rsidRPr="00395C40">
        <w:rPr>
          <w:rFonts w:asciiTheme="minorHAnsi" w:hAnsiTheme="minorHAnsi"/>
          <w:bCs/>
          <w:color w:val="auto"/>
        </w:rPr>
        <w:t>Investment Project Financing</w:t>
      </w:r>
      <w:r w:rsidRPr="003B22C9">
        <w:rPr>
          <w:rFonts w:asciiTheme="minorHAnsi" w:hAnsiTheme="minorHAnsi"/>
          <w:bCs/>
          <w:color w:val="auto"/>
        </w:rPr>
        <w:t xml:space="preserve"> (IPF) with two DLIs that account for 20 percent of project funds. So far, the GoKP has met the first-year targets for both DLIs. Another positive aspect is that the implementing entities responsible for the DLIs of the KP GPP (KPRA and P&amp;DD) are also among the implementing entities responsible for DLIs under the Program. In addition, the extensive engagement of </w:t>
      </w:r>
      <w:r>
        <w:rPr>
          <w:rFonts w:asciiTheme="minorHAnsi" w:hAnsiTheme="minorHAnsi"/>
          <w:bCs/>
          <w:color w:val="auto"/>
        </w:rPr>
        <w:t xml:space="preserve">the </w:t>
      </w:r>
      <w:r w:rsidRPr="003B22C9">
        <w:rPr>
          <w:rFonts w:asciiTheme="minorHAnsi" w:hAnsiTheme="minorHAnsi"/>
          <w:bCs/>
          <w:color w:val="auto"/>
        </w:rPr>
        <w:t xml:space="preserve">GoKP officials in formulating the results indicators of the Program, compiling data for the indicators’ baseline values, and setting targets has enabled them to familiarize themselves with the PforR instrument. Members of the </w:t>
      </w:r>
      <w:r>
        <w:rPr>
          <w:rFonts w:asciiTheme="minorHAnsi" w:hAnsiTheme="minorHAnsi"/>
          <w:bCs/>
          <w:color w:val="auto"/>
        </w:rPr>
        <w:t xml:space="preserve">Reform </w:t>
      </w:r>
      <w:r w:rsidRPr="003B22C9">
        <w:rPr>
          <w:rFonts w:asciiTheme="minorHAnsi" w:hAnsiTheme="minorHAnsi"/>
          <w:bCs/>
          <w:color w:val="auto"/>
        </w:rPr>
        <w:t xml:space="preserve">Working Group have also visited Punjab to learn from the province’s successful experience in implementing </w:t>
      </w:r>
      <w:proofErr w:type="spellStart"/>
      <w:r w:rsidRPr="003B22C9">
        <w:rPr>
          <w:rFonts w:asciiTheme="minorHAnsi" w:hAnsiTheme="minorHAnsi"/>
          <w:bCs/>
          <w:color w:val="auto"/>
        </w:rPr>
        <w:t>PforRs</w:t>
      </w:r>
      <w:proofErr w:type="spellEnd"/>
      <w:r w:rsidRPr="003B22C9">
        <w:rPr>
          <w:rFonts w:asciiTheme="minorHAnsi" w:hAnsiTheme="minorHAnsi"/>
          <w:bCs/>
          <w:color w:val="auto"/>
        </w:rPr>
        <w:t>.</w:t>
      </w:r>
    </w:p>
    <w:p w14:paraId="32B8BE8D" w14:textId="77777777" w:rsidR="00C2146F" w:rsidRDefault="00C2146F" w:rsidP="00C2146F">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lastRenderedPageBreak/>
        <w:t>Potential stakeholder risks could be significant, though to date</w:t>
      </w:r>
      <w:r>
        <w:rPr>
          <w:rFonts w:asciiTheme="minorHAnsi" w:hAnsiTheme="minorHAnsi"/>
          <w:b/>
          <w:bCs/>
          <w:color w:val="auto"/>
        </w:rPr>
        <w:t>,</w:t>
      </w:r>
      <w:r w:rsidRPr="003B22C9">
        <w:rPr>
          <w:rFonts w:asciiTheme="minorHAnsi" w:hAnsiTheme="minorHAnsi"/>
          <w:b/>
          <w:bCs/>
          <w:color w:val="auto"/>
        </w:rPr>
        <w:t xml:space="preserve"> </w:t>
      </w:r>
      <w:r>
        <w:rPr>
          <w:rFonts w:asciiTheme="minorHAnsi" w:hAnsiTheme="minorHAnsi"/>
          <w:b/>
          <w:bCs/>
          <w:color w:val="auto"/>
        </w:rPr>
        <w:t xml:space="preserve">the </w:t>
      </w:r>
      <w:r w:rsidRPr="003B22C9">
        <w:rPr>
          <w:rFonts w:asciiTheme="minorHAnsi" w:hAnsiTheme="minorHAnsi"/>
          <w:b/>
          <w:bCs/>
          <w:color w:val="auto"/>
        </w:rPr>
        <w:t>GoKP measures in the Program</w:t>
      </w:r>
      <w:r>
        <w:rPr>
          <w:rFonts w:asciiTheme="minorHAnsi" w:hAnsiTheme="minorHAnsi"/>
          <w:b/>
          <w:bCs/>
          <w:color w:val="auto"/>
        </w:rPr>
        <w:t>’s</w:t>
      </w:r>
      <w:r w:rsidRPr="003B22C9">
        <w:rPr>
          <w:rFonts w:asciiTheme="minorHAnsi" w:hAnsiTheme="minorHAnsi"/>
          <w:b/>
          <w:bCs/>
          <w:color w:val="auto"/>
        </w:rPr>
        <w:t xml:space="preserve"> results areas have not given rise to controversy. </w:t>
      </w:r>
      <w:r w:rsidRPr="003B22C9">
        <w:rPr>
          <w:rFonts w:asciiTheme="minorHAnsi" w:hAnsiTheme="minorHAnsi"/>
          <w:bCs/>
          <w:color w:val="auto"/>
        </w:rPr>
        <w:t xml:space="preserve">For example, the gradual expansion of services subject to GSTS from </w:t>
      </w:r>
      <w:r>
        <w:rPr>
          <w:rFonts w:asciiTheme="minorHAnsi" w:hAnsiTheme="minorHAnsi"/>
          <w:bCs/>
          <w:color w:val="auto"/>
        </w:rPr>
        <w:t>11</w:t>
      </w:r>
      <w:r w:rsidRPr="003B22C9">
        <w:rPr>
          <w:rFonts w:asciiTheme="minorHAnsi" w:hAnsiTheme="minorHAnsi"/>
          <w:bCs/>
          <w:color w:val="auto"/>
        </w:rPr>
        <w:t xml:space="preserve"> to 91 has broadened the tax base without eliciting complaints from businesses</w:t>
      </w:r>
      <w:r>
        <w:rPr>
          <w:rFonts w:asciiTheme="minorHAnsi" w:hAnsiTheme="minorHAnsi"/>
          <w:bCs/>
          <w:color w:val="auto"/>
        </w:rPr>
        <w:t>—</w:t>
      </w:r>
      <w:r w:rsidRPr="003B22C9">
        <w:rPr>
          <w:rFonts w:asciiTheme="minorHAnsi" w:hAnsiTheme="minorHAnsi"/>
          <w:bCs/>
          <w:color w:val="auto"/>
        </w:rPr>
        <w:t xml:space="preserve">largely because the associated tax burden remains low. Regarding the collection of the UIPT, the experience </w:t>
      </w:r>
      <w:r>
        <w:rPr>
          <w:rFonts w:asciiTheme="minorHAnsi" w:hAnsiTheme="minorHAnsi"/>
          <w:bCs/>
          <w:color w:val="auto"/>
        </w:rPr>
        <w:t xml:space="preserve">in </w:t>
      </w:r>
      <w:r w:rsidRPr="003B22C9">
        <w:rPr>
          <w:rFonts w:asciiTheme="minorHAnsi" w:hAnsiTheme="minorHAnsi"/>
          <w:bCs/>
          <w:color w:val="auto"/>
        </w:rPr>
        <w:t xml:space="preserve">Punjab is encouraging. The UIPT surveys and automation of tax records in Punjab have helped expand the tax base by 17 percent and more than double receipts within four years, while taxpayers’ complaints have declined. Tax-related results supported by the Program may be expected to benefit taxpayers by reducing the hassle involved in paying taxes. The prohibition on government entities keeping cash in commercial banks might encounter opposition from officials </w:t>
      </w:r>
      <w:r>
        <w:rPr>
          <w:rFonts w:asciiTheme="minorHAnsi" w:hAnsiTheme="minorHAnsi"/>
          <w:bCs/>
          <w:color w:val="auto"/>
        </w:rPr>
        <w:t xml:space="preserve">who are </w:t>
      </w:r>
      <w:r w:rsidRPr="003B22C9">
        <w:rPr>
          <w:rFonts w:asciiTheme="minorHAnsi" w:hAnsiTheme="minorHAnsi"/>
          <w:bCs/>
          <w:color w:val="auto"/>
        </w:rPr>
        <w:t xml:space="preserve">wary of losing discretion in using budget funds or from commercial banks that stand to lose these deposits. The GoKP has so far managed these risks by withholding development funds from entities with large cash balances in commercial banks, which will lead to a gradual reduction of these balances. </w:t>
      </w:r>
    </w:p>
    <w:p w14:paraId="7472F0F4" w14:textId="77777777" w:rsidR="00C2146F" w:rsidRPr="003B22C9" w:rsidRDefault="00C2146F" w:rsidP="00C2146F">
      <w:pPr>
        <w:pStyle w:val="ListParagraph"/>
        <w:widowControl/>
        <w:numPr>
          <w:ilvl w:val="0"/>
          <w:numId w:val="14"/>
        </w:numPr>
        <w:autoSpaceDE/>
        <w:autoSpaceDN/>
        <w:adjustRightInd/>
        <w:spacing w:after="200"/>
        <w:ind w:left="0" w:firstLine="0"/>
        <w:contextualSpacing w:val="0"/>
        <w:jc w:val="both"/>
        <w:rPr>
          <w:rFonts w:asciiTheme="minorHAnsi" w:hAnsiTheme="minorHAnsi"/>
          <w:bCs/>
          <w:color w:val="auto"/>
        </w:rPr>
      </w:pPr>
      <w:r w:rsidRPr="003B22C9">
        <w:rPr>
          <w:rFonts w:asciiTheme="minorHAnsi" w:hAnsiTheme="minorHAnsi"/>
          <w:b/>
          <w:bCs/>
          <w:color w:val="auto"/>
        </w:rPr>
        <w:t xml:space="preserve">The Program’s prospects of achieving its development objectives may be affected by country-level </w:t>
      </w:r>
      <w:r w:rsidRPr="00D827AB">
        <w:rPr>
          <w:rFonts w:asciiTheme="minorHAnsi" w:hAnsiTheme="minorHAnsi"/>
          <w:b/>
          <w:bCs/>
          <w:color w:val="auto"/>
        </w:rPr>
        <w:t>macro-fiscal</w:t>
      </w:r>
      <w:r w:rsidRPr="003B22C9">
        <w:rPr>
          <w:rFonts w:asciiTheme="minorHAnsi" w:hAnsiTheme="minorHAnsi"/>
          <w:b/>
          <w:bCs/>
          <w:color w:val="auto"/>
        </w:rPr>
        <w:t xml:space="preserve"> risks.</w:t>
      </w:r>
      <w:r w:rsidRPr="003B22C9">
        <w:rPr>
          <w:rFonts w:asciiTheme="minorHAnsi" w:hAnsiTheme="minorHAnsi"/>
          <w:bCs/>
          <w:color w:val="auto"/>
        </w:rPr>
        <w:t xml:space="preserve"> Federal macro-fiscal policies have a direct impact on provincial finances. For example, new tax exemptions such as those granted in the federal budget of </w:t>
      </w:r>
      <w:r w:rsidRPr="009E2ABA">
        <w:rPr>
          <w:rFonts w:asciiTheme="minorHAnsi" w:hAnsiTheme="minorHAnsi"/>
          <w:bCs/>
          <w:color w:val="auto"/>
        </w:rPr>
        <w:t>FY2018/19</w:t>
      </w:r>
      <w:r w:rsidRPr="003B22C9">
        <w:rPr>
          <w:rFonts w:asciiTheme="minorHAnsi" w:hAnsiTheme="minorHAnsi"/>
          <w:bCs/>
          <w:color w:val="auto"/>
        </w:rPr>
        <w:t xml:space="preserve"> could reduce the size of the divisible pool of revenues, which are the main source of budget financing for the provinces. In addition, the fiscal position of KP is exposed to risks arising from the approved merger of the province with </w:t>
      </w:r>
      <w:r w:rsidRPr="00220FF2">
        <w:rPr>
          <w:rFonts w:asciiTheme="minorHAnsi" w:hAnsiTheme="minorHAnsi"/>
          <w:bCs/>
          <w:color w:val="auto"/>
        </w:rPr>
        <w:t>Federally Administered Tribal Areas</w:t>
      </w:r>
      <w:r w:rsidRPr="00A71E45">
        <w:rPr>
          <w:rFonts w:asciiTheme="minorHAnsi" w:hAnsiTheme="minorHAnsi"/>
          <w:bCs/>
          <w:color w:val="auto"/>
        </w:rPr>
        <w:t xml:space="preserve"> </w:t>
      </w:r>
      <w:r>
        <w:rPr>
          <w:rFonts w:asciiTheme="minorHAnsi" w:hAnsiTheme="minorHAnsi"/>
          <w:bCs/>
          <w:color w:val="auto"/>
        </w:rPr>
        <w:t>(</w:t>
      </w:r>
      <w:r w:rsidRPr="00D827AB">
        <w:rPr>
          <w:rFonts w:asciiTheme="minorHAnsi" w:hAnsiTheme="minorHAnsi"/>
          <w:bCs/>
          <w:color w:val="auto"/>
        </w:rPr>
        <w:t>FATA</w:t>
      </w:r>
      <w:r>
        <w:rPr>
          <w:rFonts w:asciiTheme="minorHAnsi" w:hAnsiTheme="minorHAnsi"/>
          <w:bCs/>
          <w:color w:val="auto"/>
        </w:rPr>
        <w:t>)</w:t>
      </w:r>
      <w:r w:rsidRPr="003B22C9">
        <w:rPr>
          <w:rFonts w:asciiTheme="minorHAnsi" w:hAnsiTheme="minorHAnsi"/>
          <w:bCs/>
          <w:color w:val="auto"/>
        </w:rPr>
        <w:t>, a significantly poorer and less</w:t>
      </w:r>
      <w:r>
        <w:rPr>
          <w:rFonts w:asciiTheme="minorHAnsi" w:hAnsiTheme="minorHAnsi"/>
          <w:bCs/>
          <w:color w:val="auto"/>
        </w:rPr>
        <w:t>-</w:t>
      </w:r>
      <w:r w:rsidRPr="003B22C9">
        <w:rPr>
          <w:rFonts w:asciiTheme="minorHAnsi" w:hAnsiTheme="minorHAnsi"/>
          <w:bCs/>
          <w:color w:val="auto"/>
        </w:rPr>
        <w:t>developed region. The cost of bringing public services and infrastructure to similar levels as in KP will add to the expenditure of the enlarged province, though this cost is expected to be spread out over a period exceeding the duration of the Program. At the same time, this cost is likely to strengthen the resolve of the GoKP to increase OSR receipts and pursue efficiency gains in public expenditure.</w:t>
      </w:r>
    </w:p>
    <w:p w14:paraId="7892A74A" w14:textId="77777777" w:rsidR="00C2146F" w:rsidRDefault="00C2146F" w:rsidP="00C2146F">
      <w:pPr>
        <w:pStyle w:val="Heading1"/>
      </w:pPr>
      <w:bookmarkStart w:id="28" w:name="_Toc530148520"/>
      <w:r>
        <w:t>Economic A</w:t>
      </w:r>
      <w:r w:rsidRPr="001D0C27">
        <w:t>nalysis</w:t>
      </w:r>
      <w:bookmarkEnd w:id="28"/>
    </w:p>
    <w:p w14:paraId="2D28BC64" w14:textId="77777777" w:rsidR="00C2146F" w:rsidRPr="001D0C27" w:rsidRDefault="00C2146F" w:rsidP="00C2146F">
      <w:pPr>
        <w:rPr>
          <w:rFonts w:asciiTheme="minorHAnsi" w:hAnsiTheme="minorHAnsi"/>
          <w:b/>
          <w:bCs/>
          <w:i/>
          <w:color w:val="auto"/>
          <w:sz w:val="22"/>
          <w:szCs w:val="22"/>
        </w:rPr>
      </w:pPr>
    </w:p>
    <w:p w14:paraId="0ED02192" w14:textId="77777777" w:rsidR="00C2146F" w:rsidRDefault="00C2146F" w:rsidP="00C2146F">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4A3024">
        <w:rPr>
          <w:rFonts w:asciiTheme="minorHAnsi" w:hAnsiTheme="minorHAnsi"/>
          <w:b/>
          <w:bCs/>
          <w:color w:val="auto"/>
        </w:rPr>
        <w:t>The Program is expected to make a substantial contribution to the public finances of the GoKP as well as the province’s economic development.</w:t>
      </w:r>
      <w:r w:rsidRPr="00C03EC6">
        <w:rPr>
          <w:rFonts w:asciiTheme="minorHAnsi" w:hAnsiTheme="minorHAnsi"/>
          <w:b/>
          <w:bCs/>
          <w:color w:val="auto"/>
        </w:rPr>
        <w:t xml:space="preserve"> </w:t>
      </w:r>
      <w:r w:rsidRPr="00C03EC6">
        <w:rPr>
          <w:rFonts w:asciiTheme="minorHAnsi" w:hAnsiTheme="minorHAnsi"/>
          <w:bCs/>
          <w:color w:val="auto"/>
        </w:rPr>
        <w:t>The Program’s interventions under the first results area are expected to contribute to an increase in the province’s OSRs and those in the second results area to generate efficiency gains in public spending. The overall financial impact should be an increase in the fiscal space available to the GoKP. The record of the GoKP in using the additional resources from the 7</w:t>
      </w:r>
      <w:r w:rsidRPr="00F349AA">
        <w:rPr>
          <w:rFonts w:asciiTheme="minorHAnsi" w:hAnsiTheme="minorHAnsi"/>
          <w:bCs/>
          <w:color w:val="auto"/>
        </w:rPr>
        <w:t>th</w:t>
      </w:r>
      <w:r>
        <w:rPr>
          <w:rFonts w:asciiTheme="minorHAnsi" w:hAnsiTheme="minorHAnsi"/>
          <w:bCs/>
          <w:color w:val="auto"/>
        </w:rPr>
        <w:t xml:space="preserve"> </w:t>
      </w:r>
      <w:r w:rsidRPr="00C03EC6">
        <w:rPr>
          <w:rFonts w:asciiTheme="minorHAnsi" w:hAnsiTheme="minorHAnsi"/>
          <w:bCs/>
          <w:color w:val="auto"/>
        </w:rPr>
        <w:t xml:space="preserve">NFC </w:t>
      </w:r>
      <w:r>
        <w:rPr>
          <w:rFonts w:asciiTheme="minorHAnsi" w:hAnsiTheme="minorHAnsi"/>
          <w:bCs/>
          <w:color w:val="auto"/>
        </w:rPr>
        <w:t>A</w:t>
      </w:r>
      <w:r w:rsidRPr="00C03EC6">
        <w:rPr>
          <w:rFonts w:asciiTheme="minorHAnsi" w:hAnsiTheme="minorHAnsi"/>
          <w:bCs/>
          <w:color w:val="auto"/>
        </w:rPr>
        <w:t xml:space="preserve">ward to support economic and social goals indicates that a further increase in the province’s financial resources will enable </w:t>
      </w:r>
      <w:r>
        <w:rPr>
          <w:rFonts w:asciiTheme="minorHAnsi" w:hAnsiTheme="minorHAnsi"/>
          <w:bCs/>
          <w:color w:val="auto"/>
        </w:rPr>
        <w:t xml:space="preserve">the </w:t>
      </w:r>
      <w:r w:rsidRPr="00C03EC6">
        <w:rPr>
          <w:rFonts w:asciiTheme="minorHAnsi" w:hAnsiTheme="minorHAnsi"/>
          <w:bCs/>
          <w:color w:val="auto"/>
        </w:rPr>
        <w:t>province to make necessary investments to improve human development outcomes and the physical capital of the province. In recent years, the province has made overall good use of its budgetary resources, which have financed a rapid expansion in public service provision, especially school education and health. The increased public spending on infrastructure and public services has been accompanied by faster-than-average economic growth and poverty reduction, as well as improved human development outcomes. The proposed Program is expected to enable the province to allocate more funds to growth-enhancing sectors.</w:t>
      </w:r>
      <w:r>
        <w:rPr>
          <w:rFonts w:asciiTheme="minorHAnsi" w:hAnsiTheme="minorHAnsi"/>
          <w:bCs/>
          <w:color w:val="auto"/>
        </w:rPr>
        <w:t xml:space="preserve"> </w:t>
      </w:r>
    </w:p>
    <w:p w14:paraId="61A49E53" w14:textId="77777777" w:rsidR="00C2146F" w:rsidRPr="00C03EC6" w:rsidRDefault="00C2146F" w:rsidP="00C2146F">
      <w:pPr>
        <w:pStyle w:val="ListParagraph"/>
        <w:widowControl/>
        <w:numPr>
          <w:ilvl w:val="0"/>
          <w:numId w:val="14"/>
        </w:numPr>
        <w:autoSpaceDE/>
        <w:autoSpaceDN/>
        <w:adjustRightInd/>
        <w:spacing w:after="240"/>
        <w:ind w:left="0" w:firstLine="0"/>
        <w:contextualSpacing w:val="0"/>
        <w:jc w:val="both"/>
        <w:rPr>
          <w:rFonts w:asciiTheme="minorHAnsi" w:hAnsiTheme="minorHAnsi"/>
          <w:b/>
          <w:bCs/>
          <w:color w:val="auto"/>
        </w:rPr>
      </w:pPr>
      <w:r w:rsidRPr="003B22C9">
        <w:rPr>
          <w:rFonts w:asciiTheme="minorHAnsi" w:hAnsiTheme="minorHAnsi"/>
          <w:b/>
          <w:bCs/>
          <w:color w:val="auto"/>
        </w:rPr>
        <w:t xml:space="preserve">The expected </w:t>
      </w:r>
      <w:r>
        <w:rPr>
          <w:rFonts w:asciiTheme="minorHAnsi" w:hAnsiTheme="minorHAnsi"/>
          <w:b/>
          <w:bCs/>
          <w:color w:val="auto"/>
        </w:rPr>
        <w:t xml:space="preserve">net </w:t>
      </w:r>
      <w:r w:rsidRPr="003B22C9">
        <w:rPr>
          <w:rFonts w:asciiTheme="minorHAnsi" w:hAnsiTheme="minorHAnsi"/>
          <w:b/>
          <w:bCs/>
          <w:color w:val="auto"/>
        </w:rPr>
        <w:t>economic impact of the Program is positive.</w:t>
      </w:r>
      <w:r w:rsidRPr="00C03EC6">
        <w:rPr>
          <w:rFonts w:asciiTheme="minorHAnsi" w:hAnsiTheme="minorHAnsi"/>
          <w:b/>
          <w:bCs/>
          <w:color w:val="auto"/>
        </w:rPr>
        <w:t xml:space="preserve"> </w:t>
      </w:r>
      <w:r w:rsidRPr="00C03EC6">
        <w:rPr>
          <w:rFonts w:asciiTheme="minorHAnsi" w:hAnsiTheme="minorHAnsi"/>
          <w:bCs/>
          <w:color w:val="auto"/>
        </w:rPr>
        <w:t>While additions in revenue collection</w:t>
      </w:r>
      <w:r w:rsidRPr="00C03EC6" w:rsidDel="00681A75">
        <w:rPr>
          <w:rFonts w:asciiTheme="minorHAnsi" w:hAnsiTheme="minorHAnsi"/>
          <w:bCs/>
          <w:color w:val="auto"/>
        </w:rPr>
        <w:t xml:space="preserve"> </w:t>
      </w:r>
      <w:r w:rsidRPr="00C03EC6">
        <w:rPr>
          <w:rFonts w:asciiTheme="minorHAnsi" w:hAnsiTheme="minorHAnsi"/>
          <w:bCs/>
          <w:color w:val="auto"/>
        </w:rPr>
        <w:t xml:space="preserve">and the associated improvement in efficient and effective use of public investment envelope can be projected, improvements in other areas such as institutional performance, disclosure, monitoring in the case of </w:t>
      </w:r>
      <w:r>
        <w:rPr>
          <w:rFonts w:asciiTheme="minorHAnsi" w:hAnsiTheme="minorHAnsi"/>
          <w:bCs/>
          <w:color w:val="auto"/>
        </w:rPr>
        <w:t>Output Based Budgeting (</w:t>
      </w:r>
      <w:r w:rsidRPr="00046C2E">
        <w:rPr>
          <w:rFonts w:asciiTheme="minorHAnsi" w:hAnsiTheme="minorHAnsi"/>
          <w:bCs/>
          <w:color w:val="auto"/>
        </w:rPr>
        <w:t>OBB</w:t>
      </w:r>
      <w:r>
        <w:rPr>
          <w:rFonts w:asciiTheme="minorHAnsi" w:hAnsiTheme="minorHAnsi"/>
          <w:bCs/>
          <w:color w:val="auto"/>
        </w:rPr>
        <w:t>)</w:t>
      </w:r>
      <w:r w:rsidRPr="00C03EC6">
        <w:rPr>
          <w:rFonts w:asciiTheme="minorHAnsi" w:hAnsiTheme="minorHAnsi"/>
          <w:bCs/>
          <w:color w:val="auto"/>
        </w:rPr>
        <w:t xml:space="preserve">, </w:t>
      </w:r>
      <w:r>
        <w:rPr>
          <w:rFonts w:asciiTheme="minorHAnsi" w:hAnsiTheme="minorHAnsi"/>
          <w:bCs/>
          <w:color w:val="auto"/>
        </w:rPr>
        <w:t xml:space="preserve">and </w:t>
      </w:r>
      <w:r w:rsidRPr="00C03EC6">
        <w:rPr>
          <w:rFonts w:asciiTheme="minorHAnsi" w:hAnsiTheme="minorHAnsi"/>
          <w:bCs/>
          <w:color w:val="auto"/>
        </w:rPr>
        <w:t xml:space="preserve">improvement in the management of funds are difficult to be identified with explicit economic gains. Nonetheless, based on certain assumptions, the expected benefits of the quantifiable proposed interventions have been estimated and the results show that the net impact is highly positive. </w:t>
      </w:r>
    </w:p>
    <w:p w14:paraId="035AD084" w14:textId="77777777" w:rsidR="00C2146F" w:rsidRPr="003236D4" w:rsidRDefault="00C2146F" w:rsidP="00C2146F">
      <w:pPr>
        <w:pStyle w:val="ListParagraph"/>
        <w:widowControl/>
        <w:numPr>
          <w:ilvl w:val="0"/>
          <w:numId w:val="14"/>
        </w:numPr>
        <w:autoSpaceDE/>
        <w:autoSpaceDN/>
        <w:adjustRightInd/>
        <w:spacing w:after="240"/>
        <w:ind w:left="0" w:firstLine="0"/>
        <w:contextualSpacing w:val="0"/>
        <w:jc w:val="both"/>
        <w:rPr>
          <w:rFonts w:asciiTheme="minorHAnsi" w:hAnsiTheme="minorHAnsi"/>
          <w:b/>
          <w:bCs/>
          <w:color w:val="auto"/>
        </w:rPr>
      </w:pPr>
      <w:r w:rsidRPr="004C5890">
        <w:rPr>
          <w:rFonts w:asciiTheme="minorHAnsi" w:hAnsiTheme="minorHAnsi"/>
          <w:b/>
          <w:bCs/>
          <w:color w:val="auto"/>
        </w:rPr>
        <w:lastRenderedPageBreak/>
        <w:t xml:space="preserve">The revenue mobilization measures are estimated to raise OSR tax receipts by at least 50 percent from the baseline. </w:t>
      </w:r>
      <w:r w:rsidRPr="00C03EC6">
        <w:rPr>
          <w:rFonts w:asciiTheme="minorHAnsi" w:hAnsiTheme="minorHAnsi"/>
          <w:bCs/>
          <w:color w:val="auto"/>
        </w:rPr>
        <w:t xml:space="preserve">Over the last five years, more than half of KP’s </w:t>
      </w:r>
      <w:r w:rsidRPr="00D827AB">
        <w:rPr>
          <w:rFonts w:asciiTheme="minorHAnsi" w:hAnsiTheme="minorHAnsi"/>
          <w:bCs/>
          <w:color w:val="auto"/>
        </w:rPr>
        <w:t>own-source tax revenue</w:t>
      </w:r>
      <w:r w:rsidRPr="00C03EC6">
        <w:rPr>
          <w:rFonts w:asciiTheme="minorHAnsi" w:hAnsiTheme="minorHAnsi"/>
          <w:bCs/>
          <w:color w:val="auto"/>
        </w:rPr>
        <w:t xml:space="preserve"> is contributed by the GSTS. Moreover, the revenue collected from this source has increased more than 12 times since </w:t>
      </w:r>
      <w:r w:rsidRPr="009E2ABA">
        <w:rPr>
          <w:rFonts w:asciiTheme="minorHAnsi" w:hAnsiTheme="minorHAnsi"/>
          <w:bCs/>
          <w:color w:val="auto"/>
        </w:rPr>
        <w:t>FY2011/12</w:t>
      </w:r>
      <w:r w:rsidRPr="00C03EC6">
        <w:rPr>
          <w:rFonts w:asciiTheme="minorHAnsi" w:hAnsiTheme="minorHAnsi"/>
          <w:bCs/>
          <w:color w:val="auto"/>
        </w:rPr>
        <w:t xml:space="preserve">. However, the estimated tax gap from this buoyant source is above 70 percent under ideal compliance rates. Three possible scenarios are assumed for the increase in </w:t>
      </w:r>
      <w:r w:rsidRPr="00D827AB">
        <w:rPr>
          <w:rFonts w:asciiTheme="minorHAnsi" w:hAnsiTheme="minorHAnsi"/>
          <w:bCs/>
          <w:color w:val="auto"/>
        </w:rPr>
        <w:t>OSR tax</w:t>
      </w:r>
      <w:r w:rsidRPr="00C03EC6">
        <w:rPr>
          <w:rFonts w:asciiTheme="minorHAnsi" w:hAnsiTheme="minorHAnsi"/>
          <w:bCs/>
          <w:color w:val="auto"/>
        </w:rPr>
        <w:t xml:space="preserve"> due to the first result</w:t>
      </w:r>
      <w:r>
        <w:rPr>
          <w:rFonts w:asciiTheme="minorHAnsi" w:hAnsiTheme="minorHAnsi"/>
          <w:bCs/>
          <w:color w:val="auto"/>
        </w:rPr>
        <w:t>s</w:t>
      </w:r>
      <w:r w:rsidRPr="00C03EC6">
        <w:rPr>
          <w:rFonts w:asciiTheme="minorHAnsi" w:hAnsiTheme="minorHAnsi"/>
          <w:bCs/>
          <w:color w:val="auto"/>
        </w:rPr>
        <w:t xml:space="preserve"> area. These scenarios correspond to GSTS compliance. In a low-case scenario based on a rise in compliance to 60 percent, receipts from GSTS could more than double from PKR 10.2 billion to PKR 24</w:t>
      </w:r>
      <w:r>
        <w:rPr>
          <w:rFonts w:asciiTheme="minorHAnsi" w:hAnsiTheme="minorHAnsi"/>
          <w:bCs/>
          <w:color w:val="auto"/>
        </w:rPr>
        <w:t>.0</w:t>
      </w:r>
      <w:r w:rsidRPr="00C03EC6">
        <w:rPr>
          <w:rFonts w:asciiTheme="minorHAnsi" w:hAnsiTheme="minorHAnsi"/>
          <w:bCs/>
          <w:color w:val="auto"/>
        </w:rPr>
        <w:t xml:space="preserve"> billion. In a medium (high)-case scenario with compliance reaching 75 percent (90 percent), these receipts can increase to PKR 30 billion (PKR 36 billion). The </w:t>
      </w:r>
      <w:r w:rsidRPr="00D827AB">
        <w:rPr>
          <w:rFonts w:asciiTheme="minorHAnsi" w:hAnsiTheme="minorHAnsi"/>
          <w:bCs/>
          <w:color w:val="auto"/>
        </w:rPr>
        <w:t>P</w:t>
      </w:r>
      <w:r>
        <w:rPr>
          <w:rFonts w:asciiTheme="minorHAnsi" w:hAnsiTheme="minorHAnsi"/>
          <w:bCs/>
          <w:color w:val="auto"/>
        </w:rPr>
        <w:t>akistan rupee</w:t>
      </w:r>
      <w:r w:rsidRPr="00D827AB">
        <w:rPr>
          <w:rFonts w:asciiTheme="minorHAnsi" w:hAnsiTheme="minorHAnsi"/>
          <w:bCs/>
          <w:color w:val="auto"/>
        </w:rPr>
        <w:t>/U</w:t>
      </w:r>
      <w:r>
        <w:rPr>
          <w:rFonts w:asciiTheme="minorHAnsi" w:hAnsiTheme="minorHAnsi"/>
          <w:bCs/>
          <w:color w:val="auto"/>
        </w:rPr>
        <w:t>.</w:t>
      </w:r>
      <w:r w:rsidRPr="00D827AB">
        <w:rPr>
          <w:rFonts w:asciiTheme="minorHAnsi" w:hAnsiTheme="minorHAnsi"/>
          <w:bCs/>
          <w:color w:val="auto"/>
        </w:rPr>
        <w:t>S</w:t>
      </w:r>
      <w:r>
        <w:rPr>
          <w:rFonts w:asciiTheme="minorHAnsi" w:hAnsiTheme="minorHAnsi"/>
          <w:bCs/>
          <w:color w:val="auto"/>
        </w:rPr>
        <w:t>. dollar</w:t>
      </w:r>
      <w:r w:rsidRPr="00C03EC6">
        <w:rPr>
          <w:rFonts w:asciiTheme="minorHAnsi" w:hAnsiTheme="minorHAnsi"/>
          <w:bCs/>
          <w:color w:val="auto"/>
        </w:rPr>
        <w:t xml:space="preserve"> exchange rate is assumed constant because of purchasing power parity. The future values of the difference in revenues (with and without Program intervention) are discounted assuming a 5 percent discount rate. The cumulative benefits over the next five years, in present value terms, are estimated at US$654 million under the low</w:t>
      </w:r>
      <w:r>
        <w:rPr>
          <w:rFonts w:asciiTheme="minorHAnsi" w:hAnsiTheme="minorHAnsi"/>
          <w:bCs/>
          <w:color w:val="auto"/>
        </w:rPr>
        <w:t>-case</w:t>
      </w:r>
      <w:r w:rsidRPr="00C03EC6">
        <w:rPr>
          <w:rFonts w:asciiTheme="minorHAnsi" w:hAnsiTheme="minorHAnsi"/>
          <w:bCs/>
          <w:color w:val="auto"/>
        </w:rPr>
        <w:t xml:space="preserve"> scenario, US$940 million under the medium</w:t>
      </w:r>
      <w:r>
        <w:rPr>
          <w:rFonts w:asciiTheme="minorHAnsi" w:hAnsiTheme="minorHAnsi"/>
          <w:bCs/>
          <w:color w:val="auto"/>
        </w:rPr>
        <w:t>-case</w:t>
      </w:r>
      <w:r w:rsidRPr="00C03EC6">
        <w:rPr>
          <w:rFonts w:asciiTheme="minorHAnsi" w:hAnsiTheme="minorHAnsi"/>
          <w:bCs/>
          <w:color w:val="auto"/>
        </w:rPr>
        <w:t xml:space="preserve"> scenario</w:t>
      </w:r>
      <w:r>
        <w:rPr>
          <w:rFonts w:asciiTheme="minorHAnsi" w:hAnsiTheme="minorHAnsi"/>
          <w:bCs/>
          <w:color w:val="auto"/>
        </w:rPr>
        <w:t>,</w:t>
      </w:r>
      <w:r w:rsidRPr="00C03EC6">
        <w:rPr>
          <w:rFonts w:asciiTheme="minorHAnsi" w:hAnsiTheme="minorHAnsi"/>
          <w:bCs/>
          <w:color w:val="auto"/>
        </w:rPr>
        <w:t xml:space="preserve"> and </w:t>
      </w:r>
      <w:r>
        <w:rPr>
          <w:rFonts w:asciiTheme="minorHAnsi" w:hAnsiTheme="minorHAnsi"/>
          <w:bCs/>
          <w:color w:val="auto"/>
        </w:rPr>
        <w:t>US</w:t>
      </w:r>
      <w:r w:rsidRPr="00C03EC6">
        <w:rPr>
          <w:rFonts w:asciiTheme="minorHAnsi" w:hAnsiTheme="minorHAnsi"/>
          <w:bCs/>
          <w:color w:val="auto"/>
        </w:rPr>
        <w:t>$1.23 billion under the high</w:t>
      </w:r>
      <w:r>
        <w:rPr>
          <w:rFonts w:asciiTheme="minorHAnsi" w:hAnsiTheme="minorHAnsi"/>
          <w:bCs/>
          <w:color w:val="auto"/>
        </w:rPr>
        <w:t>-case</w:t>
      </w:r>
      <w:r w:rsidRPr="00C03EC6">
        <w:rPr>
          <w:rFonts w:asciiTheme="minorHAnsi" w:hAnsiTheme="minorHAnsi"/>
          <w:bCs/>
          <w:color w:val="auto"/>
        </w:rPr>
        <w:t xml:space="preserve"> scenario (</w:t>
      </w:r>
      <w:r>
        <w:rPr>
          <w:rFonts w:asciiTheme="minorHAnsi" w:hAnsiTheme="minorHAnsi"/>
          <w:bCs/>
          <w:color w:val="auto"/>
        </w:rPr>
        <w:fldChar w:fldCharType="begin"/>
      </w:r>
      <w:r>
        <w:rPr>
          <w:rFonts w:asciiTheme="minorHAnsi" w:hAnsiTheme="minorHAnsi"/>
          <w:bCs/>
          <w:color w:val="auto"/>
        </w:rPr>
        <w:instrText xml:space="preserve"> REF _Ref529963131 \h  \* MERGEFORMAT </w:instrText>
      </w:r>
      <w:r>
        <w:rPr>
          <w:rFonts w:asciiTheme="minorHAnsi" w:hAnsiTheme="minorHAnsi"/>
          <w:bCs/>
          <w:color w:val="auto"/>
        </w:rPr>
      </w:r>
      <w:r>
        <w:rPr>
          <w:rFonts w:asciiTheme="minorHAnsi" w:hAnsiTheme="minorHAnsi"/>
          <w:bCs/>
          <w:color w:val="auto"/>
        </w:rPr>
        <w:fldChar w:fldCharType="separate"/>
      </w:r>
      <w:r w:rsidRPr="00F53DF4">
        <w:rPr>
          <w:rFonts w:asciiTheme="minorHAnsi" w:hAnsiTheme="minorHAnsi"/>
          <w:bCs/>
          <w:color w:val="auto"/>
        </w:rPr>
        <w:t>Table 8</w:t>
      </w:r>
      <w:r>
        <w:rPr>
          <w:rFonts w:asciiTheme="minorHAnsi" w:hAnsiTheme="minorHAnsi"/>
          <w:bCs/>
          <w:color w:val="auto"/>
        </w:rPr>
        <w:fldChar w:fldCharType="end"/>
      </w:r>
      <w:r w:rsidRPr="00C03EC6">
        <w:rPr>
          <w:rFonts w:asciiTheme="minorHAnsi" w:hAnsiTheme="minorHAnsi"/>
          <w:bCs/>
          <w:color w:val="auto"/>
        </w:rPr>
        <w:t>). In the light of these findings, the expected gains from the first result</w:t>
      </w:r>
      <w:r>
        <w:rPr>
          <w:rFonts w:asciiTheme="minorHAnsi" w:hAnsiTheme="minorHAnsi"/>
          <w:bCs/>
          <w:color w:val="auto"/>
        </w:rPr>
        <w:t>s</w:t>
      </w:r>
      <w:r w:rsidRPr="00C03EC6">
        <w:rPr>
          <w:rFonts w:asciiTheme="minorHAnsi" w:hAnsiTheme="minorHAnsi"/>
          <w:bCs/>
          <w:color w:val="auto"/>
        </w:rPr>
        <w:t xml:space="preserve"> area alone far out</w:t>
      </w:r>
      <w:r>
        <w:rPr>
          <w:rFonts w:asciiTheme="minorHAnsi" w:hAnsiTheme="minorHAnsi"/>
          <w:bCs/>
          <w:color w:val="auto"/>
        </w:rPr>
        <w:t>weigh</w:t>
      </w:r>
      <w:r w:rsidRPr="00C03EC6">
        <w:rPr>
          <w:rFonts w:asciiTheme="minorHAnsi" w:hAnsiTheme="minorHAnsi"/>
          <w:bCs/>
          <w:color w:val="auto"/>
        </w:rPr>
        <w:t xml:space="preserve"> the </w:t>
      </w:r>
      <w:r>
        <w:rPr>
          <w:rFonts w:asciiTheme="minorHAnsi" w:hAnsiTheme="minorHAnsi"/>
          <w:bCs/>
          <w:color w:val="auto"/>
        </w:rPr>
        <w:t>P</w:t>
      </w:r>
      <w:r w:rsidRPr="00C03EC6">
        <w:rPr>
          <w:rFonts w:asciiTheme="minorHAnsi" w:hAnsiTheme="minorHAnsi"/>
          <w:bCs/>
          <w:color w:val="auto"/>
        </w:rPr>
        <w:t>rogram cost. It is important to note that even the benefits of this single intervention are underestimated as purchasing power parity</w:t>
      </w:r>
      <w:r>
        <w:rPr>
          <w:rFonts w:asciiTheme="minorHAnsi" w:hAnsiTheme="minorHAnsi"/>
          <w:bCs/>
          <w:color w:val="auto"/>
        </w:rPr>
        <w:t xml:space="preserve"> </w:t>
      </w:r>
      <w:r w:rsidRPr="00C03EC6">
        <w:rPr>
          <w:rFonts w:asciiTheme="minorHAnsi" w:hAnsiTheme="minorHAnsi"/>
          <w:bCs/>
          <w:color w:val="auto"/>
        </w:rPr>
        <w:t>does not hold (at least in the short run). Furthermore, the total benefit of this result</w:t>
      </w:r>
      <w:r>
        <w:rPr>
          <w:rFonts w:asciiTheme="minorHAnsi" w:hAnsiTheme="minorHAnsi"/>
          <w:bCs/>
          <w:color w:val="auto"/>
        </w:rPr>
        <w:t>s</w:t>
      </w:r>
      <w:r w:rsidRPr="00C03EC6">
        <w:rPr>
          <w:rFonts w:asciiTheme="minorHAnsi" w:hAnsiTheme="minorHAnsi"/>
          <w:bCs/>
          <w:color w:val="auto"/>
        </w:rPr>
        <w:t xml:space="preserve"> area could keep accruing as the GSTS, once the compliance reaches 75 percent, is expected to generate higher revenues over a long period beyond the life of the proposed Program.</w:t>
      </w:r>
    </w:p>
    <w:p w14:paraId="4DFDFCD1" w14:textId="77777777" w:rsidR="00C2146F" w:rsidRPr="003D4FF1" w:rsidRDefault="00C2146F" w:rsidP="00C2146F">
      <w:pPr>
        <w:pStyle w:val="Caption"/>
        <w:rPr>
          <w:i/>
        </w:rPr>
      </w:pPr>
      <w:bookmarkStart w:id="29" w:name="_Toc530148534"/>
      <w:r w:rsidRPr="003D4FF1">
        <w:t xml:space="preserve">Table </w:t>
      </w:r>
      <w:r w:rsidR="004670A5">
        <w:fldChar w:fldCharType="begin"/>
      </w:r>
      <w:r w:rsidR="004670A5">
        <w:instrText xml:space="preserve"> SEQ Table \* ARABIC </w:instrText>
      </w:r>
      <w:r w:rsidR="004670A5">
        <w:fldChar w:fldCharType="separate"/>
      </w:r>
      <w:r w:rsidRPr="003D4FF1">
        <w:t>8</w:t>
      </w:r>
      <w:r w:rsidR="004670A5">
        <w:fldChar w:fldCharType="end"/>
      </w:r>
      <w:r w:rsidRPr="003D4FF1">
        <w:t xml:space="preserve">: Expected Benefits of Program in </w:t>
      </w:r>
      <w:r>
        <w:t>T</w:t>
      </w:r>
      <w:r w:rsidRPr="003D4FF1">
        <w:t>erms of Increased Own</w:t>
      </w:r>
      <w:r>
        <w:t>-</w:t>
      </w:r>
      <w:r w:rsidRPr="003D4FF1">
        <w:t>Source Tax Revenue (US$</w:t>
      </w:r>
      <w:r>
        <w:t>,</w:t>
      </w:r>
      <w:r w:rsidRPr="003D4FF1">
        <w:t xml:space="preserve"> million</w:t>
      </w:r>
      <w:r>
        <w:t>s</w:t>
      </w:r>
      <w:r w:rsidRPr="003D4FF1">
        <w:t>)</w:t>
      </w:r>
      <w:bookmarkEnd w:id="29"/>
    </w:p>
    <w:tbl>
      <w:tblPr>
        <w:tblW w:w="5000" w:type="pct"/>
        <w:jc w:val="center"/>
        <w:tblLook w:val="04A0" w:firstRow="1" w:lastRow="0" w:firstColumn="1" w:lastColumn="0" w:noHBand="0" w:noVBand="1"/>
      </w:tblPr>
      <w:tblGrid>
        <w:gridCol w:w="735"/>
        <w:gridCol w:w="1608"/>
        <w:gridCol w:w="1552"/>
        <w:gridCol w:w="1388"/>
        <w:gridCol w:w="2046"/>
        <w:gridCol w:w="2011"/>
      </w:tblGrid>
      <w:tr w:rsidR="00C2146F" w:rsidRPr="003D4FF1" w14:paraId="4D60374B" w14:textId="77777777" w:rsidTr="00BB36B2">
        <w:trPr>
          <w:trHeight w:val="600"/>
          <w:jc w:val="center"/>
        </w:trPr>
        <w:tc>
          <w:tcPr>
            <w:tcW w:w="716" w:type="dxa"/>
            <w:tcBorders>
              <w:top w:val="single" w:sz="4" w:space="0" w:color="auto"/>
              <w:left w:val="single" w:sz="8" w:space="0" w:color="auto"/>
              <w:bottom w:val="single" w:sz="4" w:space="0" w:color="auto"/>
              <w:right w:val="nil"/>
            </w:tcBorders>
            <w:shd w:val="clear" w:color="auto" w:fill="DDEBF7"/>
            <w:noWrap/>
            <w:vAlign w:val="center"/>
            <w:hideMark/>
          </w:tcPr>
          <w:p w14:paraId="23D8C5DA" w14:textId="77777777" w:rsidR="00C2146F" w:rsidRPr="003D4FF1" w:rsidRDefault="00C2146F" w:rsidP="00BB36B2">
            <w:pPr>
              <w:jc w:val="center"/>
              <w:rPr>
                <w:rFonts w:ascii="Calibri" w:eastAsia="Times New Roman" w:hAnsi="Calibri" w:cs="Calibri"/>
                <w:b/>
                <w:sz w:val="20"/>
                <w:szCs w:val="20"/>
              </w:rPr>
            </w:pPr>
            <w:r w:rsidRPr="003D4FF1">
              <w:rPr>
                <w:rFonts w:ascii="Calibri" w:eastAsia="Times New Roman" w:hAnsi="Calibri" w:cs="Calibri"/>
                <w:b/>
                <w:sz w:val="20"/>
                <w:szCs w:val="20"/>
              </w:rPr>
              <w:t>Year</w:t>
            </w:r>
          </w:p>
        </w:tc>
        <w:tc>
          <w:tcPr>
            <w:tcW w:w="1567" w:type="dxa"/>
            <w:tcBorders>
              <w:top w:val="single" w:sz="4" w:space="0" w:color="auto"/>
              <w:left w:val="nil"/>
              <w:bottom w:val="single" w:sz="4" w:space="0" w:color="auto"/>
              <w:right w:val="nil"/>
            </w:tcBorders>
            <w:shd w:val="clear" w:color="auto" w:fill="DDEBF7"/>
            <w:vAlign w:val="center"/>
            <w:hideMark/>
          </w:tcPr>
          <w:p w14:paraId="4E2B1390" w14:textId="77777777" w:rsidR="00C2146F" w:rsidRPr="003D4FF1" w:rsidRDefault="00C2146F" w:rsidP="00BB36B2">
            <w:pPr>
              <w:jc w:val="center"/>
              <w:rPr>
                <w:rFonts w:ascii="Calibri" w:eastAsia="Times New Roman" w:hAnsi="Calibri" w:cs="Calibri"/>
                <w:b/>
                <w:sz w:val="20"/>
                <w:szCs w:val="20"/>
              </w:rPr>
            </w:pPr>
            <w:r w:rsidRPr="003D4FF1">
              <w:rPr>
                <w:rFonts w:ascii="Calibri" w:eastAsia="Times New Roman" w:hAnsi="Calibri" w:cs="Calibri"/>
                <w:b/>
                <w:sz w:val="20"/>
                <w:szCs w:val="20"/>
              </w:rPr>
              <w:t xml:space="preserve">OSR </w:t>
            </w:r>
            <w:r>
              <w:rPr>
                <w:rFonts w:ascii="Calibri" w:eastAsia="Times New Roman" w:hAnsi="Calibri" w:cs="Calibri"/>
                <w:b/>
                <w:sz w:val="20"/>
                <w:szCs w:val="20"/>
              </w:rPr>
              <w:t>without</w:t>
            </w:r>
            <w:r w:rsidRPr="003D4FF1">
              <w:rPr>
                <w:rFonts w:ascii="Calibri" w:eastAsia="Times New Roman" w:hAnsi="Calibri" w:cs="Calibri"/>
                <w:b/>
                <w:sz w:val="20"/>
                <w:szCs w:val="20"/>
              </w:rPr>
              <w:t xml:space="preserve"> Program</w:t>
            </w:r>
          </w:p>
        </w:tc>
        <w:tc>
          <w:tcPr>
            <w:tcW w:w="1513" w:type="dxa"/>
            <w:tcBorders>
              <w:top w:val="single" w:sz="4" w:space="0" w:color="auto"/>
              <w:left w:val="nil"/>
              <w:bottom w:val="single" w:sz="4" w:space="0" w:color="auto"/>
              <w:right w:val="nil"/>
            </w:tcBorders>
            <w:shd w:val="clear" w:color="auto" w:fill="DDEBF7"/>
            <w:vAlign w:val="center"/>
            <w:hideMark/>
          </w:tcPr>
          <w:p w14:paraId="659A4D35" w14:textId="77777777" w:rsidR="00C2146F" w:rsidRPr="003D4FF1" w:rsidRDefault="00C2146F" w:rsidP="00BB36B2">
            <w:pPr>
              <w:jc w:val="center"/>
              <w:rPr>
                <w:rFonts w:ascii="Calibri" w:eastAsia="Times New Roman" w:hAnsi="Calibri" w:cs="Calibri"/>
                <w:b/>
                <w:sz w:val="20"/>
                <w:szCs w:val="20"/>
              </w:rPr>
            </w:pPr>
            <w:r w:rsidRPr="003D4FF1">
              <w:rPr>
                <w:rFonts w:ascii="Calibri" w:eastAsia="Times New Roman" w:hAnsi="Calibri" w:cs="Calibri"/>
                <w:b/>
                <w:sz w:val="20"/>
                <w:szCs w:val="20"/>
              </w:rPr>
              <w:t xml:space="preserve">OSR </w:t>
            </w:r>
            <w:r w:rsidRPr="00F53DF4">
              <w:rPr>
                <w:rFonts w:ascii="Calibri" w:eastAsia="Times New Roman" w:hAnsi="Calibri" w:cs="Calibri"/>
                <w:b/>
                <w:sz w:val="20"/>
                <w:szCs w:val="20"/>
              </w:rPr>
              <w:t>w</w:t>
            </w:r>
            <w:r>
              <w:rPr>
                <w:rFonts w:ascii="Calibri" w:eastAsia="Times New Roman" w:hAnsi="Calibri" w:cs="Calibri"/>
                <w:b/>
                <w:sz w:val="20"/>
                <w:szCs w:val="20"/>
              </w:rPr>
              <w:t>ith</w:t>
            </w:r>
            <w:r w:rsidRPr="003D4FF1">
              <w:rPr>
                <w:rFonts w:ascii="Calibri" w:eastAsia="Times New Roman" w:hAnsi="Calibri" w:cs="Calibri"/>
                <w:b/>
                <w:sz w:val="20"/>
                <w:szCs w:val="20"/>
              </w:rPr>
              <w:t xml:space="preserve"> Program</w:t>
            </w:r>
          </w:p>
        </w:tc>
        <w:tc>
          <w:tcPr>
            <w:tcW w:w="1353" w:type="dxa"/>
            <w:tcBorders>
              <w:top w:val="single" w:sz="4" w:space="0" w:color="auto"/>
              <w:left w:val="nil"/>
              <w:bottom w:val="single" w:sz="4" w:space="0" w:color="auto"/>
              <w:right w:val="nil"/>
            </w:tcBorders>
            <w:shd w:val="clear" w:color="auto" w:fill="DDEBF7"/>
            <w:noWrap/>
            <w:vAlign w:val="center"/>
            <w:hideMark/>
          </w:tcPr>
          <w:p w14:paraId="6B90D88C" w14:textId="77777777" w:rsidR="00C2146F" w:rsidRPr="003D4FF1" w:rsidRDefault="00C2146F" w:rsidP="00BB36B2">
            <w:pPr>
              <w:jc w:val="center"/>
              <w:rPr>
                <w:rFonts w:ascii="Calibri" w:eastAsia="Times New Roman" w:hAnsi="Calibri" w:cs="Calibri"/>
                <w:b/>
                <w:sz w:val="20"/>
                <w:szCs w:val="20"/>
              </w:rPr>
            </w:pPr>
            <w:r w:rsidRPr="003D4FF1">
              <w:rPr>
                <w:rFonts w:ascii="Calibri" w:eastAsia="Times New Roman" w:hAnsi="Calibri" w:cs="Calibri"/>
                <w:b/>
                <w:sz w:val="20"/>
                <w:szCs w:val="20"/>
              </w:rPr>
              <w:t>Difference</w:t>
            </w:r>
          </w:p>
        </w:tc>
        <w:tc>
          <w:tcPr>
            <w:tcW w:w="1994" w:type="dxa"/>
            <w:tcBorders>
              <w:top w:val="single" w:sz="4" w:space="0" w:color="auto"/>
              <w:left w:val="nil"/>
              <w:bottom w:val="single" w:sz="4" w:space="0" w:color="auto"/>
              <w:right w:val="nil"/>
            </w:tcBorders>
            <w:shd w:val="clear" w:color="auto" w:fill="DDEBF7"/>
            <w:noWrap/>
            <w:vAlign w:val="center"/>
            <w:hideMark/>
          </w:tcPr>
          <w:p w14:paraId="2ED05B16" w14:textId="77777777" w:rsidR="00C2146F" w:rsidRPr="003D4FF1" w:rsidRDefault="00C2146F" w:rsidP="00BB36B2">
            <w:pPr>
              <w:jc w:val="center"/>
              <w:rPr>
                <w:rFonts w:ascii="Calibri" w:eastAsia="Times New Roman" w:hAnsi="Calibri" w:cs="Calibri"/>
                <w:b/>
                <w:sz w:val="20"/>
                <w:szCs w:val="20"/>
              </w:rPr>
            </w:pPr>
            <w:r w:rsidRPr="003D4FF1">
              <w:rPr>
                <w:rFonts w:ascii="Calibri" w:eastAsia="Times New Roman" w:hAnsi="Calibri" w:cs="Calibri"/>
                <w:b/>
                <w:sz w:val="20"/>
                <w:szCs w:val="20"/>
              </w:rPr>
              <w:t>PV of Difference</w:t>
            </w:r>
          </w:p>
        </w:tc>
        <w:tc>
          <w:tcPr>
            <w:tcW w:w="1960" w:type="dxa"/>
            <w:tcBorders>
              <w:top w:val="single" w:sz="4" w:space="0" w:color="auto"/>
              <w:left w:val="nil"/>
              <w:bottom w:val="single" w:sz="4" w:space="0" w:color="auto"/>
              <w:right w:val="single" w:sz="8" w:space="0" w:color="auto"/>
            </w:tcBorders>
            <w:shd w:val="clear" w:color="auto" w:fill="DDEBF7"/>
            <w:vAlign w:val="center"/>
            <w:hideMark/>
          </w:tcPr>
          <w:p w14:paraId="0A4327F2" w14:textId="77777777" w:rsidR="00C2146F" w:rsidRPr="003D4FF1" w:rsidRDefault="00C2146F" w:rsidP="00BB36B2">
            <w:pPr>
              <w:jc w:val="center"/>
              <w:rPr>
                <w:rFonts w:ascii="Calibri" w:eastAsia="Times New Roman" w:hAnsi="Calibri" w:cs="Calibri"/>
                <w:b/>
                <w:sz w:val="20"/>
                <w:szCs w:val="20"/>
              </w:rPr>
            </w:pPr>
            <w:r w:rsidRPr="003D4FF1">
              <w:rPr>
                <w:rFonts w:ascii="Calibri" w:eastAsia="Times New Roman" w:hAnsi="Calibri" w:cs="Calibri"/>
                <w:b/>
                <w:sz w:val="20"/>
                <w:szCs w:val="20"/>
              </w:rPr>
              <w:t>Cumulative PV of Difference</w:t>
            </w:r>
          </w:p>
        </w:tc>
      </w:tr>
      <w:tr w:rsidR="00C2146F" w:rsidRPr="003D4FF1" w14:paraId="5B0CC8E2" w14:textId="77777777" w:rsidTr="00BB36B2">
        <w:trPr>
          <w:trHeight w:val="300"/>
          <w:jc w:val="center"/>
        </w:trPr>
        <w:tc>
          <w:tcPr>
            <w:tcW w:w="9103" w:type="dxa"/>
            <w:gridSpan w:val="6"/>
            <w:tcBorders>
              <w:top w:val="single" w:sz="4" w:space="0" w:color="auto"/>
              <w:left w:val="single" w:sz="8" w:space="0" w:color="auto"/>
              <w:bottom w:val="single" w:sz="4" w:space="0" w:color="auto"/>
              <w:right w:val="single" w:sz="8" w:space="0" w:color="000000" w:themeColor="text1"/>
            </w:tcBorders>
            <w:shd w:val="clear" w:color="auto" w:fill="FFFFFF" w:themeFill="background1"/>
            <w:noWrap/>
            <w:vAlign w:val="bottom"/>
            <w:hideMark/>
          </w:tcPr>
          <w:p w14:paraId="7F3623EA" w14:textId="77777777" w:rsidR="00C2146F" w:rsidRPr="003D4FF1" w:rsidRDefault="00C2146F" w:rsidP="00BB36B2">
            <w:pPr>
              <w:jc w:val="center"/>
              <w:rPr>
                <w:rFonts w:ascii="Calibri" w:eastAsia="Times New Roman" w:hAnsi="Calibri" w:cs="Calibri"/>
                <w:i/>
                <w:iCs/>
                <w:sz w:val="20"/>
                <w:szCs w:val="20"/>
              </w:rPr>
            </w:pPr>
            <w:r w:rsidRPr="003D4FF1">
              <w:rPr>
                <w:rFonts w:ascii="Calibri" w:eastAsia="Times New Roman" w:hAnsi="Calibri" w:cs="Calibri"/>
                <w:i/>
                <w:iCs/>
                <w:sz w:val="20"/>
                <w:szCs w:val="20"/>
              </w:rPr>
              <w:t>Low</w:t>
            </w:r>
            <w:r>
              <w:rPr>
                <w:rFonts w:ascii="Calibri" w:eastAsia="Times New Roman" w:hAnsi="Calibri" w:cs="Calibri"/>
                <w:i/>
                <w:iCs/>
                <w:sz w:val="20"/>
                <w:szCs w:val="20"/>
              </w:rPr>
              <w:t>-</w:t>
            </w:r>
            <w:r w:rsidRPr="003D4FF1">
              <w:rPr>
                <w:rFonts w:ascii="Calibri" w:eastAsia="Times New Roman" w:hAnsi="Calibri" w:cs="Calibri"/>
                <w:i/>
                <w:iCs/>
                <w:sz w:val="20"/>
                <w:szCs w:val="20"/>
              </w:rPr>
              <w:t>case</w:t>
            </w:r>
            <w:r>
              <w:rPr>
                <w:rFonts w:ascii="Calibri" w:eastAsia="Times New Roman" w:hAnsi="Calibri" w:cs="Calibri"/>
                <w:i/>
                <w:iCs/>
                <w:sz w:val="20"/>
                <w:szCs w:val="20"/>
              </w:rPr>
              <w:t xml:space="preserve"> scenario</w:t>
            </w:r>
          </w:p>
        </w:tc>
      </w:tr>
      <w:tr w:rsidR="00C2146F" w:rsidRPr="003D4FF1" w14:paraId="28525825" w14:textId="77777777" w:rsidTr="00BB36B2">
        <w:trPr>
          <w:trHeight w:val="300"/>
          <w:jc w:val="center"/>
        </w:trPr>
        <w:tc>
          <w:tcPr>
            <w:tcW w:w="716" w:type="dxa"/>
            <w:tcBorders>
              <w:top w:val="nil"/>
              <w:left w:val="single" w:sz="8" w:space="0" w:color="auto"/>
              <w:bottom w:val="nil"/>
              <w:right w:val="nil"/>
            </w:tcBorders>
            <w:shd w:val="clear" w:color="auto" w:fill="FFFFFF" w:themeFill="background1"/>
            <w:noWrap/>
            <w:vAlign w:val="bottom"/>
            <w:hideMark/>
          </w:tcPr>
          <w:p w14:paraId="14837021"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w:t>
            </w:r>
          </w:p>
        </w:tc>
        <w:tc>
          <w:tcPr>
            <w:tcW w:w="1567" w:type="dxa"/>
            <w:tcBorders>
              <w:top w:val="nil"/>
              <w:left w:val="nil"/>
              <w:bottom w:val="nil"/>
              <w:right w:val="nil"/>
            </w:tcBorders>
            <w:shd w:val="clear" w:color="auto" w:fill="FFFFFF" w:themeFill="background1"/>
            <w:noWrap/>
            <w:vAlign w:val="bottom"/>
            <w:hideMark/>
          </w:tcPr>
          <w:p w14:paraId="1171564B"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151</w:t>
            </w:r>
          </w:p>
        </w:tc>
        <w:tc>
          <w:tcPr>
            <w:tcW w:w="1513" w:type="dxa"/>
            <w:tcBorders>
              <w:top w:val="nil"/>
              <w:left w:val="nil"/>
              <w:bottom w:val="nil"/>
              <w:right w:val="nil"/>
            </w:tcBorders>
            <w:shd w:val="clear" w:color="auto" w:fill="FFFFFF" w:themeFill="background1"/>
            <w:noWrap/>
            <w:vAlign w:val="bottom"/>
            <w:hideMark/>
          </w:tcPr>
          <w:p w14:paraId="4408267B"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280</w:t>
            </w:r>
          </w:p>
        </w:tc>
        <w:tc>
          <w:tcPr>
            <w:tcW w:w="1353" w:type="dxa"/>
            <w:tcBorders>
              <w:top w:val="nil"/>
              <w:left w:val="nil"/>
              <w:bottom w:val="nil"/>
              <w:right w:val="nil"/>
            </w:tcBorders>
            <w:shd w:val="clear" w:color="auto" w:fill="FFFFFF" w:themeFill="background1"/>
            <w:noWrap/>
            <w:vAlign w:val="bottom"/>
            <w:hideMark/>
          </w:tcPr>
          <w:p w14:paraId="07B90F1C"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129</w:t>
            </w:r>
          </w:p>
        </w:tc>
        <w:tc>
          <w:tcPr>
            <w:tcW w:w="1994" w:type="dxa"/>
            <w:tcBorders>
              <w:top w:val="nil"/>
              <w:left w:val="nil"/>
              <w:bottom w:val="nil"/>
              <w:right w:val="nil"/>
            </w:tcBorders>
            <w:shd w:val="clear" w:color="auto" w:fill="FFFFFF" w:themeFill="background1"/>
            <w:noWrap/>
            <w:vAlign w:val="bottom"/>
            <w:hideMark/>
          </w:tcPr>
          <w:p w14:paraId="61855127"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123</w:t>
            </w:r>
          </w:p>
        </w:tc>
        <w:tc>
          <w:tcPr>
            <w:tcW w:w="1960" w:type="dxa"/>
            <w:tcBorders>
              <w:top w:val="nil"/>
              <w:left w:val="nil"/>
              <w:bottom w:val="nil"/>
              <w:right w:val="single" w:sz="8" w:space="0" w:color="auto"/>
            </w:tcBorders>
            <w:shd w:val="clear" w:color="auto" w:fill="FFFFFF" w:themeFill="background1"/>
            <w:noWrap/>
            <w:vAlign w:val="bottom"/>
            <w:hideMark/>
          </w:tcPr>
          <w:p w14:paraId="528736E9"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123</w:t>
            </w:r>
          </w:p>
        </w:tc>
      </w:tr>
      <w:tr w:rsidR="00C2146F" w:rsidRPr="003D4FF1" w14:paraId="3F44258F" w14:textId="77777777" w:rsidTr="00BB36B2">
        <w:trPr>
          <w:trHeight w:val="300"/>
          <w:jc w:val="center"/>
        </w:trPr>
        <w:tc>
          <w:tcPr>
            <w:tcW w:w="716" w:type="dxa"/>
            <w:tcBorders>
              <w:top w:val="nil"/>
              <w:left w:val="single" w:sz="8" w:space="0" w:color="auto"/>
              <w:bottom w:val="nil"/>
              <w:right w:val="nil"/>
            </w:tcBorders>
            <w:shd w:val="clear" w:color="auto" w:fill="FFFFFF" w:themeFill="background1"/>
            <w:noWrap/>
            <w:vAlign w:val="bottom"/>
            <w:hideMark/>
          </w:tcPr>
          <w:p w14:paraId="7A0C5290"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5</w:t>
            </w:r>
          </w:p>
        </w:tc>
        <w:tc>
          <w:tcPr>
            <w:tcW w:w="1567" w:type="dxa"/>
            <w:tcBorders>
              <w:top w:val="nil"/>
              <w:left w:val="nil"/>
              <w:bottom w:val="nil"/>
              <w:right w:val="nil"/>
            </w:tcBorders>
            <w:shd w:val="clear" w:color="auto" w:fill="FFFFFF" w:themeFill="background1"/>
            <w:noWrap/>
            <w:vAlign w:val="bottom"/>
            <w:hideMark/>
          </w:tcPr>
          <w:p w14:paraId="45C85752"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206</w:t>
            </w:r>
          </w:p>
        </w:tc>
        <w:tc>
          <w:tcPr>
            <w:tcW w:w="1513" w:type="dxa"/>
            <w:tcBorders>
              <w:top w:val="nil"/>
              <w:left w:val="nil"/>
              <w:bottom w:val="nil"/>
              <w:right w:val="nil"/>
            </w:tcBorders>
            <w:shd w:val="clear" w:color="auto" w:fill="FFFFFF" w:themeFill="background1"/>
            <w:noWrap/>
            <w:vAlign w:val="bottom"/>
            <w:hideMark/>
          </w:tcPr>
          <w:p w14:paraId="31CACC1E"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381</w:t>
            </w:r>
          </w:p>
        </w:tc>
        <w:tc>
          <w:tcPr>
            <w:tcW w:w="1353" w:type="dxa"/>
            <w:tcBorders>
              <w:top w:val="nil"/>
              <w:left w:val="nil"/>
              <w:bottom w:val="nil"/>
              <w:right w:val="nil"/>
            </w:tcBorders>
            <w:shd w:val="clear" w:color="auto" w:fill="FFFFFF" w:themeFill="background1"/>
            <w:noWrap/>
            <w:vAlign w:val="bottom"/>
            <w:hideMark/>
          </w:tcPr>
          <w:p w14:paraId="4C0560E2"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176</w:t>
            </w:r>
          </w:p>
        </w:tc>
        <w:tc>
          <w:tcPr>
            <w:tcW w:w="1994" w:type="dxa"/>
            <w:tcBorders>
              <w:top w:val="nil"/>
              <w:left w:val="nil"/>
              <w:bottom w:val="nil"/>
              <w:right w:val="nil"/>
            </w:tcBorders>
            <w:shd w:val="clear" w:color="auto" w:fill="FFFFFF" w:themeFill="background1"/>
            <w:noWrap/>
            <w:vAlign w:val="bottom"/>
            <w:hideMark/>
          </w:tcPr>
          <w:p w14:paraId="05628A9B"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138</w:t>
            </w:r>
          </w:p>
        </w:tc>
        <w:tc>
          <w:tcPr>
            <w:tcW w:w="1960" w:type="dxa"/>
            <w:tcBorders>
              <w:top w:val="nil"/>
              <w:left w:val="nil"/>
              <w:bottom w:val="nil"/>
              <w:right w:val="single" w:sz="8" w:space="0" w:color="auto"/>
            </w:tcBorders>
            <w:shd w:val="clear" w:color="auto" w:fill="FFFFFF" w:themeFill="background1"/>
            <w:noWrap/>
            <w:vAlign w:val="bottom"/>
            <w:hideMark/>
          </w:tcPr>
          <w:p w14:paraId="306C213E"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654</w:t>
            </w:r>
          </w:p>
        </w:tc>
      </w:tr>
      <w:tr w:rsidR="00C2146F" w:rsidRPr="003D4FF1" w14:paraId="23BE91C6" w14:textId="77777777" w:rsidTr="00BB36B2">
        <w:trPr>
          <w:trHeight w:val="300"/>
          <w:jc w:val="center"/>
        </w:trPr>
        <w:tc>
          <w:tcPr>
            <w:tcW w:w="9103" w:type="dxa"/>
            <w:gridSpan w:val="6"/>
            <w:tcBorders>
              <w:top w:val="single" w:sz="4" w:space="0" w:color="auto"/>
              <w:left w:val="single" w:sz="8" w:space="0" w:color="auto"/>
              <w:bottom w:val="single" w:sz="4" w:space="0" w:color="auto"/>
              <w:right w:val="single" w:sz="8" w:space="0" w:color="000000" w:themeColor="text1"/>
            </w:tcBorders>
            <w:shd w:val="clear" w:color="auto" w:fill="FFFFFF" w:themeFill="background1"/>
            <w:noWrap/>
            <w:vAlign w:val="bottom"/>
            <w:hideMark/>
          </w:tcPr>
          <w:p w14:paraId="3461B737" w14:textId="77777777" w:rsidR="00C2146F" w:rsidRPr="003D4FF1" w:rsidRDefault="00C2146F" w:rsidP="00BB36B2">
            <w:pPr>
              <w:jc w:val="center"/>
              <w:rPr>
                <w:rFonts w:ascii="Calibri" w:eastAsia="Times New Roman" w:hAnsi="Calibri" w:cs="Calibri"/>
                <w:i/>
                <w:iCs/>
                <w:sz w:val="20"/>
                <w:szCs w:val="20"/>
              </w:rPr>
            </w:pPr>
            <w:r w:rsidRPr="003D4FF1">
              <w:rPr>
                <w:rFonts w:ascii="Calibri" w:eastAsia="Times New Roman" w:hAnsi="Calibri" w:cs="Calibri"/>
                <w:i/>
                <w:iCs/>
                <w:sz w:val="20"/>
                <w:szCs w:val="20"/>
              </w:rPr>
              <w:t>Medium</w:t>
            </w:r>
            <w:r>
              <w:rPr>
                <w:rFonts w:ascii="Calibri" w:eastAsia="Times New Roman" w:hAnsi="Calibri" w:cs="Calibri"/>
                <w:i/>
                <w:iCs/>
                <w:sz w:val="20"/>
                <w:szCs w:val="20"/>
              </w:rPr>
              <w:t>-</w:t>
            </w:r>
            <w:r w:rsidRPr="003D4FF1">
              <w:rPr>
                <w:rFonts w:ascii="Calibri" w:eastAsia="Times New Roman" w:hAnsi="Calibri" w:cs="Calibri"/>
                <w:i/>
                <w:iCs/>
                <w:sz w:val="20"/>
                <w:szCs w:val="20"/>
              </w:rPr>
              <w:t>case</w:t>
            </w:r>
            <w:r>
              <w:rPr>
                <w:rFonts w:ascii="Calibri" w:eastAsia="Times New Roman" w:hAnsi="Calibri" w:cs="Calibri"/>
                <w:i/>
                <w:iCs/>
                <w:sz w:val="20"/>
                <w:szCs w:val="20"/>
              </w:rPr>
              <w:t xml:space="preserve"> scenario</w:t>
            </w:r>
          </w:p>
        </w:tc>
      </w:tr>
      <w:tr w:rsidR="00C2146F" w:rsidRPr="003D4FF1" w14:paraId="080591B6" w14:textId="77777777" w:rsidTr="00BB36B2">
        <w:trPr>
          <w:trHeight w:val="300"/>
          <w:jc w:val="center"/>
        </w:trPr>
        <w:tc>
          <w:tcPr>
            <w:tcW w:w="716" w:type="dxa"/>
            <w:tcBorders>
              <w:top w:val="nil"/>
              <w:left w:val="single" w:sz="8" w:space="0" w:color="auto"/>
              <w:bottom w:val="nil"/>
              <w:right w:val="nil"/>
            </w:tcBorders>
            <w:shd w:val="clear" w:color="auto" w:fill="FFFFFF" w:themeFill="background1"/>
            <w:noWrap/>
            <w:vAlign w:val="bottom"/>
            <w:hideMark/>
          </w:tcPr>
          <w:p w14:paraId="60EB15C5"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w:t>
            </w:r>
          </w:p>
        </w:tc>
        <w:tc>
          <w:tcPr>
            <w:tcW w:w="1567" w:type="dxa"/>
            <w:tcBorders>
              <w:top w:val="nil"/>
              <w:left w:val="nil"/>
              <w:bottom w:val="nil"/>
              <w:right w:val="nil"/>
            </w:tcBorders>
            <w:shd w:val="clear" w:color="auto" w:fill="FFFFFF" w:themeFill="background1"/>
            <w:noWrap/>
            <w:vAlign w:val="bottom"/>
            <w:hideMark/>
          </w:tcPr>
          <w:p w14:paraId="35AF134A"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151</w:t>
            </w:r>
          </w:p>
        </w:tc>
        <w:tc>
          <w:tcPr>
            <w:tcW w:w="1513" w:type="dxa"/>
            <w:tcBorders>
              <w:top w:val="nil"/>
              <w:left w:val="nil"/>
              <w:bottom w:val="nil"/>
              <w:right w:val="nil"/>
            </w:tcBorders>
            <w:shd w:val="clear" w:color="auto" w:fill="FFFFFF" w:themeFill="background1"/>
            <w:noWrap/>
            <w:vAlign w:val="bottom"/>
            <w:hideMark/>
          </w:tcPr>
          <w:p w14:paraId="1883C6DE"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336</w:t>
            </w:r>
          </w:p>
        </w:tc>
        <w:tc>
          <w:tcPr>
            <w:tcW w:w="1353" w:type="dxa"/>
            <w:tcBorders>
              <w:top w:val="nil"/>
              <w:left w:val="nil"/>
              <w:bottom w:val="nil"/>
              <w:right w:val="nil"/>
            </w:tcBorders>
            <w:shd w:val="clear" w:color="auto" w:fill="FFFFFF" w:themeFill="background1"/>
            <w:noWrap/>
            <w:vAlign w:val="bottom"/>
            <w:hideMark/>
          </w:tcPr>
          <w:p w14:paraId="1270E2FB"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185</w:t>
            </w:r>
          </w:p>
        </w:tc>
        <w:tc>
          <w:tcPr>
            <w:tcW w:w="1994" w:type="dxa"/>
            <w:tcBorders>
              <w:top w:val="nil"/>
              <w:left w:val="nil"/>
              <w:bottom w:val="nil"/>
              <w:right w:val="nil"/>
            </w:tcBorders>
            <w:shd w:val="clear" w:color="auto" w:fill="FFFFFF" w:themeFill="background1"/>
            <w:noWrap/>
            <w:vAlign w:val="bottom"/>
            <w:hideMark/>
          </w:tcPr>
          <w:p w14:paraId="0FC070BB"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176</w:t>
            </w:r>
          </w:p>
        </w:tc>
        <w:tc>
          <w:tcPr>
            <w:tcW w:w="1960" w:type="dxa"/>
            <w:tcBorders>
              <w:top w:val="nil"/>
              <w:left w:val="nil"/>
              <w:bottom w:val="nil"/>
              <w:right w:val="single" w:sz="8" w:space="0" w:color="auto"/>
            </w:tcBorders>
            <w:shd w:val="clear" w:color="auto" w:fill="FFFFFF" w:themeFill="background1"/>
            <w:noWrap/>
            <w:vAlign w:val="bottom"/>
            <w:hideMark/>
          </w:tcPr>
          <w:p w14:paraId="64B17C97"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176</w:t>
            </w:r>
          </w:p>
        </w:tc>
      </w:tr>
      <w:tr w:rsidR="00C2146F" w:rsidRPr="003D4FF1" w14:paraId="6A667023" w14:textId="77777777" w:rsidTr="00BB36B2">
        <w:trPr>
          <w:trHeight w:val="300"/>
          <w:jc w:val="center"/>
        </w:trPr>
        <w:tc>
          <w:tcPr>
            <w:tcW w:w="716" w:type="dxa"/>
            <w:tcBorders>
              <w:top w:val="nil"/>
              <w:left w:val="single" w:sz="8" w:space="0" w:color="auto"/>
              <w:bottom w:val="nil"/>
              <w:right w:val="nil"/>
            </w:tcBorders>
            <w:shd w:val="clear" w:color="auto" w:fill="FFFFFF" w:themeFill="background1"/>
            <w:noWrap/>
            <w:vAlign w:val="bottom"/>
            <w:hideMark/>
          </w:tcPr>
          <w:p w14:paraId="58B3B953"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5</w:t>
            </w:r>
          </w:p>
        </w:tc>
        <w:tc>
          <w:tcPr>
            <w:tcW w:w="1567" w:type="dxa"/>
            <w:tcBorders>
              <w:top w:val="nil"/>
              <w:left w:val="nil"/>
              <w:bottom w:val="nil"/>
              <w:right w:val="nil"/>
            </w:tcBorders>
            <w:shd w:val="clear" w:color="auto" w:fill="FFFFFF" w:themeFill="background1"/>
            <w:noWrap/>
            <w:vAlign w:val="bottom"/>
            <w:hideMark/>
          </w:tcPr>
          <w:p w14:paraId="01D98690"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206</w:t>
            </w:r>
          </w:p>
        </w:tc>
        <w:tc>
          <w:tcPr>
            <w:tcW w:w="1513" w:type="dxa"/>
            <w:tcBorders>
              <w:top w:val="nil"/>
              <w:left w:val="nil"/>
              <w:bottom w:val="nil"/>
              <w:right w:val="nil"/>
            </w:tcBorders>
            <w:shd w:val="clear" w:color="auto" w:fill="FFFFFF" w:themeFill="background1"/>
            <w:noWrap/>
            <w:vAlign w:val="bottom"/>
            <w:hideMark/>
          </w:tcPr>
          <w:p w14:paraId="110BFAE3"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458</w:t>
            </w:r>
          </w:p>
        </w:tc>
        <w:tc>
          <w:tcPr>
            <w:tcW w:w="1353" w:type="dxa"/>
            <w:tcBorders>
              <w:top w:val="nil"/>
              <w:left w:val="nil"/>
              <w:bottom w:val="nil"/>
              <w:right w:val="nil"/>
            </w:tcBorders>
            <w:shd w:val="clear" w:color="auto" w:fill="FFFFFF" w:themeFill="background1"/>
            <w:noWrap/>
            <w:vAlign w:val="bottom"/>
            <w:hideMark/>
          </w:tcPr>
          <w:p w14:paraId="13A48F44"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252</w:t>
            </w:r>
          </w:p>
        </w:tc>
        <w:tc>
          <w:tcPr>
            <w:tcW w:w="1994" w:type="dxa"/>
            <w:tcBorders>
              <w:top w:val="nil"/>
              <w:left w:val="nil"/>
              <w:bottom w:val="nil"/>
              <w:right w:val="nil"/>
            </w:tcBorders>
            <w:shd w:val="clear" w:color="auto" w:fill="FFFFFF" w:themeFill="background1"/>
            <w:noWrap/>
            <w:vAlign w:val="bottom"/>
            <w:hideMark/>
          </w:tcPr>
          <w:p w14:paraId="2B18E20C"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198</w:t>
            </w:r>
          </w:p>
        </w:tc>
        <w:tc>
          <w:tcPr>
            <w:tcW w:w="1960" w:type="dxa"/>
            <w:tcBorders>
              <w:top w:val="nil"/>
              <w:left w:val="nil"/>
              <w:bottom w:val="nil"/>
              <w:right w:val="single" w:sz="8" w:space="0" w:color="auto"/>
            </w:tcBorders>
            <w:shd w:val="clear" w:color="auto" w:fill="FFFFFF" w:themeFill="background1"/>
            <w:noWrap/>
            <w:vAlign w:val="bottom"/>
            <w:hideMark/>
          </w:tcPr>
          <w:p w14:paraId="74A49EA1"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940</w:t>
            </w:r>
          </w:p>
        </w:tc>
      </w:tr>
      <w:tr w:rsidR="00C2146F" w:rsidRPr="003D4FF1" w14:paraId="5C0F397F" w14:textId="77777777" w:rsidTr="00BB36B2">
        <w:trPr>
          <w:trHeight w:val="300"/>
          <w:jc w:val="center"/>
        </w:trPr>
        <w:tc>
          <w:tcPr>
            <w:tcW w:w="9103" w:type="dxa"/>
            <w:gridSpan w:val="6"/>
            <w:tcBorders>
              <w:top w:val="single" w:sz="4" w:space="0" w:color="auto"/>
              <w:left w:val="single" w:sz="8" w:space="0" w:color="auto"/>
              <w:bottom w:val="single" w:sz="4" w:space="0" w:color="auto"/>
              <w:right w:val="single" w:sz="8" w:space="0" w:color="000000" w:themeColor="text1"/>
            </w:tcBorders>
            <w:shd w:val="clear" w:color="auto" w:fill="FFFFFF" w:themeFill="background1"/>
            <w:noWrap/>
            <w:vAlign w:val="bottom"/>
            <w:hideMark/>
          </w:tcPr>
          <w:p w14:paraId="76E8CD0C" w14:textId="77777777" w:rsidR="00C2146F" w:rsidRPr="003D4FF1" w:rsidRDefault="00C2146F" w:rsidP="00BB36B2">
            <w:pPr>
              <w:jc w:val="center"/>
              <w:rPr>
                <w:rFonts w:ascii="Calibri" w:eastAsia="Times New Roman" w:hAnsi="Calibri" w:cs="Calibri"/>
                <w:i/>
                <w:iCs/>
                <w:sz w:val="20"/>
                <w:szCs w:val="20"/>
              </w:rPr>
            </w:pPr>
            <w:r w:rsidRPr="003D4FF1">
              <w:rPr>
                <w:rFonts w:ascii="Calibri" w:eastAsia="Times New Roman" w:hAnsi="Calibri" w:cs="Calibri"/>
                <w:i/>
                <w:iCs/>
                <w:sz w:val="20"/>
                <w:szCs w:val="20"/>
              </w:rPr>
              <w:t>High</w:t>
            </w:r>
            <w:r>
              <w:rPr>
                <w:rFonts w:ascii="Calibri" w:eastAsia="Times New Roman" w:hAnsi="Calibri" w:cs="Calibri"/>
                <w:i/>
                <w:iCs/>
                <w:sz w:val="20"/>
                <w:szCs w:val="20"/>
              </w:rPr>
              <w:t>-</w:t>
            </w:r>
            <w:r w:rsidRPr="003D4FF1">
              <w:rPr>
                <w:rFonts w:ascii="Calibri" w:eastAsia="Times New Roman" w:hAnsi="Calibri" w:cs="Calibri"/>
                <w:i/>
                <w:iCs/>
                <w:sz w:val="20"/>
                <w:szCs w:val="20"/>
              </w:rPr>
              <w:t>case</w:t>
            </w:r>
            <w:r>
              <w:rPr>
                <w:rFonts w:ascii="Calibri" w:eastAsia="Times New Roman" w:hAnsi="Calibri" w:cs="Calibri"/>
                <w:i/>
                <w:iCs/>
                <w:sz w:val="20"/>
                <w:szCs w:val="20"/>
              </w:rPr>
              <w:t xml:space="preserve"> scenario</w:t>
            </w:r>
          </w:p>
        </w:tc>
      </w:tr>
      <w:tr w:rsidR="00C2146F" w:rsidRPr="003D4FF1" w14:paraId="36F611E9" w14:textId="77777777" w:rsidTr="00BB36B2">
        <w:trPr>
          <w:trHeight w:val="300"/>
          <w:jc w:val="center"/>
        </w:trPr>
        <w:tc>
          <w:tcPr>
            <w:tcW w:w="716" w:type="dxa"/>
            <w:tcBorders>
              <w:top w:val="nil"/>
              <w:left w:val="single" w:sz="8" w:space="0" w:color="auto"/>
              <w:bottom w:val="nil"/>
              <w:right w:val="nil"/>
            </w:tcBorders>
            <w:shd w:val="clear" w:color="auto" w:fill="FFFFFF" w:themeFill="background1"/>
            <w:noWrap/>
            <w:vAlign w:val="bottom"/>
            <w:hideMark/>
          </w:tcPr>
          <w:p w14:paraId="4F1DABF4"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w:t>
            </w:r>
          </w:p>
        </w:tc>
        <w:tc>
          <w:tcPr>
            <w:tcW w:w="1567" w:type="dxa"/>
            <w:tcBorders>
              <w:top w:val="nil"/>
              <w:left w:val="nil"/>
              <w:bottom w:val="nil"/>
              <w:right w:val="nil"/>
            </w:tcBorders>
            <w:shd w:val="clear" w:color="auto" w:fill="FFFFFF" w:themeFill="background1"/>
            <w:noWrap/>
            <w:vAlign w:val="bottom"/>
            <w:hideMark/>
          </w:tcPr>
          <w:p w14:paraId="405AA248"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151</w:t>
            </w:r>
          </w:p>
        </w:tc>
        <w:tc>
          <w:tcPr>
            <w:tcW w:w="1513" w:type="dxa"/>
            <w:tcBorders>
              <w:top w:val="nil"/>
              <w:left w:val="nil"/>
              <w:bottom w:val="nil"/>
              <w:right w:val="nil"/>
            </w:tcBorders>
            <w:shd w:val="clear" w:color="auto" w:fill="FFFFFF" w:themeFill="background1"/>
            <w:noWrap/>
            <w:vAlign w:val="bottom"/>
            <w:hideMark/>
          </w:tcPr>
          <w:p w14:paraId="70107A8C"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392</w:t>
            </w:r>
          </w:p>
        </w:tc>
        <w:tc>
          <w:tcPr>
            <w:tcW w:w="1353" w:type="dxa"/>
            <w:tcBorders>
              <w:top w:val="nil"/>
              <w:left w:val="nil"/>
              <w:bottom w:val="nil"/>
              <w:right w:val="nil"/>
            </w:tcBorders>
            <w:shd w:val="clear" w:color="auto" w:fill="FFFFFF" w:themeFill="background1"/>
            <w:noWrap/>
            <w:vAlign w:val="bottom"/>
            <w:hideMark/>
          </w:tcPr>
          <w:p w14:paraId="433A3742"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241</w:t>
            </w:r>
          </w:p>
        </w:tc>
        <w:tc>
          <w:tcPr>
            <w:tcW w:w="1994" w:type="dxa"/>
            <w:tcBorders>
              <w:top w:val="nil"/>
              <w:left w:val="nil"/>
              <w:bottom w:val="nil"/>
              <w:right w:val="nil"/>
            </w:tcBorders>
            <w:shd w:val="clear" w:color="auto" w:fill="FFFFFF" w:themeFill="background1"/>
            <w:noWrap/>
            <w:vAlign w:val="bottom"/>
            <w:hideMark/>
          </w:tcPr>
          <w:p w14:paraId="2B66B61F"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230</w:t>
            </w:r>
          </w:p>
        </w:tc>
        <w:tc>
          <w:tcPr>
            <w:tcW w:w="1960" w:type="dxa"/>
            <w:tcBorders>
              <w:top w:val="nil"/>
              <w:left w:val="nil"/>
              <w:bottom w:val="nil"/>
              <w:right w:val="single" w:sz="8" w:space="0" w:color="auto"/>
            </w:tcBorders>
            <w:shd w:val="clear" w:color="auto" w:fill="FFFFFF" w:themeFill="background1"/>
            <w:noWrap/>
            <w:vAlign w:val="bottom"/>
            <w:hideMark/>
          </w:tcPr>
          <w:p w14:paraId="1E658041"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230</w:t>
            </w:r>
          </w:p>
        </w:tc>
      </w:tr>
      <w:tr w:rsidR="00C2146F" w:rsidRPr="003D4FF1" w14:paraId="571B5380" w14:textId="77777777" w:rsidTr="00BB36B2">
        <w:trPr>
          <w:trHeight w:val="315"/>
          <w:jc w:val="center"/>
        </w:trPr>
        <w:tc>
          <w:tcPr>
            <w:tcW w:w="716" w:type="dxa"/>
            <w:tcBorders>
              <w:top w:val="nil"/>
              <w:left w:val="single" w:sz="8" w:space="0" w:color="auto"/>
              <w:bottom w:val="single" w:sz="8" w:space="0" w:color="auto"/>
              <w:right w:val="nil"/>
            </w:tcBorders>
            <w:shd w:val="clear" w:color="auto" w:fill="FFFFFF" w:themeFill="background1"/>
            <w:noWrap/>
            <w:vAlign w:val="bottom"/>
            <w:hideMark/>
          </w:tcPr>
          <w:p w14:paraId="1919D863"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5</w:t>
            </w:r>
          </w:p>
        </w:tc>
        <w:tc>
          <w:tcPr>
            <w:tcW w:w="1567" w:type="dxa"/>
            <w:tcBorders>
              <w:top w:val="nil"/>
              <w:left w:val="nil"/>
              <w:bottom w:val="single" w:sz="8" w:space="0" w:color="auto"/>
              <w:right w:val="nil"/>
            </w:tcBorders>
            <w:shd w:val="clear" w:color="auto" w:fill="FFFFFF" w:themeFill="background1"/>
            <w:noWrap/>
            <w:vAlign w:val="bottom"/>
            <w:hideMark/>
          </w:tcPr>
          <w:p w14:paraId="0F8EFF0C"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206</w:t>
            </w:r>
          </w:p>
        </w:tc>
        <w:tc>
          <w:tcPr>
            <w:tcW w:w="1513" w:type="dxa"/>
            <w:tcBorders>
              <w:top w:val="nil"/>
              <w:left w:val="nil"/>
              <w:bottom w:val="single" w:sz="8" w:space="0" w:color="auto"/>
              <w:right w:val="nil"/>
            </w:tcBorders>
            <w:shd w:val="clear" w:color="auto" w:fill="FFFFFF" w:themeFill="background1"/>
            <w:noWrap/>
            <w:vAlign w:val="bottom"/>
            <w:hideMark/>
          </w:tcPr>
          <w:p w14:paraId="7BDB21DC"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535</w:t>
            </w:r>
          </w:p>
        </w:tc>
        <w:tc>
          <w:tcPr>
            <w:tcW w:w="1353" w:type="dxa"/>
            <w:tcBorders>
              <w:top w:val="nil"/>
              <w:left w:val="nil"/>
              <w:bottom w:val="single" w:sz="8" w:space="0" w:color="auto"/>
              <w:right w:val="nil"/>
            </w:tcBorders>
            <w:shd w:val="clear" w:color="auto" w:fill="FFFFFF" w:themeFill="background1"/>
            <w:noWrap/>
            <w:vAlign w:val="bottom"/>
            <w:hideMark/>
          </w:tcPr>
          <w:p w14:paraId="20AEDF19"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329</w:t>
            </w:r>
          </w:p>
        </w:tc>
        <w:tc>
          <w:tcPr>
            <w:tcW w:w="1994" w:type="dxa"/>
            <w:tcBorders>
              <w:top w:val="nil"/>
              <w:left w:val="nil"/>
              <w:bottom w:val="single" w:sz="8" w:space="0" w:color="auto"/>
              <w:right w:val="nil"/>
            </w:tcBorders>
            <w:shd w:val="clear" w:color="auto" w:fill="FFFFFF" w:themeFill="background1"/>
            <w:noWrap/>
            <w:vAlign w:val="bottom"/>
            <w:hideMark/>
          </w:tcPr>
          <w:p w14:paraId="6FB18464"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258</w:t>
            </w:r>
          </w:p>
        </w:tc>
        <w:tc>
          <w:tcPr>
            <w:tcW w:w="1960" w:type="dxa"/>
            <w:tcBorders>
              <w:top w:val="nil"/>
              <w:left w:val="nil"/>
              <w:bottom w:val="single" w:sz="8" w:space="0" w:color="auto"/>
              <w:right w:val="single" w:sz="8" w:space="0" w:color="auto"/>
            </w:tcBorders>
            <w:shd w:val="clear" w:color="auto" w:fill="FFFFFF" w:themeFill="background1"/>
            <w:noWrap/>
            <w:vAlign w:val="bottom"/>
            <w:hideMark/>
          </w:tcPr>
          <w:p w14:paraId="0830E705" w14:textId="77777777" w:rsidR="00C2146F" w:rsidRPr="003D4FF1" w:rsidRDefault="00C2146F" w:rsidP="00BB36B2">
            <w:pPr>
              <w:jc w:val="center"/>
              <w:rPr>
                <w:rFonts w:ascii="Calibri" w:eastAsia="Times New Roman" w:hAnsi="Calibri" w:cs="Calibri"/>
                <w:sz w:val="20"/>
                <w:szCs w:val="20"/>
              </w:rPr>
            </w:pPr>
            <w:r w:rsidRPr="003D4FF1">
              <w:rPr>
                <w:rFonts w:ascii="Calibri" w:eastAsia="Times New Roman" w:hAnsi="Calibri" w:cs="Calibri"/>
                <w:sz w:val="20"/>
                <w:szCs w:val="20"/>
              </w:rPr>
              <w:t>1,225</w:t>
            </w:r>
          </w:p>
        </w:tc>
      </w:tr>
    </w:tbl>
    <w:p w14:paraId="4E5F478A" w14:textId="77777777" w:rsidR="00C2146F" w:rsidRPr="00E24127" w:rsidRDefault="00C2146F" w:rsidP="00C2146F">
      <w:pPr>
        <w:pStyle w:val="ListParagraph"/>
        <w:widowControl/>
        <w:autoSpaceDE/>
        <w:autoSpaceDN/>
        <w:adjustRightInd/>
        <w:spacing w:after="240"/>
        <w:ind w:left="0"/>
        <w:contextualSpacing w:val="0"/>
        <w:jc w:val="both"/>
        <w:rPr>
          <w:rFonts w:asciiTheme="minorHAnsi" w:hAnsiTheme="minorHAnsi"/>
          <w:bCs/>
          <w:color w:val="auto"/>
          <w:sz w:val="20"/>
        </w:rPr>
      </w:pPr>
      <w:r w:rsidRPr="00E24127">
        <w:rPr>
          <w:rFonts w:asciiTheme="minorHAnsi" w:hAnsiTheme="minorHAnsi"/>
          <w:bCs/>
          <w:i/>
          <w:color w:val="auto"/>
          <w:sz w:val="20"/>
        </w:rPr>
        <w:t xml:space="preserve">Note: </w:t>
      </w:r>
      <w:r w:rsidRPr="00E24127">
        <w:rPr>
          <w:rFonts w:asciiTheme="minorHAnsi" w:hAnsiTheme="minorHAnsi"/>
          <w:bCs/>
          <w:color w:val="auto"/>
          <w:sz w:val="20"/>
        </w:rPr>
        <w:t>PV = Present value.</w:t>
      </w:r>
    </w:p>
    <w:p w14:paraId="38486481" w14:textId="77777777" w:rsidR="00C2146F" w:rsidRPr="00C03EC6" w:rsidRDefault="00C2146F" w:rsidP="00C2146F">
      <w:pPr>
        <w:pStyle w:val="ListParagraph"/>
        <w:widowControl/>
        <w:numPr>
          <w:ilvl w:val="0"/>
          <w:numId w:val="14"/>
        </w:numPr>
        <w:autoSpaceDE/>
        <w:autoSpaceDN/>
        <w:adjustRightInd/>
        <w:spacing w:after="240"/>
        <w:ind w:left="0" w:firstLine="0"/>
        <w:contextualSpacing w:val="0"/>
        <w:jc w:val="both"/>
        <w:rPr>
          <w:rFonts w:asciiTheme="minorHAnsi" w:hAnsiTheme="minorHAnsi"/>
          <w:b/>
          <w:bCs/>
          <w:color w:val="auto"/>
        </w:rPr>
      </w:pPr>
      <w:r w:rsidRPr="003B22C9">
        <w:rPr>
          <w:rFonts w:asciiTheme="minorHAnsi" w:hAnsiTheme="minorHAnsi"/>
          <w:b/>
          <w:bCs/>
          <w:color w:val="auto"/>
        </w:rPr>
        <w:t xml:space="preserve">The consolidation in government cash balance is expected to generate additional funds to better plan the fund release policy for spending entities, thereby improving the predictability of the </w:t>
      </w:r>
      <w:r>
        <w:rPr>
          <w:rFonts w:asciiTheme="minorHAnsi" w:hAnsiTheme="minorHAnsi"/>
          <w:b/>
          <w:bCs/>
          <w:color w:val="auto"/>
        </w:rPr>
        <w:t>p</w:t>
      </w:r>
      <w:r w:rsidRPr="003B22C9">
        <w:rPr>
          <w:rFonts w:asciiTheme="minorHAnsi" w:hAnsiTheme="minorHAnsi"/>
          <w:b/>
          <w:bCs/>
          <w:color w:val="auto"/>
        </w:rPr>
        <w:t xml:space="preserve">rovince’s spending and its budget execution, particularly on public investment. </w:t>
      </w:r>
      <w:r w:rsidRPr="00C03EC6">
        <w:rPr>
          <w:rFonts w:asciiTheme="minorHAnsi" w:hAnsiTheme="minorHAnsi"/>
          <w:bCs/>
          <w:color w:val="auto"/>
        </w:rPr>
        <w:t>The elimination of outstanding</w:t>
      </w:r>
      <w:r w:rsidRPr="00C03EC6" w:rsidDel="006D11E8">
        <w:rPr>
          <w:rFonts w:asciiTheme="minorHAnsi" w:hAnsiTheme="minorHAnsi"/>
          <w:bCs/>
          <w:color w:val="auto"/>
        </w:rPr>
        <w:t xml:space="preserve"> </w:t>
      </w:r>
      <w:r w:rsidRPr="00C03EC6">
        <w:rPr>
          <w:rFonts w:asciiTheme="minorHAnsi" w:hAnsiTheme="minorHAnsi"/>
          <w:bCs/>
          <w:color w:val="auto"/>
        </w:rPr>
        <w:t xml:space="preserve">cash deposits by select government departments (Law, Health, Higher Education, Elementary </w:t>
      </w:r>
      <w:r>
        <w:rPr>
          <w:rFonts w:asciiTheme="minorHAnsi" w:hAnsiTheme="minorHAnsi"/>
          <w:bCs/>
          <w:color w:val="auto"/>
        </w:rPr>
        <w:t>and</w:t>
      </w:r>
      <w:r w:rsidRPr="00C03EC6">
        <w:rPr>
          <w:rFonts w:asciiTheme="minorHAnsi" w:hAnsiTheme="minorHAnsi"/>
          <w:bCs/>
          <w:color w:val="auto"/>
        </w:rPr>
        <w:t xml:space="preserve"> Secondary Education, and Local Government) with commercial banks</w:t>
      </w:r>
      <w:r w:rsidRPr="00C03EC6" w:rsidDel="00C2090B">
        <w:rPr>
          <w:rFonts w:asciiTheme="minorHAnsi" w:hAnsiTheme="minorHAnsi"/>
          <w:bCs/>
          <w:color w:val="auto"/>
        </w:rPr>
        <w:t xml:space="preserve"> </w:t>
      </w:r>
      <w:r w:rsidRPr="00C03EC6">
        <w:rPr>
          <w:rFonts w:asciiTheme="minorHAnsi" w:hAnsiTheme="minorHAnsi"/>
          <w:bCs/>
          <w:color w:val="auto"/>
        </w:rPr>
        <w:t xml:space="preserve">is expected to render PKR 34 billion in nominal terms by the end of the proposed Program. On the other hand, with the transformation of the province’s ADP toward 80 percent approved portfolio through the proposed Program, it is estimated that the expenditure on public investment will increase by 10 percent over the next five years, assuming </w:t>
      </w:r>
      <w:r>
        <w:rPr>
          <w:rFonts w:asciiTheme="minorHAnsi" w:hAnsiTheme="minorHAnsi"/>
          <w:bCs/>
          <w:color w:val="auto"/>
        </w:rPr>
        <w:t xml:space="preserve">that </w:t>
      </w:r>
      <w:r w:rsidRPr="00C03EC6">
        <w:rPr>
          <w:rFonts w:asciiTheme="minorHAnsi" w:hAnsiTheme="minorHAnsi"/>
          <w:bCs/>
          <w:color w:val="auto"/>
        </w:rPr>
        <w:t xml:space="preserve">the transferred cash from bank deposits is channeled to this avenue. This analysis does not consider the economic growth, inflation, </w:t>
      </w:r>
      <w:r>
        <w:rPr>
          <w:rFonts w:asciiTheme="minorHAnsi" w:hAnsiTheme="minorHAnsi"/>
          <w:bCs/>
          <w:color w:val="auto"/>
        </w:rPr>
        <w:t xml:space="preserve">and </w:t>
      </w:r>
      <w:r w:rsidRPr="00C03EC6">
        <w:rPr>
          <w:rFonts w:asciiTheme="minorHAnsi" w:hAnsiTheme="minorHAnsi"/>
          <w:bCs/>
          <w:color w:val="auto"/>
        </w:rPr>
        <w:t xml:space="preserve">the increase in development budget over the next five years. </w:t>
      </w:r>
    </w:p>
    <w:p w14:paraId="4C448DDE" w14:textId="77777777" w:rsidR="00C2146F" w:rsidRPr="00C03EC6" w:rsidRDefault="00C2146F" w:rsidP="00C2146F">
      <w:pPr>
        <w:pStyle w:val="ListParagraph"/>
        <w:widowControl/>
        <w:numPr>
          <w:ilvl w:val="0"/>
          <w:numId w:val="14"/>
        </w:numPr>
        <w:autoSpaceDE/>
        <w:autoSpaceDN/>
        <w:adjustRightInd/>
        <w:spacing w:after="240"/>
        <w:ind w:left="0" w:firstLine="0"/>
        <w:contextualSpacing w:val="0"/>
        <w:jc w:val="both"/>
        <w:rPr>
          <w:rFonts w:asciiTheme="minorHAnsi" w:hAnsiTheme="minorHAnsi"/>
          <w:b/>
          <w:bCs/>
          <w:color w:val="auto"/>
        </w:rPr>
      </w:pPr>
      <w:r w:rsidRPr="003B22C9">
        <w:rPr>
          <w:rFonts w:asciiTheme="minorHAnsi" w:hAnsiTheme="minorHAnsi"/>
          <w:b/>
          <w:bCs/>
          <w:color w:val="auto"/>
        </w:rPr>
        <w:t xml:space="preserve">The increased focus of the ADP on capital investment and project selection is also expected to enhance the contribution of public expenditure to economic growth in the province. </w:t>
      </w:r>
      <w:r w:rsidRPr="00C03EC6">
        <w:rPr>
          <w:rFonts w:asciiTheme="minorHAnsi" w:hAnsiTheme="minorHAnsi"/>
          <w:bCs/>
          <w:color w:val="auto"/>
        </w:rPr>
        <w:t xml:space="preserve">Literature indicates </w:t>
      </w:r>
      <w:r w:rsidRPr="00C03EC6">
        <w:rPr>
          <w:rFonts w:asciiTheme="minorHAnsi" w:hAnsiTheme="minorHAnsi"/>
          <w:bCs/>
          <w:color w:val="auto"/>
        </w:rPr>
        <w:lastRenderedPageBreak/>
        <w:t>that a rise in capital investment will have important effects on both the demand and supply</w:t>
      </w:r>
      <w:r>
        <w:rPr>
          <w:rFonts w:asciiTheme="minorHAnsi" w:hAnsiTheme="minorHAnsi"/>
          <w:bCs/>
          <w:color w:val="auto"/>
        </w:rPr>
        <w:t xml:space="preserve"> </w:t>
      </w:r>
      <w:r w:rsidRPr="00C03EC6">
        <w:rPr>
          <w:rFonts w:asciiTheme="minorHAnsi" w:hAnsiTheme="minorHAnsi"/>
          <w:bCs/>
          <w:color w:val="auto"/>
        </w:rPr>
        <w:t>side</w:t>
      </w:r>
      <w:r>
        <w:rPr>
          <w:rFonts w:asciiTheme="minorHAnsi" w:hAnsiTheme="minorHAnsi"/>
          <w:bCs/>
          <w:color w:val="auto"/>
        </w:rPr>
        <w:t>—</w:t>
      </w:r>
      <w:r w:rsidRPr="00C03EC6">
        <w:rPr>
          <w:rFonts w:asciiTheme="minorHAnsi" w:hAnsiTheme="minorHAnsi"/>
          <w:bCs/>
          <w:color w:val="auto"/>
        </w:rPr>
        <w:t xml:space="preserve">including a positive multiplier effect on national income. Barro and Lee (1994) worked on </w:t>
      </w:r>
      <w:r>
        <w:rPr>
          <w:rFonts w:asciiTheme="minorHAnsi" w:hAnsiTheme="minorHAnsi"/>
          <w:bCs/>
          <w:color w:val="auto"/>
        </w:rPr>
        <w:t xml:space="preserve">a </w:t>
      </w:r>
      <w:r w:rsidRPr="00C03EC6">
        <w:rPr>
          <w:rFonts w:asciiTheme="minorHAnsi" w:hAnsiTheme="minorHAnsi"/>
          <w:bCs/>
          <w:color w:val="auto"/>
        </w:rPr>
        <w:t>cross-country empirical analysis to isolate major determinants of growth, concluding that there are five important effects on growth</w:t>
      </w:r>
      <w:r>
        <w:rPr>
          <w:rFonts w:asciiTheme="minorHAnsi" w:hAnsiTheme="minorHAnsi"/>
          <w:bCs/>
          <w:color w:val="auto"/>
        </w:rPr>
        <w:t>,</w:t>
      </w:r>
      <w:r w:rsidRPr="00C03EC6">
        <w:rPr>
          <w:rFonts w:asciiTheme="minorHAnsi" w:hAnsiTheme="minorHAnsi"/>
          <w:bCs/>
          <w:color w:val="auto"/>
        </w:rPr>
        <w:t xml:space="preserve"> of which there is a positive effect from higher public investment on growth. A recent study conducted by </w:t>
      </w:r>
      <w:proofErr w:type="spellStart"/>
      <w:r w:rsidRPr="00C03EC6">
        <w:rPr>
          <w:rFonts w:asciiTheme="minorHAnsi" w:hAnsiTheme="minorHAnsi"/>
          <w:bCs/>
          <w:color w:val="auto"/>
        </w:rPr>
        <w:t>Almsafir</w:t>
      </w:r>
      <w:proofErr w:type="spellEnd"/>
      <w:r w:rsidRPr="00C03EC6">
        <w:rPr>
          <w:rFonts w:asciiTheme="minorHAnsi" w:hAnsiTheme="minorHAnsi"/>
          <w:bCs/>
          <w:color w:val="auto"/>
        </w:rPr>
        <w:t xml:space="preserve"> and </w:t>
      </w:r>
      <w:proofErr w:type="spellStart"/>
      <w:r w:rsidRPr="00C03EC6">
        <w:rPr>
          <w:rFonts w:asciiTheme="minorHAnsi" w:hAnsiTheme="minorHAnsi"/>
          <w:bCs/>
          <w:color w:val="auto"/>
        </w:rPr>
        <w:t>Morzuki</w:t>
      </w:r>
      <w:proofErr w:type="spellEnd"/>
      <w:r w:rsidRPr="00C03EC6">
        <w:rPr>
          <w:rFonts w:asciiTheme="minorHAnsi" w:hAnsiTheme="minorHAnsi"/>
          <w:bCs/>
          <w:color w:val="auto"/>
        </w:rPr>
        <w:t xml:space="preserve"> (2015) for Malaysia also shows that a 1 percent increase in public investment is associated with 1.007 percent increase in GDP. The results of many similar studies generally find that productivity growth results from a coordinated program of public investment in infrastructure, equipment, innovation, and human capital.</w:t>
      </w:r>
    </w:p>
    <w:p w14:paraId="7D0351CA" w14:textId="77777777" w:rsidR="00C2146F" w:rsidRPr="00C03EC6" w:rsidRDefault="00C2146F" w:rsidP="00C2146F">
      <w:pPr>
        <w:pStyle w:val="ListParagraph"/>
        <w:widowControl/>
        <w:numPr>
          <w:ilvl w:val="0"/>
          <w:numId w:val="14"/>
        </w:numPr>
        <w:autoSpaceDE/>
        <w:autoSpaceDN/>
        <w:adjustRightInd/>
        <w:spacing w:after="240"/>
        <w:ind w:left="0" w:firstLine="0"/>
        <w:contextualSpacing w:val="0"/>
        <w:jc w:val="both"/>
        <w:rPr>
          <w:rFonts w:asciiTheme="minorHAnsi" w:hAnsiTheme="minorHAnsi"/>
          <w:b/>
          <w:bCs/>
          <w:color w:val="auto"/>
        </w:rPr>
      </w:pPr>
      <w:r w:rsidRPr="003B22C9">
        <w:rPr>
          <w:rFonts w:asciiTheme="minorHAnsi" w:hAnsiTheme="minorHAnsi"/>
          <w:b/>
          <w:bCs/>
          <w:color w:val="auto"/>
        </w:rPr>
        <w:t>Better management of funds would help mitigate fiscal risks emanating from future obligatory direct liabilities.</w:t>
      </w:r>
      <w:r w:rsidRPr="00C03EC6">
        <w:rPr>
          <w:rFonts w:asciiTheme="minorHAnsi" w:hAnsiTheme="minorHAnsi"/>
          <w:b/>
          <w:bCs/>
          <w:color w:val="auto"/>
        </w:rPr>
        <w:t xml:space="preserve"> </w:t>
      </w:r>
      <w:r w:rsidRPr="00C03EC6">
        <w:rPr>
          <w:rFonts w:asciiTheme="minorHAnsi" w:hAnsiTheme="minorHAnsi"/>
          <w:bCs/>
          <w:color w:val="auto"/>
        </w:rPr>
        <w:t xml:space="preserve">Pension payments have almost tripled in the last five years and constitute around 12 percent of the province’s recurrent spending on average over the last five years. On the other hand, the size of the </w:t>
      </w:r>
      <w:r>
        <w:rPr>
          <w:rFonts w:asciiTheme="minorHAnsi" w:hAnsiTheme="minorHAnsi"/>
          <w:bCs/>
          <w:color w:val="auto"/>
        </w:rPr>
        <w:t>P</w:t>
      </w:r>
      <w:r w:rsidRPr="00C03EC6">
        <w:rPr>
          <w:rFonts w:asciiTheme="minorHAnsi" w:hAnsiTheme="minorHAnsi"/>
          <w:bCs/>
          <w:color w:val="auto"/>
        </w:rPr>
        <w:t xml:space="preserve">ension </w:t>
      </w:r>
      <w:r>
        <w:rPr>
          <w:rFonts w:asciiTheme="minorHAnsi" w:hAnsiTheme="minorHAnsi"/>
          <w:bCs/>
          <w:color w:val="auto"/>
        </w:rPr>
        <w:t>F</w:t>
      </w:r>
      <w:r w:rsidRPr="00C03EC6">
        <w:rPr>
          <w:rFonts w:asciiTheme="minorHAnsi" w:hAnsiTheme="minorHAnsi"/>
          <w:bCs/>
          <w:color w:val="auto"/>
        </w:rPr>
        <w:t>und is too meager to even cover for one annual pension payout fully. With the ongoing and expected exponential rise in pensions over the coming years, the Program intervention would give a critical start to the process of funding the pension liabilities through envisaged capitalization and a well-diversified investment policy for the Pension Fund. That would, in turn, allow the government to better manage the risk of these obligatory expenditures in the future.</w:t>
      </w:r>
    </w:p>
    <w:p w14:paraId="0365B1EA" w14:textId="77777777" w:rsidR="00C2146F" w:rsidRDefault="00C2146F" w:rsidP="00C2146F">
      <w:pPr>
        <w:pStyle w:val="ListParagraph"/>
        <w:widowControl/>
        <w:numPr>
          <w:ilvl w:val="0"/>
          <w:numId w:val="14"/>
        </w:numPr>
        <w:autoSpaceDE/>
        <w:autoSpaceDN/>
        <w:adjustRightInd/>
        <w:spacing w:after="240"/>
        <w:ind w:left="0" w:firstLine="0"/>
        <w:contextualSpacing w:val="0"/>
        <w:jc w:val="both"/>
        <w:rPr>
          <w:rFonts w:asciiTheme="minorHAnsi" w:hAnsiTheme="minorHAnsi"/>
          <w:bCs/>
          <w:color w:val="auto"/>
        </w:rPr>
      </w:pPr>
      <w:r w:rsidRPr="003B22C9">
        <w:rPr>
          <w:rFonts w:asciiTheme="minorHAnsi" w:hAnsiTheme="minorHAnsi"/>
          <w:b/>
          <w:bCs/>
          <w:color w:val="auto"/>
        </w:rPr>
        <w:t xml:space="preserve">The implementation of the </w:t>
      </w:r>
      <w:r>
        <w:rPr>
          <w:rFonts w:asciiTheme="minorHAnsi" w:hAnsiTheme="minorHAnsi"/>
          <w:b/>
          <w:bCs/>
          <w:color w:val="auto"/>
        </w:rPr>
        <w:t>N</w:t>
      </w:r>
      <w:r w:rsidRPr="003B22C9">
        <w:rPr>
          <w:rFonts w:asciiTheme="minorHAnsi" w:hAnsiTheme="minorHAnsi"/>
          <w:b/>
          <w:bCs/>
          <w:color w:val="auto"/>
        </w:rPr>
        <w:t>FMIS decentralization plan in local governments as well as OBB in service delivery sectors would improve effectiveness, monitoring</w:t>
      </w:r>
      <w:r>
        <w:rPr>
          <w:rFonts w:asciiTheme="minorHAnsi" w:hAnsiTheme="minorHAnsi"/>
          <w:b/>
          <w:bCs/>
          <w:color w:val="auto"/>
        </w:rPr>
        <w:t>,</w:t>
      </w:r>
      <w:r w:rsidRPr="003B22C9">
        <w:rPr>
          <w:rFonts w:asciiTheme="minorHAnsi" w:hAnsiTheme="minorHAnsi"/>
          <w:b/>
          <w:bCs/>
          <w:color w:val="auto"/>
        </w:rPr>
        <w:t xml:space="preserve"> and accountability.</w:t>
      </w:r>
      <w:r w:rsidRPr="00C03EC6">
        <w:rPr>
          <w:rFonts w:asciiTheme="minorHAnsi" w:hAnsiTheme="minorHAnsi"/>
          <w:b/>
          <w:bCs/>
          <w:color w:val="auto"/>
        </w:rPr>
        <w:t xml:space="preserve"> </w:t>
      </w:r>
      <w:r w:rsidRPr="00C03EC6">
        <w:rPr>
          <w:rFonts w:asciiTheme="minorHAnsi" w:hAnsiTheme="minorHAnsi"/>
          <w:bCs/>
          <w:color w:val="auto"/>
        </w:rPr>
        <w:t xml:space="preserve">The former will also stem the flow of unspent cash balances by </w:t>
      </w:r>
      <w:r>
        <w:rPr>
          <w:rFonts w:asciiTheme="minorHAnsi" w:hAnsiTheme="minorHAnsi"/>
          <w:bCs/>
          <w:color w:val="auto"/>
        </w:rPr>
        <w:t>local government</w:t>
      </w:r>
      <w:r w:rsidRPr="00C03EC6">
        <w:rPr>
          <w:rFonts w:asciiTheme="minorHAnsi" w:hAnsiTheme="minorHAnsi"/>
          <w:bCs/>
          <w:color w:val="auto"/>
        </w:rPr>
        <w:t>s outside the provincial consolidated fund and improve service delivery.</w:t>
      </w:r>
    </w:p>
    <w:p w14:paraId="132F8FBC" w14:textId="51C664E7" w:rsidR="00B63445" w:rsidRDefault="00B63445"/>
    <w:sectPr w:rsidR="00B63445" w:rsidSect="00EB060B">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CEB0F" w14:textId="77777777" w:rsidR="008F228D" w:rsidRDefault="008F228D" w:rsidP="007C5BE3">
      <w:r>
        <w:separator/>
      </w:r>
    </w:p>
  </w:endnote>
  <w:endnote w:type="continuationSeparator" w:id="0">
    <w:p w14:paraId="7F4A70EB" w14:textId="77777777" w:rsidR="008F228D" w:rsidRDefault="008F228D" w:rsidP="007C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Body)">
    <w:charset w:val="00"/>
    <w:family w:val="roman"/>
    <w:pitch w:val="default"/>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6670878"/>
      <w:docPartObj>
        <w:docPartGallery w:val="Page Numbers (Bottom of Page)"/>
        <w:docPartUnique/>
      </w:docPartObj>
    </w:sdtPr>
    <w:sdtEndPr>
      <w:rPr>
        <w:rStyle w:val="PageNumber"/>
      </w:rPr>
    </w:sdtEndPr>
    <w:sdtContent>
      <w:p w14:paraId="4F7BE89D" w14:textId="77777777" w:rsidR="008F228D" w:rsidRDefault="008F228D" w:rsidP="00C225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7B22A" w14:textId="77777777" w:rsidR="008F228D" w:rsidRDefault="008F2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22"/>
        <w:szCs w:val="22"/>
      </w:rPr>
      <w:id w:val="-439529990"/>
      <w:docPartObj>
        <w:docPartGallery w:val="Page Numbers (Bottom of Page)"/>
        <w:docPartUnique/>
      </w:docPartObj>
    </w:sdtPr>
    <w:sdtEndPr>
      <w:rPr>
        <w:rStyle w:val="PageNumber"/>
      </w:rPr>
    </w:sdtEndPr>
    <w:sdtContent>
      <w:p w14:paraId="670C290A" w14:textId="77777777" w:rsidR="008F228D" w:rsidRPr="00EB060B" w:rsidRDefault="008F228D" w:rsidP="00C225E8">
        <w:pPr>
          <w:pStyle w:val="Footer"/>
          <w:framePr w:wrap="none" w:vAnchor="text" w:hAnchor="margin" w:xAlign="center" w:y="1"/>
          <w:rPr>
            <w:rStyle w:val="PageNumber"/>
            <w:rFonts w:ascii="Calibri" w:hAnsi="Calibri" w:cs="Calibri"/>
            <w:sz w:val="22"/>
            <w:szCs w:val="22"/>
          </w:rPr>
        </w:pPr>
        <w:r w:rsidRPr="00EB060B">
          <w:rPr>
            <w:rStyle w:val="PageNumber"/>
            <w:rFonts w:ascii="Calibri" w:hAnsi="Calibri" w:cs="Calibri"/>
            <w:sz w:val="22"/>
            <w:szCs w:val="22"/>
          </w:rPr>
          <w:fldChar w:fldCharType="begin"/>
        </w:r>
        <w:r w:rsidRPr="00EB060B">
          <w:rPr>
            <w:rStyle w:val="PageNumber"/>
            <w:rFonts w:ascii="Calibri" w:hAnsi="Calibri" w:cs="Calibri"/>
            <w:sz w:val="22"/>
            <w:szCs w:val="22"/>
          </w:rPr>
          <w:instrText xml:space="preserve"> PAGE </w:instrText>
        </w:r>
        <w:r w:rsidRPr="00EB060B">
          <w:rPr>
            <w:rStyle w:val="PageNumber"/>
            <w:rFonts w:ascii="Calibri" w:hAnsi="Calibri" w:cs="Calibri"/>
            <w:sz w:val="22"/>
            <w:szCs w:val="22"/>
          </w:rPr>
          <w:fldChar w:fldCharType="separate"/>
        </w:r>
        <w:r w:rsidRPr="00EB060B">
          <w:rPr>
            <w:rStyle w:val="PageNumber"/>
            <w:rFonts w:ascii="Calibri" w:hAnsi="Calibri" w:cs="Calibri"/>
            <w:noProof/>
            <w:sz w:val="22"/>
            <w:szCs w:val="22"/>
          </w:rPr>
          <w:t>2</w:t>
        </w:r>
        <w:r w:rsidRPr="00EB060B">
          <w:rPr>
            <w:rStyle w:val="PageNumber"/>
            <w:rFonts w:ascii="Calibri" w:hAnsi="Calibri" w:cs="Calibri"/>
            <w:sz w:val="22"/>
            <w:szCs w:val="22"/>
          </w:rPr>
          <w:fldChar w:fldCharType="end"/>
        </w:r>
      </w:p>
    </w:sdtContent>
  </w:sdt>
  <w:p w14:paraId="588F44B1" w14:textId="77777777" w:rsidR="008F228D" w:rsidRDefault="008F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35024" w14:textId="77777777" w:rsidR="008F228D" w:rsidRDefault="008F228D" w:rsidP="007C5BE3">
      <w:r>
        <w:separator/>
      </w:r>
    </w:p>
  </w:footnote>
  <w:footnote w:type="continuationSeparator" w:id="0">
    <w:p w14:paraId="30A3D411" w14:textId="77777777" w:rsidR="008F228D" w:rsidRDefault="008F228D" w:rsidP="007C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3BD1" w14:textId="77777777" w:rsidR="008F228D" w:rsidRDefault="008F2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030"/>
    <w:multiLevelType w:val="hybridMultilevel"/>
    <w:tmpl w:val="D5E66804"/>
    <w:lvl w:ilvl="0" w:tplc="37345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44FD6"/>
    <w:multiLevelType w:val="hybridMultilevel"/>
    <w:tmpl w:val="F22C3806"/>
    <w:lvl w:ilvl="0" w:tplc="4FE45E9E">
      <w:start w:val="1"/>
      <w:numFmt w:val="lowerLetter"/>
      <w:lvlText w:val="(%1)"/>
      <w:lvlJc w:val="left"/>
      <w:pPr>
        <w:ind w:left="2610" w:hanging="360"/>
      </w:pPr>
      <w:rPr>
        <w:rFonts w:hint="default"/>
      </w:rPr>
    </w:lvl>
    <w:lvl w:ilvl="1" w:tplc="614E8320" w:tentative="1">
      <w:start w:val="1"/>
      <w:numFmt w:val="lowerLetter"/>
      <w:lvlText w:val="%2."/>
      <w:lvlJc w:val="left"/>
      <w:pPr>
        <w:ind w:left="3330" w:hanging="360"/>
      </w:pPr>
    </w:lvl>
    <w:lvl w:ilvl="2" w:tplc="F8881676" w:tentative="1">
      <w:start w:val="1"/>
      <w:numFmt w:val="lowerRoman"/>
      <w:lvlText w:val="%3."/>
      <w:lvlJc w:val="right"/>
      <w:pPr>
        <w:ind w:left="4050" w:hanging="180"/>
      </w:pPr>
    </w:lvl>
    <w:lvl w:ilvl="3" w:tplc="02E8CF82" w:tentative="1">
      <w:start w:val="1"/>
      <w:numFmt w:val="decimal"/>
      <w:lvlText w:val="%4."/>
      <w:lvlJc w:val="left"/>
      <w:pPr>
        <w:ind w:left="4770" w:hanging="360"/>
      </w:pPr>
    </w:lvl>
    <w:lvl w:ilvl="4" w:tplc="61A80102" w:tentative="1">
      <w:start w:val="1"/>
      <w:numFmt w:val="lowerLetter"/>
      <w:lvlText w:val="%5."/>
      <w:lvlJc w:val="left"/>
      <w:pPr>
        <w:ind w:left="5490" w:hanging="360"/>
      </w:pPr>
    </w:lvl>
    <w:lvl w:ilvl="5" w:tplc="F7B8F5BE" w:tentative="1">
      <w:start w:val="1"/>
      <w:numFmt w:val="lowerRoman"/>
      <w:lvlText w:val="%6."/>
      <w:lvlJc w:val="right"/>
      <w:pPr>
        <w:ind w:left="6210" w:hanging="180"/>
      </w:pPr>
    </w:lvl>
    <w:lvl w:ilvl="6" w:tplc="167AC9BE" w:tentative="1">
      <w:start w:val="1"/>
      <w:numFmt w:val="decimal"/>
      <w:lvlText w:val="%7."/>
      <w:lvlJc w:val="left"/>
      <w:pPr>
        <w:ind w:left="6930" w:hanging="360"/>
      </w:pPr>
    </w:lvl>
    <w:lvl w:ilvl="7" w:tplc="1C6478A4" w:tentative="1">
      <w:start w:val="1"/>
      <w:numFmt w:val="lowerLetter"/>
      <w:lvlText w:val="%8."/>
      <w:lvlJc w:val="left"/>
      <w:pPr>
        <w:ind w:left="7650" w:hanging="360"/>
      </w:pPr>
    </w:lvl>
    <w:lvl w:ilvl="8" w:tplc="9C563E7A" w:tentative="1">
      <w:start w:val="1"/>
      <w:numFmt w:val="lowerRoman"/>
      <w:lvlText w:val="%9."/>
      <w:lvlJc w:val="right"/>
      <w:pPr>
        <w:ind w:left="8370" w:hanging="180"/>
      </w:pPr>
    </w:lvl>
  </w:abstractNum>
  <w:abstractNum w:abstractNumId="2" w15:restartNumberingAfterBreak="0">
    <w:nsid w:val="1AB3734D"/>
    <w:multiLevelType w:val="multilevel"/>
    <w:tmpl w:val="43D251CC"/>
    <w:lvl w:ilvl="0">
      <w:start w:val="1"/>
      <w:numFmt w:val="lowerRoman"/>
      <w:lvlText w:val="%1."/>
      <w:lvlJc w:val="right"/>
      <w:pPr>
        <w:tabs>
          <w:tab w:val="num" w:pos="720"/>
        </w:tabs>
        <w:ind w:left="720" w:hanging="360"/>
      </w:pPr>
    </w:lvl>
    <w:lvl w:ilvl="1">
      <w:start w:val="3"/>
      <w:numFmt w:val="upperRoman"/>
      <w:lvlText w:val="%2."/>
      <w:lvlJc w:val="left"/>
      <w:pPr>
        <w:ind w:left="1800" w:hanging="720"/>
      </w:pPr>
      <w:rPr>
        <w:rFonts w:cs="Calibri (Body)" w:hint="default"/>
        <w:b/>
      </w:rPr>
    </w:lvl>
    <w:lvl w:ilvl="2">
      <w:start w:val="3"/>
      <w:numFmt w:val="lowerRoman"/>
      <w:lvlText w:val="%3."/>
      <w:lvlJc w:val="left"/>
      <w:pPr>
        <w:ind w:left="2520" w:hanging="72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0C90248"/>
    <w:multiLevelType w:val="hybridMultilevel"/>
    <w:tmpl w:val="44084C80"/>
    <w:lvl w:ilvl="0" w:tplc="58F88258">
      <w:start w:val="1"/>
      <w:numFmt w:val="decimal"/>
      <w:lvlText w:val="%1."/>
      <w:lvlJc w:val="left"/>
      <w:pPr>
        <w:ind w:left="360" w:hanging="360"/>
      </w:pPr>
      <w:rPr>
        <w:b/>
        <w:i w:val="0"/>
        <w:sz w:val="22"/>
        <w:szCs w:val="22"/>
      </w:rPr>
    </w:lvl>
    <w:lvl w:ilvl="1" w:tplc="FDAAF4A0">
      <w:start w:val="1"/>
      <w:numFmt w:val="lowerLetter"/>
      <w:lvlText w:val="%2."/>
      <w:lvlJc w:val="left"/>
      <w:pPr>
        <w:ind w:left="900" w:hanging="360"/>
      </w:pPr>
    </w:lvl>
    <w:lvl w:ilvl="2" w:tplc="49CED772">
      <w:start w:val="1"/>
      <w:numFmt w:val="lowerRoman"/>
      <w:lvlText w:val="%3."/>
      <w:lvlJc w:val="right"/>
      <w:pPr>
        <w:ind w:left="1800" w:hanging="180"/>
      </w:pPr>
    </w:lvl>
    <w:lvl w:ilvl="3" w:tplc="D99499C6" w:tentative="1">
      <w:start w:val="1"/>
      <w:numFmt w:val="decimal"/>
      <w:lvlText w:val="%4."/>
      <w:lvlJc w:val="left"/>
      <w:pPr>
        <w:ind w:left="2520" w:hanging="360"/>
      </w:pPr>
    </w:lvl>
    <w:lvl w:ilvl="4" w:tplc="F1BAF798" w:tentative="1">
      <w:start w:val="1"/>
      <w:numFmt w:val="lowerLetter"/>
      <w:lvlText w:val="%5."/>
      <w:lvlJc w:val="left"/>
      <w:pPr>
        <w:ind w:left="3240" w:hanging="360"/>
      </w:pPr>
    </w:lvl>
    <w:lvl w:ilvl="5" w:tplc="4D9CA7A0" w:tentative="1">
      <w:start w:val="1"/>
      <w:numFmt w:val="lowerRoman"/>
      <w:lvlText w:val="%6."/>
      <w:lvlJc w:val="right"/>
      <w:pPr>
        <w:ind w:left="3960" w:hanging="180"/>
      </w:pPr>
    </w:lvl>
    <w:lvl w:ilvl="6" w:tplc="50C27F54" w:tentative="1">
      <w:start w:val="1"/>
      <w:numFmt w:val="decimal"/>
      <w:lvlText w:val="%7."/>
      <w:lvlJc w:val="left"/>
      <w:pPr>
        <w:ind w:left="4680" w:hanging="360"/>
      </w:pPr>
    </w:lvl>
    <w:lvl w:ilvl="7" w:tplc="621E903A" w:tentative="1">
      <w:start w:val="1"/>
      <w:numFmt w:val="lowerLetter"/>
      <w:lvlText w:val="%8."/>
      <w:lvlJc w:val="left"/>
      <w:pPr>
        <w:ind w:left="5400" w:hanging="360"/>
      </w:pPr>
    </w:lvl>
    <w:lvl w:ilvl="8" w:tplc="9D707920" w:tentative="1">
      <w:start w:val="1"/>
      <w:numFmt w:val="lowerRoman"/>
      <w:lvlText w:val="%9."/>
      <w:lvlJc w:val="right"/>
      <w:pPr>
        <w:ind w:left="6120" w:hanging="180"/>
      </w:pPr>
    </w:lvl>
  </w:abstractNum>
  <w:abstractNum w:abstractNumId="4" w15:restartNumberingAfterBreak="0">
    <w:nsid w:val="2DE0381D"/>
    <w:multiLevelType w:val="hybridMultilevel"/>
    <w:tmpl w:val="C58E8962"/>
    <w:lvl w:ilvl="0" w:tplc="E7880652">
      <w:start w:val="1"/>
      <w:numFmt w:val="decimal"/>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E7ABA4A">
      <w:start w:val="1"/>
      <w:numFmt w:val="upperLetter"/>
      <w:lvlText w:val="%4."/>
      <w:lvlJc w:val="left"/>
      <w:pPr>
        <w:ind w:left="2520" w:hanging="360"/>
      </w:pPr>
      <w:rPr>
        <w:rFonts w:hint="default"/>
      </w:rPr>
    </w:lvl>
    <w:lvl w:ilvl="4" w:tplc="02D4BEA0">
      <w:start w:val="2"/>
      <w:numFmt w:val="low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4A76D3"/>
    <w:multiLevelType w:val="hybridMultilevel"/>
    <w:tmpl w:val="B4DAB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4022"/>
    <w:multiLevelType w:val="hybridMultilevel"/>
    <w:tmpl w:val="979CC39C"/>
    <w:lvl w:ilvl="0" w:tplc="787CAEC2">
      <w:start w:val="1"/>
      <w:numFmt w:val="decimal"/>
      <w:lvlText w:val="%1."/>
      <w:lvlJc w:val="left"/>
      <w:pPr>
        <w:ind w:left="360" w:hanging="360"/>
      </w:pPr>
      <w:rPr>
        <w:b w:val="0"/>
        <w:i w:val="0"/>
        <w:sz w:val="24"/>
        <w:szCs w:val="24"/>
      </w:rPr>
    </w:lvl>
    <w:lvl w:ilvl="1" w:tplc="FDAAF4A0">
      <w:start w:val="1"/>
      <w:numFmt w:val="lowerLetter"/>
      <w:lvlText w:val="%2."/>
      <w:lvlJc w:val="left"/>
      <w:pPr>
        <w:ind w:left="900" w:hanging="360"/>
      </w:pPr>
    </w:lvl>
    <w:lvl w:ilvl="2" w:tplc="49CED772">
      <w:start w:val="1"/>
      <w:numFmt w:val="lowerRoman"/>
      <w:lvlText w:val="%3."/>
      <w:lvlJc w:val="right"/>
      <w:pPr>
        <w:ind w:left="1800" w:hanging="180"/>
      </w:pPr>
    </w:lvl>
    <w:lvl w:ilvl="3" w:tplc="D99499C6" w:tentative="1">
      <w:start w:val="1"/>
      <w:numFmt w:val="decimal"/>
      <w:lvlText w:val="%4."/>
      <w:lvlJc w:val="left"/>
      <w:pPr>
        <w:ind w:left="2520" w:hanging="360"/>
      </w:pPr>
    </w:lvl>
    <w:lvl w:ilvl="4" w:tplc="F1BAF798" w:tentative="1">
      <w:start w:val="1"/>
      <w:numFmt w:val="lowerLetter"/>
      <w:lvlText w:val="%5."/>
      <w:lvlJc w:val="left"/>
      <w:pPr>
        <w:ind w:left="3240" w:hanging="360"/>
      </w:pPr>
    </w:lvl>
    <w:lvl w:ilvl="5" w:tplc="4D9CA7A0" w:tentative="1">
      <w:start w:val="1"/>
      <w:numFmt w:val="lowerRoman"/>
      <w:lvlText w:val="%6."/>
      <w:lvlJc w:val="right"/>
      <w:pPr>
        <w:ind w:left="3960" w:hanging="180"/>
      </w:pPr>
    </w:lvl>
    <w:lvl w:ilvl="6" w:tplc="50C27F54" w:tentative="1">
      <w:start w:val="1"/>
      <w:numFmt w:val="decimal"/>
      <w:lvlText w:val="%7."/>
      <w:lvlJc w:val="left"/>
      <w:pPr>
        <w:ind w:left="4680" w:hanging="360"/>
      </w:pPr>
    </w:lvl>
    <w:lvl w:ilvl="7" w:tplc="621E903A" w:tentative="1">
      <w:start w:val="1"/>
      <w:numFmt w:val="lowerLetter"/>
      <w:lvlText w:val="%8."/>
      <w:lvlJc w:val="left"/>
      <w:pPr>
        <w:ind w:left="5400" w:hanging="360"/>
      </w:pPr>
    </w:lvl>
    <w:lvl w:ilvl="8" w:tplc="9D707920" w:tentative="1">
      <w:start w:val="1"/>
      <w:numFmt w:val="lowerRoman"/>
      <w:lvlText w:val="%9."/>
      <w:lvlJc w:val="right"/>
      <w:pPr>
        <w:ind w:left="6120" w:hanging="180"/>
      </w:pPr>
    </w:lvl>
  </w:abstractNum>
  <w:abstractNum w:abstractNumId="7" w15:restartNumberingAfterBreak="0">
    <w:nsid w:val="458307CD"/>
    <w:multiLevelType w:val="hybridMultilevel"/>
    <w:tmpl w:val="3F261E44"/>
    <w:lvl w:ilvl="0" w:tplc="D55264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42D0B"/>
    <w:multiLevelType w:val="hybridMultilevel"/>
    <w:tmpl w:val="0B40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03DB9"/>
    <w:multiLevelType w:val="hybridMultilevel"/>
    <w:tmpl w:val="21B4408C"/>
    <w:lvl w:ilvl="0" w:tplc="4D56509C">
      <w:start w:val="1"/>
      <w:numFmt w:val="decimal"/>
      <w:lvlText w:val="%1."/>
      <w:lvlJc w:val="left"/>
      <w:pPr>
        <w:ind w:left="900" w:hanging="360"/>
      </w:pPr>
      <w:rPr>
        <w:rFonts w:asciiTheme="minorHAnsi" w:hAnsiTheme="minorHAnsi" w:cstheme="minorHAns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A0480"/>
    <w:multiLevelType w:val="hybridMultilevel"/>
    <w:tmpl w:val="0C384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165FF"/>
    <w:multiLevelType w:val="hybridMultilevel"/>
    <w:tmpl w:val="7A7E96CA"/>
    <w:lvl w:ilvl="0" w:tplc="F4B8E82E">
      <w:start w:val="1"/>
      <w:numFmt w:val="decimal"/>
      <w:pStyle w:val="Minh"/>
      <w:lvlText w:val="%1."/>
      <w:lvlJc w:val="left"/>
      <w:pPr>
        <w:ind w:left="360" w:hanging="360"/>
      </w:pPr>
      <w:rPr>
        <w:rFonts w:ascii="Times New Roman" w:hAnsi="Times New Roman" w:cs="Times New Roman" w:hint="default"/>
        <w:b w:val="0"/>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6B4617F"/>
    <w:multiLevelType w:val="hybridMultilevel"/>
    <w:tmpl w:val="13888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D52B8"/>
    <w:multiLevelType w:val="hybridMultilevel"/>
    <w:tmpl w:val="9E24696A"/>
    <w:lvl w:ilvl="0" w:tplc="6D803B6E">
      <w:start w:val="1"/>
      <w:numFmt w:val="decimal"/>
      <w:lvlText w:val="%1."/>
      <w:lvlJc w:val="left"/>
      <w:pPr>
        <w:ind w:left="360" w:hanging="360"/>
      </w:pPr>
      <w:rPr>
        <w:b/>
        <w:i w:val="0"/>
        <w:sz w:val="22"/>
        <w:szCs w:val="22"/>
      </w:rPr>
    </w:lvl>
    <w:lvl w:ilvl="1" w:tplc="FDAAF4A0">
      <w:start w:val="1"/>
      <w:numFmt w:val="lowerLetter"/>
      <w:lvlText w:val="%2."/>
      <w:lvlJc w:val="left"/>
      <w:pPr>
        <w:ind w:left="900" w:hanging="360"/>
      </w:pPr>
    </w:lvl>
    <w:lvl w:ilvl="2" w:tplc="49CED772">
      <w:start w:val="1"/>
      <w:numFmt w:val="lowerRoman"/>
      <w:lvlText w:val="%3."/>
      <w:lvlJc w:val="right"/>
      <w:pPr>
        <w:ind w:left="1800" w:hanging="180"/>
      </w:pPr>
    </w:lvl>
    <w:lvl w:ilvl="3" w:tplc="D99499C6" w:tentative="1">
      <w:start w:val="1"/>
      <w:numFmt w:val="decimal"/>
      <w:lvlText w:val="%4."/>
      <w:lvlJc w:val="left"/>
      <w:pPr>
        <w:ind w:left="2520" w:hanging="360"/>
      </w:pPr>
    </w:lvl>
    <w:lvl w:ilvl="4" w:tplc="F1BAF798" w:tentative="1">
      <w:start w:val="1"/>
      <w:numFmt w:val="lowerLetter"/>
      <w:lvlText w:val="%5."/>
      <w:lvlJc w:val="left"/>
      <w:pPr>
        <w:ind w:left="3240" w:hanging="360"/>
      </w:pPr>
    </w:lvl>
    <w:lvl w:ilvl="5" w:tplc="4D9CA7A0" w:tentative="1">
      <w:start w:val="1"/>
      <w:numFmt w:val="lowerRoman"/>
      <w:lvlText w:val="%6."/>
      <w:lvlJc w:val="right"/>
      <w:pPr>
        <w:ind w:left="3960" w:hanging="180"/>
      </w:pPr>
    </w:lvl>
    <w:lvl w:ilvl="6" w:tplc="50C27F54" w:tentative="1">
      <w:start w:val="1"/>
      <w:numFmt w:val="decimal"/>
      <w:lvlText w:val="%7."/>
      <w:lvlJc w:val="left"/>
      <w:pPr>
        <w:ind w:left="4680" w:hanging="360"/>
      </w:pPr>
    </w:lvl>
    <w:lvl w:ilvl="7" w:tplc="621E903A" w:tentative="1">
      <w:start w:val="1"/>
      <w:numFmt w:val="lowerLetter"/>
      <w:lvlText w:val="%8."/>
      <w:lvlJc w:val="left"/>
      <w:pPr>
        <w:ind w:left="5400" w:hanging="360"/>
      </w:pPr>
    </w:lvl>
    <w:lvl w:ilvl="8" w:tplc="9D707920" w:tentative="1">
      <w:start w:val="1"/>
      <w:numFmt w:val="lowerRoman"/>
      <w:lvlText w:val="%9."/>
      <w:lvlJc w:val="right"/>
      <w:pPr>
        <w:ind w:left="6120" w:hanging="180"/>
      </w:pPr>
    </w:lvl>
  </w:abstractNum>
  <w:abstractNum w:abstractNumId="14" w15:restartNumberingAfterBreak="0">
    <w:nsid w:val="73C11663"/>
    <w:multiLevelType w:val="multilevel"/>
    <w:tmpl w:val="98D21ACC"/>
    <w:lvl w:ilvl="0">
      <w:start w:val="1"/>
      <w:numFmt w:val="upperRoman"/>
      <w:lvlText w:val="%1."/>
      <w:lvlJc w:val="right"/>
      <w:pPr>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num w:numId="1">
    <w:abstractNumId w:val="11"/>
  </w:num>
  <w:num w:numId="2">
    <w:abstractNumId w:val="9"/>
  </w:num>
  <w:num w:numId="3">
    <w:abstractNumId w:val="14"/>
  </w:num>
  <w:num w:numId="4">
    <w:abstractNumId w:val="2"/>
  </w:num>
  <w:num w:numId="5">
    <w:abstractNumId w:val="0"/>
  </w:num>
  <w:num w:numId="6">
    <w:abstractNumId w:val="8"/>
  </w:num>
  <w:num w:numId="7">
    <w:abstractNumId w:val="4"/>
  </w:num>
  <w:num w:numId="8">
    <w:abstractNumId w:val="7"/>
  </w:num>
  <w:num w:numId="9">
    <w:abstractNumId w:val="10"/>
  </w:num>
  <w:num w:numId="10">
    <w:abstractNumId w:val="12"/>
  </w:num>
  <w:num w:numId="11">
    <w:abstractNumId w:val="5"/>
  </w:num>
  <w:num w:numId="12">
    <w:abstractNumId w:val="6"/>
  </w:num>
  <w:num w:numId="13">
    <w:abstractNumId w:val="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E3"/>
    <w:rsid w:val="0001439B"/>
    <w:rsid w:val="00030DBF"/>
    <w:rsid w:val="00046C2E"/>
    <w:rsid w:val="00051378"/>
    <w:rsid w:val="00067940"/>
    <w:rsid w:val="000C6252"/>
    <w:rsid w:val="000F46D5"/>
    <w:rsid w:val="00107DD0"/>
    <w:rsid w:val="00114D1B"/>
    <w:rsid w:val="001268B9"/>
    <w:rsid w:val="00132CD7"/>
    <w:rsid w:val="00160F51"/>
    <w:rsid w:val="00186627"/>
    <w:rsid w:val="00187EDD"/>
    <w:rsid w:val="0019245B"/>
    <w:rsid w:val="001948C9"/>
    <w:rsid w:val="001A5E3B"/>
    <w:rsid w:val="001B3AF8"/>
    <w:rsid w:val="001C3A0F"/>
    <w:rsid w:val="001D00FF"/>
    <w:rsid w:val="001F2CDD"/>
    <w:rsid w:val="002136D9"/>
    <w:rsid w:val="00220FF2"/>
    <w:rsid w:val="00256679"/>
    <w:rsid w:val="002843DF"/>
    <w:rsid w:val="002863B7"/>
    <w:rsid w:val="002D4E6F"/>
    <w:rsid w:val="002E4561"/>
    <w:rsid w:val="00300E30"/>
    <w:rsid w:val="00302D87"/>
    <w:rsid w:val="00303908"/>
    <w:rsid w:val="003049C3"/>
    <w:rsid w:val="00377DCB"/>
    <w:rsid w:val="00381483"/>
    <w:rsid w:val="00395C40"/>
    <w:rsid w:val="003C0E02"/>
    <w:rsid w:val="003D0E0A"/>
    <w:rsid w:val="003D4FF1"/>
    <w:rsid w:val="00415C7A"/>
    <w:rsid w:val="00420BA4"/>
    <w:rsid w:val="004670A5"/>
    <w:rsid w:val="00494649"/>
    <w:rsid w:val="004F13C0"/>
    <w:rsid w:val="005139DA"/>
    <w:rsid w:val="00556E0D"/>
    <w:rsid w:val="005A5085"/>
    <w:rsid w:val="005F4DA5"/>
    <w:rsid w:val="0062667D"/>
    <w:rsid w:val="006A11AC"/>
    <w:rsid w:val="006A4DA9"/>
    <w:rsid w:val="006E0988"/>
    <w:rsid w:val="006E14E5"/>
    <w:rsid w:val="00735E99"/>
    <w:rsid w:val="00751E6B"/>
    <w:rsid w:val="007C5BE3"/>
    <w:rsid w:val="007F373B"/>
    <w:rsid w:val="007F42F8"/>
    <w:rsid w:val="007F4D65"/>
    <w:rsid w:val="008062AE"/>
    <w:rsid w:val="00810FD7"/>
    <w:rsid w:val="00811A33"/>
    <w:rsid w:val="00820AEE"/>
    <w:rsid w:val="0085335A"/>
    <w:rsid w:val="008E7F19"/>
    <w:rsid w:val="008F228D"/>
    <w:rsid w:val="00934367"/>
    <w:rsid w:val="009373E6"/>
    <w:rsid w:val="009627F9"/>
    <w:rsid w:val="009807AE"/>
    <w:rsid w:val="00980C4D"/>
    <w:rsid w:val="009E2ABA"/>
    <w:rsid w:val="00A11BB1"/>
    <w:rsid w:val="00A1519D"/>
    <w:rsid w:val="00A307D1"/>
    <w:rsid w:val="00A53C65"/>
    <w:rsid w:val="00A64C61"/>
    <w:rsid w:val="00A71E45"/>
    <w:rsid w:val="00A76468"/>
    <w:rsid w:val="00A82140"/>
    <w:rsid w:val="00A93B57"/>
    <w:rsid w:val="00AF410F"/>
    <w:rsid w:val="00AF46BE"/>
    <w:rsid w:val="00B17026"/>
    <w:rsid w:val="00B20638"/>
    <w:rsid w:val="00B512C3"/>
    <w:rsid w:val="00B63445"/>
    <w:rsid w:val="00B81EA0"/>
    <w:rsid w:val="00BB36B2"/>
    <w:rsid w:val="00C2146F"/>
    <w:rsid w:val="00C225E8"/>
    <w:rsid w:val="00C46FBD"/>
    <w:rsid w:val="00C60A4C"/>
    <w:rsid w:val="00C708A0"/>
    <w:rsid w:val="00C85748"/>
    <w:rsid w:val="00C92745"/>
    <w:rsid w:val="00CB36A4"/>
    <w:rsid w:val="00CF3622"/>
    <w:rsid w:val="00D0678D"/>
    <w:rsid w:val="00D32A6C"/>
    <w:rsid w:val="00D40AB9"/>
    <w:rsid w:val="00D416B3"/>
    <w:rsid w:val="00D551B0"/>
    <w:rsid w:val="00D76093"/>
    <w:rsid w:val="00D827AB"/>
    <w:rsid w:val="00DA4010"/>
    <w:rsid w:val="00E024E1"/>
    <w:rsid w:val="00E24127"/>
    <w:rsid w:val="00E61D82"/>
    <w:rsid w:val="00E8753D"/>
    <w:rsid w:val="00EB060B"/>
    <w:rsid w:val="00EB540F"/>
    <w:rsid w:val="00EC082C"/>
    <w:rsid w:val="00EF1634"/>
    <w:rsid w:val="00F00ED6"/>
    <w:rsid w:val="00F12C1F"/>
    <w:rsid w:val="00F349AA"/>
    <w:rsid w:val="00F34B4E"/>
    <w:rsid w:val="00F357AC"/>
    <w:rsid w:val="00F53DF4"/>
    <w:rsid w:val="00F6300D"/>
    <w:rsid w:val="00F8192E"/>
    <w:rsid w:val="00F97001"/>
    <w:rsid w:val="00FB60F2"/>
    <w:rsid w:val="00FD4FE7"/>
    <w:rsid w:val="00FE36F7"/>
    <w:rsid w:val="00FF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5A5CB"/>
  <w15:chartTrackingRefBased/>
  <w15:docId w15:val="{B73453FE-F29B-40FA-BD9E-B62E107A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7C5BE3"/>
    <w:pPr>
      <w:widowControl w:val="0"/>
      <w:autoSpaceDE w:val="0"/>
      <w:autoSpaceDN w:val="0"/>
      <w:adjustRightInd w:val="0"/>
      <w:spacing w:after="0"/>
      <w:jc w:val="left"/>
    </w:pPr>
    <w:rPr>
      <w:rFonts w:ascii="Arial" w:eastAsiaTheme="minorEastAsia" w:hAnsi="Arial" w:cs="Arial"/>
      <w:color w:val="000000"/>
      <w:sz w:val="24"/>
      <w:szCs w:val="24"/>
    </w:rPr>
  </w:style>
  <w:style w:type="paragraph" w:styleId="Heading1">
    <w:name w:val="heading 1"/>
    <w:basedOn w:val="Normal"/>
    <w:next w:val="Normal"/>
    <w:link w:val="Heading1Char"/>
    <w:uiPriority w:val="9"/>
    <w:qFormat/>
    <w:rsid w:val="007C5B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5B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63B7"/>
    <w:pPr>
      <w:keepNext/>
      <w:keepLines/>
      <w:spacing w:before="40"/>
      <w:outlineLvl w:val="2"/>
    </w:pPr>
    <w:rPr>
      <w:rFonts w:ascii="Calibri" w:eastAsiaTheme="majorEastAsia" w:hAnsi="Calibri" w:cs="Calibri"/>
      <w:b/>
      <w:color w:val="auto"/>
      <w:sz w:val="22"/>
      <w:szCs w:val="22"/>
    </w:rPr>
  </w:style>
  <w:style w:type="paragraph" w:styleId="Heading4">
    <w:name w:val="heading 4"/>
    <w:basedOn w:val="Normal"/>
    <w:next w:val="Normal"/>
    <w:link w:val="Heading4Char"/>
    <w:uiPriority w:val="9"/>
    <w:unhideWhenUsed/>
    <w:qFormat/>
    <w:rsid w:val="007C5BE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B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5B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63B7"/>
    <w:rPr>
      <w:rFonts w:ascii="Calibri" w:eastAsiaTheme="majorEastAsia" w:hAnsi="Calibri" w:cs="Calibri"/>
      <w:b/>
    </w:rPr>
  </w:style>
  <w:style w:type="character" w:customStyle="1" w:styleId="Heading4Char">
    <w:name w:val="Heading 4 Char"/>
    <w:basedOn w:val="DefaultParagraphFont"/>
    <w:link w:val="Heading4"/>
    <w:uiPriority w:val="9"/>
    <w:rsid w:val="007C5BE3"/>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7C5BE3"/>
    <w:rPr>
      <w:i/>
      <w:iCs w:val="0"/>
      <w:sz w:val="22"/>
      <w:szCs w:val="22"/>
    </w:rPr>
  </w:style>
  <w:style w:type="paragraph" w:styleId="FootnoteText">
    <w:name w:val="footnote text"/>
    <w:aliases w:val="Carattere Carattere Char Char Char Char,ftref Char Char Char Char,Char Char Char Char Char Char,Char Char Char1 Car Car Char Char Char Char Char Char Char Char Char Char Char Char Char Char Char Char Char Char Char Char,ftref Char Cha,fn"/>
    <w:basedOn w:val="Normal"/>
    <w:next w:val="Normal"/>
    <w:link w:val="FootnoteTextChar1"/>
    <w:uiPriority w:val="99"/>
    <w:unhideWhenUsed/>
    <w:qFormat/>
    <w:rsid w:val="007C5BE3"/>
    <w:pPr>
      <w:widowControl/>
      <w:autoSpaceDE/>
      <w:autoSpaceDN/>
      <w:adjustRightInd/>
      <w:spacing w:after="160" w:line="240" w:lineRule="exact"/>
      <w:jc w:val="both"/>
    </w:pPr>
    <w:rPr>
      <w:rFonts w:asciiTheme="minorHAnsi" w:eastAsiaTheme="minorHAnsi" w:hAnsiTheme="minorHAnsi" w:cstheme="minorBidi"/>
      <w:color w:val="auto"/>
      <w:sz w:val="22"/>
      <w:szCs w:val="22"/>
      <w:vertAlign w:val="superscript"/>
    </w:rPr>
  </w:style>
  <w:style w:type="character" w:customStyle="1" w:styleId="FootnoteTextChar">
    <w:name w:val="Footnote Text Char"/>
    <w:aliases w:val="single space Char,footnote text Char,fn Char,FOOTNOTES Char,ft Char,ALTS FOOTNOTE Char,Footnote Text Char1 Char Char,ADB Char,Footnote Text Char1 Char1,Footnote Text Char Char Char,Fußnote Char, Char Char3 Char, Char Char2 Char,f Char"/>
    <w:basedOn w:val="DefaultParagraphFont"/>
    <w:uiPriority w:val="99"/>
    <w:rsid w:val="007C5BE3"/>
    <w:rPr>
      <w:rFonts w:ascii="Arial" w:eastAsiaTheme="minorEastAsia" w:hAnsi="Arial" w:cs="Arial"/>
      <w:color w:val="000000"/>
      <w:sz w:val="20"/>
      <w:szCs w:val="20"/>
    </w:rPr>
  </w:style>
  <w:style w:type="character" w:customStyle="1" w:styleId="ListParagraphChar">
    <w:name w:val="List Paragraph Char"/>
    <w:aliases w:val="Numbered Paragraph Char,References Char,ReferencesCxSpLast Char,lp1 Char,List Paragraph (numbered (a)) Char,WB List Paragraph Char,Dot pt Char,F5 List Paragraph Char,List Paragraph1 Char,No Spacing1 Char,Indicator Text Char,Ha Char"/>
    <w:basedOn w:val="DefaultParagraphFont"/>
    <w:link w:val="ListParagraph"/>
    <w:qFormat/>
    <w:locked/>
    <w:rsid w:val="007C5BE3"/>
    <w:rPr>
      <w:rFonts w:ascii="Arial" w:eastAsiaTheme="minorEastAsia" w:hAnsi="Arial" w:cs="Arial"/>
      <w:color w:val="000000"/>
    </w:rPr>
  </w:style>
  <w:style w:type="paragraph" w:styleId="ListParagraph">
    <w:name w:val="List Paragraph"/>
    <w:aliases w:val="Numbered Paragraph,References,ReferencesCxSpLast,lp1,List Paragraph (numbered (a)),WB List Paragraph,Dot pt,F5 List Paragraph,List Paragraph1,No Spacing1,List Paragraph Char Char Char,Indicator Text,Numbered Para 1,Bullets,Ha,Bullet 1,Dot"/>
    <w:basedOn w:val="Normal"/>
    <w:link w:val="ListParagraphChar"/>
    <w:qFormat/>
    <w:rsid w:val="007C5BE3"/>
    <w:pPr>
      <w:ind w:left="720"/>
      <w:contextualSpacing/>
    </w:pPr>
    <w:rPr>
      <w:sz w:val="22"/>
      <w:szCs w:val="22"/>
    </w:rPr>
  </w:style>
  <w:style w:type="character" w:customStyle="1" w:styleId="FootnoteReference1">
    <w:name w:val="Footnote Reference1"/>
    <w:aliases w:val="ftref,Carattere Carattere Char Char Char Char Char,ftref Char Char Char Char Char,Char Char Char Char Char Char Char,ftref Char Char,ftref Char,Carattere Carattere Char Char Char Char Char Char,ftref Char Char Char Char Char Char,fr"/>
    <w:basedOn w:val="DefaultParagraphFont"/>
    <w:uiPriority w:val="99"/>
    <w:qFormat/>
    <w:locked/>
    <w:rsid w:val="007C5BE3"/>
    <w:rPr>
      <w:vertAlign w:val="superscript"/>
    </w:rPr>
  </w:style>
  <w:style w:type="character" w:customStyle="1" w:styleId="FootnoteTextChar1">
    <w:name w:val="Footnote Text Char1"/>
    <w:aliases w:val="Carattere Carattere Char Char Char Char Char1,ftref Char Char Char Char Char1,Char Char Char Char Char Char Char1,ftref Char Cha Char,fn Char1"/>
    <w:basedOn w:val="DefaultParagraphFont"/>
    <w:link w:val="FootnoteText"/>
    <w:uiPriority w:val="99"/>
    <w:rsid w:val="007C5BE3"/>
    <w:rPr>
      <w:vertAlign w:val="superscript"/>
    </w:rPr>
  </w:style>
  <w:style w:type="paragraph" w:styleId="BalloonText">
    <w:name w:val="Balloon Text"/>
    <w:basedOn w:val="Normal"/>
    <w:link w:val="BalloonTextChar"/>
    <w:uiPriority w:val="99"/>
    <w:semiHidden/>
    <w:unhideWhenUsed/>
    <w:rsid w:val="007C5B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BE3"/>
    <w:rPr>
      <w:rFonts w:ascii="Times New Roman" w:eastAsiaTheme="minorEastAsia" w:hAnsi="Times New Roman" w:cs="Times New Roman"/>
      <w:color w:val="000000"/>
      <w:sz w:val="18"/>
      <w:szCs w:val="18"/>
    </w:rPr>
  </w:style>
  <w:style w:type="paragraph" w:customStyle="1" w:styleId="Minh">
    <w:name w:val="Minh"/>
    <w:basedOn w:val="BodyText2"/>
    <w:link w:val="MinhChar"/>
    <w:qFormat/>
    <w:rsid w:val="007C5BE3"/>
    <w:pPr>
      <w:widowControl/>
      <w:numPr>
        <w:numId w:val="1"/>
      </w:numPr>
      <w:autoSpaceDE/>
      <w:autoSpaceDN/>
      <w:adjustRightInd/>
      <w:spacing w:before="120" w:line="240" w:lineRule="auto"/>
      <w:jc w:val="both"/>
    </w:pPr>
    <w:rPr>
      <w:rFonts w:ascii="Times New Roman" w:eastAsia="Times New Roman" w:hAnsi="Times New Roman" w:cs="Times New Roman"/>
      <w:lang w:eastAsia="en-GB"/>
    </w:rPr>
  </w:style>
  <w:style w:type="character" w:customStyle="1" w:styleId="MinhChar">
    <w:name w:val="Minh Char"/>
    <w:basedOn w:val="DefaultParagraphFont"/>
    <w:link w:val="Minh"/>
    <w:locked/>
    <w:rsid w:val="007C5BE3"/>
    <w:rPr>
      <w:rFonts w:ascii="Times New Roman" w:eastAsia="Times New Roman" w:hAnsi="Times New Roman" w:cs="Times New Roman"/>
      <w:color w:val="000000"/>
      <w:sz w:val="24"/>
      <w:szCs w:val="24"/>
      <w:lang w:eastAsia="en-GB"/>
    </w:rPr>
  </w:style>
  <w:style w:type="paragraph" w:styleId="BodyText2">
    <w:name w:val="Body Text 2"/>
    <w:basedOn w:val="Normal"/>
    <w:link w:val="BodyText2Char"/>
    <w:uiPriority w:val="99"/>
    <w:semiHidden/>
    <w:unhideWhenUsed/>
    <w:rsid w:val="007C5BE3"/>
    <w:pPr>
      <w:spacing w:after="120" w:line="480" w:lineRule="auto"/>
    </w:pPr>
  </w:style>
  <w:style w:type="character" w:customStyle="1" w:styleId="BodyText2Char">
    <w:name w:val="Body Text 2 Char"/>
    <w:basedOn w:val="DefaultParagraphFont"/>
    <w:link w:val="BodyText2"/>
    <w:uiPriority w:val="99"/>
    <w:semiHidden/>
    <w:rsid w:val="007C5BE3"/>
    <w:rPr>
      <w:rFonts w:ascii="Arial" w:eastAsiaTheme="minorEastAsia" w:hAnsi="Arial" w:cs="Arial"/>
      <w:color w:val="000000"/>
      <w:sz w:val="24"/>
      <w:szCs w:val="24"/>
    </w:rPr>
  </w:style>
  <w:style w:type="paragraph" w:styleId="NoSpacing">
    <w:name w:val="No Spacing"/>
    <w:aliases w:val="Numbered paragraph,Numbered Para,My Normal"/>
    <w:link w:val="NoSpacingChar"/>
    <w:uiPriority w:val="1"/>
    <w:qFormat/>
    <w:rsid w:val="007C5BE3"/>
    <w:pPr>
      <w:widowControl w:val="0"/>
      <w:autoSpaceDE w:val="0"/>
      <w:autoSpaceDN w:val="0"/>
      <w:adjustRightInd w:val="0"/>
      <w:spacing w:after="0"/>
      <w:jc w:val="center"/>
    </w:pPr>
    <w:rPr>
      <w:rFonts w:eastAsiaTheme="minorEastAsia" w:cs="Arial"/>
      <w:color w:val="000000"/>
      <w:szCs w:val="24"/>
    </w:rPr>
  </w:style>
  <w:style w:type="character" w:customStyle="1" w:styleId="NoSpacingChar">
    <w:name w:val="No Spacing Char"/>
    <w:aliases w:val="Numbered paragraph Char,Numbered Para Char,My Normal Char"/>
    <w:basedOn w:val="DefaultParagraphFont"/>
    <w:link w:val="NoSpacing"/>
    <w:uiPriority w:val="1"/>
    <w:rsid w:val="007C5BE3"/>
    <w:rPr>
      <w:rFonts w:eastAsiaTheme="minorEastAsia" w:cs="Arial"/>
      <w:color w:val="000000"/>
      <w:szCs w:val="24"/>
    </w:rPr>
  </w:style>
  <w:style w:type="paragraph" w:styleId="BodyText">
    <w:name w:val="Body Text"/>
    <w:basedOn w:val="Normal"/>
    <w:link w:val="BodyTextChar"/>
    <w:uiPriority w:val="99"/>
    <w:semiHidden/>
    <w:unhideWhenUsed/>
    <w:rsid w:val="007C5BE3"/>
    <w:pPr>
      <w:spacing w:after="120"/>
    </w:pPr>
  </w:style>
  <w:style w:type="character" w:customStyle="1" w:styleId="BodyTextChar">
    <w:name w:val="Body Text Char"/>
    <w:basedOn w:val="DefaultParagraphFont"/>
    <w:link w:val="BodyText"/>
    <w:uiPriority w:val="99"/>
    <w:semiHidden/>
    <w:rsid w:val="007C5BE3"/>
    <w:rPr>
      <w:rFonts w:ascii="Arial" w:eastAsiaTheme="minorEastAsia" w:hAnsi="Arial" w:cs="Arial"/>
      <w:color w:val="000000"/>
      <w:sz w:val="24"/>
      <w:szCs w:val="24"/>
    </w:rPr>
  </w:style>
  <w:style w:type="paragraph" w:customStyle="1" w:styleId="MainParawithChapter">
    <w:name w:val="Main Para with Chapter#"/>
    <w:basedOn w:val="Normal"/>
    <w:rsid w:val="007C5BE3"/>
    <w:pPr>
      <w:widowControl/>
      <w:numPr>
        <w:ilvl w:val="1"/>
        <w:numId w:val="3"/>
      </w:numPr>
      <w:tabs>
        <w:tab w:val="clear" w:pos="720"/>
      </w:tabs>
      <w:autoSpaceDE/>
      <w:autoSpaceDN/>
      <w:adjustRightInd/>
      <w:spacing w:after="240"/>
      <w:ind w:left="0" w:firstLine="0"/>
      <w:outlineLvl w:val="1"/>
    </w:pPr>
    <w:rPr>
      <w:rFonts w:ascii="Times New Roman" w:eastAsia="Times New Roman" w:hAnsi="Times New Roman" w:cs="Times New Roman"/>
      <w:color w:val="auto"/>
    </w:rPr>
  </w:style>
  <w:style w:type="paragraph" w:customStyle="1" w:styleId="Sub-Para1underXY">
    <w:name w:val="Sub-Para 1 under X.Y"/>
    <w:basedOn w:val="Normal"/>
    <w:rsid w:val="007C5BE3"/>
    <w:pPr>
      <w:widowControl/>
      <w:numPr>
        <w:ilvl w:val="2"/>
        <w:numId w:val="3"/>
      </w:numPr>
      <w:tabs>
        <w:tab w:val="clear" w:pos="1440"/>
      </w:tabs>
      <w:autoSpaceDE/>
      <w:autoSpaceDN/>
      <w:adjustRightInd/>
      <w:spacing w:after="240"/>
      <w:ind w:left="1440" w:hanging="720"/>
      <w:outlineLvl w:val="2"/>
    </w:pPr>
    <w:rPr>
      <w:rFonts w:ascii="Times New Roman" w:eastAsia="Times New Roman" w:hAnsi="Times New Roman" w:cs="Times New Roman"/>
      <w:color w:val="auto"/>
    </w:rPr>
  </w:style>
  <w:style w:type="paragraph" w:customStyle="1" w:styleId="Sub-Para2underXY">
    <w:name w:val="Sub-Para 2 under X.Y"/>
    <w:basedOn w:val="Normal"/>
    <w:rsid w:val="007C5BE3"/>
    <w:pPr>
      <w:widowControl/>
      <w:numPr>
        <w:ilvl w:val="3"/>
        <w:numId w:val="3"/>
      </w:numPr>
      <w:autoSpaceDE/>
      <w:autoSpaceDN/>
      <w:adjustRightInd/>
      <w:spacing w:after="240"/>
      <w:outlineLvl w:val="3"/>
    </w:pPr>
    <w:rPr>
      <w:rFonts w:ascii="Times New Roman" w:eastAsia="Times New Roman" w:hAnsi="Times New Roman" w:cs="Times New Roman"/>
      <w:color w:val="auto"/>
    </w:rPr>
  </w:style>
  <w:style w:type="paragraph" w:customStyle="1" w:styleId="Sub-Para3underXY">
    <w:name w:val="Sub-Para 3 under X.Y"/>
    <w:basedOn w:val="Normal"/>
    <w:rsid w:val="007C5BE3"/>
    <w:pPr>
      <w:widowControl/>
      <w:numPr>
        <w:ilvl w:val="4"/>
        <w:numId w:val="3"/>
      </w:numPr>
      <w:tabs>
        <w:tab w:val="clear" w:pos="1800"/>
      </w:tabs>
      <w:autoSpaceDE/>
      <w:autoSpaceDN/>
      <w:adjustRightInd/>
      <w:spacing w:after="240"/>
      <w:ind w:left="2880" w:hanging="720"/>
      <w:outlineLvl w:val="4"/>
    </w:pPr>
    <w:rPr>
      <w:rFonts w:ascii="Times New Roman" w:eastAsia="Times New Roman" w:hAnsi="Times New Roman" w:cs="Times New Roman"/>
      <w:color w:val="auto"/>
    </w:rPr>
  </w:style>
  <w:style w:type="paragraph" w:customStyle="1" w:styleId="Sub-Para4underXY">
    <w:name w:val="Sub-Para 4 under X.Y"/>
    <w:basedOn w:val="Normal"/>
    <w:rsid w:val="007C5BE3"/>
    <w:pPr>
      <w:widowControl/>
      <w:numPr>
        <w:ilvl w:val="5"/>
        <w:numId w:val="3"/>
      </w:numPr>
      <w:tabs>
        <w:tab w:val="clear" w:pos="2520"/>
      </w:tabs>
      <w:autoSpaceDE/>
      <w:autoSpaceDN/>
      <w:adjustRightInd/>
      <w:spacing w:after="240"/>
      <w:ind w:left="3600" w:hanging="720"/>
      <w:outlineLvl w:val="5"/>
    </w:pPr>
    <w:rPr>
      <w:rFonts w:ascii="Times New Roman" w:eastAsia="Times New Roman" w:hAnsi="Times New Roman" w:cs="Times New Roman"/>
      <w:color w:val="auto"/>
    </w:rPr>
  </w:style>
  <w:style w:type="paragraph" w:customStyle="1" w:styleId="m-980742565710293275m-8326082337393666877m-3829881406160943875msofootnotetext">
    <w:name w:val="m_-980742565710293275m-8326082337393666877m-3829881406160943875msofootnotetext"/>
    <w:basedOn w:val="Normal"/>
    <w:rsid w:val="007C5BE3"/>
    <w:pPr>
      <w:widowControl/>
      <w:autoSpaceDE/>
      <w:autoSpaceDN/>
      <w:adjustRightInd/>
      <w:spacing w:before="100" w:beforeAutospacing="1" w:after="100" w:afterAutospacing="1"/>
    </w:pPr>
    <w:rPr>
      <w:rFonts w:ascii="Calibri" w:eastAsiaTheme="minorHAnsi" w:hAnsi="Calibri" w:cs="Calibri"/>
      <w:color w:val="auto"/>
      <w:sz w:val="22"/>
      <w:szCs w:val="22"/>
    </w:rPr>
  </w:style>
  <w:style w:type="paragraph" w:styleId="NormalWeb">
    <w:name w:val="Normal (Web)"/>
    <w:basedOn w:val="Normal"/>
    <w:uiPriority w:val="99"/>
    <w:unhideWhenUsed/>
    <w:rsid w:val="007C5BE3"/>
    <w:pPr>
      <w:widowControl/>
      <w:autoSpaceDE/>
      <w:autoSpaceDN/>
      <w:adjustRightInd/>
      <w:spacing w:before="100" w:beforeAutospacing="1" w:after="100" w:afterAutospacing="1"/>
    </w:pPr>
    <w:rPr>
      <w:rFonts w:ascii="Times New Roman" w:eastAsia="Times New Roman" w:hAnsi="Times New Roman" w:cs="Times New Roman"/>
      <w:color w:val="auto"/>
    </w:rPr>
  </w:style>
  <w:style w:type="character" w:styleId="FootnoteReference">
    <w:name w:val="footnote reference"/>
    <w:basedOn w:val="DefaultParagraphFont"/>
    <w:uiPriority w:val="99"/>
    <w:unhideWhenUsed/>
    <w:qFormat/>
    <w:rsid w:val="007C5BE3"/>
    <w:rPr>
      <w:vertAlign w:val="superscript"/>
    </w:rPr>
  </w:style>
  <w:style w:type="table" w:styleId="TableGrid">
    <w:name w:val="Table Grid"/>
    <w:aliases w:val="TabelEcorys,Table Grid CFAA"/>
    <w:basedOn w:val="TableNormal"/>
    <w:uiPriority w:val="39"/>
    <w:rsid w:val="007C5BE3"/>
    <w:pPr>
      <w:spacing w:after="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5BE3"/>
    <w:pPr>
      <w:spacing w:after="0"/>
      <w:jc w:val="left"/>
    </w:pPr>
    <w:rPr>
      <w:rFonts w:ascii="Arial" w:eastAsiaTheme="minorEastAsia" w:hAnsi="Arial" w:cs="Arial"/>
      <w:color w:val="000000"/>
      <w:sz w:val="24"/>
      <w:szCs w:val="24"/>
    </w:rPr>
  </w:style>
  <w:style w:type="paragraph" w:styleId="Footer">
    <w:name w:val="footer"/>
    <w:basedOn w:val="Normal"/>
    <w:link w:val="FooterChar"/>
    <w:uiPriority w:val="99"/>
    <w:unhideWhenUsed/>
    <w:rsid w:val="007C5BE3"/>
    <w:pPr>
      <w:tabs>
        <w:tab w:val="center" w:pos="4680"/>
        <w:tab w:val="right" w:pos="9360"/>
      </w:tabs>
    </w:pPr>
  </w:style>
  <w:style w:type="character" w:customStyle="1" w:styleId="FooterChar">
    <w:name w:val="Footer Char"/>
    <w:basedOn w:val="DefaultParagraphFont"/>
    <w:link w:val="Footer"/>
    <w:uiPriority w:val="99"/>
    <w:rsid w:val="007C5BE3"/>
    <w:rPr>
      <w:rFonts w:ascii="Arial" w:eastAsiaTheme="minorEastAsia" w:hAnsi="Arial" w:cs="Arial"/>
      <w:color w:val="000000"/>
      <w:sz w:val="24"/>
      <w:szCs w:val="24"/>
    </w:rPr>
  </w:style>
  <w:style w:type="character" w:styleId="PageNumber">
    <w:name w:val="page number"/>
    <w:basedOn w:val="DefaultParagraphFont"/>
    <w:uiPriority w:val="99"/>
    <w:semiHidden/>
    <w:unhideWhenUsed/>
    <w:rsid w:val="007C5BE3"/>
  </w:style>
  <w:style w:type="character" w:styleId="PlaceholderText">
    <w:name w:val="Placeholder Text"/>
    <w:basedOn w:val="DefaultParagraphFont"/>
    <w:uiPriority w:val="99"/>
    <w:semiHidden/>
    <w:rsid w:val="007C5BE3"/>
    <w:rPr>
      <w:color w:val="808080"/>
    </w:rPr>
  </w:style>
  <w:style w:type="paragraph" w:customStyle="1" w:styleId="ColorfulList-Accent11">
    <w:name w:val="Colorful List - Accent 11"/>
    <w:basedOn w:val="Normal"/>
    <w:link w:val="ColorfulList-Accent1Char"/>
    <w:uiPriority w:val="34"/>
    <w:qFormat/>
    <w:rsid w:val="007C5BE3"/>
    <w:pPr>
      <w:ind w:left="720"/>
      <w:contextualSpacing/>
    </w:pPr>
    <w:rPr>
      <w:rFonts w:eastAsia="Times New Roman"/>
    </w:rPr>
  </w:style>
  <w:style w:type="character" w:customStyle="1" w:styleId="ColorfulList-Accent1Char">
    <w:name w:val="Colorful List - Accent 1 Char"/>
    <w:link w:val="ColorfulList-Accent11"/>
    <w:uiPriority w:val="34"/>
    <w:rsid w:val="007C5BE3"/>
    <w:rPr>
      <w:rFonts w:ascii="Arial" w:eastAsia="Times New Roman" w:hAnsi="Arial" w:cs="Arial"/>
      <w:color w:val="000000"/>
      <w:sz w:val="24"/>
      <w:szCs w:val="24"/>
    </w:rPr>
  </w:style>
  <w:style w:type="paragraph" w:styleId="Title">
    <w:name w:val="Title"/>
    <w:basedOn w:val="Normal"/>
    <w:next w:val="Normal"/>
    <w:link w:val="TitleChar"/>
    <w:uiPriority w:val="10"/>
    <w:qFormat/>
    <w:rsid w:val="007C5BE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C5BE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C5BE3"/>
    <w:rPr>
      <w:sz w:val="16"/>
      <w:szCs w:val="16"/>
    </w:rPr>
  </w:style>
  <w:style w:type="paragraph" w:styleId="CommentText">
    <w:name w:val="annotation text"/>
    <w:basedOn w:val="Normal"/>
    <w:link w:val="CommentTextChar"/>
    <w:uiPriority w:val="99"/>
    <w:semiHidden/>
    <w:unhideWhenUsed/>
    <w:rsid w:val="007C5BE3"/>
    <w:rPr>
      <w:sz w:val="20"/>
      <w:szCs w:val="20"/>
    </w:rPr>
  </w:style>
  <w:style w:type="character" w:customStyle="1" w:styleId="CommentTextChar">
    <w:name w:val="Comment Text Char"/>
    <w:basedOn w:val="DefaultParagraphFont"/>
    <w:link w:val="CommentText"/>
    <w:uiPriority w:val="99"/>
    <w:semiHidden/>
    <w:rsid w:val="007C5BE3"/>
    <w:rPr>
      <w:rFonts w:ascii="Arial" w:eastAsiaTheme="minorEastAsia"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C5BE3"/>
    <w:rPr>
      <w:b/>
      <w:bCs/>
    </w:rPr>
  </w:style>
  <w:style w:type="character" w:customStyle="1" w:styleId="CommentSubjectChar">
    <w:name w:val="Comment Subject Char"/>
    <w:basedOn w:val="CommentTextChar"/>
    <w:link w:val="CommentSubject"/>
    <w:uiPriority w:val="99"/>
    <w:semiHidden/>
    <w:rsid w:val="007C5BE3"/>
    <w:rPr>
      <w:rFonts w:ascii="Arial" w:eastAsiaTheme="minorEastAsia" w:hAnsi="Arial" w:cs="Arial"/>
      <w:b/>
      <w:bCs/>
      <w:color w:val="000000"/>
      <w:sz w:val="20"/>
      <w:szCs w:val="20"/>
    </w:rPr>
  </w:style>
  <w:style w:type="paragraph" w:styleId="TOCHeading">
    <w:name w:val="TOC Heading"/>
    <w:basedOn w:val="Heading1"/>
    <w:next w:val="Normal"/>
    <w:uiPriority w:val="39"/>
    <w:unhideWhenUsed/>
    <w:qFormat/>
    <w:rsid w:val="007C5BE3"/>
    <w:pPr>
      <w:widowControl/>
      <w:autoSpaceDE/>
      <w:autoSpaceDN/>
      <w:adjustRightInd/>
      <w:spacing w:line="259" w:lineRule="auto"/>
      <w:outlineLvl w:val="9"/>
    </w:pPr>
  </w:style>
  <w:style w:type="paragraph" w:styleId="TOC2">
    <w:name w:val="toc 2"/>
    <w:basedOn w:val="Normal"/>
    <w:next w:val="Normal"/>
    <w:autoRedefine/>
    <w:uiPriority w:val="39"/>
    <w:unhideWhenUsed/>
    <w:rsid w:val="00F6300D"/>
    <w:pPr>
      <w:spacing w:after="100"/>
      <w:ind w:left="240"/>
    </w:pPr>
    <w:rPr>
      <w:rFonts w:ascii="Calibri" w:hAnsi="Calibri"/>
      <w:sz w:val="22"/>
    </w:rPr>
  </w:style>
  <w:style w:type="paragraph" w:styleId="TOC3">
    <w:name w:val="toc 3"/>
    <w:basedOn w:val="Normal"/>
    <w:next w:val="Normal"/>
    <w:autoRedefine/>
    <w:uiPriority w:val="39"/>
    <w:unhideWhenUsed/>
    <w:rsid w:val="00F6300D"/>
    <w:pPr>
      <w:spacing w:after="100"/>
      <w:ind w:left="480"/>
    </w:pPr>
    <w:rPr>
      <w:rFonts w:ascii="Calibri" w:hAnsi="Calibri"/>
      <w:sz w:val="22"/>
    </w:rPr>
  </w:style>
  <w:style w:type="paragraph" w:styleId="Caption">
    <w:name w:val="caption"/>
    <w:aliases w:val="AICD,Caption Box,Caption Char Char Char,Caption Char Char Char1 Char Char,Caption Char1,Caption Char1 Char Char Char,Caption Char1 Char Char Char Char Char,Caption Char1 Char1,Caption Char2,LVT Table Heading,Légende Car Car,Légende Car1,Table"/>
    <w:basedOn w:val="Normal"/>
    <w:next w:val="Normal"/>
    <w:link w:val="CaptionChar"/>
    <w:uiPriority w:val="35"/>
    <w:unhideWhenUsed/>
    <w:qFormat/>
    <w:rsid w:val="002863B7"/>
    <w:pPr>
      <w:keepNext/>
      <w:widowControl/>
      <w:spacing w:before="120" w:after="120"/>
      <w:jc w:val="center"/>
    </w:pPr>
    <w:rPr>
      <w:rFonts w:ascii="Calibri" w:hAnsi="Calibri" w:cs="Calibri"/>
      <w:b/>
      <w:iCs/>
      <w:color w:val="auto"/>
      <w:sz w:val="20"/>
      <w:szCs w:val="20"/>
    </w:rPr>
  </w:style>
  <w:style w:type="paragraph" w:styleId="TOC1">
    <w:name w:val="toc 1"/>
    <w:basedOn w:val="Normal"/>
    <w:next w:val="Normal"/>
    <w:autoRedefine/>
    <w:uiPriority w:val="39"/>
    <w:unhideWhenUsed/>
    <w:rsid w:val="00F6300D"/>
    <w:pPr>
      <w:tabs>
        <w:tab w:val="left" w:pos="480"/>
        <w:tab w:val="right" w:leader="dot" w:pos="9350"/>
      </w:tabs>
      <w:spacing w:after="100"/>
    </w:pPr>
    <w:rPr>
      <w:rFonts w:ascii="Calibri" w:hAnsi="Calibri"/>
      <w:sz w:val="22"/>
    </w:rPr>
  </w:style>
  <w:style w:type="paragraph" w:styleId="Subtitle">
    <w:name w:val="Subtitle"/>
    <w:basedOn w:val="Normal"/>
    <w:next w:val="Normal"/>
    <w:link w:val="SubtitleChar"/>
    <w:uiPriority w:val="11"/>
    <w:qFormat/>
    <w:rsid w:val="007C5BE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C5BE3"/>
    <w:rPr>
      <w:rFonts w:eastAsiaTheme="minorEastAsia"/>
      <w:color w:val="5A5A5A" w:themeColor="text1" w:themeTint="A5"/>
      <w:spacing w:val="15"/>
    </w:rPr>
  </w:style>
  <w:style w:type="paragraph" w:styleId="TableofFigures">
    <w:name w:val="table of figures"/>
    <w:basedOn w:val="Normal"/>
    <w:next w:val="Normal"/>
    <w:uiPriority w:val="99"/>
    <w:unhideWhenUsed/>
    <w:rsid w:val="007C5BE3"/>
    <w:rPr>
      <w:rFonts w:asciiTheme="minorHAnsi" w:hAnsiTheme="minorHAnsi"/>
      <w:sz w:val="22"/>
    </w:rPr>
  </w:style>
  <w:style w:type="paragraph" w:customStyle="1" w:styleId="paragraph">
    <w:name w:val="paragraph"/>
    <w:basedOn w:val="Normal"/>
    <w:rsid w:val="007C5BE3"/>
    <w:pPr>
      <w:widowControl/>
      <w:autoSpaceDE/>
      <w:autoSpaceDN/>
      <w:adjustRightInd/>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7C5BE3"/>
  </w:style>
  <w:style w:type="character" w:customStyle="1" w:styleId="eop">
    <w:name w:val="eop"/>
    <w:basedOn w:val="DefaultParagraphFont"/>
    <w:rsid w:val="007C5BE3"/>
  </w:style>
  <w:style w:type="character" w:customStyle="1" w:styleId="apple-converted-space">
    <w:name w:val="apple-converted-space"/>
    <w:basedOn w:val="DefaultParagraphFont"/>
    <w:rsid w:val="007C5BE3"/>
  </w:style>
  <w:style w:type="character" w:customStyle="1" w:styleId="CaptionChar">
    <w:name w:val="Caption Char"/>
    <w:aliases w:val="AICD Char,Caption Box Char,Caption Char Char Char Char,Caption Char Char Char1 Char Char Char,Caption Char1 Char,Caption Char1 Char Char Char Char,Caption Char1 Char Char Char Char Char Char,Caption Char1 Char1 Char,Caption Char2 Char"/>
    <w:link w:val="Caption"/>
    <w:uiPriority w:val="35"/>
    <w:rsid w:val="002863B7"/>
    <w:rPr>
      <w:rFonts w:ascii="Calibri" w:eastAsiaTheme="minorEastAsia" w:hAnsi="Calibri" w:cs="Calibri"/>
      <w:b/>
      <w:iCs/>
      <w:sz w:val="20"/>
      <w:szCs w:val="20"/>
    </w:rPr>
  </w:style>
  <w:style w:type="paragraph" w:styleId="Header">
    <w:name w:val="header"/>
    <w:basedOn w:val="Normal"/>
    <w:link w:val="HeaderChar"/>
    <w:uiPriority w:val="99"/>
    <w:unhideWhenUsed/>
    <w:rsid w:val="00EB060B"/>
    <w:pPr>
      <w:tabs>
        <w:tab w:val="center" w:pos="4680"/>
        <w:tab w:val="right" w:pos="9360"/>
      </w:tabs>
    </w:pPr>
  </w:style>
  <w:style w:type="character" w:customStyle="1" w:styleId="HeaderChar">
    <w:name w:val="Header Char"/>
    <w:basedOn w:val="DefaultParagraphFont"/>
    <w:link w:val="Header"/>
    <w:uiPriority w:val="99"/>
    <w:rsid w:val="00EB060B"/>
    <w:rPr>
      <w:rFonts w:ascii="Arial" w:eastAsiaTheme="minorEastAsia" w:hAnsi="Arial" w:cs="Arial"/>
      <w:color w:val="000000"/>
      <w:sz w:val="24"/>
      <w:szCs w:val="24"/>
    </w:rPr>
  </w:style>
  <w:style w:type="character" w:customStyle="1" w:styleId="hidden-xs">
    <w:name w:val="hidden-xs"/>
    <w:basedOn w:val="DefaultParagraphFont"/>
    <w:rsid w:val="006E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8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0FD53.EB1C7CD0" TargetMode="Externa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000243375:Raymond Muhula:rmuhula@worldbank.org;</DocAuthors>
    <Authors xmlns="b99a068c-3844-4a16-badd-77233eea0529">
      <UserInfo>
        <DisplayName>i:0#.w|wb\wb243375</DisplayName>
        <AccountId>7692</AccountId>
        <AccountType/>
      </UserInfo>
      <UserInfo>
        <DisplayName/>
        <AccountId xsi:nil="true"/>
        <AccountType/>
      </UserInfo>
    </Authors>
    <SequenceNum xmlns="b99a068c-3844-4a16-badd-77233eea0529" xsi:nil="true"/>
    <Cordis_x0020_ID xmlns="b99a068c-3844-4a16-badd-77233eea0529">ITM00330</Cordis_x0020_ID>
    <Stage xmlns="b99a068c-3844-4a16-badd-77233eea0529">NEG</Stage>
    <PolicyExceptions xmlns="b99a068c-3844-4a16-badd-77233eea0529" xsi:nil="true"/>
    <IsTemplate xmlns="b99a068c-3844-4a16-badd-77233eea0529">false</IsTemplate>
    <IsHidden xmlns="b99a068c-3844-4a16-badd-77233eea0529">false</IsHidden>
    <HasUserUploaded xmlns="b99a068c-3844-4a16-badd-77233eea0529">true</HasUserUploaded>
    <DocumentDate xmlns="b99a068c-3844-4a16-badd-77233eea0529">2018-12-02T05:00:00+00:00</DocumentDate>
    <WBDocType xmlns="b99a068c-3844-4a16-badd-77233eea0529">Final Technical Assessment</WBDocType>
    <SecurityClassification xmlns="b99a068c-3844-4a16-badd-77233eea0529">Public</SecurityClassification>
    <IsMandatory xmlns="b99a068c-3844-4a16-badd-77233eea0529">false</IsMandatory>
    <ProjectID xmlns="b99a068c-3844-4a16-badd-77233eea0529">P162302</ProjectID>
    <Task_x0020_ID xmlns="b99a068c-3844-4a16-badd-77233eea0529">TSK7385688</Task_x0020_ID>
    <Package xmlns="b99a068c-3844-4a16-badd-77233eea0529">true</Package>
    <TemplateDocVersion xmlns="b99a068c-3844-4a16-badd-77233eea0529" xsi:nil="true"/>
    <RefreshDate xmlns="b99a068c-3844-4a16-badd-77233eea0529" xsi:nil="true"/>
    <SortOrder xmlns="b99a068c-3844-4a16-badd-77233eea0529" xsi:nil="true"/>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eliverableID xmlns="b99a068c-3844-4a16-badd-77233eea0529" xsi:nil="true"/>
    <DocumentAction xmlns="b99a068c-3844-4a16-badd-77233eea0529" xsi:nil="true"/>
  </documentManagement>
</p:properties>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CB880E8FAB941C4C82F895ADEDC78109" ma:contentTypeVersion="3" ma:contentTypeDescription="" ma:contentTypeScope="" ma:versionID="1df048d811099ef3440381845a5f5a71">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B631C1-EDAD-49C2-9744-5918CC061DD1}">
  <ds:schemaRefs>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b99a068c-3844-4a16-badd-77233eea0529"/>
  </ds:schemaRefs>
</ds:datastoreItem>
</file>

<file path=customXml/itemProps2.xml><?xml version="1.0" encoding="utf-8"?>
<ds:datastoreItem xmlns:ds="http://schemas.openxmlformats.org/officeDocument/2006/customXml" ds:itemID="{12A83779-76BA-4D40-B0F9-4BEB7CE34CA1}">
  <ds:schemaRefs>
    <ds:schemaRef ds:uri="Microsoft.SharePoint.Taxonomy.ContentTypeSync"/>
  </ds:schemaRefs>
</ds:datastoreItem>
</file>

<file path=customXml/itemProps3.xml><?xml version="1.0" encoding="utf-8"?>
<ds:datastoreItem xmlns:ds="http://schemas.openxmlformats.org/officeDocument/2006/customXml" ds:itemID="{815DAAAA-A50F-4542-A61B-FAFCB4BD4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60E8E-2B36-4BD7-94AF-4DC8CF580363}">
  <ds:schemaRefs>
    <ds:schemaRef ds:uri="http://schemas.microsoft.com/sharepoint/v3/contenttype/forms"/>
  </ds:schemaRefs>
</ds:datastoreItem>
</file>

<file path=customXml/itemProps5.xml><?xml version="1.0" encoding="utf-8"?>
<ds:datastoreItem xmlns:ds="http://schemas.openxmlformats.org/officeDocument/2006/customXml" ds:itemID="{21620765-4AAB-4487-A521-867C803D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8509</Words>
  <Characters>48503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Assessment</dc:title>
  <dc:subject>Technical Assessment</dc:subject>
  <dc:creator>Raymond Muhula</dc:creator>
  <cp:keywords/>
  <dc:description/>
  <cp:lastModifiedBy>Raymond Muhula</cp:lastModifiedBy>
  <cp:revision>2</cp:revision>
  <dcterms:created xsi:type="dcterms:W3CDTF">2019-05-20T07:27:00Z</dcterms:created>
  <dcterms:modified xsi:type="dcterms:W3CDTF">2019-05-20T07:27:00Z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0x01010054E0FEF4951F9D49A6F48A35419983C700CB880E8FAB941C4C82F895ADEDC78109</vt:lpwstr>
  </property>
  <property fmtid="{D5CDD505-2E9C-101B-9397-08002B2CF9AE}" pid="3" name="DocAuthors">
    <vt:lpwstr>000243375:Raymond Muhula:rmuhula@worldbank.org;</vt:lpwstr>
  </property>
  <property fmtid="{D5CDD505-2E9C-101B-9397-08002B2CF9AE}" pid="4" name="Authors">
    <vt:lpwstr>7692;#i:0#.w|wb\wb243375</vt:lpwstr>
  </property>
  <property fmtid="{D5CDD505-2E9C-101B-9397-08002B2CF9AE}" pid="5" name="Cordis ID">
    <vt:lpwstr>ITM00330</vt:lpwstr>
  </property>
  <property fmtid="{D5CDD505-2E9C-101B-9397-08002B2CF9AE}" pid="6" name="Stage">
    <vt:lpwstr>NEG</vt:lpwstr>
  </property>
  <property fmtid="{D5CDD505-2E9C-101B-9397-08002B2CF9AE}" pid="7" name="IsHidden">
    <vt:bool>false</vt:bool>
  </property>
  <property fmtid="{D5CDD505-2E9C-101B-9397-08002B2CF9AE}" pid="8" name="IsTemplate">
    <vt:bool>false</vt:bool>
  </property>
  <property fmtid="{D5CDD505-2E9C-101B-9397-08002B2CF9AE}" pid="9" name="WBDocType">
    <vt:lpwstr>Final Technical Assessment</vt:lpwstr>
  </property>
  <property fmtid="{D5CDD505-2E9C-101B-9397-08002B2CF9AE}" pid="10" name="SecurityClassification">
    <vt:lpwstr>Public</vt:lpwstr>
  </property>
  <property fmtid="{D5CDD505-2E9C-101B-9397-08002B2CF9AE}" pid="11" name="IsMandatory">
    <vt:bool>false</vt:bool>
  </property>
  <property fmtid="{D5CDD505-2E9C-101B-9397-08002B2CF9AE}" pid="12" name="ProjectID">
    <vt:lpwstr>P162302</vt:lpwstr>
  </property>
  <property fmtid="{D5CDD505-2E9C-101B-9397-08002B2CF9AE}" pid="13" name="Task ID">
    <vt:lpwstr>TSK6392448</vt:lpwstr>
  </property>
  <property fmtid="{D5CDD505-2E9C-101B-9397-08002B2CF9AE}" pid="14" name="Package">
    <vt:bool>true</vt:bool>
  </property>
  <property fmtid="{D5CDD505-2E9C-101B-9397-08002B2CF9AE}" pid="15" name="HasUserUploaded">
    <vt:bool>true</vt:bool>
  </property>
  <property fmtid="{D5CDD505-2E9C-101B-9397-08002B2CF9AE}" pid="16" name="DocumentDate">
    <vt:filetime>2018-12-02T05:00:00Z</vt:filetime>
  </property>
  <property fmtid="{D5CDD505-2E9C-101B-9397-08002B2CF9AE}" pid="17" name="RatedBy">
    <vt:lpwstr/>
  </property>
  <property fmtid="{D5CDD505-2E9C-101B-9397-08002B2CF9AE}" pid="18" name="LikedBy">
    <vt:lpwstr/>
  </property>
</Properties>
</file>