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67" w:rsidRPr="003E719B" w:rsidRDefault="00951725" w:rsidP="00DE1D67">
      <w:pPr>
        <w:keepNext/>
        <w:keepLines/>
        <w:spacing w:before="200" w:after="0"/>
        <w:jc w:val="center"/>
        <w:outlineLvl w:val="1"/>
        <w:rPr>
          <w:rFonts w:ascii="Times New Roman" w:eastAsia="Times New Roman" w:hAnsi="Times New Roman" w:cs="Times New Roman"/>
          <w:b/>
          <w:bCs/>
          <w:sz w:val="32"/>
          <w:szCs w:val="32"/>
        </w:rPr>
      </w:pPr>
      <w:bookmarkStart w:id="0" w:name="_Toc296077691"/>
      <w:bookmarkStart w:id="1" w:name="_Toc296077859"/>
      <w:bookmarkStart w:id="2" w:name="_Toc296604290"/>
      <w:r>
        <w:rPr>
          <w:rFonts w:ascii="Times New Roman" w:eastAsia="Times New Roman" w:hAnsi="Times New Roman" w:cs="Times New Roman"/>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345.6pt;margin-top:11.25pt;width:127.1pt;height:37.6pt;z-index:251660288" stroked="f">
            <v:textbox>
              <w:txbxContent>
                <w:p w:rsidR="00951725" w:rsidRPr="00951725" w:rsidRDefault="00951725">
                  <w:pPr>
                    <w:rPr>
                      <w:rFonts w:ascii="Arial" w:hAnsi="Arial" w:cs="Arial"/>
                      <w:sz w:val="44"/>
                      <w:szCs w:val="44"/>
                    </w:rPr>
                  </w:pPr>
                  <w:r>
                    <w:rPr>
                      <w:rFonts w:ascii="Arial" w:hAnsi="Arial" w:cs="Arial"/>
                      <w:sz w:val="44"/>
                      <w:szCs w:val="44"/>
                    </w:rPr>
                    <w:t>68041</w:t>
                  </w:r>
                </w:p>
              </w:txbxContent>
            </v:textbox>
          </v:shape>
        </w:pict>
      </w:r>
      <w:r w:rsidR="00DE1D67" w:rsidRPr="003E719B">
        <w:rPr>
          <w:rFonts w:ascii="Times New Roman" w:eastAsia="Times New Roman" w:hAnsi="Times New Roman" w:cs="Times New Roman"/>
          <w:b/>
          <w:bCs/>
          <w:noProof/>
          <w:sz w:val="32"/>
          <w:szCs w:val="32"/>
        </w:rPr>
        <w:drawing>
          <wp:anchor distT="0" distB="0" distL="114300" distR="114300" simplePos="0" relativeHeight="251652096" behindDoc="0" locked="0" layoutInCell="1" allowOverlap="1">
            <wp:simplePos x="0" y="0"/>
            <wp:positionH relativeFrom="column">
              <wp:posOffset>2687436</wp:posOffset>
            </wp:positionH>
            <wp:positionV relativeFrom="paragraph">
              <wp:posOffset>116378</wp:posOffset>
            </wp:positionV>
            <wp:extent cx="579466" cy="606829"/>
            <wp:effectExtent l="1905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9466" cy="606829"/>
                    </a:xfrm>
                    <a:prstGeom prst="rect">
                      <a:avLst/>
                    </a:prstGeom>
                    <a:noFill/>
                  </pic:spPr>
                </pic:pic>
              </a:graphicData>
            </a:graphic>
          </wp:anchor>
        </w:drawing>
      </w:r>
      <w:r w:rsidR="003B7D78">
        <w:rPr>
          <w:rFonts w:ascii="Times New Roman" w:eastAsia="Times New Roman" w:hAnsi="Times New Roman" w:cs="Times New Roman"/>
          <w:b/>
          <w:bCs/>
          <w:sz w:val="32"/>
          <w:szCs w:val="32"/>
        </w:rPr>
        <w:t>-</w:t>
      </w:r>
    </w:p>
    <w:p w:rsidR="00DE1D67" w:rsidRPr="003E719B" w:rsidRDefault="00DE1D67" w:rsidP="00DE1D67">
      <w:pPr>
        <w:keepNext/>
        <w:keepLines/>
        <w:spacing w:before="200" w:after="0"/>
        <w:jc w:val="center"/>
        <w:outlineLvl w:val="1"/>
        <w:rPr>
          <w:rFonts w:ascii="Times New Roman" w:eastAsia="Times New Roman" w:hAnsi="Times New Roman" w:cs="Times New Roman"/>
          <w:b/>
          <w:bCs/>
          <w:sz w:val="32"/>
          <w:szCs w:val="32"/>
        </w:rPr>
      </w:pPr>
    </w:p>
    <w:p w:rsidR="00DE1D67" w:rsidRPr="003E719B" w:rsidRDefault="002173BD" w:rsidP="00DE1D67">
      <w:pPr>
        <w:keepNext/>
        <w:keepLines/>
        <w:spacing w:after="0"/>
        <w:jc w:val="center"/>
        <w:outlineLvl w:val="1"/>
        <w:rPr>
          <w:rFonts w:ascii="Times New Roman" w:eastAsia="Times New Roman" w:hAnsi="Times New Roman" w:cs="Times New Roman"/>
          <w:b/>
          <w:bCs/>
          <w:sz w:val="32"/>
          <w:szCs w:val="32"/>
        </w:rPr>
      </w:pPr>
      <w:bookmarkStart w:id="3" w:name="_Toc297033330"/>
      <w:bookmarkStart w:id="4" w:name="_Toc297119791"/>
      <w:bookmarkStart w:id="5" w:name="_Toc297133804"/>
      <w:bookmarkStart w:id="6" w:name="_Toc297635631"/>
      <w:bookmarkStart w:id="7" w:name="_Toc297635683"/>
      <w:bookmarkStart w:id="8" w:name="_Toc297664846"/>
      <w:bookmarkStart w:id="9" w:name="_Toc298075965"/>
      <w:bookmarkStart w:id="10" w:name="_Toc320199169"/>
      <w:r w:rsidRPr="003E719B">
        <w:rPr>
          <w:rFonts w:ascii="Times New Roman" w:eastAsia="Times New Roman" w:hAnsi="Times New Roman" w:cs="Times New Roman"/>
          <w:b/>
          <w:bCs/>
          <w:sz w:val="32"/>
          <w:szCs w:val="32"/>
        </w:rPr>
        <w:t>THE WORLD BANK</w:t>
      </w:r>
      <w:bookmarkEnd w:id="0"/>
      <w:bookmarkEnd w:id="1"/>
      <w:bookmarkEnd w:id="2"/>
      <w:bookmarkEnd w:id="3"/>
      <w:bookmarkEnd w:id="4"/>
      <w:bookmarkEnd w:id="5"/>
      <w:bookmarkEnd w:id="6"/>
      <w:bookmarkEnd w:id="7"/>
      <w:bookmarkEnd w:id="8"/>
      <w:bookmarkEnd w:id="9"/>
      <w:bookmarkEnd w:id="10"/>
    </w:p>
    <w:p w:rsidR="00C443E8" w:rsidRPr="003E719B" w:rsidRDefault="00C443E8" w:rsidP="00380B54">
      <w:pPr>
        <w:jc w:val="center"/>
        <w:rPr>
          <w:rFonts w:eastAsiaTheme="minorEastAsia"/>
          <w:lang w:bidi="en-US"/>
        </w:rPr>
      </w:pPr>
    </w:p>
    <w:p w:rsidR="00C443E8" w:rsidRPr="003E719B" w:rsidRDefault="00C443E8" w:rsidP="00380B54">
      <w:pPr>
        <w:jc w:val="center"/>
        <w:rPr>
          <w:rFonts w:eastAsiaTheme="minorEastAsia"/>
          <w:lang w:bidi="en-US"/>
        </w:rPr>
      </w:pPr>
    </w:p>
    <w:p w:rsidR="00C443E8" w:rsidRPr="003E719B" w:rsidRDefault="00C443E8" w:rsidP="00380B54">
      <w:pPr>
        <w:jc w:val="center"/>
        <w:rPr>
          <w:rFonts w:eastAsiaTheme="minorEastAsia"/>
          <w:lang w:bidi="en-US"/>
        </w:rPr>
      </w:pPr>
    </w:p>
    <w:p w:rsidR="00D47B1D" w:rsidRPr="003E719B" w:rsidRDefault="00D47B1D" w:rsidP="00380B54">
      <w:pPr>
        <w:jc w:val="center"/>
        <w:rPr>
          <w:rFonts w:eastAsiaTheme="minorEastAsia"/>
          <w:lang w:bidi="en-US"/>
        </w:rPr>
      </w:pPr>
    </w:p>
    <w:p w:rsidR="00D47B1D" w:rsidRPr="003E719B" w:rsidRDefault="00D47B1D" w:rsidP="00380B54">
      <w:pPr>
        <w:jc w:val="center"/>
        <w:rPr>
          <w:rFonts w:eastAsiaTheme="minorEastAsia"/>
          <w:lang w:bidi="en-US"/>
        </w:rPr>
      </w:pPr>
    </w:p>
    <w:p w:rsidR="00C443E8" w:rsidRPr="003E719B" w:rsidRDefault="00C443E8" w:rsidP="0013685B">
      <w:pPr>
        <w:pBdr>
          <w:bottom w:val="single" w:sz="8" w:space="8" w:color="4F81BD"/>
        </w:pBdr>
        <w:spacing w:after="300"/>
        <w:contextualSpacing/>
        <w:jc w:val="center"/>
        <w:rPr>
          <w:rFonts w:ascii="Times New Roman" w:eastAsia="Times New Roman" w:hAnsi="Times New Roman" w:cs="Times New Roman"/>
          <w:spacing w:val="5"/>
          <w:kern w:val="28"/>
          <w:sz w:val="48"/>
          <w:szCs w:val="48"/>
        </w:rPr>
      </w:pPr>
      <w:r w:rsidRPr="003E719B">
        <w:rPr>
          <w:rFonts w:ascii="Times New Roman" w:eastAsia="Times New Roman" w:hAnsi="Times New Roman" w:cs="Times New Roman"/>
          <w:bCs/>
          <w:spacing w:val="5"/>
          <w:kern w:val="28"/>
          <w:sz w:val="48"/>
          <w:szCs w:val="48"/>
          <w:lang w:bidi="en-US"/>
        </w:rPr>
        <w:t xml:space="preserve">Russian Federation </w:t>
      </w:r>
    </w:p>
    <w:p w:rsidR="00C443E8" w:rsidRPr="003E719B" w:rsidRDefault="00C443E8" w:rsidP="0013685B">
      <w:pPr>
        <w:spacing w:after="0"/>
        <w:rPr>
          <w:rFonts w:ascii="Times New Roman" w:eastAsia="Calibri" w:hAnsi="Times New Roman" w:cs="Times New Roman"/>
        </w:rPr>
      </w:pPr>
    </w:p>
    <w:p w:rsidR="00C443E8" w:rsidRPr="003E719B" w:rsidRDefault="00C443E8" w:rsidP="0013685B">
      <w:pPr>
        <w:spacing w:after="60"/>
        <w:jc w:val="center"/>
        <w:outlineLvl w:val="1"/>
        <w:rPr>
          <w:rFonts w:ascii="Times New Roman" w:eastAsia="Times New Roman" w:hAnsi="Times New Roman" w:cs="Times New Roman"/>
          <w:sz w:val="36"/>
          <w:szCs w:val="36"/>
        </w:rPr>
      </w:pPr>
      <w:bookmarkStart w:id="11" w:name="_Toc296077690"/>
      <w:bookmarkStart w:id="12" w:name="_Toc296077858"/>
      <w:bookmarkStart w:id="13" w:name="_Toc296604289"/>
      <w:bookmarkStart w:id="14" w:name="_Toc297033331"/>
      <w:bookmarkStart w:id="15" w:name="_Toc297119792"/>
      <w:bookmarkStart w:id="16" w:name="_Toc297133805"/>
      <w:bookmarkStart w:id="17" w:name="_Toc297635632"/>
      <w:bookmarkStart w:id="18" w:name="_Toc297635684"/>
      <w:bookmarkStart w:id="19" w:name="_Toc297664847"/>
      <w:bookmarkStart w:id="20" w:name="_Toc298075966"/>
      <w:bookmarkStart w:id="21" w:name="_Toc320199170"/>
      <w:r w:rsidRPr="003E719B">
        <w:rPr>
          <w:rFonts w:ascii="Times New Roman" w:eastAsia="Times New Roman" w:hAnsi="Times New Roman" w:cs="Times New Roman"/>
          <w:sz w:val="36"/>
          <w:szCs w:val="36"/>
          <w:lang w:bidi="en-US"/>
        </w:rPr>
        <w:t xml:space="preserve">Export Diversification through Competition and Innovation: </w:t>
      </w:r>
      <w:r w:rsidRPr="003E719B">
        <w:rPr>
          <w:rFonts w:ascii="Times New Roman" w:eastAsia="Times New Roman" w:hAnsi="Times New Roman" w:cs="Times New Roman"/>
          <w:sz w:val="36"/>
          <w:szCs w:val="36"/>
          <w:lang w:bidi="en-US"/>
        </w:rPr>
        <w:br/>
      </w:r>
      <w:bookmarkEnd w:id="11"/>
      <w:bookmarkEnd w:id="12"/>
      <w:bookmarkEnd w:id="13"/>
      <w:bookmarkEnd w:id="14"/>
      <w:bookmarkEnd w:id="15"/>
      <w:bookmarkEnd w:id="16"/>
      <w:bookmarkEnd w:id="17"/>
      <w:bookmarkEnd w:id="18"/>
      <w:bookmarkEnd w:id="19"/>
      <w:bookmarkEnd w:id="20"/>
      <w:bookmarkEnd w:id="21"/>
      <w:r w:rsidR="0005453F">
        <w:rPr>
          <w:rFonts w:ascii="Times New Roman" w:eastAsia="Times New Roman" w:hAnsi="Times New Roman" w:cs="Times New Roman"/>
          <w:sz w:val="36"/>
          <w:szCs w:val="36"/>
          <w:lang w:bidi="en-US"/>
        </w:rPr>
        <w:t>Overview</w:t>
      </w:r>
    </w:p>
    <w:p w:rsidR="00C443E8" w:rsidRPr="003E719B" w:rsidRDefault="00C443E8" w:rsidP="0013685B">
      <w:pPr>
        <w:rPr>
          <w:rFonts w:ascii="Times New Roman" w:eastAsia="Calibri" w:hAnsi="Times New Roman" w:cs="Times New Roman"/>
        </w:rPr>
      </w:pPr>
    </w:p>
    <w:p w:rsidR="00C443E8" w:rsidRPr="003E719B" w:rsidRDefault="00C443E8" w:rsidP="0013685B">
      <w:pPr>
        <w:jc w:val="center"/>
        <w:rPr>
          <w:rFonts w:ascii="Times New Roman" w:eastAsia="Calibri" w:hAnsi="Times New Roman" w:cs="Times New Roman"/>
        </w:rPr>
      </w:pPr>
    </w:p>
    <w:p w:rsidR="00C443E8" w:rsidRPr="003E719B" w:rsidRDefault="00C443E8" w:rsidP="0013685B">
      <w:pPr>
        <w:jc w:val="center"/>
        <w:rPr>
          <w:rFonts w:ascii="Times New Roman" w:eastAsia="Calibri" w:hAnsi="Times New Roman" w:cs="Times New Roman"/>
        </w:rPr>
      </w:pPr>
    </w:p>
    <w:p w:rsidR="00D47B1D" w:rsidRPr="003E719B" w:rsidRDefault="00D47B1D" w:rsidP="0013685B">
      <w:pPr>
        <w:jc w:val="center"/>
        <w:rPr>
          <w:rFonts w:ascii="Times New Roman" w:eastAsia="Calibri" w:hAnsi="Times New Roman" w:cs="Times New Roman"/>
        </w:rPr>
      </w:pPr>
    </w:p>
    <w:p w:rsidR="00C443E8" w:rsidRPr="003E719B" w:rsidRDefault="00C443E8" w:rsidP="0013685B">
      <w:pPr>
        <w:jc w:val="center"/>
        <w:rPr>
          <w:rFonts w:ascii="Times New Roman" w:eastAsia="Calibri" w:hAnsi="Times New Roman" w:cs="Times New Roman"/>
        </w:rPr>
      </w:pPr>
    </w:p>
    <w:p w:rsidR="00B01023" w:rsidRDefault="002E0D0C" w:rsidP="0005453F">
      <w:pPr>
        <w:tabs>
          <w:tab w:val="left" w:pos="3521"/>
        </w:tabs>
        <w:jc w:val="center"/>
        <w:rPr>
          <w:rFonts w:ascii="Times New Roman" w:eastAsia="Calibri" w:hAnsi="Times New Roman" w:cs="Times New Roman"/>
          <w:sz w:val="32"/>
          <w:szCs w:val="32"/>
        </w:rPr>
      </w:pPr>
      <w:r>
        <w:rPr>
          <w:rFonts w:ascii="Times New Roman" w:eastAsia="Calibri" w:hAnsi="Times New Roman" w:cs="Times New Roman"/>
          <w:sz w:val="32"/>
          <w:szCs w:val="32"/>
        </w:rPr>
        <w:t>April</w:t>
      </w:r>
      <w:r w:rsidR="00C443E8" w:rsidRPr="003E719B">
        <w:rPr>
          <w:rFonts w:ascii="Times New Roman" w:eastAsia="Calibri" w:hAnsi="Times New Roman" w:cs="Times New Roman"/>
          <w:sz w:val="32"/>
          <w:szCs w:val="32"/>
        </w:rPr>
        <w:t xml:space="preserve">, </w:t>
      </w:r>
      <w:r w:rsidRPr="003E719B">
        <w:rPr>
          <w:rFonts w:ascii="Times New Roman" w:eastAsia="Calibri" w:hAnsi="Times New Roman" w:cs="Times New Roman"/>
          <w:sz w:val="32"/>
          <w:szCs w:val="32"/>
        </w:rPr>
        <w:t>201</w:t>
      </w:r>
      <w:r>
        <w:rPr>
          <w:rFonts w:ascii="Times New Roman" w:eastAsia="Calibri" w:hAnsi="Times New Roman" w:cs="Times New Roman"/>
          <w:sz w:val="32"/>
          <w:szCs w:val="32"/>
        </w:rPr>
        <w:t>2</w:t>
      </w:r>
    </w:p>
    <w:p w:rsidR="0005453F" w:rsidRDefault="0005453F" w:rsidP="0005453F">
      <w:pPr>
        <w:tabs>
          <w:tab w:val="left" w:pos="3521"/>
        </w:tabs>
        <w:jc w:val="center"/>
        <w:rPr>
          <w:lang w:bidi="en-US"/>
        </w:rPr>
        <w:sectPr w:rsidR="0005453F" w:rsidSect="00DC1433">
          <w:footerReference w:type="default" r:id="rId9"/>
          <w:pgSz w:w="12240" w:h="15840"/>
          <w:pgMar w:top="1440" w:right="1440" w:bottom="1440" w:left="1440" w:header="720" w:footer="720" w:gutter="0"/>
          <w:pgNumType w:fmt="lowerRoman"/>
          <w:cols w:space="720"/>
          <w:titlePg/>
          <w:docGrid w:linePitch="360"/>
        </w:sectPr>
      </w:pPr>
    </w:p>
    <w:p w:rsidR="00B277D0" w:rsidRPr="007E4A1E" w:rsidRDefault="00B277D0" w:rsidP="00BB39FB">
      <w:pPr>
        <w:keepNext/>
        <w:keepLines/>
        <w:jc w:val="both"/>
        <w:outlineLvl w:val="2"/>
        <w:rPr>
          <w:rStyle w:val="Emphasis"/>
        </w:rPr>
      </w:pPr>
      <w:bookmarkStart w:id="22" w:name="_Toc298075968"/>
      <w:bookmarkStart w:id="23" w:name="_Toc320199172"/>
      <w:r w:rsidRPr="007E4A1E">
        <w:rPr>
          <w:rStyle w:val="Emphasis"/>
        </w:rPr>
        <w:lastRenderedPageBreak/>
        <w:t xml:space="preserve">Trade </w:t>
      </w:r>
      <w:r w:rsidR="00A62576" w:rsidRPr="007E4A1E">
        <w:rPr>
          <w:rStyle w:val="Emphasis"/>
        </w:rPr>
        <w:t>performance in Russia is characterized by a</w:t>
      </w:r>
      <w:r w:rsidRPr="007E4A1E">
        <w:rPr>
          <w:rStyle w:val="Emphasis"/>
        </w:rPr>
        <w:t xml:space="preserve"> </w:t>
      </w:r>
      <w:r w:rsidR="00A62576" w:rsidRPr="007E4A1E">
        <w:rPr>
          <w:rStyle w:val="Emphasis"/>
        </w:rPr>
        <w:t>narrow product base and untapped trade potential.</w:t>
      </w:r>
      <w:bookmarkEnd w:id="22"/>
      <w:bookmarkEnd w:id="23"/>
    </w:p>
    <w:p w:rsidR="0005453F" w:rsidRDefault="00B277D0" w:rsidP="0050509C">
      <w:pPr>
        <w:pStyle w:val="ListParagraph"/>
      </w:pPr>
      <w:r w:rsidRPr="00BC5703">
        <w:rPr>
          <w:b/>
        </w:rPr>
        <w:t xml:space="preserve">Russia’s exports </w:t>
      </w:r>
      <w:r w:rsidR="00830299">
        <w:rPr>
          <w:b/>
        </w:rPr>
        <w:t>are</w:t>
      </w:r>
      <w:r w:rsidRPr="00BC5703">
        <w:rPr>
          <w:b/>
        </w:rPr>
        <w:t xml:space="preserve"> </w:t>
      </w:r>
      <w:r w:rsidR="00830299">
        <w:rPr>
          <w:b/>
        </w:rPr>
        <w:t xml:space="preserve">increasingly </w:t>
      </w:r>
      <w:r w:rsidRPr="00BC5703">
        <w:rPr>
          <w:b/>
        </w:rPr>
        <w:t xml:space="preserve">dominated by petroleum and natural gas. </w:t>
      </w:r>
      <w:r w:rsidR="00651AE1" w:rsidRPr="00BC5703">
        <w:t xml:space="preserve">The </w:t>
      </w:r>
      <w:r w:rsidR="00FB2B93">
        <w:t xml:space="preserve">oil and gas </w:t>
      </w:r>
      <w:r w:rsidR="00651AE1" w:rsidRPr="00BC5703">
        <w:t xml:space="preserve">sector experienced double-digit annual export growth in the last decade and represented almost 65 percent of Russia’s exports value in 2009 – a </w:t>
      </w:r>
      <w:r w:rsidR="00651AE1" w:rsidRPr="007D0B5B">
        <w:t>product</w:t>
      </w:r>
      <w:r w:rsidR="00651AE1" w:rsidRPr="00BC5703">
        <w:t xml:space="preserve"> of higher commodity prices and higher export volumes. </w:t>
      </w:r>
      <w:r w:rsidRPr="00BC5703">
        <w:t>Export growth rates of the</w:t>
      </w:r>
      <w:r w:rsidRPr="00BC5703">
        <w:rPr>
          <w:b/>
        </w:rPr>
        <w:t xml:space="preserve"> </w:t>
      </w:r>
      <w:r w:rsidRPr="00BC5703">
        <w:t xml:space="preserve">non-oil and gas sector were also </w:t>
      </w:r>
      <w:r w:rsidR="00253143" w:rsidRPr="00BC5703">
        <w:t xml:space="preserve">notable. </w:t>
      </w:r>
      <w:r w:rsidR="00830299">
        <w:t>I</w:t>
      </w:r>
      <w:r w:rsidR="00253143" w:rsidRPr="00BC5703">
        <w:t xml:space="preserve">ndustries </w:t>
      </w:r>
      <w:r w:rsidR="00830299">
        <w:t xml:space="preserve">such </w:t>
      </w:r>
      <w:r w:rsidR="00253143" w:rsidRPr="00BC5703">
        <w:t xml:space="preserve">as </w:t>
      </w:r>
      <w:r w:rsidR="00DC0BE8" w:rsidRPr="00BC5703">
        <w:t xml:space="preserve">machinery, electronics, transportation equipment and chemicals </w:t>
      </w:r>
      <w:r w:rsidR="00253143" w:rsidRPr="00BC5703">
        <w:t xml:space="preserve">reached a combined growth rate in export value of </w:t>
      </w:r>
      <w:r w:rsidR="00DC0BE8" w:rsidRPr="00BC5703">
        <w:t xml:space="preserve">10 percent in the </w:t>
      </w:r>
      <w:r w:rsidR="00401822">
        <w:t>l</w:t>
      </w:r>
      <w:r w:rsidR="00DC0BE8" w:rsidRPr="00BC5703">
        <w:t xml:space="preserve">ast decade. </w:t>
      </w:r>
      <w:r w:rsidRPr="00BC5703">
        <w:t xml:space="preserve">This more positive </w:t>
      </w:r>
      <w:r w:rsidR="00830299">
        <w:t>development in export growth outside the oil and gas sector</w:t>
      </w:r>
      <w:r w:rsidRPr="00BC5703">
        <w:t xml:space="preserve">, however, hides relevant structural limitations </w:t>
      </w:r>
      <w:r w:rsidR="00401822">
        <w:t>in</w:t>
      </w:r>
      <w:r w:rsidRPr="00BC5703">
        <w:t xml:space="preserve"> Russia’s trade performance.</w:t>
      </w:r>
      <w:r w:rsidR="008B1865" w:rsidRPr="00BC5703">
        <w:t xml:space="preserve"> </w:t>
      </w:r>
    </w:p>
    <w:tbl>
      <w:tblPr>
        <w:tblStyle w:val="TableGrid6"/>
        <w:tblpPr w:leftFromText="180" w:rightFromText="180" w:vertAnchor="text" w:horzAnchor="margin" w:tblpXSpec="righ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68"/>
      </w:tblGrid>
      <w:tr w:rsidR="0050509C" w:rsidRPr="003E719B" w:rsidTr="0050509C">
        <w:tc>
          <w:tcPr>
            <w:tcW w:w="6768" w:type="dxa"/>
          </w:tcPr>
          <w:p w:rsidR="0050509C" w:rsidRPr="0050509C" w:rsidRDefault="0050509C" w:rsidP="00D70F24">
            <w:pPr>
              <w:rPr>
                <w:b/>
                <w:bCs/>
                <w:sz w:val="20"/>
                <w:szCs w:val="20"/>
              </w:rPr>
            </w:pPr>
            <w:r w:rsidRPr="0050509C">
              <w:rPr>
                <w:b/>
                <w:bCs/>
                <w:sz w:val="20"/>
                <w:szCs w:val="20"/>
              </w:rPr>
              <w:t xml:space="preserve">Figure </w:t>
            </w:r>
            <w:r w:rsidR="007674BC" w:rsidRPr="007674BC">
              <w:rPr>
                <w:b/>
                <w:bCs/>
                <w:sz w:val="20"/>
                <w:szCs w:val="20"/>
              </w:rPr>
              <w:fldChar w:fldCharType="begin"/>
            </w:r>
            <w:r w:rsidRPr="0050509C">
              <w:rPr>
                <w:b/>
                <w:bCs/>
                <w:sz w:val="20"/>
                <w:szCs w:val="20"/>
              </w:rPr>
              <w:instrText xml:space="preserve"> SEQ Figure \* ARABIC </w:instrText>
            </w:r>
            <w:r w:rsidR="007674BC" w:rsidRPr="007674BC">
              <w:rPr>
                <w:rFonts w:eastAsiaTheme="minorHAnsi"/>
                <w:b/>
                <w:bCs/>
                <w:sz w:val="20"/>
                <w:szCs w:val="20"/>
                <w:lang w:bidi="ar-SA"/>
              </w:rPr>
              <w:fldChar w:fldCharType="separate"/>
            </w:r>
            <w:r w:rsidRPr="0050509C">
              <w:rPr>
                <w:b/>
                <w:bCs/>
                <w:sz w:val="20"/>
                <w:szCs w:val="20"/>
              </w:rPr>
              <w:t>1</w:t>
            </w:r>
            <w:r w:rsidR="007674BC" w:rsidRPr="0050509C">
              <w:rPr>
                <w:b/>
                <w:sz w:val="20"/>
                <w:szCs w:val="20"/>
              </w:rPr>
              <w:fldChar w:fldCharType="end"/>
            </w:r>
            <w:r w:rsidRPr="0050509C">
              <w:rPr>
                <w:b/>
                <w:bCs/>
                <w:sz w:val="20"/>
                <w:szCs w:val="20"/>
              </w:rPr>
              <w:t>:</w:t>
            </w:r>
            <w:r w:rsidRPr="0050509C">
              <w:rPr>
                <w:b/>
                <w:sz w:val="20"/>
                <w:szCs w:val="20"/>
              </w:rPr>
              <w:t xml:space="preserve"> Oil </w:t>
            </w:r>
            <w:r w:rsidRPr="0050509C">
              <w:rPr>
                <w:b/>
                <w:bCs/>
                <w:sz w:val="20"/>
                <w:szCs w:val="20"/>
              </w:rPr>
              <w:t>and gas continue to dominate Russia's exports</w:t>
            </w:r>
          </w:p>
        </w:tc>
      </w:tr>
      <w:tr w:rsidR="0050509C" w:rsidRPr="003E719B" w:rsidTr="0050509C">
        <w:trPr>
          <w:trHeight w:val="3739"/>
        </w:trPr>
        <w:tc>
          <w:tcPr>
            <w:tcW w:w="6768" w:type="dxa"/>
          </w:tcPr>
          <w:p w:rsidR="0050509C" w:rsidRPr="003E719B" w:rsidRDefault="0050509C" w:rsidP="00D70F24">
            <w:pPr>
              <w:pStyle w:val="NoSpacing"/>
              <w:spacing w:line="276" w:lineRule="auto"/>
            </w:pPr>
            <w:r w:rsidRPr="0005453F">
              <w:rPr>
                <w:noProof/>
                <w:lang w:bidi="ar-SA"/>
              </w:rPr>
              <w:drawing>
                <wp:inline distT="0" distB="0" distL="0" distR="0">
                  <wp:extent cx="4250801" cy="2606758"/>
                  <wp:effectExtent l="19050" t="0" r="16399" b="3092"/>
                  <wp:docPr id="9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277D0" w:rsidRDefault="00B277D0" w:rsidP="007D0B5B">
      <w:pPr>
        <w:pStyle w:val="ListParagraph"/>
      </w:pPr>
      <w:r w:rsidRPr="0050509C">
        <w:rPr>
          <w:b/>
        </w:rPr>
        <w:t xml:space="preserve">Russia’s revealed comparative advantage </w:t>
      </w:r>
      <w:r w:rsidR="0005453F" w:rsidRPr="0050509C">
        <w:rPr>
          <w:b/>
        </w:rPr>
        <w:t xml:space="preserve">(RCA) </w:t>
      </w:r>
      <w:r w:rsidR="00830299" w:rsidRPr="0050509C">
        <w:rPr>
          <w:b/>
        </w:rPr>
        <w:t xml:space="preserve">is </w:t>
      </w:r>
      <w:r w:rsidRPr="0050509C">
        <w:rPr>
          <w:b/>
        </w:rPr>
        <w:t xml:space="preserve">concentrated </w:t>
      </w:r>
      <w:r w:rsidR="00830299" w:rsidRPr="0050509C">
        <w:rPr>
          <w:b/>
        </w:rPr>
        <w:t>in sectors that do not create many forward or backward linkages to the rest of the economy</w:t>
      </w:r>
      <w:r w:rsidR="0050509C">
        <w:t>.</w:t>
      </w:r>
      <w:r w:rsidR="00830299">
        <w:t xml:space="preserve"> </w:t>
      </w:r>
      <w:r w:rsidR="0050509C">
        <w:t>As a consequence of this lack of linkages to the rest of the economy, these growing export sectors cannot</w:t>
      </w:r>
      <w:r w:rsidR="00830299">
        <w:t xml:space="preserve"> serve as</w:t>
      </w:r>
      <w:r w:rsidR="0050509C">
        <w:t xml:space="preserve"> </w:t>
      </w:r>
      <w:r w:rsidR="00A62DAF">
        <w:t>engine</w:t>
      </w:r>
      <w:r w:rsidR="0050509C">
        <w:t>s</w:t>
      </w:r>
      <w:r w:rsidR="00A62DAF">
        <w:t xml:space="preserve"> of diversification.</w:t>
      </w:r>
      <w:r w:rsidR="00A5079A" w:rsidRPr="003D4286">
        <w:rPr>
          <w:vertAlign w:val="superscript"/>
        </w:rPr>
        <w:footnoteReference w:id="1"/>
      </w:r>
      <w:r w:rsidRPr="00BC5703">
        <w:t xml:space="preserve"> </w:t>
      </w:r>
      <w:r w:rsidR="00D561A7">
        <w:t xml:space="preserve">In addition to the oil and gas sector, industries with limited spillover effects to the rest of the economy </w:t>
      </w:r>
      <w:r w:rsidRPr="00BC5703">
        <w:t>include raw materials (26 products) and forestry (11 products) out of a t</w:t>
      </w:r>
      <w:r w:rsidR="00A20A0B">
        <w:t>otal of 97 identified products.</w:t>
      </w:r>
      <w:r w:rsidRPr="00BC5703">
        <w:t xml:space="preserve"> Such specialization </w:t>
      </w:r>
      <w:r w:rsidR="00830299">
        <w:t>may be</w:t>
      </w:r>
      <w:r w:rsidRPr="00BC5703">
        <w:t xml:space="preserve"> considered problematic because the capabilities developed in those sectors are not easily redeployed to other industries, hindering the process of economic diversification. Yet, several resource-rich countries have managed to expand </w:t>
      </w:r>
      <w:r w:rsidR="00830299">
        <w:t>trade</w:t>
      </w:r>
      <w:r w:rsidRPr="00BC5703">
        <w:t xml:space="preserve"> beyond the traditional, natural resource-intensive products. </w:t>
      </w:r>
    </w:p>
    <w:p w:rsidR="00FD67D9" w:rsidRPr="003E719B" w:rsidRDefault="007A246E" w:rsidP="007D0B5B">
      <w:pPr>
        <w:pStyle w:val="ListParagraph"/>
      </w:pPr>
      <w:r>
        <w:rPr>
          <w:b/>
        </w:rPr>
        <w:t xml:space="preserve">It is not for a lack of trying </w:t>
      </w:r>
      <w:r w:rsidR="00D561A7">
        <w:rPr>
          <w:b/>
        </w:rPr>
        <w:t xml:space="preserve">that </w:t>
      </w:r>
      <w:r>
        <w:rPr>
          <w:b/>
        </w:rPr>
        <w:t xml:space="preserve">firms </w:t>
      </w:r>
      <w:r w:rsidR="00D561A7">
        <w:rPr>
          <w:b/>
        </w:rPr>
        <w:t>have yet to emerge from</w:t>
      </w:r>
      <w:r>
        <w:rPr>
          <w:b/>
        </w:rPr>
        <w:t xml:space="preserve"> </w:t>
      </w:r>
      <w:r w:rsidR="00D561A7">
        <w:rPr>
          <w:b/>
        </w:rPr>
        <w:t>other</w:t>
      </w:r>
      <w:r w:rsidR="0009061C">
        <w:rPr>
          <w:b/>
        </w:rPr>
        <w:t xml:space="preserve"> </w:t>
      </w:r>
      <w:r>
        <w:rPr>
          <w:b/>
        </w:rPr>
        <w:t xml:space="preserve">sectors </w:t>
      </w:r>
      <w:r w:rsidR="003D7A79">
        <w:rPr>
          <w:b/>
        </w:rPr>
        <w:t>to export</w:t>
      </w:r>
      <w:r>
        <w:rPr>
          <w:b/>
        </w:rPr>
        <w:t xml:space="preserve">.  </w:t>
      </w:r>
      <w:r>
        <w:t>E</w:t>
      </w:r>
      <w:r w:rsidR="007618BD" w:rsidRPr="007618BD">
        <w:t xml:space="preserve">xporters </w:t>
      </w:r>
      <w:r>
        <w:t xml:space="preserve">from Russia </w:t>
      </w:r>
      <w:r w:rsidR="007618BD" w:rsidRPr="007618BD">
        <w:t>face difficulties not only entering but remaining in foreign markets once they have entered</w:t>
      </w:r>
      <w:r w:rsidR="00B277D0" w:rsidRPr="007A246E">
        <w:t>.</w:t>
      </w:r>
      <w:r w:rsidR="00B277D0" w:rsidRPr="00BC5703">
        <w:t xml:space="preserve"> </w:t>
      </w:r>
      <w:r>
        <w:t>I</w:t>
      </w:r>
      <w:r w:rsidR="00B277D0" w:rsidRPr="00BC5703">
        <w:t>n the period 1999-2009</w:t>
      </w:r>
      <w:r>
        <w:t xml:space="preserve">, </w:t>
      </w:r>
      <w:r w:rsidR="00B277D0" w:rsidRPr="00BC5703">
        <w:t xml:space="preserve">57 percent of export </w:t>
      </w:r>
      <w:r>
        <w:t>attempts to establish a foothold</w:t>
      </w:r>
      <w:r w:rsidRPr="00BC5703">
        <w:t xml:space="preserve"> </w:t>
      </w:r>
      <w:r w:rsidR="00B277D0" w:rsidRPr="00BC5703">
        <w:t>in</w:t>
      </w:r>
      <w:r>
        <w:t xml:space="preserve"> a market outside of </w:t>
      </w:r>
      <w:r w:rsidR="00B277D0" w:rsidRPr="00BC5703">
        <w:t>Russia survived for more than two years. In the case of China the export survival rate is over 70 percent</w:t>
      </w:r>
      <w:r w:rsidR="00E10F80">
        <w:t xml:space="preserve">.  </w:t>
      </w:r>
      <w:r w:rsidR="00B277D0" w:rsidRPr="003D4286">
        <w:t xml:space="preserve">Brazil and India </w:t>
      </w:r>
      <w:r w:rsidR="00E10F80">
        <w:t xml:space="preserve">also </w:t>
      </w:r>
      <w:r w:rsidR="00B277D0" w:rsidRPr="003D4286">
        <w:t xml:space="preserve">perform better than Russia but </w:t>
      </w:r>
      <w:r w:rsidR="00E10F80">
        <w:t>both economies do less well t</w:t>
      </w:r>
      <w:r w:rsidR="00B277D0" w:rsidRPr="003D4286">
        <w:t xml:space="preserve">han China. </w:t>
      </w:r>
      <w:r w:rsidR="00E10F80">
        <w:t>While s</w:t>
      </w:r>
      <w:r w:rsidR="00E10F80" w:rsidRPr="003D4286">
        <w:t xml:space="preserve">ome </w:t>
      </w:r>
      <w:r w:rsidR="00B277D0" w:rsidRPr="003D4286">
        <w:t xml:space="preserve">level of export “mortality” is common, </w:t>
      </w:r>
      <w:r w:rsidR="00B277D0" w:rsidRPr="00BC5703">
        <w:t xml:space="preserve">the comparatively low export survival rate in Russia </w:t>
      </w:r>
      <w:r w:rsidR="00E10F80">
        <w:t>indicate</w:t>
      </w:r>
      <w:r>
        <w:t>s</w:t>
      </w:r>
      <w:r w:rsidR="00E10F80">
        <w:t xml:space="preserve"> a possible </w:t>
      </w:r>
      <w:r w:rsidR="00B277D0" w:rsidRPr="00BC5703">
        <w:t xml:space="preserve">lack of international competitiveness </w:t>
      </w:r>
      <w:r w:rsidR="00401822">
        <w:t>in</w:t>
      </w:r>
      <w:r w:rsidR="00B277D0" w:rsidRPr="00BC5703">
        <w:t xml:space="preserve"> the non-oil and gas sectors. </w:t>
      </w:r>
      <w:r w:rsidR="00CE74DD" w:rsidRPr="00A62576">
        <w:t>International experience shows</w:t>
      </w:r>
      <w:r w:rsidR="00CE74DD">
        <w:t xml:space="preserve"> that the</w:t>
      </w:r>
      <w:r w:rsidR="00CE74DD" w:rsidRPr="00A62576">
        <w:t xml:space="preserve"> entry of new exporters </w:t>
      </w:r>
      <w:r w:rsidR="00CE74DD">
        <w:t xml:space="preserve">has been a </w:t>
      </w:r>
      <w:r w:rsidR="00CE74DD" w:rsidRPr="00A62576">
        <w:t xml:space="preserve">driving force behind several export booms. </w:t>
      </w:r>
    </w:p>
    <w:tbl>
      <w:tblPr>
        <w:tblStyle w:val="TableGrid6"/>
        <w:tblpPr w:leftFromText="180" w:rightFromText="180" w:vertAnchor="text" w:horzAnchor="margin" w:tblpXSpec="right"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84"/>
      </w:tblGrid>
      <w:tr w:rsidR="00FD67D9" w:rsidRPr="003E719B" w:rsidTr="00FD67D9">
        <w:tc>
          <w:tcPr>
            <w:tcW w:w="6084" w:type="dxa"/>
            <w:vAlign w:val="center"/>
          </w:tcPr>
          <w:p w:rsidR="00FD67D9" w:rsidRPr="003E719B" w:rsidRDefault="00FD67D9" w:rsidP="00FD67D9">
            <w:pPr>
              <w:spacing w:line="276" w:lineRule="auto"/>
              <w:rPr>
                <w:b/>
                <w:sz w:val="20"/>
                <w:szCs w:val="20"/>
              </w:rPr>
            </w:pPr>
            <w:r w:rsidRPr="003E719B">
              <w:rPr>
                <w:b/>
                <w:sz w:val="20"/>
                <w:szCs w:val="20"/>
              </w:rPr>
              <w:lastRenderedPageBreak/>
              <w:t xml:space="preserve">Figure </w:t>
            </w:r>
            <w:r w:rsidR="007674BC">
              <w:rPr>
                <w:b/>
                <w:sz w:val="20"/>
                <w:szCs w:val="20"/>
              </w:rPr>
              <w:fldChar w:fldCharType="begin"/>
            </w:r>
            <w:r>
              <w:rPr>
                <w:b/>
                <w:sz w:val="20"/>
                <w:szCs w:val="20"/>
              </w:rPr>
              <w:instrText xml:space="preserve"> SEQ Figure \* ARABIC </w:instrText>
            </w:r>
            <w:r w:rsidR="007674BC">
              <w:rPr>
                <w:b/>
                <w:sz w:val="20"/>
                <w:szCs w:val="20"/>
              </w:rPr>
              <w:fldChar w:fldCharType="separate"/>
            </w:r>
            <w:r>
              <w:rPr>
                <w:b/>
                <w:noProof/>
                <w:sz w:val="20"/>
                <w:szCs w:val="20"/>
              </w:rPr>
              <w:t>4</w:t>
            </w:r>
            <w:r w:rsidR="007674BC">
              <w:rPr>
                <w:b/>
                <w:sz w:val="20"/>
                <w:szCs w:val="20"/>
              </w:rPr>
              <w:fldChar w:fldCharType="end"/>
            </w:r>
            <w:r>
              <w:rPr>
                <w:b/>
                <w:sz w:val="20"/>
                <w:szCs w:val="20"/>
              </w:rPr>
              <w:t>: BRIC</w:t>
            </w:r>
            <w:r w:rsidRPr="003E719B">
              <w:rPr>
                <w:b/>
                <w:sz w:val="20"/>
                <w:szCs w:val="20"/>
              </w:rPr>
              <w:t xml:space="preserve"> export relationships</w:t>
            </w:r>
          </w:p>
        </w:tc>
      </w:tr>
      <w:tr w:rsidR="00FD67D9" w:rsidRPr="003E719B" w:rsidTr="00FD67D9">
        <w:trPr>
          <w:trHeight w:val="2877"/>
        </w:trPr>
        <w:tc>
          <w:tcPr>
            <w:tcW w:w="6084" w:type="dxa"/>
            <w:vAlign w:val="center"/>
          </w:tcPr>
          <w:p w:rsidR="00FD67D9" w:rsidRPr="003E719B" w:rsidRDefault="00FD67D9" w:rsidP="00FD67D9">
            <w:pPr>
              <w:spacing w:line="276" w:lineRule="auto"/>
              <w:jc w:val="both"/>
              <w:rPr>
                <w:sz w:val="2"/>
                <w:szCs w:val="2"/>
              </w:rPr>
            </w:pPr>
            <w:r w:rsidRPr="003E719B">
              <w:rPr>
                <w:noProof/>
                <w:sz w:val="2"/>
                <w:szCs w:val="2"/>
              </w:rPr>
              <w:drawing>
                <wp:anchor distT="0" distB="0" distL="114300" distR="114300" simplePos="0" relativeHeight="251659264" behindDoc="1" locked="0" layoutInCell="1" allowOverlap="1">
                  <wp:simplePos x="0" y="0"/>
                  <wp:positionH relativeFrom="column">
                    <wp:posOffset>24765</wp:posOffset>
                  </wp:positionH>
                  <wp:positionV relativeFrom="paragraph">
                    <wp:posOffset>6985</wp:posOffset>
                  </wp:positionV>
                  <wp:extent cx="3758565" cy="2639695"/>
                  <wp:effectExtent l="0" t="0" r="0" b="0"/>
                  <wp:wrapTight wrapText="bothSides">
                    <wp:wrapPolygon edited="0">
                      <wp:start x="0" y="0"/>
                      <wp:lineTo x="0" y="21512"/>
                      <wp:lineTo x="21458" y="21512"/>
                      <wp:lineTo x="21458" y="0"/>
                      <wp:lineTo x="0" y="0"/>
                    </wp:wrapPolygon>
                  </wp:wrapTight>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t="9871" b="4278"/>
                          <a:stretch>
                            <a:fillRect/>
                          </a:stretch>
                        </pic:blipFill>
                        <pic:spPr bwMode="auto">
                          <a:xfrm>
                            <a:off x="0" y="0"/>
                            <a:ext cx="3758565" cy="2639695"/>
                          </a:xfrm>
                          <a:prstGeom prst="rect">
                            <a:avLst/>
                          </a:prstGeom>
                          <a:noFill/>
                          <a:ln w="9525">
                            <a:noFill/>
                            <a:miter lim="800000"/>
                            <a:headEnd/>
                            <a:tailEnd/>
                          </a:ln>
                        </pic:spPr>
                      </pic:pic>
                    </a:graphicData>
                  </a:graphic>
                </wp:anchor>
              </w:drawing>
            </w:r>
          </w:p>
        </w:tc>
      </w:tr>
    </w:tbl>
    <w:p w:rsidR="007E4A1E" w:rsidRPr="00FD67D9" w:rsidRDefault="00FD67D9" w:rsidP="00FD67D9">
      <w:pPr>
        <w:pStyle w:val="ListParagraph"/>
        <w:numPr>
          <w:ilvl w:val="0"/>
          <w:numId w:val="0"/>
        </w:numPr>
        <w:rPr>
          <w:rFonts w:eastAsia="Calibri"/>
        </w:rPr>
      </w:pPr>
      <w:r w:rsidRPr="003E719B">
        <w:t xml:space="preserve">The </w:t>
      </w:r>
      <w:r>
        <w:t xml:space="preserve">Figure indicates probability that </w:t>
      </w:r>
      <w:proofErr w:type="gramStart"/>
      <w:r>
        <w:t>a</w:t>
      </w:r>
      <w:proofErr w:type="gramEnd"/>
      <w:r>
        <w:t xml:space="preserve"> export relationship last two or more years.  In Russia,</w:t>
      </w:r>
      <w:r w:rsidRPr="003E719B">
        <w:t xml:space="preserve"> </w:t>
      </w:r>
      <w:r>
        <w:t xml:space="preserve">the probability of </w:t>
      </w:r>
      <w:r w:rsidRPr="003E719B">
        <w:t>export relationships surviving until the second year is about 0.57 (on a 0-1 scale), and of maintaining a relationsh</w:t>
      </w:r>
      <w:r>
        <w:t>ip for 5 years is 0.22 (Figure 4</w:t>
      </w:r>
      <w:r w:rsidRPr="003E719B">
        <w:t>). I</w:t>
      </w:r>
      <w:r w:rsidRPr="003E719B">
        <w:rPr>
          <w:rFonts w:eastAsia="Calibri"/>
        </w:rPr>
        <w:t>n comparison, the survival rates of the export relationships of other BRICs are much higher, particularly in China, where the survival rate is roughly 0.70 for the first two years.</w:t>
      </w:r>
      <w:r w:rsidRPr="00FD67D9">
        <w:rPr>
          <w:i/>
        </w:rPr>
        <w:t xml:space="preserve"> </w:t>
      </w:r>
      <w:r w:rsidRPr="003E719B">
        <w:rPr>
          <w:i/>
        </w:rPr>
        <w:t>This result suggests that export</w:t>
      </w:r>
      <w:r w:rsidRPr="00E113E6">
        <w:rPr>
          <w:i/>
        </w:rPr>
        <w:t xml:space="preserve"> </w:t>
      </w:r>
      <w:r w:rsidRPr="003E719B">
        <w:rPr>
          <w:i/>
        </w:rPr>
        <w:t xml:space="preserve">diversification strategies in Russia </w:t>
      </w:r>
      <w:r>
        <w:rPr>
          <w:i/>
        </w:rPr>
        <w:t>may want to consider</w:t>
      </w:r>
      <w:r w:rsidRPr="003E719B">
        <w:rPr>
          <w:i/>
        </w:rPr>
        <w:t xml:space="preserve"> pay</w:t>
      </w:r>
      <w:r>
        <w:rPr>
          <w:i/>
        </w:rPr>
        <w:t>ing</w:t>
      </w:r>
      <w:r w:rsidRPr="003E719B">
        <w:rPr>
          <w:i/>
        </w:rPr>
        <w:t xml:space="preserve"> particular attention to the factors affecting the survival of</w:t>
      </w:r>
      <w:r w:rsidRPr="00FD67D9">
        <w:rPr>
          <w:i/>
        </w:rPr>
        <w:t xml:space="preserve"> </w:t>
      </w:r>
      <w:r w:rsidRPr="003E719B">
        <w:rPr>
          <w:i/>
        </w:rPr>
        <w:t>new exports (export discoveries</w:t>
      </w:r>
      <w:r>
        <w:rPr>
          <w:i/>
        </w:rPr>
        <w:t>)</w:t>
      </w:r>
      <w:r w:rsidR="007E4A1E" w:rsidRPr="003E719B">
        <w:t>.</w:t>
      </w:r>
    </w:p>
    <w:tbl>
      <w:tblPr>
        <w:tblStyle w:val="TableGrid6"/>
        <w:tblpPr w:leftFromText="180" w:rightFromText="180" w:vertAnchor="text" w:horzAnchor="margin" w:tblpXSpec="right"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84"/>
      </w:tblGrid>
      <w:tr w:rsidR="007E4A1E" w:rsidRPr="003E719B" w:rsidTr="007E4A1E">
        <w:tc>
          <w:tcPr>
            <w:tcW w:w="6084" w:type="dxa"/>
          </w:tcPr>
          <w:p w:rsidR="007E4A1E" w:rsidRPr="003E719B" w:rsidRDefault="007E4A1E" w:rsidP="007E4A1E">
            <w:pPr>
              <w:rPr>
                <w:b/>
                <w:sz w:val="20"/>
                <w:szCs w:val="20"/>
              </w:rPr>
            </w:pPr>
            <w:r w:rsidRPr="003E719B">
              <w:rPr>
                <w:b/>
                <w:sz w:val="20"/>
                <w:szCs w:val="20"/>
              </w:rPr>
              <w:t xml:space="preserve">Figure </w:t>
            </w:r>
            <w:r w:rsidR="007674BC">
              <w:rPr>
                <w:b/>
                <w:sz w:val="20"/>
                <w:szCs w:val="20"/>
              </w:rPr>
              <w:fldChar w:fldCharType="begin"/>
            </w:r>
            <w:r>
              <w:rPr>
                <w:b/>
                <w:sz w:val="20"/>
                <w:szCs w:val="20"/>
              </w:rPr>
              <w:instrText xml:space="preserve"> SEQ Figure \* ARABIC </w:instrText>
            </w:r>
            <w:r w:rsidR="007674BC">
              <w:rPr>
                <w:b/>
                <w:sz w:val="20"/>
                <w:szCs w:val="20"/>
              </w:rPr>
              <w:fldChar w:fldCharType="separate"/>
            </w:r>
            <w:r>
              <w:rPr>
                <w:b/>
                <w:noProof/>
                <w:sz w:val="20"/>
                <w:szCs w:val="20"/>
              </w:rPr>
              <w:t>2</w:t>
            </w:r>
            <w:r w:rsidR="007674BC">
              <w:rPr>
                <w:b/>
                <w:sz w:val="20"/>
                <w:szCs w:val="20"/>
              </w:rPr>
              <w:fldChar w:fldCharType="end"/>
            </w:r>
            <w:r w:rsidRPr="003E719B">
              <w:rPr>
                <w:b/>
                <w:sz w:val="20"/>
                <w:szCs w:val="20"/>
              </w:rPr>
              <w:t>: Russia’s unexplored markets</w:t>
            </w:r>
          </w:p>
        </w:tc>
      </w:tr>
      <w:tr w:rsidR="007E4A1E" w:rsidRPr="003E719B" w:rsidTr="007E4A1E">
        <w:trPr>
          <w:trHeight w:val="3739"/>
        </w:trPr>
        <w:tc>
          <w:tcPr>
            <w:tcW w:w="6084" w:type="dxa"/>
          </w:tcPr>
          <w:p w:rsidR="007E4A1E" w:rsidRPr="003E719B" w:rsidRDefault="007E4A1E" w:rsidP="007E4A1E">
            <w:pPr>
              <w:pStyle w:val="NoSpacing"/>
              <w:spacing w:line="276" w:lineRule="auto"/>
            </w:pPr>
            <w:r w:rsidRPr="003E719B">
              <w:rPr>
                <w:noProof/>
                <w:lang w:bidi="ar-SA"/>
              </w:rPr>
              <w:drawing>
                <wp:inline distT="0" distB="0" distL="0" distR="0">
                  <wp:extent cx="3783656" cy="2647785"/>
                  <wp:effectExtent l="0" t="0" r="0" b="0"/>
                  <wp:docPr id="9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t="8679" r="50451"/>
                          <a:stretch>
                            <a:fillRect/>
                          </a:stretch>
                        </pic:blipFill>
                        <pic:spPr bwMode="auto">
                          <a:xfrm>
                            <a:off x="0" y="0"/>
                            <a:ext cx="3820616" cy="2673649"/>
                          </a:xfrm>
                          <a:prstGeom prst="rect">
                            <a:avLst/>
                          </a:prstGeom>
                          <a:noFill/>
                          <a:ln w="9525">
                            <a:noFill/>
                            <a:miter lim="800000"/>
                            <a:headEnd/>
                            <a:tailEnd/>
                          </a:ln>
                        </pic:spPr>
                      </pic:pic>
                    </a:graphicData>
                  </a:graphic>
                </wp:inline>
              </w:drawing>
            </w:r>
          </w:p>
        </w:tc>
      </w:tr>
    </w:tbl>
    <w:p w:rsidR="00E113E6" w:rsidRPr="00765643" w:rsidRDefault="00FD67D9" w:rsidP="007D0B5B">
      <w:pPr>
        <w:pStyle w:val="ListParagraph"/>
      </w:pPr>
      <w:r>
        <w:rPr>
          <w:b/>
        </w:rPr>
        <w:t xml:space="preserve">A </w:t>
      </w:r>
      <w:r w:rsidR="007A246E" w:rsidRPr="007E4A1E">
        <w:rPr>
          <w:b/>
        </w:rPr>
        <w:t xml:space="preserve">lack of success in </w:t>
      </w:r>
      <w:r>
        <w:rPr>
          <w:b/>
        </w:rPr>
        <w:t>sustaining entry into</w:t>
      </w:r>
      <w:r w:rsidR="007A246E" w:rsidRPr="007E4A1E">
        <w:rPr>
          <w:b/>
        </w:rPr>
        <w:t xml:space="preserve"> foreign markets s</w:t>
      </w:r>
      <w:r w:rsidR="003D7A79" w:rsidRPr="007E4A1E">
        <w:rPr>
          <w:b/>
        </w:rPr>
        <w:t>tunts</w:t>
      </w:r>
      <w:r w:rsidR="007A246E" w:rsidRPr="007E4A1E">
        <w:rPr>
          <w:b/>
        </w:rPr>
        <w:t xml:space="preserve"> the Russian economy’s</w:t>
      </w:r>
      <w:r w:rsidR="00B277D0" w:rsidRPr="007E4A1E">
        <w:rPr>
          <w:b/>
        </w:rPr>
        <w:t xml:space="preserve"> trade </w:t>
      </w:r>
      <w:r>
        <w:rPr>
          <w:b/>
        </w:rPr>
        <w:t xml:space="preserve">growth </w:t>
      </w:r>
      <w:r w:rsidR="00B277D0" w:rsidRPr="007E4A1E">
        <w:rPr>
          <w:b/>
        </w:rPr>
        <w:t>potential</w:t>
      </w:r>
      <w:r>
        <w:rPr>
          <w:b/>
        </w:rPr>
        <w:t xml:space="preserve"> and</w:t>
      </w:r>
      <w:r w:rsidR="003D7A79" w:rsidRPr="007E4A1E">
        <w:rPr>
          <w:b/>
        </w:rPr>
        <w:t xml:space="preserve"> leav</w:t>
      </w:r>
      <w:r>
        <w:rPr>
          <w:b/>
        </w:rPr>
        <w:t>es</w:t>
      </w:r>
      <w:r w:rsidR="003D7A79" w:rsidRPr="007E4A1E">
        <w:rPr>
          <w:b/>
        </w:rPr>
        <w:t xml:space="preserve"> several</w:t>
      </w:r>
      <w:r w:rsidR="00665960" w:rsidRPr="007E4A1E">
        <w:rPr>
          <w:b/>
        </w:rPr>
        <w:t xml:space="preserve"> foreign markets relatively untapped</w:t>
      </w:r>
      <w:r w:rsidR="00B277D0" w:rsidRPr="007E4A1E">
        <w:rPr>
          <w:b/>
        </w:rPr>
        <w:t>.</w:t>
      </w:r>
      <w:r w:rsidR="00B277D0" w:rsidRPr="00BC5703">
        <w:t xml:space="preserve"> Russia under-trades with China and India, as well as with several G-8 countries including the U.S., Italy and Germany. More interestingly, the number of countries with which Russia seems to be under-trading rises when the oil and gas industries are excluded from the model. Indeed, despite the increase of China in global trade, the share of the country in Russia’s total export</w:t>
      </w:r>
      <w:r w:rsidR="00401822">
        <w:t>s</w:t>
      </w:r>
      <w:r w:rsidR="00B277D0" w:rsidRPr="00BC5703">
        <w:t xml:space="preserve"> remained stagnant at around 4-5 percent in the 1998-08 period.</w:t>
      </w:r>
      <w:r w:rsidR="00E113E6">
        <w:t xml:space="preserve"> </w:t>
      </w:r>
      <w:r w:rsidR="00E113E6" w:rsidRPr="00E113E6">
        <w:rPr>
          <w:rFonts w:eastAsia="Times New Roman"/>
          <w:bCs/>
        </w:rPr>
        <w:t xml:space="preserve">The number of countries rises significantly when the oil and gas industries are excluded from the model. </w:t>
      </w:r>
      <w:r w:rsidR="00E113E6" w:rsidRPr="00E113E6">
        <w:rPr>
          <w:rFonts w:eastAsia="Times New Roman"/>
          <w:i/>
        </w:rPr>
        <w:t>This result suggests that there is scope for exploring other opportunities for export diversification in Russia</w:t>
      </w:r>
      <w:r w:rsidR="00E113E6">
        <w:rPr>
          <w:rFonts w:eastAsia="Times New Roman"/>
          <w:i/>
        </w:rPr>
        <w:t>.</w:t>
      </w:r>
    </w:p>
    <w:p w:rsidR="00FD67D9" w:rsidRDefault="00FD67D9">
      <w:pPr>
        <w:rPr>
          <w:rStyle w:val="Emphasis"/>
        </w:rPr>
      </w:pPr>
      <w:bookmarkStart w:id="24" w:name="_Toc320199173"/>
      <w:r>
        <w:rPr>
          <w:rStyle w:val="Emphasis"/>
        </w:rPr>
        <w:br w:type="page"/>
      </w:r>
    </w:p>
    <w:p w:rsidR="003B7D78" w:rsidRPr="007E4A1E" w:rsidRDefault="00DC2203" w:rsidP="007E4A1E">
      <w:pPr>
        <w:rPr>
          <w:rStyle w:val="Emphasis"/>
        </w:rPr>
      </w:pPr>
      <w:r w:rsidRPr="007E4A1E">
        <w:rPr>
          <w:rStyle w:val="Emphasis"/>
        </w:rPr>
        <w:lastRenderedPageBreak/>
        <w:t>Expanding Russia’s narrow export base will likely require addressing the r</w:t>
      </w:r>
      <w:r w:rsidR="007618BD" w:rsidRPr="007E4A1E">
        <w:rPr>
          <w:rStyle w:val="Emphasis"/>
        </w:rPr>
        <w:t xml:space="preserve">elatively modest levels of </w:t>
      </w:r>
      <w:r w:rsidR="00431062" w:rsidRPr="007E4A1E">
        <w:rPr>
          <w:rStyle w:val="Emphasis"/>
        </w:rPr>
        <w:t xml:space="preserve">domestic </w:t>
      </w:r>
      <w:r w:rsidR="007618BD" w:rsidRPr="007E4A1E">
        <w:rPr>
          <w:rStyle w:val="Emphasis"/>
        </w:rPr>
        <w:t>competition</w:t>
      </w:r>
      <w:bookmarkStart w:id="25" w:name="_Toc298075969"/>
      <w:bookmarkStart w:id="26" w:name="_Toc320199174"/>
      <w:bookmarkEnd w:id="24"/>
      <w:r w:rsidR="006C3314" w:rsidRPr="007E4A1E">
        <w:rPr>
          <w:rStyle w:val="Emphasis"/>
        </w:rPr>
        <w:t>.</w:t>
      </w:r>
      <w:bookmarkEnd w:id="25"/>
      <w:bookmarkEnd w:id="26"/>
    </w:p>
    <w:tbl>
      <w:tblPr>
        <w:tblStyle w:val="TableGrid6"/>
        <w:tblpPr w:leftFromText="180" w:rightFromText="180" w:vertAnchor="text" w:horzAnchor="margin" w:tblpXSpec="right" w:tblpY="35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84"/>
      </w:tblGrid>
      <w:tr w:rsidR="00FD67D9" w:rsidRPr="003E719B" w:rsidTr="00FD67D9">
        <w:tc>
          <w:tcPr>
            <w:tcW w:w="6084" w:type="dxa"/>
          </w:tcPr>
          <w:p w:rsidR="00FD67D9" w:rsidRPr="003E719B" w:rsidRDefault="00FD67D9" w:rsidP="00FD67D9">
            <w:pPr>
              <w:rPr>
                <w:b/>
                <w:sz w:val="20"/>
                <w:szCs w:val="20"/>
              </w:rPr>
            </w:pPr>
            <w:r w:rsidRPr="003E719B">
              <w:rPr>
                <w:b/>
                <w:sz w:val="20"/>
                <w:szCs w:val="20"/>
              </w:rPr>
              <w:t xml:space="preserve">Figure </w:t>
            </w:r>
            <w:r>
              <w:rPr>
                <w:b/>
                <w:sz w:val="20"/>
                <w:szCs w:val="20"/>
              </w:rPr>
              <w:t>3: PCMs are greater in Russia than in other European and Central Asian economies.</w:t>
            </w:r>
          </w:p>
        </w:tc>
      </w:tr>
      <w:tr w:rsidR="00FD67D9" w:rsidRPr="003E719B" w:rsidTr="00FD67D9">
        <w:trPr>
          <w:trHeight w:val="3739"/>
        </w:trPr>
        <w:tc>
          <w:tcPr>
            <w:tcW w:w="6084" w:type="dxa"/>
          </w:tcPr>
          <w:p w:rsidR="00FD67D9" w:rsidRPr="003E719B" w:rsidRDefault="00FD67D9" w:rsidP="00FD67D9">
            <w:pPr>
              <w:pStyle w:val="NoSpacing"/>
              <w:spacing w:line="276" w:lineRule="auto"/>
            </w:pPr>
            <w:r w:rsidRPr="00765643">
              <w:rPr>
                <w:noProof/>
                <w:lang w:bidi="ar-SA"/>
              </w:rPr>
              <w:drawing>
                <wp:inline distT="0" distB="0" distL="0" distR="0">
                  <wp:extent cx="3765771" cy="2297927"/>
                  <wp:effectExtent l="19050" t="0" r="6129" b="0"/>
                  <wp:docPr id="55"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44311" cy="4197096"/>
                            <a:chOff x="685802" y="1143000"/>
                            <a:chExt cx="5544311" cy="4197096"/>
                          </a:xfrm>
                        </a:grpSpPr>
                        <a:pic>
                          <a:nvPicPr>
                            <a:cNvPr id="5" name="Content Placeholder 4"/>
                            <a:cNvPicPr>
                              <a:picLocks noGrp="1"/>
                            </a:cNvPicPr>
                          </a:nvPicPr>
                          <a:blipFill>
                            <a:blip r:embed="rId13" cstate="print"/>
                            <a:srcRect/>
                            <a:stretch>
                              <a:fillRect/>
                            </a:stretch>
                          </a:blipFill>
                          <a:spPr bwMode="auto">
                            <a:xfrm>
                              <a:off x="685802" y="1143000"/>
                              <a:ext cx="5544311" cy="4197096"/>
                            </a:xfrm>
                            <a:prstGeom prst="rect">
                              <a:avLst/>
                            </a:prstGeom>
                            <a:noFill/>
                            <a:ln w="9525">
                              <a:solidFill>
                                <a:srgbClr val="3399FF"/>
                              </a:solidFill>
                              <a:miter lim="800000"/>
                              <a:headEnd/>
                              <a:tailEnd/>
                            </a:ln>
                          </a:spPr>
                        </a:pic>
                        <a:sp>
                          <a:nvSpPr>
                            <a:cNvPr id="6" name="TextBox 5"/>
                            <a:cNvSpPr txBox="1"/>
                          </a:nvSpPr>
                          <a:spPr>
                            <a:xfrm>
                              <a:off x="3810000" y="1752600"/>
                              <a:ext cx="1180735" cy="24929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Russian Federation</a:t>
                                </a:r>
                                <a:endParaRPr lang="en-US" sz="1400" dirty="0"/>
                              </a:p>
                            </a:txBody>
                            <a:useSpRect/>
                          </a:txSp>
                        </a:sp>
                        <a:sp>
                          <a:nvSpPr>
                            <a:cNvPr id="7" name="TextBox 6"/>
                            <a:cNvSpPr txBox="1"/>
                          </a:nvSpPr>
                          <a:spPr>
                            <a:xfrm>
                              <a:off x="2266740" y="2362200"/>
                              <a:ext cx="790324" cy="42381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Remaining</a:t>
                                </a:r>
                              </a:p>
                              <a:p>
                                <a:r>
                                  <a:rPr lang="en-US" sz="1400" dirty="0" smtClean="0"/>
                                  <a:t>ECA Region</a:t>
                                </a:r>
                                <a:endParaRPr lang="en-US" sz="1400" dirty="0"/>
                              </a:p>
                            </a:txBody>
                            <a:useSpRect/>
                          </a:txSp>
                        </a:sp>
                        <a:cxnSp>
                          <a:nvCxnSpPr>
                            <a:cNvPr id="12" name="Straight Arrow Connector 11"/>
                            <a:cNvCxnSpPr>
                              <a:stCxn id="6" idx="2"/>
                            </a:cNvCxnSpPr>
                          </a:nvCxnSpPr>
                          <a:spPr bwMode="auto">
                            <a:xfrm>
                              <a:off x="4400368" y="2001895"/>
                              <a:ext cx="86392" cy="296728"/>
                            </a:xfrm>
                            <a:prstGeom prst="straightConnector1">
                              <a:avLst/>
                            </a:prstGeom>
                            <a:noFill/>
                            <a:ln w="38100" cap="flat" cmpd="sng" algn="ctr">
                              <a:solidFill>
                                <a:srgbClr val="3399FF"/>
                              </a:solidFill>
                              <a:prstDash val="solid"/>
                              <a:round/>
                              <a:headEnd type="none" w="med" len="med"/>
                              <a:tailEnd type="arrow"/>
                            </a:ln>
                            <a:effectLst/>
                          </a:spPr>
                        </a:cxnSp>
                        <a:cxnSp>
                          <a:nvCxnSpPr>
                            <a:cNvPr id="14" name="Straight Arrow Connector 13"/>
                            <a:cNvCxnSpPr/>
                          </a:nvCxnSpPr>
                          <a:spPr bwMode="auto">
                            <a:xfrm flipH="1" flipV="1">
                              <a:off x="2438400" y="1600200"/>
                              <a:ext cx="259066" cy="617220"/>
                            </a:xfrm>
                            <a:prstGeom prst="straightConnector1">
                              <a:avLst/>
                            </a:prstGeom>
                            <a:noFill/>
                            <a:ln w="38100" cap="flat" cmpd="sng" algn="ctr">
                              <a:solidFill>
                                <a:srgbClr val="3399FF"/>
                              </a:solidFill>
                              <a:prstDash val="solid"/>
                              <a:round/>
                              <a:headEnd type="none" w="med" len="med"/>
                              <a:tailEnd type="arrow"/>
                            </a:ln>
                            <a:effectLst/>
                          </a:spPr>
                        </a:cxnSp>
                      </lc:lockedCanvas>
                    </a:graphicData>
                  </a:graphic>
                </wp:inline>
              </w:drawing>
            </w:r>
          </w:p>
        </w:tc>
      </w:tr>
    </w:tbl>
    <w:p w:rsidR="00407A27" w:rsidRDefault="007618BD" w:rsidP="00765643">
      <w:pPr>
        <w:pStyle w:val="ListParagraph"/>
      </w:pPr>
      <w:r w:rsidRPr="007E4A1E">
        <w:rPr>
          <w:b/>
        </w:rPr>
        <w:t xml:space="preserve">This study finds that existing levels of </w:t>
      </w:r>
      <w:r w:rsidR="00C32291" w:rsidRPr="007E4A1E">
        <w:rPr>
          <w:b/>
        </w:rPr>
        <w:t>modest</w:t>
      </w:r>
      <w:r w:rsidR="0009061C" w:rsidRPr="007E4A1E">
        <w:rPr>
          <w:b/>
        </w:rPr>
        <w:t xml:space="preserve"> dome</w:t>
      </w:r>
      <w:r w:rsidRPr="007E4A1E">
        <w:rPr>
          <w:b/>
        </w:rPr>
        <w:t>stic competition in Russia may be the core</w:t>
      </w:r>
      <w:r w:rsidR="00CE74DD" w:rsidRPr="007E4A1E">
        <w:rPr>
          <w:b/>
        </w:rPr>
        <w:t>,</w:t>
      </w:r>
      <w:r w:rsidRPr="007E4A1E">
        <w:rPr>
          <w:b/>
        </w:rPr>
        <w:t xml:space="preserve"> microeconomic constrain to improving Russia’s export performance. </w:t>
      </w:r>
      <w:r w:rsidRPr="007618BD">
        <w:t xml:space="preserve"> </w:t>
      </w:r>
      <w:r w:rsidR="002D0E56">
        <w:t>C</w:t>
      </w:r>
      <w:r w:rsidR="00DC2203" w:rsidRPr="00970CC2">
        <w:rPr>
          <w:bCs/>
        </w:rPr>
        <w:t xml:space="preserve">ompetition </w:t>
      </w:r>
      <w:r w:rsidR="00DC2203">
        <w:rPr>
          <w:bCs/>
        </w:rPr>
        <w:t xml:space="preserve">positively contributes to </w:t>
      </w:r>
      <w:r w:rsidR="00DC2203" w:rsidRPr="00970CC2">
        <w:rPr>
          <w:bCs/>
        </w:rPr>
        <w:t xml:space="preserve">the probability of exporting – </w:t>
      </w:r>
      <w:r w:rsidR="00DC2203">
        <w:rPr>
          <w:bCs/>
        </w:rPr>
        <w:t>where more market</w:t>
      </w:r>
      <w:r w:rsidR="00DC2203" w:rsidRPr="00970CC2">
        <w:rPr>
          <w:bCs/>
        </w:rPr>
        <w:t xml:space="preserve"> power</w:t>
      </w:r>
      <w:r w:rsidR="00DC2203">
        <w:rPr>
          <w:bCs/>
        </w:rPr>
        <w:t xml:space="preserve"> is related to a decreased likelihood</w:t>
      </w:r>
      <w:r w:rsidR="00DC2203" w:rsidRPr="00970CC2">
        <w:rPr>
          <w:bCs/>
        </w:rPr>
        <w:t xml:space="preserve"> </w:t>
      </w:r>
      <w:r w:rsidR="00DC2203">
        <w:rPr>
          <w:bCs/>
        </w:rPr>
        <w:t xml:space="preserve">of </w:t>
      </w:r>
      <w:r w:rsidR="00DC2203" w:rsidRPr="00970CC2">
        <w:rPr>
          <w:bCs/>
        </w:rPr>
        <w:t>export</w:t>
      </w:r>
      <w:r w:rsidR="00DC2203">
        <w:rPr>
          <w:bCs/>
        </w:rPr>
        <w:t>ing</w:t>
      </w:r>
      <w:r w:rsidR="00DC2203" w:rsidRPr="00970CC2">
        <w:rPr>
          <w:bCs/>
        </w:rPr>
        <w:t>.</w:t>
      </w:r>
      <w:r w:rsidR="00DC2203" w:rsidRPr="00970CC2">
        <w:rPr>
          <w:rFonts w:eastAsiaTheme="minorHAnsi"/>
          <w:lang w:bidi="ar-SA"/>
        </w:rPr>
        <w:t xml:space="preserve"> </w:t>
      </w:r>
      <w:r w:rsidRPr="007618BD">
        <w:t xml:space="preserve">An economy characterized by higher levels of competition pushes firms to improve productivity and innovate. </w:t>
      </w:r>
      <w:r w:rsidR="00CF3ACB" w:rsidRPr="00BB337F">
        <w:t>This is important because this study finds that p</w:t>
      </w:r>
      <w:r w:rsidR="00A03B59" w:rsidRPr="00BB337F">
        <w:t xml:space="preserve">roductivity is </w:t>
      </w:r>
      <w:r w:rsidR="00CF3ACB" w:rsidRPr="00BB337F">
        <w:t xml:space="preserve">a </w:t>
      </w:r>
      <w:r w:rsidR="00A03B59" w:rsidRPr="00BB337F">
        <w:t>significant and relatively the most imp</w:t>
      </w:r>
      <w:r w:rsidRPr="007618BD">
        <w:t xml:space="preserve">ortant factor in explaining export propensity in a sample of 19 countries, including Brazil, South Africa and Turkey.  This relationship between productivity and export propensity is likely explained by the observation that improvements in productivity </w:t>
      </w:r>
      <w:r w:rsidR="00340771" w:rsidRPr="00BB337F">
        <w:t>translate into</w:t>
      </w:r>
      <w:r w:rsidRPr="007618BD">
        <w:t xml:space="preserve"> </w:t>
      </w:r>
      <w:r w:rsidR="00340771" w:rsidRPr="00BB337F">
        <w:t xml:space="preserve">the </w:t>
      </w:r>
      <w:r w:rsidRPr="007618BD">
        <w:t>pric</w:t>
      </w:r>
      <w:r w:rsidR="00340771" w:rsidRPr="00BB337F">
        <w:t>ing</w:t>
      </w:r>
      <w:r w:rsidRPr="007618BD">
        <w:t xml:space="preserve"> </w:t>
      </w:r>
      <w:r w:rsidR="00340771" w:rsidRPr="00BB337F">
        <w:t xml:space="preserve">of </w:t>
      </w:r>
      <w:r w:rsidRPr="007618BD">
        <w:t xml:space="preserve">goods and services </w:t>
      </w:r>
      <w:r w:rsidR="00340771" w:rsidRPr="00BB337F">
        <w:t xml:space="preserve">at </w:t>
      </w:r>
      <w:r w:rsidRPr="007618BD">
        <w:t>competitive</w:t>
      </w:r>
      <w:r w:rsidR="00340771" w:rsidRPr="00BB337F">
        <w:t xml:space="preserve"> levels</w:t>
      </w:r>
      <w:r w:rsidRPr="007618BD">
        <w:t xml:space="preserve"> and innovation </w:t>
      </w:r>
      <w:r w:rsidR="00CF3ACB" w:rsidRPr="00BB337F">
        <w:t xml:space="preserve">that </w:t>
      </w:r>
      <w:r w:rsidR="00A03B59" w:rsidRPr="00BB337F">
        <w:t>render</w:t>
      </w:r>
      <w:r w:rsidR="00CF3ACB" w:rsidRPr="00BB337F">
        <w:t>s</w:t>
      </w:r>
      <w:r w:rsidRPr="007618BD">
        <w:t xml:space="preserve"> </w:t>
      </w:r>
      <w:r w:rsidR="00A03B59" w:rsidRPr="00BB337F">
        <w:t>improvement</w:t>
      </w:r>
      <w:r w:rsidR="00CF3ACB" w:rsidRPr="00BB337F">
        <w:t>s</w:t>
      </w:r>
      <w:r w:rsidR="00A03B59" w:rsidRPr="00BB337F">
        <w:t xml:space="preserve"> in </w:t>
      </w:r>
      <w:r w:rsidRPr="007618BD">
        <w:t>offerings</w:t>
      </w:r>
      <w:r w:rsidR="00340771" w:rsidRPr="00BB337F">
        <w:t xml:space="preserve"> </w:t>
      </w:r>
      <w:r w:rsidR="00CF3ACB" w:rsidRPr="00BB337F">
        <w:t>to the market</w:t>
      </w:r>
      <w:r w:rsidRPr="007618BD">
        <w:t xml:space="preserve">.  </w:t>
      </w:r>
      <w:r w:rsidR="00CF3ACB" w:rsidRPr="00BB337F">
        <w:t>By inducing improvements in productivity and spurring innovation, s</w:t>
      </w:r>
      <w:r w:rsidRPr="007618BD">
        <w:t xml:space="preserve">tiff domestic competition prepares firms to compete in hyper-competitive international markets.  </w:t>
      </w:r>
    </w:p>
    <w:p w:rsidR="00765643" w:rsidRDefault="00765643" w:rsidP="00765643">
      <w:pPr>
        <w:pStyle w:val="ListParagraph"/>
      </w:pPr>
      <w:r w:rsidRPr="00765643">
        <w:rPr>
          <w:b/>
        </w:rPr>
        <w:t>Price cost margins (PCM) for inputs of exportable goods tend to be larger than those of their international peers</w:t>
      </w:r>
      <w:r w:rsidRPr="00765643">
        <w:t>.  Relatively higher PCM reduce incentives for local exports.</w:t>
      </w:r>
      <w:r w:rsidRPr="00765643">
        <w:rPr>
          <w:vertAlign w:val="superscript"/>
        </w:rPr>
        <w:footnoteReference w:id="2"/>
      </w:r>
      <w:r w:rsidRPr="00765643">
        <w:t xml:space="preserve"> (Figure 4</w:t>
      </w:r>
      <w:r w:rsidR="0097266D">
        <w:t xml:space="preserve"> above</w:t>
      </w:r>
      <w:r w:rsidRPr="00765643">
        <w:t xml:space="preserve">) Moreover, </w:t>
      </w:r>
      <w:r w:rsidRPr="00765643">
        <w:rPr>
          <w:bCs/>
        </w:rPr>
        <w:t>Russian firms register larger PCMs compared to the average of the (Europe and Central Asia) region in every manufacturing sector except for food, garments and chemicals.</w:t>
      </w:r>
      <w:r w:rsidRPr="00765643">
        <w:t xml:space="preserve"> </w:t>
      </w:r>
      <w:r w:rsidRPr="00765643">
        <w:rPr>
          <w:bCs/>
        </w:rPr>
        <w:t>A more detailed PCM analysis in selected sectors reveals that firms in sectors where Russia registers higher PCMs than regional counterparts, tend to be (</w:t>
      </w:r>
      <w:proofErr w:type="spellStart"/>
      <w:r w:rsidRPr="00765643">
        <w:rPr>
          <w:bCs/>
        </w:rPr>
        <w:t>i</w:t>
      </w:r>
      <w:proofErr w:type="spellEnd"/>
      <w:r w:rsidRPr="00765643">
        <w:rPr>
          <w:bCs/>
        </w:rPr>
        <w:t>) older; (ii) have more employees; (iii) are less likely to export and invest in R&amp;D; (iv) are more likely to operate in local markets; and (v) in some cases, are less likely to operate in a competitive market structure. The analysis of market structure within Russia at the geographic and product market level also reveals a high degree of concentration, with significant variations across regions and sectors, as illustrated in Figure 5 below</w:t>
      </w:r>
    </w:p>
    <w:tbl>
      <w:tblPr>
        <w:tblStyle w:val="TableGrid"/>
        <w:tblW w:w="0" w:type="auto"/>
        <w:jc w:val="center"/>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6"/>
        <w:gridCol w:w="3366"/>
        <w:gridCol w:w="3366"/>
      </w:tblGrid>
      <w:tr w:rsidR="00407A27" w:rsidRPr="00D87F17" w:rsidTr="00D70F24">
        <w:trPr>
          <w:jc w:val="center"/>
        </w:trPr>
        <w:tc>
          <w:tcPr>
            <w:tcW w:w="10098" w:type="dxa"/>
            <w:gridSpan w:val="3"/>
          </w:tcPr>
          <w:p w:rsidR="00407A27" w:rsidRPr="00D87F17" w:rsidRDefault="00407A27" w:rsidP="00D70F24">
            <w:pPr>
              <w:spacing w:after="0"/>
              <w:ind w:left="261"/>
              <w:jc w:val="both"/>
              <w:rPr>
                <w:rFonts w:ascii="Times New Roman" w:eastAsiaTheme="minorEastAsia" w:hAnsi="Times New Roman" w:cs="Times New Roman"/>
                <w:bCs/>
                <w:sz w:val="20"/>
                <w:szCs w:val="20"/>
              </w:rPr>
            </w:pPr>
            <w:r>
              <w:rPr>
                <w:rFonts w:ascii="Times New Roman" w:eastAsiaTheme="minorEastAsia" w:hAnsi="Times New Roman" w:cs="Times New Roman"/>
                <w:bCs/>
              </w:rPr>
              <w:t>.</w:t>
            </w:r>
            <w:r w:rsidRPr="00344400">
              <w:rPr>
                <w:rFonts w:ascii="Times New Roman" w:eastAsiaTheme="minorHAnsi" w:hAnsi="Times New Roman" w:cs="Times New Roman"/>
                <w:b/>
                <w:bCs/>
                <w:sz w:val="20"/>
                <w:szCs w:val="20"/>
                <w:lang w:bidi="ar-SA"/>
              </w:rPr>
              <w:t xml:space="preserve">Figure </w:t>
            </w:r>
            <w:r w:rsidR="007674BC">
              <w:rPr>
                <w:rFonts w:ascii="Times New Roman" w:hAnsi="Times New Roman" w:cs="Times New Roman"/>
                <w:b/>
                <w:bCs/>
                <w:sz w:val="20"/>
                <w:szCs w:val="20"/>
              </w:rPr>
              <w:fldChar w:fldCharType="begin"/>
            </w:r>
            <w:r>
              <w:rPr>
                <w:rFonts w:ascii="Times New Roman" w:eastAsiaTheme="minorHAnsi" w:hAnsi="Times New Roman" w:cs="Times New Roman"/>
                <w:b/>
                <w:bCs/>
                <w:sz w:val="20"/>
                <w:szCs w:val="20"/>
                <w:lang w:bidi="ar-SA"/>
              </w:rPr>
              <w:instrText xml:space="preserve"> SEQ Figure \* ARABIC </w:instrText>
            </w:r>
            <w:r w:rsidR="007674BC">
              <w:rPr>
                <w:rFonts w:ascii="Times New Roman" w:hAnsi="Times New Roman" w:cs="Times New Roman"/>
                <w:b/>
                <w:bCs/>
                <w:sz w:val="20"/>
                <w:szCs w:val="20"/>
              </w:rPr>
              <w:fldChar w:fldCharType="separate"/>
            </w:r>
            <w:r w:rsidR="001B0E26">
              <w:rPr>
                <w:rFonts w:ascii="Times New Roman" w:eastAsiaTheme="minorHAnsi" w:hAnsi="Times New Roman" w:cs="Times New Roman"/>
                <w:b/>
                <w:bCs/>
                <w:noProof/>
                <w:sz w:val="20"/>
                <w:szCs w:val="20"/>
                <w:lang w:bidi="ar-SA"/>
              </w:rPr>
              <w:t>5</w:t>
            </w:r>
            <w:r w:rsidR="007674BC">
              <w:rPr>
                <w:rFonts w:ascii="Times New Roman" w:hAnsi="Times New Roman" w:cs="Times New Roman"/>
                <w:b/>
                <w:bCs/>
                <w:sz w:val="20"/>
                <w:szCs w:val="20"/>
              </w:rPr>
              <w:fldChar w:fldCharType="end"/>
            </w:r>
            <w:r>
              <w:rPr>
                <w:rFonts w:ascii="Times New Roman" w:eastAsiaTheme="minorHAnsi" w:hAnsi="Times New Roman" w:cs="Times New Roman"/>
                <w:b/>
                <w:bCs/>
                <w:sz w:val="20"/>
                <w:szCs w:val="20"/>
                <w:lang w:bidi="ar-SA"/>
              </w:rPr>
              <w:t xml:space="preserve">: </w:t>
            </w:r>
            <w:r w:rsidRPr="00D87F17">
              <w:rPr>
                <w:rFonts w:ascii="Times New Roman" w:eastAsiaTheme="minorHAnsi" w:hAnsi="Times New Roman" w:cs="Times New Roman"/>
                <w:b/>
                <w:bCs/>
                <w:sz w:val="20"/>
                <w:szCs w:val="20"/>
                <w:lang w:bidi="ar-SA"/>
              </w:rPr>
              <w:t>Concentration levels in selected Russian industries, by region</w:t>
            </w:r>
          </w:p>
        </w:tc>
      </w:tr>
      <w:tr w:rsidR="00407A27" w:rsidRPr="00D87F17" w:rsidTr="00D70F24">
        <w:trPr>
          <w:jc w:val="center"/>
        </w:trPr>
        <w:tc>
          <w:tcPr>
            <w:tcW w:w="3366" w:type="dxa"/>
          </w:tcPr>
          <w:p w:rsidR="00407A27" w:rsidRPr="00D87F17" w:rsidRDefault="00407A27" w:rsidP="00D70F24">
            <w:pPr>
              <w:spacing w:after="0"/>
              <w:jc w:val="both"/>
              <w:rPr>
                <w:rFonts w:ascii="Times New Roman" w:eastAsiaTheme="minorEastAsia" w:hAnsi="Times New Roman" w:cs="Times New Roman"/>
                <w:bCs/>
                <w:sz w:val="20"/>
                <w:szCs w:val="20"/>
              </w:rPr>
            </w:pPr>
            <w:r w:rsidRPr="00D87F17">
              <w:rPr>
                <w:rFonts w:ascii="Times New Roman" w:eastAsiaTheme="minorEastAsia" w:hAnsi="Times New Roman" w:cs="Times New Roman"/>
                <w:bCs/>
                <w:noProof/>
                <w:sz w:val="20"/>
                <w:szCs w:val="20"/>
              </w:rPr>
              <w:lastRenderedPageBreak/>
              <w:drawing>
                <wp:inline distT="0" distB="0" distL="0" distR="0">
                  <wp:extent cx="2026747" cy="1679171"/>
                  <wp:effectExtent l="0" t="0" r="49703"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366" w:type="dxa"/>
          </w:tcPr>
          <w:p w:rsidR="00407A27" w:rsidRPr="00D87F17" w:rsidRDefault="00407A27" w:rsidP="00D70F24">
            <w:pPr>
              <w:spacing w:after="0"/>
              <w:jc w:val="both"/>
              <w:rPr>
                <w:rFonts w:ascii="Times New Roman" w:eastAsiaTheme="minorEastAsia" w:hAnsi="Times New Roman" w:cs="Times New Roman"/>
                <w:bCs/>
                <w:sz w:val="20"/>
                <w:szCs w:val="20"/>
              </w:rPr>
            </w:pPr>
            <w:r w:rsidRPr="00D87F17">
              <w:rPr>
                <w:rFonts w:ascii="Times New Roman" w:eastAsiaTheme="minorEastAsia" w:hAnsi="Times New Roman" w:cs="Times New Roman"/>
                <w:bCs/>
                <w:noProof/>
                <w:sz w:val="20"/>
                <w:szCs w:val="20"/>
              </w:rPr>
              <w:drawing>
                <wp:inline distT="0" distB="0" distL="0" distR="0">
                  <wp:extent cx="2011156" cy="1677725"/>
                  <wp:effectExtent l="0" t="0" r="0" b="0"/>
                  <wp:docPr id="89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366" w:type="dxa"/>
          </w:tcPr>
          <w:p w:rsidR="00407A27" w:rsidRPr="00D87F17" w:rsidRDefault="00407A27" w:rsidP="00D70F24">
            <w:pPr>
              <w:spacing w:after="0"/>
              <w:jc w:val="both"/>
              <w:rPr>
                <w:rFonts w:ascii="Times New Roman" w:eastAsiaTheme="minorEastAsia" w:hAnsi="Times New Roman" w:cs="Times New Roman"/>
                <w:bCs/>
                <w:sz w:val="20"/>
                <w:szCs w:val="20"/>
              </w:rPr>
            </w:pPr>
            <w:r w:rsidRPr="00D87F17">
              <w:rPr>
                <w:rFonts w:ascii="Times New Roman" w:eastAsiaTheme="minorEastAsia" w:hAnsi="Times New Roman" w:cs="Times New Roman"/>
                <w:bCs/>
                <w:noProof/>
                <w:sz w:val="20"/>
                <w:szCs w:val="20"/>
              </w:rPr>
              <w:drawing>
                <wp:inline distT="0" distB="0" distL="0" distR="0">
                  <wp:extent cx="2030557" cy="1679171"/>
                  <wp:effectExtent l="0" t="0" r="45893" b="0"/>
                  <wp:docPr id="89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07A27" w:rsidRPr="00D87F17" w:rsidTr="00D70F24">
        <w:trPr>
          <w:jc w:val="center"/>
        </w:trPr>
        <w:tc>
          <w:tcPr>
            <w:tcW w:w="10098" w:type="dxa"/>
            <w:gridSpan w:val="3"/>
          </w:tcPr>
          <w:p w:rsidR="00407A27" w:rsidRPr="00D87F17" w:rsidRDefault="00407A27" w:rsidP="00D70F24">
            <w:pPr>
              <w:spacing w:after="0"/>
              <w:ind w:left="261"/>
              <w:jc w:val="both"/>
              <w:rPr>
                <w:rFonts w:ascii="Times New Roman" w:eastAsiaTheme="minorEastAsia" w:hAnsi="Times New Roman" w:cs="Times New Roman"/>
                <w:bCs/>
                <w:sz w:val="20"/>
                <w:szCs w:val="20"/>
              </w:rPr>
            </w:pPr>
            <w:r w:rsidRPr="00AA2111">
              <w:rPr>
                <w:sz w:val="16"/>
                <w:szCs w:val="16"/>
                <w:lang w:bidi="ar-SA"/>
              </w:rPr>
              <w:t>Source: SPARK Database</w:t>
            </w:r>
            <w:r w:rsidR="0097266D">
              <w:rPr>
                <w:sz w:val="16"/>
                <w:szCs w:val="16"/>
                <w:lang w:bidi="ar-SA"/>
              </w:rPr>
              <w:t xml:space="preserve">- Calculations of the </w:t>
            </w:r>
            <w:proofErr w:type="spellStart"/>
            <w:r w:rsidR="0097266D">
              <w:rPr>
                <w:sz w:val="16"/>
                <w:szCs w:val="16"/>
                <w:lang w:bidi="ar-SA"/>
              </w:rPr>
              <w:t>Herfindahl</w:t>
            </w:r>
            <w:proofErr w:type="spellEnd"/>
            <w:r w:rsidR="0097266D">
              <w:rPr>
                <w:sz w:val="16"/>
                <w:szCs w:val="16"/>
                <w:lang w:bidi="ar-SA"/>
              </w:rPr>
              <w:t>-Hirschman Index (HHI)</w:t>
            </w:r>
          </w:p>
        </w:tc>
      </w:tr>
    </w:tbl>
    <w:p w:rsidR="00177FDB" w:rsidRPr="00BC5703" w:rsidRDefault="00177FDB" w:rsidP="007D0B5B">
      <w:pPr>
        <w:pStyle w:val="ListParagraph"/>
        <w:rPr>
          <w:rFonts w:eastAsia="Times New Roman"/>
        </w:rPr>
      </w:pPr>
      <w:proofErr w:type="gramStart"/>
      <w:r>
        <w:rPr>
          <w:rFonts w:eastAsia="Times New Roman"/>
          <w:b/>
        </w:rPr>
        <w:t>Relatively high levels of control of the economy by state-owned enterprises does</w:t>
      </w:r>
      <w:proofErr w:type="gramEnd"/>
      <w:r>
        <w:rPr>
          <w:rFonts w:eastAsia="Times New Roman"/>
          <w:b/>
        </w:rPr>
        <w:t xml:space="preserve"> not contribute to healthy competition. </w:t>
      </w:r>
      <w:r w:rsidR="007618BD" w:rsidRPr="007618BD">
        <w:rPr>
          <w:rFonts w:eastAsia="Times New Roman"/>
        </w:rPr>
        <w:t xml:space="preserve"> State ownership is twice as large in Russia as in the EU-10 countries, with state-owned enterprises commanding about 17 percent of employment. </w:t>
      </w:r>
      <w:r w:rsidRPr="00BC5703">
        <w:t>Available data indicate that, with n</w:t>
      </w:r>
      <w:r w:rsidRPr="00BC5703">
        <w:rPr>
          <w:rFonts w:eastAsia="Times New Roman"/>
        </w:rPr>
        <w:t>ational, state, or provincial government controlling at least one firm in 16 (out of 19) sectors – a relatively high figure compared to OECD averages, where the typical member economy registers government participation in only 9 of the same sectors. The EBRD Transition Indicators also show that enterprise restructuring in Russia is lagging behind th</w:t>
      </w:r>
      <w:r>
        <w:rPr>
          <w:rFonts w:eastAsia="Times New Roman"/>
        </w:rPr>
        <w:t>at</w:t>
      </w:r>
      <w:r w:rsidRPr="00BC5703">
        <w:rPr>
          <w:rFonts w:eastAsia="Times New Roman"/>
        </w:rPr>
        <w:t xml:space="preserve"> of Poland, Turkey and the average of the E</w:t>
      </w:r>
      <w:r>
        <w:rPr>
          <w:rFonts w:eastAsia="Times New Roman"/>
        </w:rPr>
        <w:t xml:space="preserve">urope and </w:t>
      </w:r>
      <w:r w:rsidRPr="00BC5703">
        <w:rPr>
          <w:rFonts w:eastAsia="Times New Roman"/>
        </w:rPr>
        <w:t>C</w:t>
      </w:r>
      <w:r>
        <w:rPr>
          <w:rFonts w:eastAsia="Times New Roman"/>
        </w:rPr>
        <w:t xml:space="preserve">entral </w:t>
      </w:r>
      <w:r w:rsidRPr="00BC5703">
        <w:rPr>
          <w:rFonts w:eastAsia="Times New Roman"/>
        </w:rPr>
        <w:t>A</w:t>
      </w:r>
      <w:r>
        <w:rPr>
          <w:rFonts w:eastAsia="Times New Roman"/>
        </w:rPr>
        <w:t>sia (ECA)</w:t>
      </w:r>
      <w:r w:rsidRPr="00BC5703">
        <w:rPr>
          <w:rFonts w:eastAsia="Times New Roman"/>
        </w:rPr>
        <w:t xml:space="preserve"> region.</w:t>
      </w:r>
    </w:p>
    <w:p w:rsidR="00177FDB" w:rsidRPr="00BC5703" w:rsidRDefault="00177FDB" w:rsidP="007D0B5B">
      <w:pPr>
        <w:pStyle w:val="ListParagraph"/>
        <w:rPr>
          <w:rFonts w:eastAsia="Times New Roman"/>
        </w:rPr>
      </w:pPr>
      <w:r w:rsidRPr="0097266D">
        <w:rPr>
          <w:rFonts w:eastAsia="Times New Roman"/>
          <w:b/>
        </w:rPr>
        <w:t>In addition to distorting the economy directly through state ownership, state aid favors larger, less productive incumbent companies.</w:t>
      </w:r>
      <w:r w:rsidRPr="00BC5703">
        <w:rPr>
          <w:rFonts w:eastAsia="Times New Roman"/>
        </w:rPr>
        <w:t xml:space="preserve"> State aid (for example, in the form of loans, subsidies, and tax cuts) is often applied unevenly across regions, sectors, and firms. According to the World Bank Trade Restrictiveness Index, incumbent firms are more insulated from international competition, especially through non-tariff barriers in the form of technical regulations and quantitative restrictions, than in most comparable countries. Actions of regional governments also influence competition conditions in domestic markets.</w:t>
      </w:r>
    </w:p>
    <w:p w:rsidR="00177FDB" w:rsidRPr="00BC5703" w:rsidRDefault="0050509C" w:rsidP="0050509C">
      <w:pPr>
        <w:pStyle w:val="ListParagraph"/>
        <w:rPr>
          <w:rFonts w:eastAsia="Times New Roman"/>
        </w:rPr>
      </w:pPr>
      <w:r>
        <w:rPr>
          <w:b/>
        </w:rPr>
        <w:t>These are signs that completion is not completely healthy in Russia</w:t>
      </w:r>
      <w:r w:rsidRPr="00BC5703">
        <w:rPr>
          <w:b/>
        </w:rPr>
        <w:t>.</w:t>
      </w:r>
      <w:r w:rsidRPr="007618BD">
        <w:t xml:space="preserve"> For example, </w:t>
      </w:r>
      <w:r>
        <w:t>comparing the productivity of registered, taxpaying firms that compete for the same markets in which</w:t>
      </w:r>
      <w:r w:rsidRPr="003D4286">
        <w:t xml:space="preserve"> informal (grey market) </w:t>
      </w:r>
      <w:r>
        <w:t>firms participate in indicate</w:t>
      </w:r>
      <w:r w:rsidRPr="003D4286">
        <w:t xml:space="preserve"> lower productivity </w:t>
      </w:r>
      <w:r>
        <w:t>than firms that do not have to contend with grey market competition</w:t>
      </w:r>
      <w:r w:rsidRPr="003D4286">
        <w:t xml:space="preserve">. </w:t>
      </w:r>
      <w:r>
        <w:t xml:space="preserve"> The relatively lax enforcement of laws and regulations for some firms creates distortions in competition. In addition, receiving p</w:t>
      </w:r>
      <w:r w:rsidRPr="003D4286">
        <w:t xml:space="preserve">ublic subsidies </w:t>
      </w:r>
      <w:r>
        <w:t>is a</w:t>
      </w:r>
      <w:r w:rsidRPr="003D4286">
        <w:t>ssociated with lower levels of productivit</w:t>
      </w:r>
      <w:r>
        <w:t>y, indicating that these subsidies are likely substitutes for productivity improvements</w:t>
      </w:r>
      <w:r w:rsidRPr="003D4286">
        <w:t xml:space="preserve">. </w:t>
      </w:r>
      <w:r>
        <w:t xml:space="preserve"> Finally, </w:t>
      </w:r>
      <w:r w:rsidRPr="003D4286">
        <w:t>Russia’s productivity shows that the output commanded by the more productive firms corresponds to half the value for Brazil in the early 2000s</w:t>
      </w:r>
      <w:r>
        <w:t>.  In other words, while one would expect that more productive firms would command higher market shares, the market share of Russia’s more productive firms is substantially less than those of Brazil.</w:t>
      </w:r>
    </w:p>
    <w:p w:rsidR="00761B4D" w:rsidRPr="00761B4D" w:rsidRDefault="00761B4D" w:rsidP="007D0B5B">
      <w:pPr>
        <w:pStyle w:val="ListParagraph"/>
      </w:pPr>
      <w:r w:rsidRPr="00761B4D">
        <w:rPr>
          <w:b/>
        </w:rPr>
        <w:t xml:space="preserve">In addition to </w:t>
      </w:r>
      <w:r w:rsidR="00C32291" w:rsidRPr="00761B4D">
        <w:rPr>
          <w:b/>
        </w:rPr>
        <w:t>competition</w:t>
      </w:r>
      <w:r w:rsidR="00C32291">
        <w:rPr>
          <w:b/>
        </w:rPr>
        <w:t>,</w:t>
      </w:r>
      <w:r w:rsidRPr="00761B4D">
        <w:rPr>
          <w:b/>
        </w:rPr>
        <w:t xml:space="preserve"> other </w:t>
      </w:r>
      <w:r w:rsidR="00C32291">
        <w:rPr>
          <w:b/>
        </w:rPr>
        <w:t xml:space="preserve">business environment </w:t>
      </w:r>
      <w:r w:rsidRPr="00761B4D">
        <w:rPr>
          <w:b/>
        </w:rPr>
        <w:t xml:space="preserve">obstacles </w:t>
      </w:r>
      <w:r w:rsidR="00C32291">
        <w:rPr>
          <w:b/>
        </w:rPr>
        <w:t>likely constrain</w:t>
      </w:r>
      <w:r w:rsidRPr="00761B4D">
        <w:rPr>
          <w:b/>
        </w:rPr>
        <w:t xml:space="preserve"> </w:t>
      </w:r>
      <w:r w:rsidR="00C32291">
        <w:rPr>
          <w:b/>
        </w:rPr>
        <w:t xml:space="preserve">firm-level </w:t>
      </w:r>
      <w:r w:rsidRPr="00761B4D">
        <w:rPr>
          <w:b/>
        </w:rPr>
        <w:t xml:space="preserve">export </w:t>
      </w:r>
      <w:r w:rsidR="00C32291">
        <w:rPr>
          <w:b/>
        </w:rPr>
        <w:t>performance</w:t>
      </w:r>
      <w:r w:rsidRPr="00761B4D">
        <w:rPr>
          <w:b/>
        </w:rPr>
        <w:t xml:space="preserve">. </w:t>
      </w:r>
      <w:r w:rsidRPr="00761B4D">
        <w:t>For instance, f</w:t>
      </w:r>
      <w:r w:rsidR="00B277D0" w:rsidRPr="00761B4D">
        <w:t xml:space="preserve">irms </w:t>
      </w:r>
      <w:r w:rsidR="001939D8">
        <w:t xml:space="preserve">with a </w:t>
      </w:r>
      <w:r w:rsidR="00B277D0" w:rsidRPr="00761B4D">
        <w:t xml:space="preserve">higher number of power outages per month or </w:t>
      </w:r>
      <w:r w:rsidR="001939D8">
        <w:t xml:space="preserve">relatively more dependent on their own power </w:t>
      </w:r>
      <w:r w:rsidR="00B277D0" w:rsidRPr="00761B4D">
        <w:t xml:space="preserve">generator </w:t>
      </w:r>
      <w:r w:rsidR="001939D8">
        <w:t xml:space="preserve">for electricity </w:t>
      </w:r>
      <w:r w:rsidR="00B277D0" w:rsidRPr="00761B4D">
        <w:t xml:space="preserve">are less likely to enter foreign markets. </w:t>
      </w:r>
      <w:r w:rsidR="001939D8">
        <w:t>Also, b</w:t>
      </w:r>
      <w:r w:rsidR="001939D8" w:rsidRPr="00761B4D">
        <w:t xml:space="preserve">usinesses </w:t>
      </w:r>
      <w:r w:rsidR="00451DD9" w:rsidRPr="00761B4D">
        <w:t xml:space="preserve">that spend </w:t>
      </w:r>
      <w:r w:rsidR="001939D8">
        <w:t xml:space="preserve">comparatively </w:t>
      </w:r>
      <w:r w:rsidR="00451DD9" w:rsidRPr="00761B4D">
        <w:t>more time dealing with bureaucratic issues show lower export propensity</w:t>
      </w:r>
      <w:r w:rsidRPr="00761B4D">
        <w:t xml:space="preserve">, indicating </w:t>
      </w:r>
      <w:r w:rsidR="001939D8">
        <w:t xml:space="preserve">that </w:t>
      </w:r>
      <w:r w:rsidRPr="00761B4D">
        <w:t>regulat</w:t>
      </w:r>
      <w:r w:rsidR="001939D8">
        <w:t>i</w:t>
      </w:r>
      <w:r w:rsidRPr="00761B4D">
        <w:t>o</w:t>
      </w:r>
      <w:r w:rsidR="001939D8">
        <w:t>ns</w:t>
      </w:r>
      <w:r w:rsidRPr="00761B4D">
        <w:t xml:space="preserve"> </w:t>
      </w:r>
      <w:r w:rsidR="001939D8">
        <w:t>have ramifications to firm performance beyond their cost of compliance</w:t>
      </w:r>
      <w:r w:rsidR="00451DD9" w:rsidRPr="00761B4D">
        <w:t>.</w:t>
      </w:r>
      <w:r w:rsidR="00782B92" w:rsidRPr="00761B4D">
        <w:t xml:space="preserve"> </w:t>
      </w:r>
      <w:r w:rsidR="001939D8">
        <w:t>Finally</w:t>
      </w:r>
      <w:r w:rsidR="00B277D0" w:rsidRPr="00761B4D">
        <w:t xml:space="preserve">, </w:t>
      </w:r>
      <w:r w:rsidR="00401822">
        <w:t>firms</w:t>
      </w:r>
      <w:r w:rsidR="00B277D0" w:rsidRPr="00761B4D">
        <w:t xml:space="preserve"> that purchase a </w:t>
      </w:r>
      <w:r w:rsidR="001939D8">
        <w:t xml:space="preserve">relatively </w:t>
      </w:r>
      <w:r w:rsidR="00B277D0" w:rsidRPr="00761B4D">
        <w:t>higher share of input</w:t>
      </w:r>
      <w:r w:rsidR="001939D8">
        <w:t xml:space="preserve">s </w:t>
      </w:r>
      <w:r w:rsidR="00B277D0" w:rsidRPr="00761B4D">
        <w:t xml:space="preserve">on credit (after delivery) </w:t>
      </w:r>
      <w:r w:rsidRPr="00761B4D">
        <w:t xml:space="preserve">– which we interpret as evidence of </w:t>
      </w:r>
      <w:r w:rsidR="001939D8">
        <w:t xml:space="preserve">being more </w:t>
      </w:r>
      <w:r w:rsidRPr="00761B4D">
        <w:t xml:space="preserve">cash-constrained – </w:t>
      </w:r>
      <w:r w:rsidR="00B277D0" w:rsidRPr="00761B4D">
        <w:t>have a lower probability of exporting.</w:t>
      </w:r>
      <w:r w:rsidR="00DC2203" w:rsidRPr="00DC2203">
        <w:t xml:space="preserve"> </w:t>
      </w:r>
      <w:r w:rsidR="00DC2203">
        <w:lastRenderedPageBreak/>
        <w:t xml:space="preserve">While </w:t>
      </w:r>
      <w:r w:rsidR="00DC2203" w:rsidRPr="00BB337F">
        <w:t xml:space="preserve">higher </w:t>
      </w:r>
      <w:r w:rsidR="00DC2203">
        <w:t xml:space="preserve">firm-level </w:t>
      </w:r>
      <w:r w:rsidR="00DC2203" w:rsidRPr="00BB337F">
        <w:t xml:space="preserve">productivity levels </w:t>
      </w:r>
      <w:r w:rsidR="00DC2203">
        <w:t xml:space="preserve">will </w:t>
      </w:r>
      <w:r w:rsidR="00DC2203" w:rsidRPr="00BB337F">
        <w:t>help firms more readily cover the fixed costs of entering international markets</w:t>
      </w:r>
      <w:r w:rsidR="00DC2203">
        <w:t>, u</w:t>
      </w:r>
      <w:r w:rsidR="00DC2203" w:rsidRPr="00BB337F">
        <w:t xml:space="preserve">nfortunately </w:t>
      </w:r>
      <w:r w:rsidR="00DC2203">
        <w:t xml:space="preserve">in </w:t>
      </w:r>
      <w:r w:rsidR="00DC2203" w:rsidRPr="00BB337F">
        <w:t xml:space="preserve">Russia, preliminary findings in this study indicate that fixed costs to export are on average higher than in comparator countries.  So business environment reforms as well as promoting healthy competition need to take place in order to improve export performance.  </w:t>
      </w:r>
    </w:p>
    <w:p w:rsidR="00A62DAF" w:rsidRPr="0097266D" w:rsidRDefault="00431062" w:rsidP="0097266D">
      <w:pPr>
        <w:rPr>
          <w:rStyle w:val="Emphasis"/>
        </w:rPr>
      </w:pPr>
      <w:r w:rsidRPr="0097266D">
        <w:rPr>
          <w:rStyle w:val="Emphasis"/>
        </w:rPr>
        <w:t>Well designed and enforced c</w:t>
      </w:r>
      <w:r w:rsidR="00A62DAF" w:rsidRPr="0097266D">
        <w:rPr>
          <w:rStyle w:val="Emphasis"/>
        </w:rPr>
        <w:t>ompetition policy could usefully level the playing field</w:t>
      </w:r>
      <w:r w:rsidRPr="0097266D">
        <w:rPr>
          <w:rStyle w:val="Emphasis"/>
        </w:rPr>
        <w:t xml:space="preserve">, </w:t>
      </w:r>
      <w:r w:rsidR="00A62DAF" w:rsidRPr="0097266D">
        <w:rPr>
          <w:rStyle w:val="Emphasis"/>
        </w:rPr>
        <w:t xml:space="preserve">favoring the emergence of more efficient </w:t>
      </w:r>
      <w:r w:rsidRPr="0097266D">
        <w:rPr>
          <w:rStyle w:val="Emphasis"/>
        </w:rPr>
        <w:t xml:space="preserve">and innovative </w:t>
      </w:r>
      <w:r w:rsidR="00A62DAF" w:rsidRPr="0097266D">
        <w:rPr>
          <w:rStyle w:val="Emphasis"/>
        </w:rPr>
        <w:t>firms.</w:t>
      </w:r>
    </w:p>
    <w:p w:rsidR="00A62DAF" w:rsidRDefault="00A62DAF" w:rsidP="007D0B5B">
      <w:pPr>
        <w:pStyle w:val="ListParagraph"/>
        <w:rPr>
          <w:bCs/>
        </w:rPr>
      </w:pPr>
      <w:r>
        <w:t>Leveling the</w:t>
      </w:r>
      <w:r w:rsidRPr="001E434A">
        <w:t xml:space="preserve"> playing field, facil</w:t>
      </w:r>
      <w:r>
        <w:t>itating</w:t>
      </w:r>
      <w:r w:rsidR="00217721">
        <w:t xml:space="preserve"> market entry</w:t>
      </w:r>
      <w:r>
        <w:t>, and encouraging</w:t>
      </w:r>
      <w:r w:rsidRPr="001E434A">
        <w:t xml:space="preserve"> orderl</w:t>
      </w:r>
      <w:r>
        <w:t xml:space="preserve">y exit of less efficient </w:t>
      </w:r>
      <w:r w:rsidR="00217721">
        <w:t>firms</w:t>
      </w:r>
      <w:r>
        <w:t xml:space="preserve"> would </w:t>
      </w:r>
      <w:r w:rsidRPr="001E434A">
        <w:t>contribut</w:t>
      </w:r>
      <w:r>
        <w:t>e</w:t>
      </w:r>
      <w:r w:rsidRPr="001E434A">
        <w:t xml:space="preserve"> to </w:t>
      </w:r>
      <w:r>
        <w:t>higher</w:t>
      </w:r>
      <w:r w:rsidRPr="001E434A">
        <w:t xml:space="preserve"> productivity and </w:t>
      </w:r>
      <w:r w:rsidR="00217721">
        <w:t xml:space="preserve">likelihood of </w:t>
      </w:r>
      <w:r w:rsidRPr="001E434A">
        <w:t>export</w:t>
      </w:r>
      <w:r w:rsidR="00217721">
        <w:t>ing</w:t>
      </w:r>
      <w:r w:rsidRPr="001E434A">
        <w:t xml:space="preserve">. At its core, the </w:t>
      </w:r>
      <w:r w:rsidR="00217721">
        <w:t>policies to improve competition</w:t>
      </w:r>
      <w:r w:rsidRPr="001E434A">
        <w:t xml:space="preserve"> </w:t>
      </w:r>
      <w:r w:rsidR="00217721">
        <w:t>may want to</w:t>
      </w:r>
      <w:r w:rsidRPr="001E434A">
        <w:t xml:space="preserve"> promote a reduction of state ownership; a more uniform, transparent, and result-oriented enforcement of state aid regulations; the simplification of the business environment in which firms operate; and the promotion of competition in service and network industries. As in the cases of Australia and the European Union, such polic</w:t>
      </w:r>
      <w:r w:rsidR="00217721">
        <w:t>ies</w:t>
      </w:r>
      <w:r w:rsidRPr="001E434A">
        <w:t xml:space="preserve"> could help increase productivity and consolidate Russia’s domestic market, enabling domestic firms to benefit from additional gains from trade. Specific measure</w:t>
      </w:r>
      <w:r>
        <w:t>s</w:t>
      </w:r>
      <w:r w:rsidRPr="001E434A">
        <w:t xml:space="preserve"> should include: (</w:t>
      </w:r>
      <w:proofErr w:type="spellStart"/>
      <w:r w:rsidRPr="001E434A">
        <w:t>i</w:t>
      </w:r>
      <w:proofErr w:type="spellEnd"/>
      <w:r w:rsidRPr="001E434A">
        <w:t>) advancing governme</w:t>
      </w:r>
      <w:r>
        <w:t>nt reforms of public enterprises, minimizing their distortive impact on the marketplace</w:t>
      </w:r>
      <w:r w:rsidRPr="001E434A">
        <w:t xml:space="preserve"> (ii) broadening the mandate on state aid regulation in order to diminish firm- and sector-specific state aid; (</w:t>
      </w:r>
      <w:r>
        <w:t>iii</w:t>
      </w:r>
      <w:r w:rsidRPr="001E434A">
        <w:t xml:space="preserve">) aligning state aid regulation to international best practices; and </w:t>
      </w:r>
      <w:proofErr w:type="gramStart"/>
      <w:r w:rsidRPr="001E434A">
        <w:t>(</w:t>
      </w:r>
      <w:r>
        <w:t>i</w:t>
      </w:r>
      <w:r w:rsidRPr="001E434A">
        <w:t>v) eliminating</w:t>
      </w:r>
      <w:proofErr w:type="gramEnd"/>
      <w:r w:rsidRPr="001E434A">
        <w:t xml:space="preserve"> preferential treatments for state or municipality-owned corporations. Sector specific policies in key service industries (such as transport, construction and professional services) would further increase competition, </w:t>
      </w:r>
      <w:r>
        <w:t>promote</w:t>
      </w:r>
      <w:r w:rsidRPr="001E434A">
        <w:t xml:space="preserve"> entr</w:t>
      </w:r>
      <w:r>
        <w:t>y and reduce the prices of services.</w:t>
      </w:r>
      <w:r w:rsidRPr="001E434A">
        <w:t xml:space="preserve"> </w:t>
      </w:r>
    </w:p>
    <w:p w:rsidR="00A62DAF" w:rsidRPr="0097266D" w:rsidRDefault="00A62DAF" w:rsidP="0097266D">
      <w:pPr>
        <w:rPr>
          <w:rStyle w:val="Emphasis"/>
        </w:rPr>
      </w:pPr>
      <w:r w:rsidRPr="0097266D">
        <w:rPr>
          <w:rStyle w:val="Emphasis"/>
        </w:rPr>
        <w:t>Reducing anti-export bias of Russia’s trade policy and aligning export promotion strategies to international best-practice will further enable export diversification.</w:t>
      </w:r>
    </w:p>
    <w:p w:rsidR="0005453F" w:rsidRDefault="00A62DAF" w:rsidP="0062590C">
      <w:pPr>
        <w:autoSpaceDE w:val="0"/>
        <w:autoSpaceDN w:val="0"/>
        <w:adjustRightInd w:val="0"/>
        <w:jc w:val="both"/>
      </w:pPr>
      <w:r w:rsidRPr="00217721">
        <w:rPr>
          <w:b/>
          <w:bCs/>
        </w:rPr>
        <w:t>Efforts to liberalize trade have been one of the highlights of Russia’s economic reform for the past two decades.</w:t>
      </w:r>
      <w:r w:rsidR="007618BD" w:rsidRPr="007618BD">
        <w:rPr>
          <w:rFonts w:eastAsiaTheme="minorEastAsia"/>
          <w:bCs/>
          <w:lang w:bidi="en-US"/>
        </w:rPr>
        <w:t xml:space="preserve"> Parallel to making efforts in lowering tariffs, reducing quotas, and diminishing import subsidies, the country has also advanced the process of negotiating accession to the World Trade Organization (WTO), with bilateral market access negotiation completed with interested WTO members, including the U.S., and with accession expected to be near. </w:t>
      </w:r>
      <w:r w:rsidRPr="00AF2D9D">
        <w:t>Yet, some hurdles remain for Russia’s full integration with the rules-based trading system, including increased tariff rates in several industries such as processed foods, light manufacturing, the automotive sectors, and some construction equipment in light of the economic crisis. Adopting a low and uniform tariff structure could bring benefits for an economy that seeks to enhance export diversification through innovation. Moreover, based on our findings of high fixed (sunk) costs to exports in Russia, reducing such costs could provide opportunities to encourage firm exports and to facilitate enterprises in establishing new export relationships. Advancement of the development of regional coordinating centers would in turn facilitate both the creation of new exports as well as help sustain current trade partnerships.</w:t>
      </w:r>
    </w:p>
    <w:p w:rsidR="004A5B6E" w:rsidRPr="0097266D" w:rsidRDefault="004A5B6E" w:rsidP="0097266D">
      <w:pPr>
        <w:rPr>
          <w:rStyle w:val="Emphasis"/>
        </w:rPr>
      </w:pPr>
      <w:r w:rsidRPr="0097266D">
        <w:rPr>
          <w:rStyle w:val="Emphasis"/>
        </w:rPr>
        <w:t>A strategy for increased export diversification in Russia may usefully focus on improving the conditions for emergence of productive and innovative firms.</w:t>
      </w:r>
    </w:p>
    <w:p w:rsidR="00F57505" w:rsidRDefault="003442E0" w:rsidP="0097266D">
      <w:pPr>
        <w:pStyle w:val="ListParagraph"/>
      </w:pPr>
      <w:r>
        <w:rPr>
          <w:b/>
        </w:rPr>
        <w:t>A</w:t>
      </w:r>
      <w:r w:rsidR="004A5B6E" w:rsidRPr="003442E0">
        <w:rPr>
          <w:b/>
        </w:rPr>
        <w:t>nalys</w:t>
      </w:r>
      <w:r>
        <w:rPr>
          <w:b/>
        </w:rPr>
        <w:t>i</w:t>
      </w:r>
      <w:r w:rsidR="004A5B6E" w:rsidRPr="003442E0">
        <w:rPr>
          <w:b/>
        </w:rPr>
        <w:t>s indicate</w:t>
      </w:r>
      <w:r>
        <w:rPr>
          <w:b/>
        </w:rPr>
        <w:t>s</w:t>
      </w:r>
      <w:r w:rsidR="004A5B6E" w:rsidRPr="003442E0">
        <w:rPr>
          <w:b/>
        </w:rPr>
        <w:t xml:space="preserve"> </w:t>
      </w:r>
      <w:r>
        <w:rPr>
          <w:b/>
        </w:rPr>
        <w:t xml:space="preserve">that </w:t>
      </w:r>
      <w:r w:rsidR="004A5B6E" w:rsidRPr="003442E0">
        <w:rPr>
          <w:b/>
        </w:rPr>
        <w:t xml:space="preserve">a focus on improving the conditions to facilitate the emergence of productive and innovative firms and improving the chances of firm survival in foreign markets may be a successful export diversification strategy. </w:t>
      </w:r>
      <w:r>
        <w:rPr>
          <w:b/>
        </w:rPr>
        <w:t xml:space="preserve"> </w:t>
      </w:r>
      <w:r w:rsidR="004A5B6E" w:rsidRPr="00BC5703">
        <w:t xml:space="preserve">Raising the share of non-resource based exports in Russia has so far proved a difficult task, </w:t>
      </w:r>
      <w:r w:rsidR="004A5B6E">
        <w:t>reflecting similar difficult experiences</w:t>
      </w:r>
      <w:r w:rsidR="004A5B6E" w:rsidRPr="00BC5703">
        <w:t xml:space="preserve"> elsewhere. Experience </w:t>
      </w:r>
      <w:r w:rsidR="004A5B6E" w:rsidRPr="00BC5703">
        <w:lastRenderedPageBreak/>
        <w:t>also shows that there is no magic recipe to promote export diversification. Export diversification depends on a number o</w:t>
      </w:r>
      <w:r w:rsidR="004A5B6E">
        <w:t>f macro- and microeconomic conditions,</w:t>
      </w:r>
      <w:r w:rsidR="004A5B6E" w:rsidRPr="00BC5703">
        <w:t xml:space="preserve"> including </w:t>
      </w:r>
      <w:r w:rsidR="004A5B6E">
        <w:t xml:space="preserve">a competitive </w:t>
      </w:r>
      <w:r w:rsidR="004A5B6E" w:rsidRPr="00BC5703">
        <w:t xml:space="preserve">exchange rate and </w:t>
      </w:r>
      <w:r w:rsidR="004A5B6E">
        <w:t xml:space="preserve">solid </w:t>
      </w:r>
      <w:r w:rsidR="004A5B6E" w:rsidRPr="00BC5703">
        <w:t xml:space="preserve">governance </w:t>
      </w:r>
      <w:r w:rsidR="004A5B6E">
        <w:t>system</w:t>
      </w:r>
      <w:r w:rsidR="004A5B6E" w:rsidRPr="00BC5703">
        <w:t>.</w:t>
      </w:r>
      <w:r w:rsidR="004A5B6E">
        <w:t xml:space="preserve"> </w:t>
      </w:r>
      <w:r w:rsidR="004A5B6E" w:rsidRPr="00BC5703">
        <w:t>Yet, by affecting competition</w:t>
      </w:r>
      <w:r w:rsidR="004A5B6E">
        <w:t xml:space="preserve">, </w:t>
      </w:r>
      <w:r w:rsidR="004A5B6E" w:rsidRPr="00BC5703">
        <w:t>improving innovation</w:t>
      </w:r>
      <w:r w:rsidR="004A5B6E">
        <w:t xml:space="preserve"> and facilitating trade</w:t>
      </w:r>
      <w:r w:rsidR="004A5B6E" w:rsidRPr="00BC5703">
        <w:t>, the government can enable economic renewal</w:t>
      </w:r>
      <w:r w:rsidR="004A5B6E">
        <w:t>,</w:t>
      </w:r>
      <w:r w:rsidR="004A5B6E" w:rsidRPr="00BC5703">
        <w:t xml:space="preserve"> and the ability and capacity of firms to enter international markets</w:t>
      </w:r>
      <w:r w:rsidR="004A5B6E">
        <w:t>. This in turn could trigger a positive cycle of productivity, innovation and trade integration through existing feedback effects.</w:t>
      </w:r>
      <w:r w:rsidR="004A5B6E" w:rsidRPr="00BC5703">
        <w:t xml:space="preserve"> </w:t>
      </w:r>
    </w:p>
    <w:p w:rsidR="003442E0" w:rsidRPr="003E719B" w:rsidRDefault="0019282B" w:rsidP="0097266D">
      <w:pPr>
        <w:pStyle w:val="ListParagraph"/>
      </w:pPr>
      <w:r>
        <w:rPr>
          <w:b/>
        </w:rPr>
        <w:t>Healthy domestic c</w:t>
      </w:r>
      <w:r w:rsidR="003442E0">
        <w:rPr>
          <w:b/>
        </w:rPr>
        <w:t xml:space="preserve">ompetition provides the incentives to improve productivity and </w:t>
      </w:r>
      <w:r>
        <w:rPr>
          <w:b/>
        </w:rPr>
        <w:t>offers</w:t>
      </w:r>
      <w:r w:rsidR="003442E0">
        <w:rPr>
          <w:b/>
        </w:rPr>
        <w:t xml:space="preserve"> good training for </w:t>
      </w:r>
      <w:r>
        <w:rPr>
          <w:b/>
        </w:rPr>
        <w:t xml:space="preserve">future </w:t>
      </w:r>
      <w:r w:rsidR="003442E0">
        <w:rPr>
          <w:b/>
        </w:rPr>
        <w:t>export success in the hyper-competitive international market.  Finally, a good business environment allows firms to quickly adapt to market signals</w:t>
      </w:r>
      <w:r>
        <w:rPr>
          <w:b/>
        </w:rPr>
        <w:t xml:space="preserve"> efficiently.  </w:t>
      </w:r>
      <w:proofErr w:type="gramStart"/>
      <w:r>
        <w:rPr>
          <w:b/>
        </w:rPr>
        <w:t>Improvements in all of these areas is</w:t>
      </w:r>
      <w:proofErr w:type="gramEnd"/>
      <w:r>
        <w:rPr>
          <w:b/>
        </w:rPr>
        <w:t xml:space="preserve"> likely required if Russia is to succeed in diversifying its economy.</w:t>
      </w:r>
    </w:p>
    <w:sectPr w:rsidR="003442E0" w:rsidRPr="003E719B" w:rsidSect="000912D8">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1B" w:rsidRDefault="00CC291B" w:rsidP="009F6524">
      <w:pPr>
        <w:spacing w:after="0" w:line="240" w:lineRule="auto"/>
      </w:pPr>
      <w:r>
        <w:separator/>
      </w:r>
    </w:p>
  </w:endnote>
  <w:endnote w:type="continuationSeparator" w:id="0">
    <w:p w:rsidR="00CC291B" w:rsidRDefault="00CC291B" w:rsidP="009F6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3810"/>
      <w:docPartObj>
        <w:docPartGallery w:val="Page Numbers (Bottom of Page)"/>
        <w:docPartUnique/>
      </w:docPartObj>
    </w:sdtPr>
    <w:sdtContent>
      <w:p w:rsidR="00CC291B" w:rsidRPr="00954932" w:rsidRDefault="007674BC" w:rsidP="00954932">
        <w:pPr>
          <w:pStyle w:val="Footer"/>
          <w:jc w:val="center"/>
        </w:pPr>
        <w:fldSimple w:instr=" PAGE   \* MERGEFORMAT ">
          <w:r w:rsidR="0005453F">
            <w:rPr>
              <w:noProof/>
            </w:rPr>
            <w:t>ii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B" w:rsidRPr="00BA5106" w:rsidRDefault="00CC291B" w:rsidP="00167306">
    <w:pPr>
      <w:pStyle w:val="Footer"/>
      <w:pBdr>
        <w:top w:val="single" w:sz="4" w:space="3" w:color="1F497D" w:themeColor="text2"/>
      </w:pBdr>
      <w:rPr>
        <w:rFonts w:asciiTheme="majorHAnsi" w:hAnsiTheme="majorHAnsi"/>
        <w:sz w:val="20"/>
        <w:szCs w:val="20"/>
      </w:rPr>
    </w:pPr>
    <w:r w:rsidRPr="008F7BB5">
      <w:rPr>
        <w:rFonts w:asciiTheme="majorHAnsi" w:hAnsiTheme="majorHAnsi"/>
        <w:i/>
        <w:color w:val="17365D" w:themeColor="text2" w:themeShade="BF"/>
        <w:sz w:val="20"/>
        <w:szCs w:val="20"/>
      </w:rPr>
      <w:t>Russian Federation – Export Diversification through Competition and Innovation: A Policy Agenda</w:t>
    </w:r>
    <w:r w:rsidRPr="00BA5106">
      <w:rPr>
        <w:rFonts w:asciiTheme="majorHAnsi" w:hAnsiTheme="majorHAnsi"/>
        <w:sz w:val="20"/>
        <w:szCs w:val="20"/>
      </w:rPr>
      <w:ptab w:relativeTo="margin" w:alignment="right" w:leader="none"/>
    </w:r>
    <w:r w:rsidR="007674BC" w:rsidRPr="00BA5106">
      <w:rPr>
        <w:sz w:val="20"/>
        <w:szCs w:val="20"/>
      </w:rPr>
      <w:fldChar w:fldCharType="begin"/>
    </w:r>
    <w:r w:rsidRPr="00BA5106">
      <w:rPr>
        <w:sz w:val="20"/>
        <w:szCs w:val="20"/>
      </w:rPr>
      <w:instrText xml:space="preserve"> PAGE   \* MERGEFORMAT </w:instrText>
    </w:r>
    <w:r w:rsidR="007674BC" w:rsidRPr="00BA5106">
      <w:rPr>
        <w:sz w:val="20"/>
        <w:szCs w:val="20"/>
      </w:rPr>
      <w:fldChar w:fldCharType="separate"/>
    </w:r>
    <w:r w:rsidR="00951725" w:rsidRPr="00951725">
      <w:rPr>
        <w:rFonts w:asciiTheme="majorHAnsi" w:hAnsiTheme="majorHAnsi"/>
        <w:noProof/>
        <w:sz w:val="20"/>
        <w:szCs w:val="20"/>
      </w:rPr>
      <w:t>7</w:t>
    </w:r>
    <w:r w:rsidR="007674BC" w:rsidRPr="00BA510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B" w:rsidRPr="007972F2" w:rsidRDefault="00CC291B" w:rsidP="007972F2">
    <w:pPr>
      <w:pStyle w:val="Footer"/>
      <w:pBdr>
        <w:top w:val="single" w:sz="4" w:space="3" w:color="1F497D" w:themeColor="text2"/>
      </w:pBdr>
      <w:rPr>
        <w:rFonts w:asciiTheme="majorHAnsi" w:hAnsiTheme="majorHAnsi"/>
        <w:sz w:val="20"/>
        <w:szCs w:val="20"/>
      </w:rPr>
    </w:pPr>
    <w:r w:rsidRPr="008F7BB5">
      <w:rPr>
        <w:rFonts w:asciiTheme="majorHAnsi" w:hAnsiTheme="majorHAnsi"/>
        <w:i/>
        <w:color w:val="17365D" w:themeColor="text2" w:themeShade="BF"/>
        <w:sz w:val="20"/>
        <w:szCs w:val="20"/>
      </w:rPr>
      <w:t>Russian Federation – Export Diversification through Competition and Innovation: A Policy Agenda</w:t>
    </w:r>
    <w:r w:rsidRPr="00BA5106">
      <w:rPr>
        <w:rFonts w:asciiTheme="majorHAnsi" w:hAnsiTheme="majorHAnsi"/>
        <w:sz w:val="20"/>
        <w:szCs w:val="20"/>
      </w:rPr>
      <w:ptab w:relativeTo="margin" w:alignment="right" w:leader="none"/>
    </w:r>
    <w:r w:rsidR="007674BC" w:rsidRPr="00BA5106">
      <w:rPr>
        <w:sz w:val="20"/>
        <w:szCs w:val="20"/>
      </w:rPr>
      <w:fldChar w:fldCharType="begin"/>
    </w:r>
    <w:r w:rsidRPr="00BA5106">
      <w:rPr>
        <w:sz w:val="20"/>
        <w:szCs w:val="20"/>
      </w:rPr>
      <w:instrText xml:space="preserve"> PAGE   \* MERGEFORMAT </w:instrText>
    </w:r>
    <w:r w:rsidR="007674BC" w:rsidRPr="00BA5106">
      <w:rPr>
        <w:sz w:val="20"/>
        <w:szCs w:val="20"/>
      </w:rPr>
      <w:fldChar w:fldCharType="separate"/>
    </w:r>
    <w:r w:rsidR="007D0B5B" w:rsidRPr="007D0B5B">
      <w:rPr>
        <w:rFonts w:asciiTheme="majorHAnsi" w:hAnsiTheme="majorHAnsi"/>
        <w:noProof/>
        <w:sz w:val="20"/>
        <w:szCs w:val="20"/>
      </w:rPr>
      <w:t>1</w:t>
    </w:r>
    <w:r w:rsidR="007674BC" w:rsidRPr="00BA510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1B" w:rsidRDefault="00CC291B" w:rsidP="009F6524">
      <w:pPr>
        <w:spacing w:after="0" w:line="240" w:lineRule="auto"/>
      </w:pPr>
      <w:r>
        <w:separator/>
      </w:r>
    </w:p>
  </w:footnote>
  <w:footnote w:type="continuationSeparator" w:id="0">
    <w:p w:rsidR="00CC291B" w:rsidRDefault="00CC291B" w:rsidP="009F6524">
      <w:pPr>
        <w:spacing w:after="0" w:line="240" w:lineRule="auto"/>
      </w:pPr>
      <w:r>
        <w:continuationSeparator/>
      </w:r>
    </w:p>
  </w:footnote>
  <w:footnote w:id="1">
    <w:p w:rsidR="00CC291B" w:rsidRPr="00D01DDC" w:rsidRDefault="00CC291B" w:rsidP="00B277D0">
      <w:pPr>
        <w:pStyle w:val="FootnoteText"/>
        <w:jc w:val="both"/>
        <w:rPr>
          <w:szCs w:val="16"/>
        </w:rPr>
      </w:pPr>
      <w:r w:rsidRPr="00D01DDC">
        <w:rPr>
          <w:rStyle w:val="FootnoteReference"/>
          <w:rFonts w:eastAsiaTheme="majorEastAsia"/>
          <w:szCs w:val="16"/>
        </w:rPr>
        <w:footnoteRef/>
      </w:r>
      <w:r w:rsidRPr="00D01DDC">
        <w:rPr>
          <w:szCs w:val="16"/>
        </w:rPr>
        <w:t xml:space="preserve"> </w:t>
      </w:r>
      <w:r>
        <w:rPr>
          <w:szCs w:val="16"/>
        </w:rPr>
        <w:t xml:space="preserve">The </w:t>
      </w:r>
      <w:r w:rsidRPr="002F7D93">
        <w:rPr>
          <w:szCs w:val="16"/>
        </w:rPr>
        <w:t>Product Space analysis is based on the tools pioneered by Hidalgo</w:t>
      </w:r>
      <w:r>
        <w:rPr>
          <w:szCs w:val="16"/>
        </w:rPr>
        <w:t xml:space="preserve"> et al. (</w:t>
      </w:r>
      <w:r w:rsidRPr="002F7D93">
        <w:rPr>
          <w:szCs w:val="16"/>
        </w:rPr>
        <w:t>2007</w:t>
      </w:r>
      <w:r>
        <w:rPr>
          <w:szCs w:val="16"/>
        </w:rPr>
        <w:t>)</w:t>
      </w:r>
      <w:r w:rsidRPr="002F7D93">
        <w:rPr>
          <w:szCs w:val="16"/>
        </w:rPr>
        <w:t xml:space="preserve">. The position of a product in the product space </w:t>
      </w:r>
      <w:r>
        <w:rPr>
          <w:szCs w:val="16"/>
        </w:rPr>
        <w:t xml:space="preserve">map </w:t>
      </w:r>
      <w:r w:rsidRPr="002F7D93">
        <w:rPr>
          <w:szCs w:val="16"/>
        </w:rPr>
        <w:t xml:space="preserve">determines the products to which companies in that economy may be able to </w:t>
      </w:r>
      <w:r>
        <w:rPr>
          <w:szCs w:val="16"/>
        </w:rPr>
        <w:t xml:space="preserve">produce </w:t>
      </w:r>
      <w:r w:rsidRPr="002F7D93">
        <w:rPr>
          <w:szCs w:val="16"/>
        </w:rPr>
        <w:t>related products, based on the existing set of capabilities available and the location of corresponding products on the map. The process of accumulating specific capabilities therefore results in diversification and economic development.</w:t>
      </w:r>
    </w:p>
  </w:footnote>
  <w:footnote w:id="2">
    <w:p w:rsidR="00765643" w:rsidRPr="00306D8D" w:rsidRDefault="00765643" w:rsidP="00765643">
      <w:pPr>
        <w:pStyle w:val="FootnoteText"/>
        <w:jc w:val="both"/>
        <w:rPr>
          <w:rFonts w:asciiTheme="majorHAnsi" w:hAnsiTheme="majorHAnsi" w:cstheme="majorHAnsi"/>
          <w:szCs w:val="16"/>
        </w:rPr>
      </w:pPr>
      <w:r w:rsidRPr="00306D8D">
        <w:rPr>
          <w:rStyle w:val="FootnoteReference"/>
          <w:rFonts w:asciiTheme="majorHAnsi" w:eastAsiaTheme="majorEastAsia" w:hAnsiTheme="majorHAnsi" w:cstheme="majorHAnsi"/>
          <w:szCs w:val="16"/>
        </w:rPr>
        <w:footnoteRef/>
      </w:r>
      <w:r w:rsidRPr="00306D8D">
        <w:rPr>
          <w:rFonts w:asciiTheme="majorHAnsi" w:hAnsiTheme="majorHAnsi" w:cstheme="majorHAnsi"/>
          <w:szCs w:val="16"/>
        </w:rPr>
        <w:t xml:space="preserve"> According to the World Economic Forum, for instance, market dominance in Russia is much higher than in the EU and the average OECD country.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41D"/>
    <w:multiLevelType w:val="hybridMultilevel"/>
    <w:tmpl w:val="FE742FF8"/>
    <w:lvl w:ilvl="0" w:tplc="7C44994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C70"/>
    <w:multiLevelType w:val="hybridMultilevel"/>
    <w:tmpl w:val="B3ECE1B6"/>
    <w:lvl w:ilvl="0" w:tplc="F0D0EF56">
      <w:numFmt w:val="bullet"/>
      <w:lvlText w:val="∙"/>
      <w:lvlJc w:val="left"/>
      <w:pPr>
        <w:ind w:left="720" w:hanging="360"/>
      </w:pPr>
      <w:rPr>
        <w:rFonts w:ascii="Cambria" w:eastAsia="Times New Roman" w:hAnsi="Cambri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671FE"/>
    <w:multiLevelType w:val="hybridMultilevel"/>
    <w:tmpl w:val="D3C61200"/>
    <w:lvl w:ilvl="0" w:tplc="96A60C80">
      <w:numFmt w:val="bullet"/>
      <w:lvlText w:val="∙"/>
      <w:lvlJc w:val="left"/>
      <w:pPr>
        <w:ind w:left="720" w:hanging="360"/>
      </w:pPr>
      <w:rPr>
        <w:rFonts w:ascii="Cambria" w:hAnsi="Cambria" w:cs="TimesNew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C0503"/>
    <w:multiLevelType w:val="hybridMultilevel"/>
    <w:tmpl w:val="EE42F6A6"/>
    <w:lvl w:ilvl="0" w:tplc="F0D0EF56">
      <w:numFmt w:val="bullet"/>
      <w:lvlText w:val="∙"/>
      <w:lvlJc w:val="left"/>
      <w:pPr>
        <w:ind w:left="720" w:hanging="360"/>
      </w:pPr>
      <w:rPr>
        <w:rFonts w:ascii="Cambria" w:eastAsia="Times New Roman" w:hAnsi="Cambri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C3221"/>
    <w:multiLevelType w:val="hybridMultilevel"/>
    <w:tmpl w:val="D1D46EA4"/>
    <w:lvl w:ilvl="0" w:tplc="0409000F">
      <w:start w:val="1"/>
      <w:numFmt w:val="decimal"/>
      <w:lvlText w:val="%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54271"/>
    <w:multiLevelType w:val="hybridMultilevel"/>
    <w:tmpl w:val="563A426E"/>
    <w:lvl w:ilvl="0" w:tplc="3118EF6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B10E8"/>
    <w:multiLevelType w:val="hybridMultilevel"/>
    <w:tmpl w:val="1A3A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14F42"/>
    <w:multiLevelType w:val="hybridMultilevel"/>
    <w:tmpl w:val="0EB80294"/>
    <w:lvl w:ilvl="0" w:tplc="F2BE1334">
      <w:start w:val="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A130D"/>
    <w:multiLevelType w:val="hybridMultilevel"/>
    <w:tmpl w:val="252442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3373F"/>
    <w:multiLevelType w:val="hybridMultilevel"/>
    <w:tmpl w:val="7248D090"/>
    <w:lvl w:ilvl="0" w:tplc="96A60C80">
      <w:numFmt w:val="bullet"/>
      <w:lvlText w:val="∙"/>
      <w:lvlJc w:val="left"/>
      <w:pPr>
        <w:ind w:left="720" w:hanging="360"/>
      </w:pPr>
      <w:rPr>
        <w:rFonts w:ascii="Cambria" w:hAnsi="Cambria" w:cs="TimesNewRoman" w:hint="default"/>
        <w:b/>
        <w:i w:val="0"/>
      </w:rPr>
    </w:lvl>
    <w:lvl w:ilvl="1" w:tplc="22F206E8">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05CA9"/>
    <w:multiLevelType w:val="hybridMultilevel"/>
    <w:tmpl w:val="4DECBEAE"/>
    <w:lvl w:ilvl="0" w:tplc="AE405214">
      <w:start w:val="1"/>
      <w:numFmt w:val="decimal"/>
      <w:pStyle w:val="ParagraphNumbering"/>
      <w:lvlText w:val="%1.     "/>
      <w:lvlJc w:val="left"/>
      <w:pPr>
        <w:tabs>
          <w:tab w:val="num" w:pos="840"/>
        </w:tabs>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4F06A7B"/>
    <w:multiLevelType w:val="hybridMultilevel"/>
    <w:tmpl w:val="5FEC6390"/>
    <w:lvl w:ilvl="0" w:tplc="0409000F">
      <w:start w:val="1"/>
      <w:numFmt w:val="decimal"/>
      <w:lvlText w:val="%1."/>
      <w:lvlJc w:val="left"/>
      <w:pPr>
        <w:ind w:left="720" w:hanging="360"/>
      </w:pPr>
      <w:rPr>
        <w:rFonts w:hint="default"/>
      </w:rPr>
    </w:lvl>
    <w:lvl w:ilvl="1" w:tplc="3118EF62">
      <w:start w:val="1"/>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B4294"/>
    <w:multiLevelType w:val="hybridMultilevel"/>
    <w:tmpl w:val="E9A0388A"/>
    <w:lvl w:ilvl="0" w:tplc="0409000F">
      <w:start w:val="1"/>
      <w:numFmt w:val="decimal"/>
      <w:lvlText w:val="%1."/>
      <w:lvlJc w:val="left"/>
      <w:pPr>
        <w:ind w:left="720" w:hanging="360"/>
      </w:pPr>
      <w:rPr>
        <w:rFonts w:hint="default"/>
      </w:rPr>
    </w:lvl>
    <w:lvl w:ilvl="1" w:tplc="4A202560">
      <w:start w:val="4"/>
      <w:numFmt w:val="bullet"/>
      <w:lvlText w:val="-"/>
      <w:lvlJc w:val="left"/>
      <w:pPr>
        <w:ind w:left="1440" w:hanging="360"/>
      </w:pPr>
      <w:rPr>
        <w:rFonts w:ascii="Times New Roman" w:eastAsiaTheme="minorEastAsia" w:hAnsi="Times New Roman" w:cs="Times New Roman" w:hint="default"/>
      </w:rPr>
    </w:lvl>
    <w:lvl w:ilvl="2" w:tplc="909EA5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91D73"/>
    <w:multiLevelType w:val="hybridMultilevel"/>
    <w:tmpl w:val="72FA4660"/>
    <w:lvl w:ilvl="0" w:tplc="3D368F70">
      <w:numFmt w:val="bullet"/>
      <w:pStyle w:val="Bullets"/>
      <w:lvlText w:val=""/>
      <w:lvlJc w:val="left"/>
      <w:pPr>
        <w:tabs>
          <w:tab w:val="num" w:pos="810"/>
        </w:tabs>
        <w:ind w:left="1098" w:hanging="288"/>
      </w:pPr>
      <w:rPr>
        <w:rFonts w:ascii="Symbol" w:hAnsi="Symbol"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63212"/>
    <w:multiLevelType w:val="hybridMultilevel"/>
    <w:tmpl w:val="C71AB8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AEE15E9"/>
    <w:multiLevelType w:val="hybridMultilevel"/>
    <w:tmpl w:val="86481316"/>
    <w:lvl w:ilvl="0" w:tplc="7C449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5129C"/>
    <w:multiLevelType w:val="multilevel"/>
    <w:tmpl w:val="59EC232E"/>
    <w:lvl w:ilvl="0">
      <w:numFmt w:val="bullet"/>
      <w:lvlText w:val="∙"/>
      <w:lvlJc w:val="left"/>
      <w:pPr>
        <w:ind w:left="450" w:hanging="360"/>
      </w:pPr>
      <w:rPr>
        <w:rFonts w:ascii="Cambria" w:hAnsi="Cambria" w:cs="TimesNew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40619A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E31D29"/>
    <w:multiLevelType w:val="hybridMultilevel"/>
    <w:tmpl w:val="CAA23F90"/>
    <w:lvl w:ilvl="0" w:tplc="96A60C80">
      <w:numFmt w:val="bullet"/>
      <w:lvlText w:val="∙"/>
      <w:lvlJc w:val="left"/>
      <w:pPr>
        <w:ind w:left="720" w:hanging="360"/>
      </w:pPr>
      <w:rPr>
        <w:rFonts w:ascii="Cambria" w:hAnsi="Cambria" w:cs="TimesNew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60093"/>
    <w:multiLevelType w:val="hybridMultilevel"/>
    <w:tmpl w:val="7A28DA9A"/>
    <w:lvl w:ilvl="0" w:tplc="96A60C80">
      <w:numFmt w:val="bullet"/>
      <w:lvlText w:val="∙"/>
      <w:lvlJc w:val="left"/>
      <w:pPr>
        <w:ind w:left="720" w:hanging="360"/>
      </w:pPr>
      <w:rPr>
        <w:rFonts w:ascii="Cambria" w:hAnsi="Cambria" w:cs="TimesNew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957A0"/>
    <w:multiLevelType w:val="hybridMultilevel"/>
    <w:tmpl w:val="BCCEB90E"/>
    <w:lvl w:ilvl="0" w:tplc="654EF80C">
      <w:numFmt w:val="bullet"/>
      <w:lvlText w:val="∙"/>
      <w:lvlJc w:val="left"/>
      <w:pPr>
        <w:ind w:left="1170" w:hanging="360"/>
      </w:pPr>
      <w:rPr>
        <w:rFonts w:ascii="Cambria" w:hAnsi="Cambria" w:cs="TimesNewRoman" w:hint="default"/>
        <w:b/>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4A83496"/>
    <w:multiLevelType w:val="hybridMultilevel"/>
    <w:tmpl w:val="47166FB0"/>
    <w:lvl w:ilvl="0" w:tplc="96A60C80">
      <w:numFmt w:val="bullet"/>
      <w:lvlText w:val="∙"/>
      <w:lvlJc w:val="left"/>
      <w:pPr>
        <w:ind w:left="720" w:hanging="360"/>
      </w:pPr>
      <w:rPr>
        <w:rFonts w:ascii="Cambria" w:hAnsi="Cambria" w:cs="TimesNewRoman" w:hint="default"/>
        <w:b/>
        <w:i w:val="0"/>
      </w:rPr>
    </w:lvl>
    <w:lvl w:ilvl="1" w:tplc="22F206E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14DBC"/>
    <w:multiLevelType w:val="hybridMultilevel"/>
    <w:tmpl w:val="8418FD0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F3E37"/>
    <w:multiLevelType w:val="hybridMultilevel"/>
    <w:tmpl w:val="05E2EAD2"/>
    <w:lvl w:ilvl="0" w:tplc="96A60C80">
      <w:numFmt w:val="bullet"/>
      <w:lvlText w:val="∙"/>
      <w:lvlJc w:val="left"/>
      <w:pPr>
        <w:ind w:left="720" w:hanging="360"/>
      </w:pPr>
      <w:rPr>
        <w:rFonts w:ascii="Cambria" w:hAnsi="Cambria" w:cs="TimesNew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B7C09"/>
    <w:multiLevelType w:val="multilevel"/>
    <w:tmpl w:val="61D459BE"/>
    <w:lvl w:ilvl="0">
      <w:start w:val="1"/>
      <w:numFmt w:val="decimal"/>
      <w:lvlText w:val="%1."/>
      <w:lvlJc w:val="left"/>
      <w:pPr>
        <w:ind w:left="45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CE46E52"/>
    <w:multiLevelType w:val="hybridMultilevel"/>
    <w:tmpl w:val="F98CFD12"/>
    <w:lvl w:ilvl="0" w:tplc="96A60C80">
      <w:numFmt w:val="bullet"/>
      <w:lvlText w:val="∙"/>
      <w:lvlJc w:val="left"/>
      <w:pPr>
        <w:tabs>
          <w:tab w:val="num" w:pos="720"/>
        </w:tabs>
        <w:ind w:left="720" w:hanging="360"/>
      </w:pPr>
      <w:rPr>
        <w:rFonts w:ascii="Cambria" w:hAnsi="Cambria" w:cs="TimesNew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001DDB"/>
    <w:multiLevelType w:val="hybridMultilevel"/>
    <w:tmpl w:val="B43CE96A"/>
    <w:lvl w:ilvl="0" w:tplc="937EDF08">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B5460"/>
    <w:multiLevelType w:val="hybridMultilevel"/>
    <w:tmpl w:val="7876E3FE"/>
    <w:lvl w:ilvl="0" w:tplc="31A043FE">
      <w:start w:val="1"/>
      <w:numFmt w:val="decimal"/>
      <w:pStyle w:val="ListParagraph"/>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174DA"/>
    <w:multiLevelType w:val="hybridMultilevel"/>
    <w:tmpl w:val="FD0EC392"/>
    <w:lvl w:ilvl="0" w:tplc="285EF1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3414E"/>
    <w:multiLevelType w:val="hybridMultilevel"/>
    <w:tmpl w:val="32B0E34C"/>
    <w:styleLink w:val="1111112"/>
    <w:lvl w:ilvl="0" w:tplc="96A60C80">
      <w:numFmt w:val="bullet"/>
      <w:lvlText w:val="∙"/>
      <w:lvlJc w:val="left"/>
      <w:pPr>
        <w:ind w:left="720" w:hanging="360"/>
      </w:pPr>
      <w:rPr>
        <w:rFonts w:ascii="Cambria" w:hAnsi="Cambria" w:cs="TimesNew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24AB0"/>
    <w:multiLevelType w:val="hybridMultilevel"/>
    <w:tmpl w:val="9FB46EF4"/>
    <w:lvl w:ilvl="0" w:tplc="96A60C80">
      <w:numFmt w:val="bullet"/>
      <w:lvlText w:val="∙"/>
      <w:lvlJc w:val="left"/>
      <w:pPr>
        <w:tabs>
          <w:tab w:val="num" w:pos="720"/>
        </w:tabs>
        <w:ind w:left="720" w:hanging="360"/>
      </w:pPr>
      <w:rPr>
        <w:rFonts w:ascii="Cambria" w:hAnsi="Cambria" w:cs="TimesNew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3C5572"/>
    <w:multiLevelType w:val="multilevel"/>
    <w:tmpl w:val="939400A2"/>
    <w:lvl w:ilvl="0">
      <w:start w:val="1"/>
      <w:numFmt w:val="bullet"/>
      <w:lvlText w:val=""/>
      <w:lvlJc w:val="left"/>
      <w:pPr>
        <w:ind w:left="450" w:hanging="360"/>
      </w:pPr>
      <w:rPr>
        <w:rFonts w:ascii="Symbol" w:hAnsi="Symbo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8F057BE"/>
    <w:multiLevelType w:val="hybridMultilevel"/>
    <w:tmpl w:val="2DAA248A"/>
    <w:lvl w:ilvl="0" w:tplc="3118EF6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31829"/>
    <w:multiLevelType w:val="hybridMultilevel"/>
    <w:tmpl w:val="D8C4569E"/>
    <w:lvl w:ilvl="0" w:tplc="59184E7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7"/>
  </w:num>
  <w:num w:numId="4">
    <w:abstractNumId w:val="10"/>
  </w:num>
  <w:num w:numId="5">
    <w:abstractNumId w:val="13"/>
  </w:num>
  <w:num w:numId="6">
    <w:abstractNumId w:val="24"/>
  </w:num>
  <w:num w:numId="7">
    <w:abstractNumId w:val="20"/>
  </w:num>
  <w:num w:numId="8">
    <w:abstractNumId w:val="12"/>
  </w:num>
  <w:num w:numId="9">
    <w:abstractNumId w:val="29"/>
  </w:num>
  <w:num w:numId="10">
    <w:abstractNumId w:val="26"/>
  </w:num>
  <w:num w:numId="11">
    <w:abstractNumId w:val="21"/>
  </w:num>
  <w:num w:numId="12">
    <w:abstractNumId w:val="9"/>
  </w:num>
  <w:num w:numId="13">
    <w:abstractNumId w:val="25"/>
  </w:num>
  <w:num w:numId="14">
    <w:abstractNumId w:val="3"/>
  </w:num>
  <w:num w:numId="15">
    <w:abstractNumId w:val="15"/>
  </w:num>
  <w:num w:numId="16">
    <w:abstractNumId w:val="18"/>
  </w:num>
  <w:num w:numId="17">
    <w:abstractNumId w:val="2"/>
  </w:num>
  <w:num w:numId="18">
    <w:abstractNumId w:val="8"/>
  </w:num>
  <w:num w:numId="19">
    <w:abstractNumId w:val="6"/>
  </w:num>
  <w:num w:numId="20">
    <w:abstractNumId w:val="32"/>
  </w:num>
  <w:num w:numId="21">
    <w:abstractNumId w:val="33"/>
  </w:num>
  <w:num w:numId="22">
    <w:abstractNumId w:val="22"/>
  </w:num>
  <w:num w:numId="23">
    <w:abstractNumId w:val="11"/>
  </w:num>
  <w:num w:numId="24">
    <w:abstractNumId w:val="19"/>
  </w:num>
  <w:num w:numId="25">
    <w:abstractNumId w:val="28"/>
  </w:num>
  <w:num w:numId="26">
    <w:abstractNumId w:val="26"/>
    <w:lvlOverride w:ilvl="0">
      <w:startOverride w:val="1"/>
    </w:lvlOverride>
  </w:num>
  <w:num w:numId="27">
    <w:abstractNumId w:val="31"/>
  </w:num>
  <w:num w:numId="28">
    <w:abstractNumId w:val="7"/>
  </w:num>
  <w:num w:numId="29">
    <w:abstractNumId w:val="5"/>
  </w:num>
  <w:num w:numId="30">
    <w:abstractNumId w:val="0"/>
  </w:num>
  <w:num w:numId="31">
    <w:abstractNumId w:val="1"/>
  </w:num>
  <w:num w:numId="32">
    <w:abstractNumId w:val="16"/>
  </w:num>
  <w:num w:numId="33">
    <w:abstractNumId w:val="4"/>
  </w:num>
  <w:num w:numId="34">
    <w:abstractNumId w:val="27"/>
  </w:num>
  <w:num w:numId="35">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9F6524"/>
    <w:rsid w:val="00000D6B"/>
    <w:rsid w:val="00001B86"/>
    <w:rsid w:val="00002110"/>
    <w:rsid w:val="000048B4"/>
    <w:rsid w:val="000068DE"/>
    <w:rsid w:val="0000784E"/>
    <w:rsid w:val="00007F0A"/>
    <w:rsid w:val="000107DA"/>
    <w:rsid w:val="00010C6A"/>
    <w:rsid w:val="00011823"/>
    <w:rsid w:val="0001209D"/>
    <w:rsid w:val="00012549"/>
    <w:rsid w:val="00012C0D"/>
    <w:rsid w:val="00013398"/>
    <w:rsid w:val="000143EE"/>
    <w:rsid w:val="00014426"/>
    <w:rsid w:val="000150E0"/>
    <w:rsid w:val="0001532D"/>
    <w:rsid w:val="0001545B"/>
    <w:rsid w:val="000158A6"/>
    <w:rsid w:val="00020C02"/>
    <w:rsid w:val="00021B4E"/>
    <w:rsid w:val="00021B85"/>
    <w:rsid w:val="00021C58"/>
    <w:rsid w:val="000227A8"/>
    <w:rsid w:val="00022C65"/>
    <w:rsid w:val="000234E1"/>
    <w:rsid w:val="0002352F"/>
    <w:rsid w:val="00023C48"/>
    <w:rsid w:val="00023EDC"/>
    <w:rsid w:val="00024C49"/>
    <w:rsid w:val="0002513E"/>
    <w:rsid w:val="0002543A"/>
    <w:rsid w:val="00026393"/>
    <w:rsid w:val="00026751"/>
    <w:rsid w:val="0002685D"/>
    <w:rsid w:val="000269B3"/>
    <w:rsid w:val="00027260"/>
    <w:rsid w:val="00027983"/>
    <w:rsid w:val="00027E42"/>
    <w:rsid w:val="00030307"/>
    <w:rsid w:val="00030966"/>
    <w:rsid w:val="00031A96"/>
    <w:rsid w:val="00032086"/>
    <w:rsid w:val="00032826"/>
    <w:rsid w:val="00032858"/>
    <w:rsid w:val="00032CEA"/>
    <w:rsid w:val="00033901"/>
    <w:rsid w:val="000342EF"/>
    <w:rsid w:val="00034B55"/>
    <w:rsid w:val="00035AF0"/>
    <w:rsid w:val="00036445"/>
    <w:rsid w:val="00036EB1"/>
    <w:rsid w:val="00037365"/>
    <w:rsid w:val="00037599"/>
    <w:rsid w:val="000403F8"/>
    <w:rsid w:val="00040AD0"/>
    <w:rsid w:val="00040FF9"/>
    <w:rsid w:val="00043913"/>
    <w:rsid w:val="00043EB3"/>
    <w:rsid w:val="00043F96"/>
    <w:rsid w:val="00044446"/>
    <w:rsid w:val="000448AB"/>
    <w:rsid w:val="0004561F"/>
    <w:rsid w:val="000464E5"/>
    <w:rsid w:val="000510EE"/>
    <w:rsid w:val="000515E3"/>
    <w:rsid w:val="00051B0B"/>
    <w:rsid w:val="00051ECE"/>
    <w:rsid w:val="00053C2B"/>
    <w:rsid w:val="00053EFD"/>
    <w:rsid w:val="000540DC"/>
    <w:rsid w:val="0005453F"/>
    <w:rsid w:val="00054CCA"/>
    <w:rsid w:val="0005500B"/>
    <w:rsid w:val="00055A24"/>
    <w:rsid w:val="00055E51"/>
    <w:rsid w:val="0005672C"/>
    <w:rsid w:val="0005685A"/>
    <w:rsid w:val="00056DD9"/>
    <w:rsid w:val="00057469"/>
    <w:rsid w:val="000606D1"/>
    <w:rsid w:val="00063AAB"/>
    <w:rsid w:val="00066C15"/>
    <w:rsid w:val="00066E85"/>
    <w:rsid w:val="00067722"/>
    <w:rsid w:val="00067EDA"/>
    <w:rsid w:val="00067F01"/>
    <w:rsid w:val="000711FA"/>
    <w:rsid w:val="000721BF"/>
    <w:rsid w:val="0007273D"/>
    <w:rsid w:val="00073251"/>
    <w:rsid w:val="00073AB3"/>
    <w:rsid w:val="000743ED"/>
    <w:rsid w:val="000753CA"/>
    <w:rsid w:val="000756B3"/>
    <w:rsid w:val="000756E1"/>
    <w:rsid w:val="00075EB3"/>
    <w:rsid w:val="0007626C"/>
    <w:rsid w:val="0007643A"/>
    <w:rsid w:val="00077098"/>
    <w:rsid w:val="00077CE4"/>
    <w:rsid w:val="00080E34"/>
    <w:rsid w:val="00081086"/>
    <w:rsid w:val="0008127E"/>
    <w:rsid w:val="00081A8D"/>
    <w:rsid w:val="00082980"/>
    <w:rsid w:val="000831A7"/>
    <w:rsid w:val="00083D3F"/>
    <w:rsid w:val="00084984"/>
    <w:rsid w:val="00084B54"/>
    <w:rsid w:val="0008594C"/>
    <w:rsid w:val="00085FDB"/>
    <w:rsid w:val="00086287"/>
    <w:rsid w:val="00086443"/>
    <w:rsid w:val="00086730"/>
    <w:rsid w:val="0008678D"/>
    <w:rsid w:val="00087786"/>
    <w:rsid w:val="0009061C"/>
    <w:rsid w:val="000912D8"/>
    <w:rsid w:val="00092BE6"/>
    <w:rsid w:val="00092F9F"/>
    <w:rsid w:val="00094236"/>
    <w:rsid w:val="0009430A"/>
    <w:rsid w:val="000943FA"/>
    <w:rsid w:val="00094A1A"/>
    <w:rsid w:val="00094A6E"/>
    <w:rsid w:val="00095F15"/>
    <w:rsid w:val="00097268"/>
    <w:rsid w:val="000A06BE"/>
    <w:rsid w:val="000A096E"/>
    <w:rsid w:val="000A1833"/>
    <w:rsid w:val="000A199B"/>
    <w:rsid w:val="000A1B7B"/>
    <w:rsid w:val="000A2AF7"/>
    <w:rsid w:val="000A407A"/>
    <w:rsid w:val="000A479A"/>
    <w:rsid w:val="000A5E5B"/>
    <w:rsid w:val="000A707E"/>
    <w:rsid w:val="000A7B35"/>
    <w:rsid w:val="000A7BB3"/>
    <w:rsid w:val="000B0F27"/>
    <w:rsid w:val="000B16CA"/>
    <w:rsid w:val="000B3C57"/>
    <w:rsid w:val="000B4308"/>
    <w:rsid w:val="000B4722"/>
    <w:rsid w:val="000B62CC"/>
    <w:rsid w:val="000B6519"/>
    <w:rsid w:val="000B67CA"/>
    <w:rsid w:val="000B7C81"/>
    <w:rsid w:val="000C0429"/>
    <w:rsid w:val="000C075C"/>
    <w:rsid w:val="000C1706"/>
    <w:rsid w:val="000C21DB"/>
    <w:rsid w:val="000C251E"/>
    <w:rsid w:val="000C2594"/>
    <w:rsid w:val="000C26A9"/>
    <w:rsid w:val="000C2A0D"/>
    <w:rsid w:val="000C306C"/>
    <w:rsid w:val="000C36F8"/>
    <w:rsid w:val="000C3B04"/>
    <w:rsid w:val="000C492D"/>
    <w:rsid w:val="000C4C33"/>
    <w:rsid w:val="000C60B5"/>
    <w:rsid w:val="000D1E8F"/>
    <w:rsid w:val="000D2571"/>
    <w:rsid w:val="000D42FB"/>
    <w:rsid w:val="000D5F8D"/>
    <w:rsid w:val="000D6440"/>
    <w:rsid w:val="000D6EBD"/>
    <w:rsid w:val="000D74A8"/>
    <w:rsid w:val="000D7D17"/>
    <w:rsid w:val="000E03C0"/>
    <w:rsid w:val="000E1228"/>
    <w:rsid w:val="000E1F5D"/>
    <w:rsid w:val="000E3484"/>
    <w:rsid w:val="000E3600"/>
    <w:rsid w:val="000E44C7"/>
    <w:rsid w:val="000E462E"/>
    <w:rsid w:val="000E5863"/>
    <w:rsid w:val="000E5AD5"/>
    <w:rsid w:val="000E5BE4"/>
    <w:rsid w:val="000E66F4"/>
    <w:rsid w:val="000F02B1"/>
    <w:rsid w:val="000F0DE4"/>
    <w:rsid w:val="000F1304"/>
    <w:rsid w:val="000F1DA1"/>
    <w:rsid w:val="000F209E"/>
    <w:rsid w:val="000F233E"/>
    <w:rsid w:val="000F3204"/>
    <w:rsid w:val="000F33F2"/>
    <w:rsid w:val="000F3447"/>
    <w:rsid w:val="000F3C1C"/>
    <w:rsid w:val="000F3DB6"/>
    <w:rsid w:val="000F4C6B"/>
    <w:rsid w:val="000F4D94"/>
    <w:rsid w:val="000F5ED5"/>
    <w:rsid w:val="000F64EF"/>
    <w:rsid w:val="000F6528"/>
    <w:rsid w:val="000F706C"/>
    <w:rsid w:val="000F73B3"/>
    <w:rsid w:val="000F7D19"/>
    <w:rsid w:val="00101217"/>
    <w:rsid w:val="00101230"/>
    <w:rsid w:val="001019AA"/>
    <w:rsid w:val="0010302D"/>
    <w:rsid w:val="00103171"/>
    <w:rsid w:val="00103CE4"/>
    <w:rsid w:val="00103E3D"/>
    <w:rsid w:val="00103E94"/>
    <w:rsid w:val="00105025"/>
    <w:rsid w:val="00106068"/>
    <w:rsid w:val="001073FE"/>
    <w:rsid w:val="0011187D"/>
    <w:rsid w:val="0011239D"/>
    <w:rsid w:val="0011276A"/>
    <w:rsid w:val="001134E7"/>
    <w:rsid w:val="00113EA1"/>
    <w:rsid w:val="001145B4"/>
    <w:rsid w:val="001150BA"/>
    <w:rsid w:val="00120252"/>
    <w:rsid w:val="0012042F"/>
    <w:rsid w:val="001207A8"/>
    <w:rsid w:val="00121C91"/>
    <w:rsid w:val="00122FD1"/>
    <w:rsid w:val="00123FFD"/>
    <w:rsid w:val="0012428E"/>
    <w:rsid w:val="00124E9A"/>
    <w:rsid w:val="00125C4D"/>
    <w:rsid w:val="00126851"/>
    <w:rsid w:val="001269EC"/>
    <w:rsid w:val="00127655"/>
    <w:rsid w:val="00127E9C"/>
    <w:rsid w:val="0013154C"/>
    <w:rsid w:val="001319D5"/>
    <w:rsid w:val="00131EA8"/>
    <w:rsid w:val="00132237"/>
    <w:rsid w:val="00132AD3"/>
    <w:rsid w:val="00133882"/>
    <w:rsid w:val="00133AC0"/>
    <w:rsid w:val="00134068"/>
    <w:rsid w:val="00134493"/>
    <w:rsid w:val="00135ED9"/>
    <w:rsid w:val="001364C4"/>
    <w:rsid w:val="0013685B"/>
    <w:rsid w:val="00136880"/>
    <w:rsid w:val="00136A88"/>
    <w:rsid w:val="001407FC"/>
    <w:rsid w:val="001414A7"/>
    <w:rsid w:val="001425A6"/>
    <w:rsid w:val="00142A9B"/>
    <w:rsid w:val="00142E7B"/>
    <w:rsid w:val="00143411"/>
    <w:rsid w:val="001443FA"/>
    <w:rsid w:val="00145BC9"/>
    <w:rsid w:val="0014783C"/>
    <w:rsid w:val="00147B9D"/>
    <w:rsid w:val="00147CBB"/>
    <w:rsid w:val="001502BD"/>
    <w:rsid w:val="001502C6"/>
    <w:rsid w:val="0015055F"/>
    <w:rsid w:val="00151687"/>
    <w:rsid w:val="00151DC2"/>
    <w:rsid w:val="0015295D"/>
    <w:rsid w:val="00152A80"/>
    <w:rsid w:val="00152DDE"/>
    <w:rsid w:val="00154360"/>
    <w:rsid w:val="001545C6"/>
    <w:rsid w:val="001549F8"/>
    <w:rsid w:val="00155261"/>
    <w:rsid w:val="0015730F"/>
    <w:rsid w:val="00157985"/>
    <w:rsid w:val="0016071A"/>
    <w:rsid w:val="00160E16"/>
    <w:rsid w:val="00160F1B"/>
    <w:rsid w:val="0016117A"/>
    <w:rsid w:val="00161745"/>
    <w:rsid w:val="00162206"/>
    <w:rsid w:val="001641BD"/>
    <w:rsid w:val="00164B48"/>
    <w:rsid w:val="00165671"/>
    <w:rsid w:val="00167306"/>
    <w:rsid w:val="00167E02"/>
    <w:rsid w:val="00167F0C"/>
    <w:rsid w:val="001702B3"/>
    <w:rsid w:val="00171705"/>
    <w:rsid w:val="0017320E"/>
    <w:rsid w:val="00173557"/>
    <w:rsid w:val="00173610"/>
    <w:rsid w:val="0017475B"/>
    <w:rsid w:val="001750D1"/>
    <w:rsid w:val="00175425"/>
    <w:rsid w:val="001754F7"/>
    <w:rsid w:val="00175ED9"/>
    <w:rsid w:val="001771FE"/>
    <w:rsid w:val="00177656"/>
    <w:rsid w:val="00177B1D"/>
    <w:rsid w:val="00177D48"/>
    <w:rsid w:val="00177FDB"/>
    <w:rsid w:val="0018020B"/>
    <w:rsid w:val="001803A5"/>
    <w:rsid w:val="00180920"/>
    <w:rsid w:val="00181CF4"/>
    <w:rsid w:val="00181DB4"/>
    <w:rsid w:val="001821A9"/>
    <w:rsid w:val="001828E1"/>
    <w:rsid w:val="00183F12"/>
    <w:rsid w:val="00184DC9"/>
    <w:rsid w:val="001868CD"/>
    <w:rsid w:val="001874D5"/>
    <w:rsid w:val="00187AD7"/>
    <w:rsid w:val="00190DC5"/>
    <w:rsid w:val="001915B9"/>
    <w:rsid w:val="00191AB0"/>
    <w:rsid w:val="00191C2C"/>
    <w:rsid w:val="0019282B"/>
    <w:rsid w:val="00192914"/>
    <w:rsid w:val="00192B91"/>
    <w:rsid w:val="0019306F"/>
    <w:rsid w:val="001932FF"/>
    <w:rsid w:val="001939D8"/>
    <w:rsid w:val="0019543F"/>
    <w:rsid w:val="00195794"/>
    <w:rsid w:val="00197D19"/>
    <w:rsid w:val="00197EB9"/>
    <w:rsid w:val="001A037E"/>
    <w:rsid w:val="001A0569"/>
    <w:rsid w:val="001A09E3"/>
    <w:rsid w:val="001A0AE7"/>
    <w:rsid w:val="001A0E77"/>
    <w:rsid w:val="001A0F73"/>
    <w:rsid w:val="001A10E9"/>
    <w:rsid w:val="001A2E32"/>
    <w:rsid w:val="001A3357"/>
    <w:rsid w:val="001A3542"/>
    <w:rsid w:val="001A3BD2"/>
    <w:rsid w:val="001A3C98"/>
    <w:rsid w:val="001A3F75"/>
    <w:rsid w:val="001A4DE6"/>
    <w:rsid w:val="001A5016"/>
    <w:rsid w:val="001A5818"/>
    <w:rsid w:val="001A5CAD"/>
    <w:rsid w:val="001A5D94"/>
    <w:rsid w:val="001A6BC3"/>
    <w:rsid w:val="001A72EF"/>
    <w:rsid w:val="001A76CB"/>
    <w:rsid w:val="001B00C2"/>
    <w:rsid w:val="001B0E26"/>
    <w:rsid w:val="001B1358"/>
    <w:rsid w:val="001B267D"/>
    <w:rsid w:val="001B6335"/>
    <w:rsid w:val="001B646F"/>
    <w:rsid w:val="001B6661"/>
    <w:rsid w:val="001B700B"/>
    <w:rsid w:val="001B7165"/>
    <w:rsid w:val="001B7456"/>
    <w:rsid w:val="001C0FA1"/>
    <w:rsid w:val="001C0FD5"/>
    <w:rsid w:val="001C2004"/>
    <w:rsid w:val="001C2742"/>
    <w:rsid w:val="001C3218"/>
    <w:rsid w:val="001C3A54"/>
    <w:rsid w:val="001C3B3D"/>
    <w:rsid w:val="001C3D7B"/>
    <w:rsid w:val="001C472C"/>
    <w:rsid w:val="001C4750"/>
    <w:rsid w:val="001C69F4"/>
    <w:rsid w:val="001C6C9C"/>
    <w:rsid w:val="001C7857"/>
    <w:rsid w:val="001D032C"/>
    <w:rsid w:val="001D0F31"/>
    <w:rsid w:val="001D1821"/>
    <w:rsid w:val="001D1C8F"/>
    <w:rsid w:val="001D26B9"/>
    <w:rsid w:val="001D32F9"/>
    <w:rsid w:val="001D3897"/>
    <w:rsid w:val="001D3E29"/>
    <w:rsid w:val="001D50D9"/>
    <w:rsid w:val="001E0BF0"/>
    <w:rsid w:val="001E2014"/>
    <w:rsid w:val="001E2712"/>
    <w:rsid w:val="001E3460"/>
    <w:rsid w:val="001E3EDE"/>
    <w:rsid w:val="001E4199"/>
    <w:rsid w:val="001E434A"/>
    <w:rsid w:val="001E43FF"/>
    <w:rsid w:val="001E67E1"/>
    <w:rsid w:val="001E70CF"/>
    <w:rsid w:val="001E7676"/>
    <w:rsid w:val="001F0773"/>
    <w:rsid w:val="001F0962"/>
    <w:rsid w:val="001F1544"/>
    <w:rsid w:val="001F1828"/>
    <w:rsid w:val="001F1D5F"/>
    <w:rsid w:val="001F1E22"/>
    <w:rsid w:val="001F3DD6"/>
    <w:rsid w:val="001F3F13"/>
    <w:rsid w:val="001F4153"/>
    <w:rsid w:val="001F43A6"/>
    <w:rsid w:val="001F4655"/>
    <w:rsid w:val="001F4C1E"/>
    <w:rsid w:val="001F4CA4"/>
    <w:rsid w:val="001F513E"/>
    <w:rsid w:val="001F5938"/>
    <w:rsid w:val="001F608E"/>
    <w:rsid w:val="001F6A68"/>
    <w:rsid w:val="001F72E9"/>
    <w:rsid w:val="002007D5"/>
    <w:rsid w:val="00200FF9"/>
    <w:rsid w:val="00201C63"/>
    <w:rsid w:val="00202B42"/>
    <w:rsid w:val="00202DF3"/>
    <w:rsid w:val="00203573"/>
    <w:rsid w:val="00203E89"/>
    <w:rsid w:val="00204680"/>
    <w:rsid w:val="002048BE"/>
    <w:rsid w:val="002060B7"/>
    <w:rsid w:val="00206A3A"/>
    <w:rsid w:val="00206A4A"/>
    <w:rsid w:val="00207264"/>
    <w:rsid w:val="002078A2"/>
    <w:rsid w:val="0021045C"/>
    <w:rsid w:val="002116F5"/>
    <w:rsid w:val="00214DC4"/>
    <w:rsid w:val="0021540A"/>
    <w:rsid w:val="00215E17"/>
    <w:rsid w:val="002163A5"/>
    <w:rsid w:val="00216F01"/>
    <w:rsid w:val="002173BD"/>
    <w:rsid w:val="00217536"/>
    <w:rsid w:val="00217721"/>
    <w:rsid w:val="00217FE5"/>
    <w:rsid w:val="0022151A"/>
    <w:rsid w:val="00221CCB"/>
    <w:rsid w:val="002223A7"/>
    <w:rsid w:val="00222F20"/>
    <w:rsid w:val="002236BA"/>
    <w:rsid w:val="00224CC9"/>
    <w:rsid w:val="002253F6"/>
    <w:rsid w:val="00226768"/>
    <w:rsid w:val="002302D0"/>
    <w:rsid w:val="0023031F"/>
    <w:rsid w:val="002319EF"/>
    <w:rsid w:val="002321D5"/>
    <w:rsid w:val="00233852"/>
    <w:rsid w:val="00233D15"/>
    <w:rsid w:val="002346C6"/>
    <w:rsid w:val="00235372"/>
    <w:rsid w:val="00235E82"/>
    <w:rsid w:val="0024029E"/>
    <w:rsid w:val="00240A33"/>
    <w:rsid w:val="002423FD"/>
    <w:rsid w:val="00246085"/>
    <w:rsid w:val="0024704D"/>
    <w:rsid w:val="0025052A"/>
    <w:rsid w:val="002507C3"/>
    <w:rsid w:val="002508B0"/>
    <w:rsid w:val="00251276"/>
    <w:rsid w:val="00251EBC"/>
    <w:rsid w:val="002521A5"/>
    <w:rsid w:val="002521AC"/>
    <w:rsid w:val="002529E5"/>
    <w:rsid w:val="00252C22"/>
    <w:rsid w:val="00252E48"/>
    <w:rsid w:val="00253143"/>
    <w:rsid w:val="00253564"/>
    <w:rsid w:val="00253887"/>
    <w:rsid w:val="00253D85"/>
    <w:rsid w:val="002541A2"/>
    <w:rsid w:val="00254819"/>
    <w:rsid w:val="00255383"/>
    <w:rsid w:val="00255518"/>
    <w:rsid w:val="0025748D"/>
    <w:rsid w:val="00257EF4"/>
    <w:rsid w:val="0026096F"/>
    <w:rsid w:val="00260A3C"/>
    <w:rsid w:val="00261375"/>
    <w:rsid w:val="00261AB8"/>
    <w:rsid w:val="00261AE6"/>
    <w:rsid w:val="00262DF5"/>
    <w:rsid w:val="0026535F"/>
    <w:rsid w:val="00267F8C"/>
    <w:rsid w:val="00270124"/>
    <w:rsid w:val="00270714"/>
    <w:rsid w:val="00271734"/>
    <w:rsid w:val="002721A7"/>
    <w:rsid w:val="0027388F"/>
    <w:rsid w:val="00273BC3"/>
    <w:rsid w:val="00273EC2"/>
    <w:rsid w:val="00275E7D"/>
    <w:rsid w:val="00276B62"/>
    <w:rsid w:val="00277EAE"/>
    <w:rsid w:val="00280549"/>
    <w:rsid w:val="00282976"/>
    <w:rsid w:val="00282E73"/>
    <w:rsid w:val="0028330A"/>
    <w:rsid w:val="00283CA0"/>
    <w:rsid w:val="00285BCD"/>
    <w:rsid w:val="00286910"/>
    <w:rsid w:val="00286D1D"/>
    <w:rsid w:val="00287134"/>
    <w:rsid w:val="00287344"/>
    <w:rsid w:val="00287F0B"/>
    <w:rsid w:val="00290D27"/>
    <w:rsid w:val="00290E41"/>
    <w:rsid w:val="00291858"/>
    <w:rsid w:val="00292C42"/>
    <w:rsid w:val="00292CE6"/>
    <w:rsid w:val="00292DB3"/>
    <w:rsid w:val="00294F6A"/>
    <w:rsid w:val="00295702"/>
    <w:rsid w:val="002958F8"/>
    <w:rsid w:val="00295BB9"/>
    <w:rsid w:val="00296D6C"/>
    <w:rsid w:val="00296F65"/>
    <w:rsid w:val="002976B2"/>
    <w:rsid w:val="0029778A"/>
    <w:rsid w:val="002977CA"/>
    <w:rsid w:val="002977F4"/>
    <w:rsid w:val="00297950"/>
    <w:rsid w:val="002A0596"/>
    <w:rsid w:val="002A192A"/>
    <w:rsid w:val="002A2C4A"/>
    <w:rsid w:val="002A3419"/>
    <w:rsid w:val="002A3BEB"/>
    <w:rsid w:val="002A3D17"/>
    <w:rsid w:val="002A52AA"/>
    <w:rsid w:val="002A5D21"/>
    <w:rsid w:val="002A693C"/>
    <w:rsid w:val="002A72E1"/>
    <w:rsid w:val="002A7C8A"/>
    <w:rsid w:val="002B084B"/>
    <w:rsid w:val="002B097E"/>
    <w:rsid w:val="002B1769"/>
    <w:rsid w:val="002B1F6C"/>
    <w:rsid w:val="002B2008"/>
    <w:rsid w:val="002B2343"/>
    <w:rsid w:val="002B23E4"/>
    <w:rsid w:val="002B2832"/>
    <w:rsid w:val="002B44F9"/>
    <w:rsid w:val="002B4502"/>
    <w:rsid w:val="002B52CD"/>
    <w:rsid w:val="002B539A"/>
    <w:rsid w:val="002B55D4"/>
    <w:rsid w:val="002B67B5"/>
    <w:rsid w:val="002B696A"/>
    <w:rsid w:val="002B7743"/>
    <w:rsid w:val="002B79AA"/>
    <w:rsid w:val="002C0339"/>
    <w:rsid w:val="002C060E"/>
    <w:rsid w:val="002C16EA"/>
    <w:rsid w:val="002C29F8"/>
    <w:rsid w:val="002C2F2F"/>
    <w:rsid w:val="002C3C2B"/>
    <w:rsid w:val="002C3ECB"/>
    <w:rsid w:val="002C4F99"/>
    <w:rsid w:val="002C5196"/>
    <w:rsid w:val="002C77B4"/>
    <w:rsid w:val="002D0E56"/>
    <w:rsid w:val="002D18B4"/>
    <w:rsid w:val="002D20A4"/>
    <w:rsid w:val="002D223D"/>
    <w:rsid w:val="002D2330"/>
    <w:rsid w:val="002D428A"/>
    <w:rsid w:val="002D45FF"/>
    <w:rsid w:val="002D4A45"/>
    <w:rsid w:val="002D4BAA"/>
    <w:rsid w:val="002D4ED1"/>
    <w:rsid w:val="002D52E8"/>
    <w:rsid w:val="002D5C51"/>
    <w:rsid w:val="002D6E83"/>
    <w:rsid w:val="002D71F9"/>
    <w:rsid w:val="002E0563"/>
    <w:rsid w:val="002E0D0C"/>
    <w:rsid w:val="002E1E32"/>
    <w:rsid w:val="002E216C"/>
    <w:rsid w:val="002E21B9"/>
    <w:rsid w:val="002E26EE"/>
    <w:rsid w:val="002E2C88"/>
    <w:rsid w:val="002E2DD6"/>
    <w:rsid w:val="002E3806"/>
    <w:rsid w:val="002E42B1"/>
    <w:rsid w:val="002E5DCC"/>
    <w:rsid w:val="002E6129"/>
    <w:rsid w:val="002E7BC4"/>
    <w:rsid w:val="002E7D65"/>
    <w:rsid w:val="002F2C8B"/>
    <w:rsid w:val="002F3063"/>
    <w:rsid w:val="002F30C3"/>
    <w:rsid w:val="002F3AB2"/>
    <w:rsid w:val="002F3BAD"/>
    <w:rsid w:val="002F42F5"/>
    <w:rsid w:val="002F464B"/>
    <w:rsid w:val="002F468A"/>
    <w:rsid w:val="002F5055"/>
    <w:rsid w:val="002F61A5"/>
    <w:rsid w:val="002F6628"/>
    <w:rsid w:val="002F6AC4"/>
    <w:rsid w:val="002F70F7"/>
    <w:rsid w:val="002F7241"/>
    <w:rsid w:val="0030000A"/>
    <w:rsid w:val="00300650"/>
    <w:rsid w:val="00300DC2"/>
    <w:rsid w:val="0030228F"/>
    <w:rsid w:val="00303076"/>
    <w:rsid w:val="0030379D"/>
    <w:rsid w:val="00304F17"/>
    <w:rsid w:val="003060C4"/>
    <w:rsid w:val="00306D8D"/>
    <w:rsid w:val="00307477"/>
    <w:rsid w:val="003079A1"/>
    <w:rsid w:val="003079F0"/>
    <w:rsid w:val="003109D3"/>
    <w:rsid w:val="00311882"/>
    <w:rsid w:val="00312468"/>
    <w:rsid w:val="00313220"/>
    <w:rsid w:val="003134D8"/>
    <w:rsid w:val="00314D37"/>
    <w:rsid w:val="003151D1"/>
    <w:rsid w:val="003151DA"/>
    <w:rsid w:val="0031617B"/>
    <w:rsid w:val="0031668A"/>
    <w:rsid w:val="00316BE2"/>
    <w:rsid w:val="00320014"/>
    <w:rsid w:val="0032008C"/>
    <w:rsid w:val="00320E93"/>
    <w:rsid w:val="003212AE"/>
    <w:rsid w:val="00322462"/>
    <w:rsid w:val="0032309E"/>
    <w:rsid w:val="003234CC"/>
    <w:rsid w:val="00324A37"/>
    <w:rsid w:val="00324CA4"/>
    <w:rsid w:val="00325491"/>
    <w:rsid w:val="003257CF"/>
    <w:rsid w:val="00325BD0"/>
    <w:rsid w:val="00326A39"/>
    <w:rsid w:val="00326D4C"/>
    <w:rsid w:val="0033024C"/>
    <w:rsid w:val="00331D43"/>
    <w:rsid w:val="0033204A"/>
    <w:rsid w:val="00332E9C"/>
    <w:rsid w:val="00333A61"/>
    <w:rsid w:val="00334A33"/>
    <w:rsid w:val="00334CAA"/>
    <w:rsid w:val="003351C3"/>
    <w:rsid w:val="003355C7"/>
    <w:rsid w:val="003361D5"/>
    <w:rsid w:val="00340771"/>
    <w:rsid w:val="003409F9"/>
    <w:rsid w:val="0034191B"/>
    <w:rsid w:val="0034192D"/>
    <w:rsid w:val="00342319"/>
    <w:rsid w:val="003433FA"/>
    <w:rsid w:val="00343B61"/>
    <w:rsid w:val="00343B91"/>
    <w:rsid w:val="00343C28"/>
    <w:rsid w:val="0034420D"/>
    <w:rsid w:val="003442E0"/>
    <w:rsid w:val="00344400"/>
    <w:rsid w:val="00344BBC"/>
    <w:rsid w:val="00344C8D"/>
    <w:rsid w:val="003450F7"/>
    <w:rsid w:val="00345158"/>
    <w:rsid w:val="003460F9"/>
    <w:rsid w:val="00346CEB"/>
    <w:rsid w:val="00346F68"/>
    <w:rsid w:val="00350431"/>
    <w:rsid w:val="00351293"/>
    <w:rsid w:val="00351B4A"/>
    <w:rsid w:val="00352231"/>
    <w:rsid w:val="00352BBC"/>
    <w:rsid w:val="00353580"/>
    <w:rsid w:val="00353BEB"/>
    <w:rsid w:val="00353FC0"/>
    <w:rsid w:val="0035492A"/>
    <w:rsid w:val="003554AB"/>
    <w:rsid w:val="003555EB"/>
    <w:rsid w:val="0035626E"/>
    <w:rsid w:val="00356431"/>
    <w:rsid w:val="00356E50"/>
    <w:rsid w:val="00356EFE"/>
    <w:rsid w:val="003574F5"/>
    <w:rsid w:val="00360330"/>
    <w:rsid w:val="00360EA5"/>
    <w:rsid w:val="00360EBC"/>
    <w:rsid w:val="003613F7"/>
    <w:rsid w:val="00361B53"/>
    <w:rsid w:val="00362549"/>
    <w:rsid w:val="003627A2"/>
    <w:rsid w:val="003629A0"/>
    <w:rsid w:val="003629D6"/>
    <w:rsid w:val="00363410"/>
    <w:rsid w:val="0036462C"/>
    <w:rsid w:val="003652BB"/>
    <w:rsid w:val="00366A7F"/>
    <w:rsid w:val="003670F8"/>
    <w:rsid w:val="00367515"/>
    <w:rsid w:val="00367D26"/>
    <w:rsid w:val="003707F2"/>
    <w:rsid w:val="00370C78"/>
    <w:rsid w:val="0037142B"/>
    <w:rsid w:val="0037593D"/>
    <w:rsid w:val="00376420"/>
    <w:rsid w:val="00376A92"/>
    <w:rsid w:val="00376F0C"/>
    <w:rsid w:val="00380B54"/>
    <w:rsid w:val="00380D17"/>
    <w:rsid w:val="00381479"/>
    <w:rsid w:val="003816E3"/>
    <w:rsid w:val="00381FDA"/>
    <w:rsid w:val="003821D9"/>
    <w:rsid w:val="00382E4B"/>
    <w:rsid w:val="00384A42"/>
    <w:rsid w:val="00384BD7"/>
    <w:rsid w:val="00385326"/>
    <w:rsid w:val="0038553F"/>
    <w:rsid w:val="003859EF"/>
    <w:rsid w:val="00386265"/>
    <w:rsid w:val="00386EB8"/>
    <w:rsid w:val="00387042"/>
    <w:rsid w:val="0038793B"/>
    <w:rsid w:val="00387E3D"/>
    <w:rsid w:val="00390B1D"/>
    <w:rsid w:val="00390C89"/>
    <w:rsid w:val="00390D41"/>
    <w:rsid w:val="00391A5E"/>
    <w:rsid w:val="00391B56"/>
    <w:rsid w:val="00393E00"/>
    <w:rsid w:val="00394200"/>
    <w:rsid w:val="0039464B"/>
    <w:rsid w:val="003951C3"/>
    <w:rsid w:val="00395268"/>
    <w:rsid w:val="00396520"/>
    <w:rsid w:val="003969EF"/>
    <w:rsid w:val="00396D8D"/>
    <w:rsid w:val="003979D3"/>
    <w:rsid w:val="00397A25"/>
    <w:rsid w:val="003A027A"/>
    <w:rsid w:val="003A035E"/>
    <w:rsid w:val="003A0C65"/>
    <w:rsid w:val="003A1A46"/>
    <w:rsid w:val="003A1BB2"/>
    <w:rsid w:val="003A3F89"/>
    <w:rsid w:val="003A4C3D"/>
    <w:rsid w:val="003A4FC1"/>
    <w:rsid w:val="003A6726"/>
    <w:rsid w:val="003B04C7"/>
    <w:rsid w:val="003B0E01"/>
    <w:rsid w:val="003B106F"/>
    <w:rsid w:val="003B1738"/>
    <w:rsid w:val="003B1B91"/>
    <w:rsid w:val="003B1CA6"/>
    <w:rsid w:val="003B2A26"/>
    <w:rsid w:val="003B40FA"/>
    <w:rsid w:val="003B413C"/>
    <w:rsid w:val="003B41BC"/>
    <w:rsid w:val="003B43A3"/>
    <w:rsid w:val="003B5119"/>
    <w:rsid w:val="003B516D"/>
    <w:rsid w:val="003B55F5"/>
    <w:rsid w:val="003B5D15"/>
    <w:rsid w:val="003B63E3"/>
    <w:rsid w:val="003B675E"/>
    <w:rsid w:val="003B712E"/>
    <w:rsid w:val="003B7AD2"/>
    <w:rsid w:val="003B7B2D"/>
    <w:rsid w:val="003B7D78"/>
    <w:rsid w:val="003C04B5"/>
    <w:rsid w:val="003C1142"/>
    <w:rsid w:val="003C2D04"/>
    <w:rsid w:val="003C51EE"/>
    <w:rsid w:val="003C7B33"/>
    <w:rsid w:val="003C7FF4"/>
    <w:rsid w:val="003D017F"/>
    <w:rsid w:val="003D0C0D"/>
    <w:rsid w:val="003D1090"/>
    <w:rsid w:val="003D13C4"/>
    <w:rsid w:val="003D19F1"/>
    <w:rsid w:val="003D4286"/>
    <w:rsid w:val="003D45CD"/>
    <w:rsid w:val="003D47DF"/>
    <w:rsid w:val="003D5A3E"/>
    <w:rsid w:val="003D67BB"/>
    <w:rsid w:val="003D69ED"/>
    <w:rsid w:val="003D69F5"/>
    <w:rsid w:val="003D7A79"/>
    <w:rsid w:val="003D7EC9"/>
    <w:rsid w:val="003D7ECD"/>
    <w:rsid w:val="003E024B"/>
    <w:rsid w:val="003E2452"/>
    <w:rsid w:val="003E2DD5"/>
    <w:rsid w:val="003E349D"/>
    <w:rsid w:val="003E3906"/>
    <w:rsid w:val="003E4CB6"/>
    <w:rsid w:val="003E4E99"/>
    <w:rsid w:val="003E6C8A"/>
    <w:rsid w:val="003E719B"/>
    <w:rsid w:val="003E7C9A"/>
    <w:rsid w:val="003F03F7"/>
    <w:rsid w:val="003F062F"/>
    <w:rsid w:val="003F16CE"/>
    <w:rsid w:val="003F2291"/>
    <w:rsid w:val="003F302A"/>
    <w:rsid w:val="003F3C0C"/>
    <w:rsid w:val="003F3C1B"/>
    <w:rsid w:val="003F3CF0"/>
    <w:rsid w:val="003F436B"/>
    <w:rsid w:val="003F4F35"/>
    <w:rsid w:val="003F5F6C"/>
    <w:rsid w:val="003F6D5D"/>
    <w:rsid w:val="003F7694"/>
    <w:rsid w:val="0040001A"/>
    <w:rsid w:val="004000F4"/>
    <w:rsid w:val="00400323"/>
    <w:rsid w:val="00400388"/>
    <w:rsid w:val="00400AF9"/>
    <w:rsid w:val="004016C3"/>
    <w:rsid w:val="00401822"/>
    <w:rsid w:val="00401EE0"/>
    <w:rsid w:val="00402E67"/>
    <w:rsid w:val="00404F27"/>
    <w:rsid w:val="0040502C"/>
    <w:rsid w:val="00406C7D"/>
    <w:rsid w:val="00407A27"/>
    <w:rsid w:val="00410DAE"/>
    <w:rsid w:val="00411A5C"/>
    <w:rsid w:val="00411F87"/>
    <w:rsid w:val="00412063"/>
    <w:rsid w:val="0041214D"/>
    <w:rsid w:val="0041293C"/>
    <w:rsid w:val="00412AAE"/>
    <w:rsid w:val="0041302B"/>
    <w:rsid w:val="004138A1"/>
    <w:rsid w:val="00413ADD"/>
    <w:rsid w:val="00413C36"/>
    <w:rsid w:val="0041437C"/>
    <w:rsid w:val="00414490"/>
    <w:rsid w:val="00415D00"/>
    <w:rsid w:val="00416624"/>
    <w:rsid w:val="00417727"/>
    <w:rsid w:val="00421995"/>
    <w:rsid w:val="00421B89"/>
    <w:rsid w:val="00422032"/>
    <w:rsid w:val="004222F0"/>
    <w:rsid w:val="0042281B"/>
    <w:rsid w:val="00423F14"/>
    <w:rsid w:val="0042485E"/>
    <w:rsid w:val="00425317"/>
    <w:rsid w:val="004259BC"/>
    <w:rsid w:val="004269B3"/>
    <w:rsid w:val="004271C3"/>
    <w:rsid w:val="00430278"/>
    <w:rsid w:val="004307C2"/>
    <w:rsid w:val="00430898"/>
    <w:rsid w:val="00430DD1"/>
    <w:rsid w:val="00430FB0"/>
    <w:rsid w:val="00431062"/>
    <w:rsid w:val="00431665"/>
    <w:rsid w:val="00431CDC"/>
    <w:rsid w:val="004325D0"/>
    <w:rsid w:val="00432C1A"/>
    <w:rsid w:val="004345CA"/>
    <w:rsid w:val="004354CA"/>
    <w:rsid w:val="004359F5"/>
    <w:rsid w:val="00435E09"/>
    <w:rsid w:val="00436018"/>
    <w:rsid w:val="00436229"/>
    <w:rsid w:val="00436C51"/>
    <w:rsid w:val="00437141"/>
    <w:rsid w:val="0043757B"/>
    <w:rsid w:val="00437827"/>
    <w:rsid w:val="004403D6"/>
    <w:rsid w:val="00440911"/>
    <w:rsid w:val="00440EF9"/>
    <w:rsid w:val="00440F65"/>
    <w:rsid w:val="00441F76"/>
    <w:rsid w:val="00443928"/>
    <w:rsid w:val="004440EC"/>
    <w:rsid w:val="004465A0"/>
    <w:rsid w:val="00450B57"/>
    <w:rsid w:val="00451DD9"/>
    <w:rsid w:val="00452969"/>
    <w:rsid w:val="00452985"/>
    <w:rsid w:val="0045383F"/>
    <w:rsid w:val="00453C2D"/>
    <w:rsid w:val="00454710"/>
    <w:rsid w:val="00455384"/>
    <w:rsid w:val="00455918"/>
    <w:rsid w:val="00455A60"/>
    <w:rsid w:val="00456719"/>
    <w:rsid w:val="004617EA"/>
    <w:rsid w:val="004623BD"/>
    <w:rsid w:val="00463DDE"/>
    <w:rsid w:val="00463FBE"/>
    <w:rsid w:val="00464156"/>
    <w:rsid w:val="00465A7F"/>
    <w:rsid w:val="00465B21"/>
    <w:rsid w:val="00465C17"/>
    <w:rsid w:val="0046672D"/>
    <w:rsid w:val="00470618"/>
    <w:rsid w:val="004724D6"/>
    <w:rsid w:val="00472EAD"/>
    <w:rsid w:val="00473214"/>
    <w:rsid w:val="0047363D"/>
    <w:rsid w:val="004737F6"/>
    <w:rsid w:val="004746E4"/>
    <w:rsid w:val="004751D4"/>
    <w:rsid w:val="004761ED"/>
    <w:rsid w:val="0047789A"/>
    <w:rsid w:val="004801EB"/>
    <w:rsid w:val="0048039B"/>
    <w:rsid w:val="00482535"/>
    <w:rsid w:val="004825D5"/>
    <w:rsid w:val="00482664"/>
    <w:rsid w:val="00482A7B"/>
    <w:rsid w:val="00482B83"/>
    <w:rsid w:val="0048454F"/>
    <w:rsid w:val="004853E6"/>
    <w:rsid w:val="00485946"/>
    <w:rsid w:val="00486821"/>
    <w:rsid w:val="00486AF5"/>
    <w:rsid w:val="004909F4"/>
    <w:rsid w:val="00490A15"/>
    <w:rsid w:val="00490BE0"/>
    <w:rsid w:val="00490C87"/>
    <w:rsid w:val="0049148C"/>
    <w:rsid w:val="00492507"/>
    <w:rsid w:val="00493DAD"/>
    <w:rsid w:val="00494474"/>
    <w:rsid w:val="00495CD3"/>
    <w:rsid w:val="00495E4D"/>
    <w:rsid w:val="00495F88"/>
    <w:rsid w:val="0049731B"/>
    <w:rsid w:val="004975B0"/>
    <w:rsid w:val="004A0996"/>
    <w:rsid w:val="004A1388"/>
    <w:rsid w:val="004A160E"/>
    <w:rsid w:val="004A1D4B"/>
    <w:rsid w:val="004A1EC2"/>
    <w:rsid w:val="004A24DD"/>
    <w:rsid w:val="004A2E11"/>
    <w:rsid w:val="004A2F72"/>
    <w:rsid w:val="004A2FA7"/>
    <w:rsid w:val="004A38B6"/>
    <w:rsid w:val="004A4655"/>
    <w:rsid w:val="004A5A19"/>
    <w:rsid w:val="004A5B6E"/>
    <w:rsid w:val="004A6592"/>
    <w:rsid w:val="004A77CB"/>
    <w:rsid w:val="004B0E9C"/>
    <w:rsid w:val="004B1AF1"/>
    <w:rsid w:val="004B31D8"/>
    <w:rsid w:val="004B34DE"/>
    <w:rsid w:val="004B4BEB"/>
    <w:rsid w:val="004B61AF"/>
    <w:rsid w:val="004B759D"/>
    <w:rsid w:val="004B7915"/>
    <w:rsid w:val="004B796C"/>
    <w:rsid w:val="004C084E"/>
    <w:rsid w:val="004C118F"/>
    <w:rsid w:val="004C134D"/>
    <w:rsid w:val="004C14E6"/>
    <w:rsid w:val="004C1EB7"/>
    <w:rsid w:val="004C3E60"/>
    <w:rsid w:val="004C5013"/>
    <w:rsid w:val="004C501D"/>
    <w:rsid w:val="004C5276"/>
    <w:rsid w:val="004C5AC6"/>
    <w:rsid w:val="004C5CEE"/>
    <w:rsid w:val="004C61BB"/>
    <w:rsid w:val="004C77BB"/>
    <w:rsid w:val="004C77DA"/>
    <w:rsid w:val="004D097D"/>
    <w:rsid w:val="004D1162"/>
    <w:rsid w:val="004D1717"/>
    <w:rsid w:val="004D1975"/>
    <w:rsid w:val="004D1D15"/>
    <w:rsid w:val="004D1F8E"/>
    <w:rsid w:val="004D2235"/>
    <w:rsid w:val="004D45FB"/>
    <w:rsid w:val="004D53DD"/>
    <w:rsid w:val="004D6403"/>
    <w:rsid w:val="004D71EE"/>
    <w:rsid w:val="004D71FC"/>
    <w:rsid w:val="004D78C4"/>
    <w:rsid w:val="004E01BC"/>
    <w:rsid w:val="004E1453"/>
    <w:rsid w:val="004E167E"/>
    <w:rsid w:val="004E35D6"/>
    <w:rsid w:val="004E4009"/>
    <w:rsid w:val="004E4DC4"/>
    <w:rsid w:val="004E4E20"/>
    <w:rsid w:val="004E4ECF"/>
    <w:rsid w:val="004E5265"/>
    <w:rsid w:val="004E58C5"/>
    <w:rsid w:val="004E5F5D"/>
    <w:rsid w:val="004E68AE"/>
    <w:rsid w:val="004E6E11"/>
    <w:rsid w:val="004F05B5"/>
    <w:rsid w:val="004F0E39"/>
    <w:rsid w:val="004F44F0"/>
    <w:rsid w:val="004F501A"/>
    <w:rsid w:val="004F56A2"/>
    <w:rsid w:val="004F5D47"/>
    <w:rsid w:val="004F5F13"/>
    <w:rsid w:val="004F5F8E"/>
    <w:rsid w:val="004F6687"/>
    <w:rsid w:val="004F7F84"/>
    <w:rsid w:val="00500252"/>
    <w:rsid w:val="005002F2"/>
    <w:rsid w:val="00500972"/>
    <w:rsid w:val="00500E6E"/>
    <w:rsid w:val="00501021"/>
    <w:rsid w:val="0050155A"/>
    <w:rsid w:val="005022DB"/>
    <w:rsid w:val="005023B3"/>
    <w:rsid w:val="00502770"/>
    <w:rsid w:val="005034F0"/>
    <w:rsid w:val="005042F1"/>
    <w:rsid w:val="00504851"/>
    <w:rsid w:val="00504C48"/>
    <w:rsid w:val="0050509C"/>
    <w:rsid w:val="00505621"/>
    <w:rsid w:val="00505B29"/>
    <w:rsid w:val="0050776A"/>
    <w:rsid w:val="00507987"/>
    <w:rsid w:val="005101C9"/>
    <w:rsid w:val="0051086C"/>
    <w:rsid w:val="00510ED8"/>
    <w:rsid w:val="005113EC"/>
    <w:rsid w:val="0051148D"/>
    <w:rsid w:val="0051284A"/>
    <w:rsid w:val="00512F05"/>
    <w:rsid w:val="00513A0A"/>
    <w:rsid w:val="005154D4"/>
    <w:rsid w:val="0051574A"/>
    <w:rsid w:val="00515808"/>
    <w:rsid w:val="00516A96"/>
    <w:rsid w:val="0052047B"/>
    <w:rsid w:val="00521A1D"/>
    <w:rsid w:val="00521EC5"/>
    <w:rsid w:val="0052287C"/>
    <w:rsid w:val="005232B2"/>
    <w:rsid w:val="0052444A"/>
    <w:rsid w:val="00524D7C"/>
    <w:rsid w:val="005253F1"/>
    <w:rsid w:val="00525831"/>
    <w:rsid w:val="00526078"/>
    <w:rsid w:val="005274D9"/>
    <w:rsid w:val="00527793"/>
    <w:rsid w:val="0053021D"/>
    <w:rsid w:val="0053027D"/>
    <w:rsid w:val="005304E0"/>
    <w:rsid w:val="00531177"/>
    <w:rsid w:val="00531ED0"/>
    <w:rsid w:val="005321D4"/>
    <w:rsid w:val="0053240B"/>
    <w:rsid w:val="00532C1B"/>
    <w:rsid w:val="00533C0F"/>
    <w:rsid w:val="00533F3C"/>
    <w:rsid w:val="0053454F"/>
    <w:rsid w:val="00534A5E"/>
    <w:rsid w:val="0053593B"/>
    <w:rsid w:val="00535B65"/>
    <w:rsid w:val="00535DA3"/>
    <w:rsid w:val="00537C18"/>
    <w:rsid w:val="00541699"/>
    <w:rsid w:val="00543430"/>
    <w:rsid w:val="00543ABB"/>
    <w:rsid w:val="00543B69"/>
    <w:rsid w:val="00544005"/>
    <w:rsid w:val="005449C3"/>
    <w:rsid w:val="0054522E"/>
    <w:rsid w:val="005458EB"/>
    <w:rsid w:val="00545B6D"/>
    <w:rsid w:val="00545EE3"/>
    <w:rsid w:val="005461D0"/>
    <w:rsid w:val="005464EF"/>
    <w:rsid w:val="00546B09"/>
    <w:rsid w:val="005476E7"/>
    <w:rsid w:val="00550366"/>
    <w:rsid w:val="00550D6F"/>
    <w:rsid w:val="00550EBC"/>
    <w:rsid w:val="0055273F"/>
    <w:rsid w:val="0055436D"/>
    <w:rsid w:val="00554437"/>
    <w:rsid w:val="005547B9"/>
    <w:rsid w:val="00555352"/>
    <w:rsid w:val="00556069"/>
    <w:rsid w:val="00556951"/>
    <w:rsid w:val="005569DB"/>
    <w:rsid w:val="0055776B"/>
    <w:rsid w:val="005604E3"/>
    <w:rsid w:val="00560741"/>
    <w:rsid w:val="00560AFF"/>
    <w:rsid w:val="005635CD"/>
    <w:rsid w:val="005637B0"/>
    <w:rsid w:val="005645EF"/>
    <w:rsid w:val="00564885"/>
    <w:rsid w:val="0056545A"/>
    <w:rsid w:val="005654C7"/>
    <w:rsid w:val="00566DDF"/>
    <w:rsid w:val="00567D20"/>
    <w:rsid w:val="00570279"/>
    <w:rsid w:val="00570948"/>
    <w:rsid w:val="00570965"/>
    <w:rsid w:val="005710BD"/>
    <w:rsid w:val="0057156A"/>
    <w:rsid w:val="005716DE"/>
    <w:rsid w:val="00571A64"/>
    <w:rsid w:val="00572FE6"/>
    <w:rsid w:val="00573096"/>
    <w:rsid w:val="00573754"/>
    <w:rsid w:val="00574797"/>
    <w:rsid w:val="00574C50"/>
    <w:rsid w:val="00574D39"/>
    <w:rsid w:val="005754DD"/>
    <w:rsid w:val="00576FF8"/>
    <w:rsid w:val="0057780D"/>
    <w:rsid w:val="00577965"/>
    <w:rsid w:val="00577DE2"/>
    <w:rsid w:val="00580812"/>
    <w:rsid w:val="00581238"/>
    <w:rsid w:val="00581426"/>
    <w:rsid w:val="00584529"/>
    <w:rsid w:val="0058452E"/>
    <w:rsid w:val="0058518C"/>
    <w:rsid w:val="00586214"/>
    <w:rsid w:val="005868AD"/>
    <w:rsid w:val="00586C25"/>
    <w:rsid w:val="00586C3F"/>
    <w:rsid w:val="00586DFA"/>
    <w:rsid w:val="0058720E"/>
    <w:rsid w:val="00587407"/>
    <w:rsid w:val="00587E14"/>
    <w:rsid w:val="00587EE9"/>
    <w:rsid w:val="0059094B"/>
    <w:rsid w:val="00590D97"/>
    <w:rsid w:val="00591AFA"/>
    <w:rsid w:val="00592EF2"/>
    <w:rsid w:val="00594263"/>
    <w:rsid w:val="00594C13"/>
    <w:rsid w:val="0059590E"/>
    <w:rsid w:val="00597B50"/>
    <w:rsid w:val="005A0DDF"/>
    <w:rsid w:val="005A12EE"/>
    <w:rsid w:val="005A14D3"/>
    <w:rsid w:val="005A1C28"/>
    <w:rsid w:val="005A1C62"/>
    <w:rsid w:val="005A2331"/>
    <w:rsid w:val="005A28BC"/>
    <w:rsid w:val="005A2B41"/>
    <w:rsid w:val="005A2BB3"/>
    <w:rsid w:val="005A309F"/>
    <w:rsid w:val="005A409F"/>
    <w:rsid w:val="005A4837"/>
    <w:rsid w:val="005A4D89"/>
    <w:rsid w:val="005A5060"/>
    <w:rsid w:val="005A564C"/>
    <w:rsid w:val="005A568E"/>
    <w:rsid w:val="005A5FBB"/>
    <w:rsid w:val="005A7EDF"/>
    <w:rsid w:val="005B0560"/>
    <w:rsid w:val="005B0606"/>
    <w:rsid w:val="005B179C"/>
    <w:rsid w:val="005B192F"/>
    <w:rsid w:val="005B1ADC"/>
    <w:rsid w:val="005B1CAD"/>
    <w:rsid w:val="005B314F"/>
    <w:rsid w:val="005B36D8"/>
    <w:rsid w:val="005C04A1"/>
    <w:rsid w:val="005C0E57"/>
    <w:rsid w:val="005C219B"/>
    <w:rsid w:val="005C2206"/>
    <w:rsid w:val="005C44DA"/>
    <w:rsid w:val="005C4AF8"/>
    <w:rsid w:val="005C63FF"/>
    <w:rsid w:val="005C68EC"/>
    <w:rsid w:val="005C6BFF"/>
    <w:rsid w:val="005C740B"/>
    <w:rsid w:val="005C76D4"/>
    <w:rsid w:val="005C7EC1"/>
    <w:rsid w:val="005D01AC"/>
    <w:rsid w:val="005D0DD6"/>
    <w:rsid w:val="005D1110"/>
    <w:rsid w:val="005D236C"/>
    <w:rsid w:val="005D2494"/>
    <w:rsid w:val="005D2C41"/>
    <w:rsid w:val="005D38A5"/>
    <w:rsid w:val="005D4252"/>
    <w:rsid w:val="005D634D"/>
    <w:rsid w:val="005D666D"/>
    <w:rsid w:val="005D6C89"/>
    <w:rsid w:val="005D7214"/>
    <w:rsid w:val="005E1FF7"/>
    <w:rsid w:val="005E300B"/>
    <w:rsid w:val="005E3178"/>
    <w:rsid w:val="005E380E"/>
    <w:rsid w:val="005E50B3"/>
    <w:rsid w:val="005E7176"/>
    <w:rsid w:val="005F02B1"/>
    <w:rsid w:val="005F04EB"/>
    <w:rsid w:val="005F0BC8"/>
    <w:rsid w:val="005F1DD3"/>
    <w:rsid w:val="005F2756"/>
    <w:rsid w:val="005F4F63"/>
    <w:rsid w:val="005F5F60"/>
    <w:rsid w:val="005F7531"/>
    <w:rsid w:val="0060044B"/>
    <w:rsid w:val="00600896"/>
    <w:rsid w:val="00600CB2"/>
    <w:rsid w:val="00601408"/>
    <w:rsid w:val="00602FA0"/>
    <w:rsid w:val="0060357B"/>
    <w:rsid w:val="0060373D"/>
    <w:rsid w:val="0060485D"/>
    <w:rsid w:val="00605E13"/>
    <w:rsid w:val="00605FEF"/>
    <w:rsid w:val="006060AA"/>
    <w:rsid w:val="0060648D"/>
    <w:rsid w:val="00606805"/>
    <w:rsid w:val="00606894"/>
    <w:rsid w:val="00606CB0"/>
    <w:rsid w:val="0060773A"/>
    <w:rsid w:val="00607E02"/>
    <w:rsid w:val="00607F28"/>
    <w:rsid w:val="00610002"/>
    <w:rsid w:val="00610072"/>
    <w:rsid w:val="00610480"/>
    <w:rsid w:val="0061074D"/>
    <w:rsid w:val="00610A6F"/>
    <w:rsid w:val="0061114D"/>
    <w:rsid w:val="006114FF"/>
    <w:rsid w:val="006140B0"/>
    <w:rsid w:val="006140F8"/>
    <w:rsid w:val="006142DD"/>
    <w:rsid w:val="00614936"/>
    <w:rsid w:val="00614F94"/>
    <w:rsid w:val="006151BE"/>
    <w:rsid w:val="00616036"/>
    <w:rsid w:val="0061654E"/>
    <w:rsid w:val="00616E52"/>
    <w:rsid w:val="00617467"/>
    <w:rsid w:val="00617F02"/>
    <w:rsid w:val="0062048E"/>
    <w:rsid w:val="00620D21"/>
    <w:rsid w:val="00620DFF"/>
    <w:rsid w:val="00621A8E"/>
    <w:rsid w:val="0062222E"/>
    <w:rsid w:val="006224D2"/>
    <w:rsid w:val="00622F1D"/>
    <w:rsid w:val="006231AD"/>
    <w:rsid w:val="00623E17"/>
    <w:rsid w:val="00624916"/>
    <w:rsid w:val="006255E4"/>
    <w:rsid w:val="0062590C"/>
    <w:rsid w:val="0062772D"/>
    <w:rsid w:val="006277FF"/>
    <w:rsid w:val="00630A80"/>
    <w:rsid w:val="00632201"/>
    <w:rsid w:val="006322C9"/>
    <w:rsid w:val="00632EBC"/>
    <w:rsid w:val="00633773"/>
    <w:rsid w:val="00634B8B"/>
    <w:rsid w:val="00634C7C"/>
    <w:rsid w:val="00635250"/>
    <w:rsid w:val="0063547C"/>
    <w:rsid w:val="006354F4"/>
    <w:rsid w:val="00635912"/>
    <w:rsid w:val="00635FE7"/>
    <w:rsid w:val="00636020"/>
    <w:rsid w:val="00637205"/>
    <w:rsid w:val="006373BB"/>
    <w:rsid w:val="006408F1"/>
    <w:rsid w:val="00641211"/>
    <w:rsid w:val="00641C1A"/>
    <w:rsid w:val="006428AA"/>
    <w:rsid w:val="0064440E"/>
    <w:rsid w:val="00645A90"/>
    <w:rsid w:val="006465CE"/>
    <w:rsid w:val="00647406"/>
    <w:rsid w:val="00647D77"/>
    <w:rsid w:val="00650A7D"/>
    <w:rsid w:val="0065134C"/>
    <w:rsid w:val="00651AE1"/>
    <w:rsid w:val="00652868"/>
    <w:rsid w:val="00652F6A"/>
    <w:rsid w:val="006543B5"/>
    <w:rsid w:val="00654D12"/>
    <w:rsid w:val="00654DFA"/>
    <w:rsid w:val="00654FB6"/>
    <w:rsid w:val="006561E3"/>
    <w:rsid w:val="00660171"/>
    <w:rsid w:val="006617E2"/>
    <w:rsid w:val="0066197D"/>
    <w:rsid w:val="00662FA4"/>
    <w:rsid w:val="00663668"/>
    <w:rsid w:val="00663952"/>
    <w:rsid w:val="0066409F"/>
    <w:rsid w:val="006640DD"/>
    <w:rsid w:val="00664C74"/>
    <w:rsid w:val="00665960"/>
    <w:rsid w:val="006666CA"/>
    <w:rsid w:val="006668B2"/>
    <w:rsid w:val="00667DB8"/>
    <w:rsid w:val="00670BB7"/>
    <w:rsid w:val="00670EA5"/>
    <w:rsid w:val="00670F2E"/>
    <w:rsid w:val="00671B1F"/>
    <w:rsid w:val="006728F3"/>
    <w:rsid w:val="00672E06"/>
    <w:rsid w:val="00673083"/>
    <w:rsid w:val="006732B9"/>
    <w:rsid w:val="00674145"/>
    <w:rsid w:val="00676806"/>
    <w:rsid w:val="00676A14"/>
    <w:rsid w:val="0067723A"/>
    <w:rsid w:val="00677390"/>
    <w:rsid w:val="00680628"/>
    <w:rsid w:val="00680F6C"/>
    <w:rsid w:val="00681360"/>
    <w:rsid w:val="0068186C"/>
    <w:rsid w:val="006823B4"/>
    <w:rsid w:val="0068280B"/>
    <w:rsid w:val="00682BA5"/>
    <w:rsid w:val="0068377D"/>
    <w:rsid w:val="00683CB4"/>
    <w:rsid w:val="00683DCE"/>
    <w:rsid w:val="00684083"/>
    <w:rsid w:val="00684AC6"/>
    <w:rsid w:val="00684C9D"/>
    <w:rsid w:val="00684F8D"/>
    <w:rsid w:val="0068646F"/>
    <w:rsid w:val="00686B1C"/>
    <w:rsid w:val="00687935"/>
    <w:rsid w:val="006906FA"/>
    <w:rsid w:val="00690951"/>
    <w:rsid w:val="00691CA0"/>
    <w:rsid w:val="00692A4B"/>
    <w:rsid w:val="00692ADF"/>
    <w:rsid w:val="00693326"/>
    <w:rsid w:val="00693C24"/>
    <w:rsid w:val="00694F70"/>
    <w:rsid w:val="0069600F"/>
    <w:rsid w:val="006960BB"/>
    <w:rsid w:val="0069627A"/>
    <w:rsid w:val="00696399"/>
    <w:rsid w:val="006967CC"/>
    <w:rsid w:val="006968A4"/>
    <w:rsid w:val="006974DC"/>
    <w:rsid w:val="006A03CA"/>
    <w:rsid w:val="006A0AA9"/>
    <w:rsid w:val="006A1C20"/>
    <w:rsid w:val="006A2190"/>
    <w:rsid w:val="006A3B71"/>
    <w:rsid w:val="006A3D5A"/>
    <w:rsid w:val="006A442F"/>
    <w:rsid w:val="006A5813"/>
    <w:rsid w:val="006A5B98"/>
    <w:rsid w:val="006A6AA8"/>
    <w:rsid w:val="006A75F9"/>
    <w:rsid w:val="006A7658"/>
    <w:rsid w:val="006A7A8B"/>
    <w:rsid w:val="006B126E"/>
    <w:rsid w:val="006B2682"/>
    <w:rsid w:val="006B28BD"/>
    <w:rsid w:val="006B302C"/>
    <w:rsid w:val="006B3040"/>
    <w:rsid w:val="006B54C0"/>
    <w:rsid w:val="006B5BD2"/>
    <w:rsid w:val="006B66DD"/>
    <w:rsid w:val="006B6ED8"/>
    <w:rsid w:val="006B7F61"/>
    <w:rsid w:val="006C0436"/>
    <w:rsid w:val="006C06C9"/>
    <w:rsid w:val="006C19AF"/>
    <w:rsid w:val="006C23AB"/>
    <w:rsid w:val="006C2869"/>
    <w:rsid w:val="006C30A8"/>
    <w:rsid w:val="006C3314"/>
    <w:rsid w:val="006C35D2"/>
    <w:rsid w:val="006C3C26"/>
    <w:rsid w:val="006C3E5F"/>
    <w:rsid w:val="006C5016"/>
    <w:rsid w:val="006D0C96"/>
    <w:rsid w:val="006D0E2B"/>
    <w:rsid w:val="006D1037"/>
    <w:rsid w:val="006D24D0"/>
    <w:rsid w:val="006D2973"/>
    <w:rsid w:val="006D3BA5"/>
    <w:rsid w:val="006D44D4"/>
    <w:rsid w:val="006D5427"/>
    <w:rsid w:val="006D55A4"/>
    <w:rsid w:val="006D7097"/>
    <w:rsid w:val="006D75F6"/>
    <w:rsid w:val="006D77C5"/>
    <w:rsid w:val="006D78A9"/>
    <w:rsid w:val="006E0711"/>
    <w:rsid w:val="006E1D20"/>
    <w:rsid w:val="006E2459"/>
    <w:rsid w:val="006E25EF"/>
    <w:rsid w:val="006E278D"/>
    <w:rsid w:val="006E27A2"/>
    <w:rsid w:val="006E2A7A"/>
    <w:rsid w:val="006E3CD9"/>
    <w:rsid w:val="006E4082"/>
    <w:rsid w:val="006E4AE8"/>
    <w:rsid w:val="006E4DA5"/>
    <w:rsid w:val="006E5038"/>
    <w:rsid w:val="006E5595"/>
    <w:rsid w:val="006E5896"/>
    <w:rsid w:val="006E5B9D"/>
    <w:rsid w:val="006E63EC"/>
    <w:rsid w:val="006F032A"/>
    <w:rsid w:val="006F18B1"/>
    <w:rsid w:val="006F272B"/>
    <w:rsid w:val="006F2B4C"/>
    <w:rsid w:val="006F3523"/>
    <w:rsid w:val="006F3F69"/>
    <w:rsid w:val="006F43C1"/>
    <w:rsid w:val="006F54CF"/>
    <w:rsid w:val="006F57A0"/>
    <w:rsid w:val="006F5B2F"/>
    <w:rsid w:val="006F6198"/>
    <w:rsid w:val="006F6269"/>
    <w:rsid w:val="00700143"/>
    <w:rsid w:val="00701C0C"/>
    <w:rsid w:val="00701E78"/>
    <w:rsid w:val="00701EE5"/>
    <w:rsid w:val="00702286"/>
    <w:rsid w:val="00702C6F"/>
    <w:rsid w:val="00702D29"/>
    <w:rsid w:val="007030B6"/>
    <w:rsid w:val="00703EF8"/>
    <w:rsid w:val="007044B6"/>
    <w:rsid w:val="007045E4"/>
    <w:rsid w:val="00704661"/>
    <w:rsid w:val="0070504F"/>
    <w:rsid w:val="007051BD"/>
    <w:rsid w:val="007062BB"/>
    <w:rsid w:val="00706515"/>
    <w:rsid w:val="00707531"/>
    <w:rsid w:val="00707D8B"/>
    <w:rsid w:val="00710B62"/>
    <w:rsid w:val="00710C1E"/>
    <w:rsid w:val="00710E1A"/>
    <w:rsid w:val="00710EBC"/>
    <w:rsid w:val="00710EF2"/>
    <w:rsid w:val="007112D6"/>
    <w:rsid w:val="0071366F"/>
    <w:rsid w:val="00713EE1"/>
    <w:rsid w:val="00715872"/>
    <w:rsid w:val="00715B48"/>
    <w:rsid w:val="00716643"/>
    <w:rsid w:val="00716B42"/>
    <w:rsid w:val="00716C02"/>
    <w:rsid w:val="007172F8"/>
    <w:rsid w:val="007200C1"/>
    <w:rsid w:val="007209D1"/>
    <w:rsid w:val="00720A67"/>
    <w:rsid w:val="00721C71"/>
    <w:rsid w:val="00722243"/>
    <w:rsid w:val="00722551"/>
    <w:rsid w:val="00723B4E"/>
    <w:rsid w:val="00723DA3"/>
    <w:rsid w:val="00725965"/>
    <w:rsid w:val="007259E6"/>
    <w:rsid w:val="00725A41"/>
    <w:rsid w:val="007268BA"/>
    <w:rsid w:val="00730A78"/>
    <w:rsid w:val="00730ADD"/>
    <w:rsid w:val="00730F33"/>
    <w:rsid w:val="00731FAE"/>
    <w:rsid w:val="00733743"/>
    <w:rsid w:val="007338C1"/>
    <w:rsid w:val="00733BF3"/>
    <w:rsid w:val="00734648"/>
    <w:rsid w:val="007349E0"/>
    <w:rsid w:val="00734EB1"/>
    <w:rsid w:val="00735045"/>
    <w:rsid w:val="00735246"/>
    <w:rsid w:val="00735AEB"/>
    <w:rsid w:val="00736509"/>
    <w:rsid w:val="0073670B"/>
    <w:rsid w:val="00741174"/>
    <w:rsid w:val="007413FE"/>
    <w:rsid w:val="0074191D"/>
    <w:rsid w:val="0074197B"/>
    <w:rsid w:val="0074298C"/>
    <w:rsid w:val="00742C65"/>
    <w:rsid w:val="007430D3"/>
    <w:rsid w:val="0074397E"/>
    <w:rsid w:val="0074414F"/>
    <w:rsid w:val="00744CD6"/>
    <w:rsid w:val="00744D09"/>
    <w:rsid w:val="007459B6"/>
    <w:rsid w:val="00745ADA"/>
    <w:rsid w:val="00745D15"/>
    <w:rsid w:val="00747F3E"/>
    <w:rsid w:val="00750323"/>
    <w:rsid w:val="00751F12"/>
    <w:rsid w:val="00753118"/>
    <w:rsid w:val="00753895"/>
    <w:rsid w:val="00754A45"/>
    <w:rsid w:val="00754C46"/>
    <w:rsid w:val="007555E1"/>
    <w:rsid w:val="00755ED0"/>
    <w:rsid w:val="00755FAF"/>
    <w:rsid w:val="0075633A"/>
    <w:rsid w:val="00757647"/>
    <w:rsid w:val="0076002A"/>
    <w:rsid w:val="0076002B"/>
    <w:rsid w:val="007605DE"/>
    <w:rsid w:val="00760E2D"/>
    <w:rsid w:val="007613D1"/>
    <w:rsid w:val="007618BD"/>
    <w:rsid w:val="00761B4D"/>
    <w:rsid w:val="00763315"/>
    <w:rsid w:val="0076364E"/>
    <w:rsid w:val="007636B8"/>
    <w:rsid w:val="007641C2"/>
    <w:rsid w:val="007649B0"/>
    <w:rsid w:val="00765643"/>
    <w:rsid w:val="007658AE"/>
    <w:rsid w:val="00766998"/>
    <w:rsid w:val="00766EC2"/>
    <w:rsid w:val="007674BC"/>
    <w:rsid w:val="00767E93"/>
    <w:rsid w:val="007706F3"/>
    <w:rsid w:val="00770A13"/>
    <w:rsid w:val="00770AA1"/>
    <w:rsid w:val="00770CAE"/>
    <w:rsid w:val="007729CF"/>
    <w:rsid w:val="0077367B"/>
    <w:rsid w:val="00773C47"/>
    <w:rsid w:val="007757FC"/>
    <w:rsid w:val="00775CD9"/>
    <w:rsid w:val="00776660"/>
    <w:rsid w:val="00776C6F"/>
    <w:rsid w:val="00776CFF"/>
    <w:rsid w:val="0077746A"/>
    <w:rsid w:val="00777F27"/>
    <w:rsid w:val="007813C3"/>
    <w:rsid w:val="00782370"/>
    <w:rsid w:val="00782B92"/>
    <w:rsid w:val="00782BC9"/>
    <w:rsid w:val="00783E94"/>
    <w:rsid w:val="00784485"/>
    <w:rsid w:val="00785130"/>
    <w:rsid w:val="00785521"/>
    <w:rsid w:val="00785A28"/>
    <w:rsid w:val="00785E53"/>
    <w:rsid w:val="00786D75"/>
    <w:rsid w:val="00786DD6"/>
    <w:rsid w:val="007877DF"/>
    <w:rsid w:val="00790602"/>
    <w:rsid w:val="007914E6"/>
    <w:rsid w:val="0079191A"/>
    <w:rsid w:val="00791A98"/>
    <w:rsid w:val="00792615"/>
    <w:rsid w:val="00792BFE"/>
    <w:rsid w:val="00792DB2"/>
    <w:rsid w:val="00793168"/>
    <w:rsid w:val="00794385"/>
    <w:rsid w:val="00794D36"/>
    <w:rsid w:val="0079521C"/>
    <w:rsid w:val="00795BEE"/>
    <w:rsid w:val="0079648A"/>
    <w:rsid w:val="00796746"/>
    <w:rsid w:val="00796AC2"/>
    <w:rsid w:val="007972F2"/>
    <w:rsid w:val="00797469"/>
    <w:rsid w:val="00797643"/>
    <w:rsid w:val="007A0E8A"/>
    <w:rsid w:val="007A0F92"/>
    <w:rsid w:val="007A20D7"/>
    <w:rsid w:val="007A246E"/>
    <w:rsid w:val="007A29CD"/>
    <w:rsid w:val="007A2D1F"/>
    <w:rsid w:val="007A362B"/>
    <w:rsid w:val="007A36C2"/>
    <w:rsid w:val="007A4F61"/>
    <w:rsid w:val="007A6169"/>
    <w:rsid w:val="007A6B93"/>
    <w:rsid w:val="007A7425"/>
    <w:rsid w:val="007A763B"/>
    <w:rsid w:val="007B0FD6"/>
    <w:rsid w:val="007B1538"/>
    <w:rsid w:val="007B1A22"/>
    <w:rsid w:val="007B2845"/>
    <w:rsid w:val="007B369B"/>
    <w:rsid w:val="007B48BA"/>
    <w:rsid w:val="007B4D09"/>
    <w:rsid w:val="007B4E83"/>
    <w:rsid w:val="007B64BF"/>
    <w:rsid w:val="007B719C"/>
    <w:rsid w:val="007B7653"/>
    <w:rsid w:val="007B7FAA"/>
    <w:rsid w:val="007C1535"/>
    <w:rsid w:val="007C15C1"/>
    <w:rsid w:val="007C19D6"/>
    <w:rsid w:val="007C209C"/>
    <w:rsid w:val="007C264B"/>
    <w:rsid w:val="007C29C3"/>
    <w:rsid w:val="007C4810"/>
    <w:rsid w:val="007C75A5"/>
    <w:rsid w:val="007C777F"/>
    <w:rsid w:val="007D01F8"/>
    <w:rsid w:val="007D03AD"/>
    <w:rsid w:val="007D0B5B"/>
    <w:rsid w:val="007D0F7A"/>
    <w:rsid w:val="007D3A4F"/>
    <w:rsid w:val="007D5055"/>
    <w:rsid w:val="007D5534"/>
    <w:rsid w:val="007D5D8C"/>
    <w:rsid w:val="007D697C"/>
    <w:rsid w:val="007D7210"/>
    <w:rsid w:val="007D7AB6"/>
    <w:rsid w:val="007E0824"/>
    <w:rsid w:val="007E0B27"/>
    <w:rsid w:val="007E1584"/>
    <w:rsid w:val="007E16E5"/>
    <w:rsid w:val="007E1C75"/>
    <w:rsid w:val="007E2ABF"/>
    <w:rsid w:val="007E2B17"/>
    <w:rsid w:val="007E3220"/>
    <w:rsid w:val="007E449B"/>
    <w:rsid w:val="007E4A1E"/>
    <w:rsid w:val="007E4BC8"/>
    <w:rsid w:val="007E6F4D"/>
    <w:rsid w:val="007F2FB0"/>
    <w:rsid w:val="007F3F69"/>
    <w:rsid w:val="007F6950"/>
    <w:rsid w:val="007F6BE8"/>
    <w:rsid w:val="0080022E"/>
    <w:rsid w:val="00800FCA"/>
    <w:rsid w:val="00801305"/>
    <w:rsid w:val="00802728"/>
    <w:rsid w:val="00803974"/>
    <w:rsid w:val="008040F2"/>
    <w:rsid w:val="008044B9"/>
    <w:rsid w:val="00804B43"/>
    <w:rsid w:val="00805B0A"/>
    <w:rsid w:val="00805B25"/>
    <w:rsid w:val="00810FE6"/>
    <w:rsid w:val="008111D9"/>
    <w:rsid w:val="00811D8F"/>
    <w:rsid w:val="00812410"/>
    <w:rsid w:val="008140FC"/>
    <w:rsid w:val="00814B08"/>
    <w:rsid w:val="00815908"/>
    <w:rsid w:val="00815A86"/>
    <w:rsid w:val="008169F2"/>
    <w:rsid w:val="00816D87"/>
    <w:rsid w:val="008219CF"/>
    <w:rsid w:val="0082237B"/>
    <w:rsid w:val="00822647"/>
    <w:rsid w:val="008235BD"/>
    <w:rsid w:val="008241A2"/>
    <w:rsid w:val="008252DF"/>
    <w:rsid w:val="00825B44"/>
    <w:rsid w:val="008262C0"/>
    <w:rsid w:val="0082634C"/>
    <w:rsid w:val="0082640E"/>
    <w:rsid w:val="00826879"/>
    <w:rsid w:val="00826D40"/>
    <w:rsid w:val="00827AAB"/>
    <w:rsid w:val="00830299"/>
    <w:rsid w:val="0083231B"/>
    <w:rsid w:val="00832F3F"/>
    <w:rsid w:val="00833870"/>
    <w:rsid w:val="00833F22"/>
    <w:rsid w:val="00834269"/>
    <w:rsid w:val="00834942"/>
    <w:rsid w:val="00834A87"/>
    <w:rsid w:val="008368B2"/>
    <w:rsid w:val="00836A51"/>
    <w:rsid w:val="00837B99"/>
    <w:rsid w:val="00837EAB"/>
    <w:rsid w:val="00840187"/>
    <w:rsid w:val="0084096E"/>
    <w:rsid w:val="00840AF6"/>
    <w:rsid w:val="00840B4E"/>
    <w:rsid w:val="00840E15"/>
    <w:rsid w:val="008411DC"/>
    <w:rsid w:val="00843223"/>
    <w:rsid w:val="00843AAC"/>
    <w:rsid w:val="0084450A"/>
    <w:rsid w:val="00844716"/>
    <w:rsid w:val="00844CCB"/>
    <w:rsid w:val="00845DC7"/>
    <w:rsid w:val="0084610B"/>
    <w:rsid w:val="008461DD"/>
    <w:rsid w:val="00846379"/>
    <w:rsid w:val="00846B54"/>
    <w:rsid w:val="00846F20"/>
    <w:rsid w:val="00851172"/>
    <w:rsid w:val="00851301"/>
    <w:rsid w:val="00852843"/>
    <w:rsid w:val="00853534"/>
    <w:rsid w:val="008541DE"/>
    <w:rsid w:val="00854396"/>
    <w:rsid w:val="00855877"/>
    <w:rsid w:val="00855C31"/>
    <w:rsid w:val="00855DDA"/>
    <w:rsid w:val="00857A00"/>
    <w:rsid w:val="00860F64"/>
    <w:rsid w:val="00861F00"/>
    <w:rsid w:val="008621CA"/>
    <w:rsid w:val="00862916"/>
    <w:rsid w:val="00863703"/>
    <w:rsid w:val="00863C89"/>
    <w:rsid w:val="00863CF7"/>
    <w:rsid w:val="008648EA"/>
    <w:rsid w:val="00865650"/>
    <w:rsid w:val="008659E4"/>
    <w:rsid w:val="00865B95"/>
    <w:rsid w:val="00865FCB"/>
    <w:rsid w:val="0086677C"/>
    <w:rsid w:val="00866E85"/>
    <w:rsid w:val="00867992"/>
    <w:rsid w:val="00867BED"/>
    <w:rsid w:val="0087146A"/>
    <w:rsid w:val="008715E0"/>
    <w:rsid w:val="00873C9D"/>
    <w:rsid w:val="00874BEF"/>
    <w:rsid w:val="00874D44"/>
    <w:rsid w:val="00875765"/>
    <w:rsid w:val="00875FFD"/>
    <w:rsid w:val="00876226"/>
    <w:rsid w:val="00876665"/>
    <w:rsid w:val="00876DFC"/>
    <w:rsid w:val="00880500"/>
    <w:rsid w:val="008806F1"/>
    <w:rsid w:val="00881380"/>
    <w:rsid w:val="00883279"/>
    <w:rsid w:val="00883494"/>
    <w:rsid w:val="00883554"/>
    <w:rsid w:val="0088406A"/>
    <w:rsid w:val="0088431A"/>
    <w:rsid w:val="00885D47"/>
    <w:rsid w:val="008862A3"/>
    <w:rsid w:val="00886746"/>
    <w:rsid w:val="00890CFF"/>
    <w:rsid w:val="00890F1C"/>
    <w:rsid w:val="0089279F"/>
    <w:rsid w:val="00892DE9"/>
    <w:rsid w:val="00893340"/>
    <w:rsid w:val="00893ECB"/>
    <w:rsid w:val="00894F13"/>
    <w:rsid w:val="00897218"/>
    <w:rsid w:val="00897599"/>
    <w:rsid w:val="00897EE4"/>
    <w:rsid w:val="008A004F"/>
    <w:rsid w:val="008A24BB"/>
    <w:rsid w:val="008A2E35"/>
    <w:rsid w:val="008A4623"/>
    <w:rsid w:val="008A508F"/>
    <w:rsid w:val="008A5153"/>
    <w:rsid w:val="008A5FC1"/>
    <w:rsid w:val="008A6908"/>
    <w:rsid w:val="008A6C15"/>
    <w:rsid w:val="008A6D71"/>
    <w:rsid w:val="008B099E"/>
    <w:rsid w:val="008B1140"/>
    <w:rsid w:val="008B155A"/>
    <w:rsid w:val="008B177A"/>
    <w:rsid w:val="008B1865"/>
    <w:rsid w:val="008B2544"/>
    <w:rsid w:val="008B4311"/>
    <w:rsid w:val="008B4FE0"/>
    <w:rsid w:val="008B57A6"/>
    <w:rsid w:val="008B5F54"/>
    <w:rsid w:val="008B5FF6"/>
    <w:rsid w:val="008B6325"/>
    <w:rsid w:val="008B7324"/>
    <w:rsid w:val="008B7C6A"/>
    <w:rsid w:val="008C0C2F"/>
    <w:rsid w:val="008C15A9"/>
    <w:rsid w:val="008C1FDD"/>
    <w:rsid w:val="008C3331"/>
    <w:rsid w:val="008C34B9"/>
    <w:rsid w:val="008C37BF"/>
    <w:rsid w:val="008C3CAB"/>
    <w:rsid w:val="008C3DE5"/>
    <w:rsid w:val="008C6F31"/>
    <w:rsid w:val="008C729B"/>
    <w:rsid w:val="008C731F"/>
    <w:rsid w:val="008C7B3F"/>
    <w:rsid w:val="008C7FA5"/>
    <w:rsid w:val="008D0242"/>
    <w:rsid w:val="008D02FB"/>
    <w:rsid w:val="008D13CC"/>
    <w:rsid w:val="008D1965"/>
    <w:rsid w:val="008D19CE"/>
    <w:rsid w:val="008D221F"/>
    <w:rsid w:val="008D231D"/>
    <w:rsid w:val="008D25C2"/>
    <w:rsid w:val="008D2CD6"/>
    <w:rsid w:val="008D37E9"/>
    <w:rsid w:val="008D39B2"/>
    <w:rsid w:val="008D3A84"/>
    <w:rsid w:val="008D411F"/>
    <w:rsid w:val="008D4E63"/>
    <w:rsid w:val="008D6F20"/>
    <w:rsid w:val="008E0209"/>
    <w:rsid w:val="008E08A1"/>
    <w:rsid w:val="008E2A64"/>
    <w:rsid w:val="008E2DCD"/>
    <w:rsid w:val="008E3BFA"/>
    <w:rsid w:val="008E53AA"/>
    <w:rsid w:val="008E5F1A"/>
    <w:rsid w:val="008E67B9"/>
    <w:rsid w:val="008E6C9A"/>
    <w:rsid w:val="008F05E3"/>
    <w:rsid w:val="008F0827"/>
    <w:rsid w:val="008F1DFA"/>
    <w:rsid w:val="008F29CD"/>
    <w:rsid w:val="008F7111"/>
    <w:rsid w:val="008F797B"/>
    <w:rsid w:val="008F7BB5"/>
    <w:rsid w:val="008F7C50"/>
    <w:rsid w:val="00900364"/>
    <w:rsid w:val="009007DD"/>
    <w:rsid w:val="00901096"/>
    <w:rsid w:val="00901501"/>
    <w:rsid w:val="00901768"/>
    <w:rsid w:val="00902341"/>
    <w:rsid w:val="00902EB6"/>
    <w:rsid w:val="00904B5A"/>
    <w:rsid w:val="00905485"/>
    <w:rsid w:val="00906489"/>
    <w:rsid w:val="00910227"/>
    <w:rsid w:val="0091314F"/>
    <w:rsid w:val="0091371C"/>
    <w:rsid w:val="009141E1"/>
    <w:rsid w:val="00914E66"/>
    <w:rsid w:val="00915BC8"/>
    <w:rsid w:val="00915D91"/>
    <w:rsid w:val="00915E49"/>
    <w:rsid w:val="009164C9"/>
    <w:rsid w:val="00917EDA"/>
    <w:rsid w:val="009207F2"/>
    <w:rsid w:val="00920ABA"/>
    <w:rsid w:val="00920B60"/>
    <w:rsid w:val="00922C28"/>
    <w:rsid w:val="00922C41"/>
    <w:rsid w:val="0092343D"/>
    <w:rsid w:val="0092429D"/>
    <w:rsid w:val="0092465C"/>
    <w:rsid w:val="009246D4"/>
    <w:rsid w:val="009250A1"/>
    <w:rsid w:val="009258DC"/>
    <w:rsid w:val="009265FE"/>
    <w:rsid w:val="0092681F"/>
    <w:rsid w:val="00926CAB"/>
    <w:rsid w:val="00926CC5"/>
    <w:rsid w:val="00927002"/>
    <w:rsid w:val="009273BA"/>
    <w:rsid w:val="00927C18"/>
    <w:rsid w:val="00927E52"/>
    <w:rsid w:val="009309A1"/>
    <w:rsid w:val="0093141B"/>
    <w:rsid w:val="00931B6E"/>
    <w:rsid w:val="00932350"/>
    <w:rsid w:val="00932DFF"/>
    <w:rsid w:val="009334BB"/>
    <w:rsid w:val="00933F08"/>
    <w:rsid w:val="009340AE"/>
    <w:rsid w:val="0093469B"/>
    <w:rsid w:val="00934B35"/>
    <w:rsid w:val="009354CA"/>
    <w:rsid w:val="0093597D"/>
    <w:rsid w:val="0093684B"/>
    <w:rsid w:val="0093690E"/>
    <w:rsid w:val="00937810"/>
    <w:rsid w:val="009379B7"/>
    <w:rsid w:val="00937F21"/>
    <w:rsid w:val="009408CF"/>
    <w:rsid w:val="00941508"/>
    <w:rsid w:val="009415D3"/>
    <w:rsid w:val="0094187E"/>
    <w:rsid w:val="00942D19"/>
    <w:rsid w:val="00942F8E"/>
    <w:rsid w:val="009439C5"/>
    <w:rsid w:val="00943EA7"/>
    <w:rsid w:val="00944258"/>
    <w:rsid w:val="00944BE6"/>
    <w:rsid w:val="00944D82"/>
    <w:rsid w:val="00945AC1"/>
    <w:rsid w:val="009464BD"/>
    <w:rsid w:val="009465D7"/>
    <w:rsid w:val="009466B3"/>
    <w:rsid w:val="00946F2D"/>
    <w:rsid w:val="00950B0E"/>
    <w:rsid w:val="00951725"/>
    <w:rsid w:val="00952FD3"/>
    <w:rsid w:val="009535DD"/>
    <w:rsid w:val="009537BF"/>
    <w:rsid w:val="00954533"/>
    <w:rsid w:val="00954781"/>
    <w:rsid w:val="00954826"/>
    <w:rsid w:val="00954932"/>
    <w:rsid w:val="00954958"/>
    <w:rsid w:val="009549BA"/>
    <w:rsid w:val="009551DF"/>
    <w:rsid w:val="009555A9"/>
    <w:rsid w:val="00955B2C"/>
    <w:rsid w:val="00957A7B"/>
    <w:rsid w:val="009601D4"/>
    <w:rsid w:val="0096064B"/>
    <w:rsid w:val="00960E21"/>
    <w:rsid w:val="00962084"/>
    <w:rsid w:val="009620F2"/>
    <w:rsid w:val="00962872"/>
    <w:rsid w:val="009630B2"/>
    <w:rsid w:val="00964342"/>
    <w:rsid w:val="00964465"/>
    <w:rsid w:val="0096451A"/>
    <w:rsid w:val="0096466A"/>
    <w:rsid w:val="00964D79"/>
    <w:rsid w:val="00965219"/>
    <w:rsid w:val="00965A86"/>
    <w:rsid w:val="00965DBD"/>
    <w:rsid w:val="00966014"/>
    <w:rsid w:val="009660E0"/>
    <w:rsid w:val="00966516"/>
    <w:rsid w:val="00966537"/>
    <w:rsid w:val="00966A02"/>
    <w:rsid w:val="00967AD9"/>
    <w:rsid w:val="00970791"/>
    <w:rsid w:val="00970CC2"/>
    <w:rsid w:val="00970FE9"/>
    <w:rsid w:val="00972445"/>
    <w:rsid w:val="0097253D"/>
    <w:rsid w:val="009725DA"/>
    <w:rsid w:val="0097266D"/>
    <w:rsid w:val="00972755"/>
    <w:rsid w:val="00972DE2"/>
    <w:rsid w:val="009740D1"/>
    <w:rsid w:val="009741F8"/>
    <w:rsid w:val="0097449D"/>
    <w:rsid w:val="00975977"/>
    <w:rsid w:val="009759A2"/>
    <w:rsid w:val="009759DD"/>
    <w:rsid w:val="00976CE5"/>
    <w:rsid w:val="00977044"/>
    <w:rsid w:val="00977823"/>
    <w:rsid w:val="00980E78"/>
    <w:rsid w:val="009811AD"/>
    <w:rsid w:val="009816AC"/>
    <w:rsid w:val="00982D4C"/>
    <w:rsid w:val="00983410"/>
    <w:rsid w:val="0098370C"/>
    <w:rsid w:val="00984218"/>
    <w:rsid w:val="00984DAC"/>
    <w:rsid w:val="0098556B"/>
    <w:rsid w:val="009860F7"/>
    <w:rsid w:val="009861EE"/>
    <w:rsid w:val="00986C3C"/>
    <w:rsid w:val="009871A0"/>
    <w:rsid w:val="00987A6E"/>
    <w:rsid w:val="00987AB8"/>
    <w:rsid w:val="00987EE2"/>
    <w:rsid w:val="009909CD"/>
    <w:rsid w:val="009923A6"/>
    <w:rsid w:val="00992E6F"/>
    <w:rsid w:val="00993DED"/>
    <w:rsid w:val="0099404C"/>
    <w:rsid w:val="009949D3"/>
    <w:rsid w:val="00994A3B"/>
    <w:rsid w:val="00994F9B"/>
    <w:rsid w:val="0099551D"/>
    <w:rsid w:val="009955A2"/>
    <w:rsid w:val="00995D50"/>
    <w:rsid w:val="00997A0E"/>
    <w:rsid w:val="009A1536"/>
    <w:rsid w:val="009A18B9"/>
    <w:rsid w:val="009A1E2B"/>
    <w:rsid w:val="009A381B"/>
    <w:rsid w:val="009B07A8"/>
    <w:rsid w:val="009B0842"/>
    <w:rsid w:val="009B309F"/>
    <w:rsid w:val="009B3582"/>
    <w:rsid w:val="009B4510"/>
    <w:rsid w:val="009B55DE"/>
    <w:rsid w:val="009B5E3C"/>
    <w:rsid w:val="009B61A4"/>
    <w:rsid w:val="009B63C4"/>
    <w:rsid w:val="009B78ED"/>
    <w:rsid w:val="009B79E6"/>
    <w:rsid w:val="009C014B"/>
    <w:rsid w:val="009C03EA"/>
    <w:rsid w:val="009C0751"/>
    <w:rsid w:val="009C09BF"/>
    <w:rsid w:val="009C0BF1"/>
    <w:rsid w:val="009C136E"/>
    <w:rsid w:val="009C1AA6"/>
    <w:rsid w:val="009C21FE"/>
    <w:rsid w:val="009C2E8F"/>
    <w:rsid w:val="009C37B7"/>
    <w:rsid w:val="009C4515"/>
    <w:rsid w:val="009C46C9"/>
    <w:rsid w:val="009C4761"/>
    <w:rsid w:val="009C4895"/>
    <w:rsid w:val="009C4B50"/>
    <w:rsid w:val="009C5AA1"/>
    <w:rsid w:val="009C62D4"/>
    <w:rsid w:val="009D00B0"/>
    <w:rsid w:val="009D0AF8"/>
    <w:rsid w:val="009D1412"/>
    <w:rsid w:val="009D186F"/>
    <w:rsid w:val="009D1C16"/>
    <w:rsid w:val="009D231B"/>
    <w:rsid w:val="009D27F7"/>
    <w:rsid w:val="009D2CDB"/>
    <w:rsid w:val="009D4440"/>
    <w:rsid w:val="009D4A72"/>
    <w:rsid w:val="009D5FC0"/>
    <w:rsid w:val="009D62B5"/>
    <w:rsid w:val="009D6DDC"/>
    <w:rsid w:val="009D6F09"/>
    <w:rsid w:val="009D73A3"/>
    <w:rsid w:val="009D7AF9"/>
    <w:rsid w:val="009E1DA2"/>
    <w:rsid w:val="009E351A"/>
    <w:rsid w:val="009E381B"/>
    <w:rsid w:val="009E507C"/>
    <w:rsid w:val="009E6AF9"/>
    <w:rsid w:val="009E7E17"/>
    <w:rsid w:val="009F0003"/>
    <w:rsid w:val="009F1345"/>
    <w:rsid w:val="009F26DD"/>
    <w:rsid w:val="009F3E70"/>
    <w:rsid w:val="009F45D3"/>
    <w:rsid w:val="009F5065"/>
    <w:rsid w:val="009F6087"/>
    <w:rsid w:val="009F6380"/>
    <w:rsid w:val="009F6502"/>
    <w:rsid w:val="009F6524"/>
    <w:rsid w:val="009F67BF"/>
    <w:rsid w:val="009F7191"/>
    <w:rsid w:val="009F71E9"/>
    <w:rsid w:val="00A01BD1"/>
    <w:rsid w:val="00A01F1D"/>
    <w:rsid w:val="00A024F9"/>
    <w:rsid w:val="00A02D74"/>
    <w:rsid w:val="00A02FF7"/>
    <w:rsid w:val="00A035E1"/>
    <w:rsid w:val="00A03B59"/>
    <w:rsid w:val="00A0438B"/>
    <w:rsid w:val="00A04EC3"/>
    <w:rsid w:val="00A07192"/>
    <w:rsid w:val="00A07605"/>
    <w:rsid w:val="00A076D2"/>
    <w:rsid w:val="00A07A3C"/>
    <w:rsid w:val="00A07B62"/>
    <w:rsid w:val="00A07BEB"/>
    <w:rsid w:val="00A1024F"/>
    <w:rsid w:val="00A11624"/>
    <w:rsid w:val="00A11E7C"/>
    <w:rsid w:val="00A12481"/>
    <w:rsid w:val="00A135E6"/>
    <w:rsid w:val="00A142E9"/>
    <w:rsid w:val="00A15F84"/>
    <w:rsid w:val="00A1619E"/>
    <w:rsid w:val="00A16886"/>
    <w:rsid w:val="00A17AA3"/>
    <w:rsid w:val="00A17E9E"/>
    <w:rsid w:val="00A20A0B"/>
    <w:rsid w:val="00A225D6"/>
    <w:rsid w:val="00A22851"/>
    <w:rsid w:val="00A240B8"/>
    <w:rsid w:val="00A240C2"/>
    <w:rsid w:val="00A24C45"/>
    <w:rsid w:val="00A25C56"/>
    <w:rsid w:val="00A2630D"/>
    <w:rsid w:val="00A26623"/>
    <w:rsid w:val="00A2698C"/>
    <w:rsid w:val="00A26CEB"/>
    <w:rsid w:val="00A27771"/>
    <w:rsid w:val="00A30E07"/>
    <w:rsid w:val="00A320F9"/>
    <w:rsid w:val="00A338F3"/>
    <w:rsid w:val="00A35CBD"/>
    <w:rsid w:val="00A36743"/>
    <w:rsid w:val="00A368AF"/>
    <w:rsid w:val="00A37BF9"/>
    <w:rsid w:val="00A407C9"/>
    <w:rsid w:val="00A41E4D"/>
    <w:rsid w:val="00A41E60"/>
    <w:rsid w:val="00A42728"/>
    <w:rsid w:val="00A43927"/>
    <w:rsid w:val="00A44651"/>
    <w:rsid w:val="00A4472C"/>
    <w:rsid w:val="00A46811"/>
    <w:rsid w:val="00A47145"/>
    <w:rsid w:val="00A4784C"/>
    <w:rsid w:val="00A47FA1"/>
    <w:rsid w:val="00A5079A"/>
    <w:rsid w:val="00A508FC"/>
    <w:rsid w:val="00A5157C"/>
    <w:rsid w:val="00A5295E"/>
    <w:rsid w:val="00A535B3"/>
    <w:rsid w:val="00A5390C"/>
    <w:rsid w:val="00A539E7"/>
    <w:rsid w:val="00A54EA6"/>
    <w:rsid w:val="00A56F67"/>
    <w:rsid w:val="00A6026E"/>
    <w:rsid w:val="00A60573"/>
    <w:rsid w:val="00A620FF"/>
    <w:rsid w:val="00A62576"/>
    <w:rsid w:val="00A62DAF"/>
    <w:rsid w:val="00A63E6C"/>
    <w:rsid w:val="00A64CB8"/>
    <w:rsid w:val="00A6683C"/>
    <w:rsid w:val="00A66CD7"/>
    <w:rsid w:val="00A66EB3"/>
    <w:rsid w:val="00A674CA"/>
    <w:rsid w:val="00A67D1C"/>
    <w:rsid w:val="00A714CD"/>
    <w:rsid w:val="00A71718"/>
    <w:rsid w:val="00A72685"/>
    <w:rsid w:val="00A72AE4"/>
    <w:rsid w:val="00A734F9"/>
    <w:rsid w:val="00A738D1"/>
    <w:rsid w:val="00A740E0"/>
    <w:rsid w:val="00A743CC"/>
    <w:rsid w:val="00A748AD"/>
    <w:rsid w:val="00A7621B"/>
    <w:rsid w:val="00A763A4"/>
    <w:rsid w:val="00A7745D"/>
    <w:rsid w:val="00A77BFA"/>
    <w:rsid w:val="00A77FDD"/>
    <w:rsid w:val="00A8028A"/>
    <w:rsid w:val="00A805B5"/>
    <w:rsid w:val="00A819B9"/>
    <w:rsid w:val="00A81A4A"/>
    <w:rsid w:val="00A826C7"/>
    <w:rsid w:val="00A82B95"/>
    <w:rsid w:val="00A83942"/>
    <w:rsid w:val="00A83ECD"/>
    <w:rsid w:val="00A8596B"/>
    <w:rsid w:val="00A861A2"/>
    <w:rsid w:val="00A8668D"/>
    <w:rsid w:val="00A867AB"/>
    <w:rsid w:val="00A870F0"/>
    <w:rsid w:val="00A8756D"/>
    <w:rsid w:val="00A90402"/>
    <w:rsid w:val="00A910D5"/>
    <w:rsid w:val="00A91132"/>
    <w:rsid w:val="00A94AB1"/>
    <w:rsid w:val="00A96D20"/>
    <w:rsid w:val="00A97341"/>
    <w:rsid w:val="00A977C4"/>
    <w:rsid w:val="00A97EBD"/>
    <w:rsid w:val="00AA06EB"/>
    <w:rsid w:val="00AA1098"/>
    <w:rsid w:val="00AA201B"/>
    <w:rsid w:val="00AA2560"/>
    <w:rsid w:val="00AA28F4"/>
    <w:rsid w:val="00AA4732"/>
    <w:rsid w:val="00AA52F9"/>
    <w:rsid w:val="00AA5873"/>
    <w:rsid w:val="00AA58F6"/>
    <w:rsid w:val="00AB0991"/>
    <w:rsid w:val="00AB1D31"/>
    <w:rsid w:val="00AB264C"/>
    <w:rsid w:val="00AB290A"/>
    <w:rsid w:val="00AB29EE"/>
    <w:rsid w:val="00AB3F97"/>
    <w:rsid w:val="00AB40A8"/>
    <w:rsid w:val="00AB443F"/>
    <w:rsid w:val="00AB4D83"/>
    <w:rsid w:val="00AB5216"/>
    <w:rsid w:val="00AB536C"/>
    <w:rsid w:val="00AB6028"/>
    <w:rsid w:val="00AB6436"/>
    <w:rsid w:val="00AB6959"/>
    <w:rsid w:val="00AB6CDF"/>
    <w:rsid w:val="00AB7601"/>
    <w:rsid w:val="00AB792E"/>
    <w:rsid w:val="00AC1701"/>
    <w:rsid w:val="00AC28AE"/>
    <w:rsid w:val="00AC3342"/>
    <w:rsid w:val="00AC628F"/>
    <w:rsid w:val="00AC6413"/>
    <w:rsid w:val="00AC6C8F"/>
    <w:rsid w:val="00AC6E3E"/>
    <w:rsid w:val="00AC6F43"/>
    <w:rsid w:val="00AC77DE"/>
    <w:rsid w:val="00AC7880"/>
    <w:rsid w:val="00AC7EAD"/>
    <w:rsid w:val="00AD052E"/>
    <w:rsid w:val="00AD08F6"/>
    <w:rsid w:val="00AD235E"/>
    <w:rsid w:val="00AD24B0"/>
    <w:rsid w:val="00AD2E5C"/>
    <w:rsid w:val="00AD3869"/>
    <w:rsid w:val="00AD4E0E"/>
    <w:rsid w:val="00AD507C"/>
    <w:rsid w:val="00AD57A0"/>
    <w:rsid w:val="00AD7A8B"/>
    <w:rsid w:val="00AE0B00"/>
    <w:rsid w:val="00AE0C9E"/>
    <w:rsid w:val="00AE0EFE"/>
    <w:rsid w:val="00AE21DC"/>
    <w:rsid w:val="00AE315C"/>
    <w:rsid w:val="00AE4112"/>
    <w:rsid w:val="00AE5E3D"/>
    <w:rsid w:val="00AE6F51"/>
    <w:rsid w:val="00AF0C06"/>
    <w:rsid w:val="00AF1FC8"/>
    <w:rsid w:val="00AF2A55"/>
    <w:rsid w:val="00AF2AC9"/>
    <w:rsid w:val="00AF2D9D"/>
    <w:rsid w:val="00AF35F1"/>
    <w:rsid w:val="00AF3D08"/>
    <w:rsid w:val="00AF5957"/>
    <w:rsid w:val="00AF6E9F"/>
    <w:rsid w:val="00AF7016"/>
    <w:rsid w:val="00AF7269"/>
    <w:rsid w:val="00AF75AE"/>
    <w:rsid w:val="00AF77EF"/>
    <w:rsid w:val="00AF78AF"/>
    <w:rsid w:val="00AF7CC3"/>
    <w:rsid w:val="00B0043B"/>
    <w:rsid w:val="00B01023"/>
    <w:rsid w:val="00B014F8"/>
    <w:rsid w:val="00B01B40"/>
    <w:rsid w:val="00B01F31"/>
    <w:rsid w:val="00B0299C"/>
    <w:rsid w:val="00B02F65"/>
    <w:rsid w:val="00B03486"/>
    <w:rsid w:val="00B03D30"/>
    <w:rsid w:val="00B0428C"/>
    <w:rsid w:val="00B05F48"/>
    <w:rsid w:val="00B0761E"/>
    <w:rsid w:val="00B0780D"/>
    <w:rsid w:val="00B07872"/>
    <w:rsid w:val="00B10FFA"/>
    <w:rsid w:val="00B1125D"/>
    <w:rsid w:val="00B12CC4"/>
    <w:rsid w:val="00B12CCD"/>
    <w:rsid w:val="00B1308F"/>
    <w:rsid w:val="00B13B6A"/>
    <w:rsid w:val="00B1429F"/>
    <w:rsid w:val="00B14917"/>
    <w:rsid w:val="00B16193"/>
    <w:rsid w:val="00B16936"/>
    <w:rsid w:val="00B17F05"/>
    <w:rsid w:val="00B20274"/>
    <w:rsid w:val="00B20536"/>
    <w:rsid w:val="00B20845"/>
    <w:rsid w:val="00B20F15"/>
    <w:rsid w:val="00B21943"/>
    <w:rsid w:val="00B222AA"/>
    <w:rsid w:val="00B22396"/>
    <w:rsid w:val="00B2250C"/>
    <w:rsid w:val="00B228B0"/>
    <w:rsid w:val="00B22DA6"/>
    <w:rsid w:val="00B249C7"/>
    <w:rsid w:val="00B258B3"/>
    <w:rsid w:val="00B25FBC"/>
    <w:rsid w:val="00B263CD"/>
    <w:rsid w:val="00B26471"/>
    <w:rsid w:val="00B26712"/>
    <w:rsid w:val="00B270D3"/>
    <w:rsid w:val="00B27775"/>
    <w:rsid w:val="00B277D0"/>
    <w:rsid w:val="00B27E62"/>
    <w:rsid w:val="00B3013A"/>
    <w:rsid w:val="00B30459"/>
    <w:rsid w:val="00B306E8"/>
    <w:rsid w:val="00B31640"/>
    <w:rsid w:val="00B31B65"/>
    <w:rsid w:val="00B323C9"/>
    <w:rsid w:val="00B3290A"/>
    <w:rsid w:val="00B32BC7"/>
    <w:rsid w:val="00B3390C"/>
    <w:rsid w:val="00B339E3"/>
    <w:rsid w:val="00B34690"/>
    <w:rsid w:val="00B35AD1"/>
    <w:rsid w:val="00B35BF6"/>
    <w:rsid w:val="00B3766C"/>
    <w:rsid w:val="00B406B2"/>
    <w:rsid w:val="00B40746"/>
    <w:rsid w:val="00B420F3"/>
    <w:rsid w:val="00B421FD"/>
    <w:rsid w:val="00B43856"/>
    <w:rsid w:val="00B4453D"/>
    <w:rsid w:val="00B46050"/>
    <w:rsid w:val="00B47E7F"/>
    <w:rsid w:val="00B5210C"/>
    <w:rsid w:val="00B53313"/>
    <w:rsid w:val="00B537A8"/>
    <w:rsid w:val="00B53BD9"/>
    <w:rsid w:val="00B53F30"/>
    <w:rsid w:val="00B55974"/>
    <w:rsid w:val="00B55E50"/>
    <w:rsid w:val="00B55F7D"/>
    <w:rsid w:val="00B62BE3"/>
    <w:rsid w:val="00B62E0F"/>
    <w:rsid w:val="00B63BBB"/>
    <w:rsid w:val="00B63E2C"/>
    <w:rsid w:val="00B642E3"/>
    <w:rsid w:val="00B649B6"/>
    <w:rsid w:val="00B6505B"/>
    <w:rsid w:val="00B65550"/>
    <w:rsid w:val="00B6577C"/>
    <w:rsid w:val="00B659D5"/>
    <w:rsid w:val="00B65E57"/>
    <w:rsid w:val="00B66189"/>
    <w:rsid w:val="00B66AC6"/>
    <w:rsid w:val="00B66D23"/>
    <w:rsid w:val="00B66D5A"/>
    <w:rsid w:val="00B7138D"/>
    <w:rsid w:val="00B71890"/>
    <w:rsid w:val="00B719EF"/>
    <w:rsid w:val="00B71B25"/>
    <w:rsid w:val="00B73C31"/>
    <w:rsid w:val="00B73F88"/>
    <w:rsid w:val="00B74D17"/>
    <w:rsid w:val="00B74FDE"/>
    <w:rsid w:val="00B75355"/>
    <w:rsid w:val="00B8094F"/>
    <w:rsid w:val="00B80BC7"/>
    <w:rsid w:val="00B8263F"/>
    <w:rsid w:val="00B83712"/>
    <w:rsid w:val="00B85B41"/>
    <w:rsid w:val="00B85C15"/>
    <w:rsid w:val="00B864D9"/>
    <w:rsid w:val="00B8766E"/>
    <w:rsid w:val="00B87B9E"/>
    <w:rsid w:val="00B90533"/>
    <w:rsid w:val="00B909ED"/>
    <w:rsid w:val="00B90A66"/>
    <w:rsid w:val="00B92779"/>
    <w:rsid w:val="00B92C9C"/>
    <w:rsid w:val="00B934F0"/>
    <w:rsid w:val="00B937ED"/>
    <w:rsid w:val="00B93C80"/>
    <w:rsid w:val="00B93CAB"/>
    <w:rsid w:val="00B94899"/>
    <w:rsid w:val="00B96209"/>
    <w:rsid w:val="00B96F91"/>
    <w:rsid w:val="00B9770E"/>
    <w:rsid w:val="00BA03B8"/>
    <w:rsid w:val="00BA0E06"/>
    <w:rsid w:val="00BA2085"/>
    <w:rsid w:val="00BA3D93"/>
    <w:rsid w:val="00BA40AE"/>
    <w:rsid w:val="00BA5106"/>
    <w:rsid w:val="00BA5461"/>
    <w:rsid w:val="00BA554C"/>
    <w:rsid w:val="00BA55CB"/>
    <w:rsid w:val="00BA5D80"/>
    <w:rsid w:val="00BB0706"/>
    <w:rsid w:val="00BB1241"/>
    <w:rsid w:val="00BB207F"/>
    <w:rsid w:val="00BB2540"/>
    <w:rsid w:val="00BB310B"/>
    <w:rsid w:val="00BB337F"/>
    <w:rsid w:val="00BB39FB"/>
    <w:rsid w:val="00BB5DB1"/>
    <w:rsid w:val="00BB6A5E"/>
    <w:rsid w:val="00BB6E47"/>
    <w:rsid w:val="00BB7826"/>
    <w:rsid w:val="00BC1409"/>
    <w:rsid w:val="00BC2054"/>
    <w:rsid w:val="00BC28B3"/>
    <w:rsid w:val="00BC3AFC"/>
    <w:rsid w:val="00BC3D4F"/>
    <w:rsid w:val="00BC40AE"/>
    <w:rsid w:val="00BC5487"/>
    <w:rsid w:val="00BC5703"/>
    <w:rsid w:val="00BC5D75"/>
    <w:rsid w:val="00BC6101"/>
    <w:rsid w:val="00BC61F0"/>
    <w:rsid w:val="00BC6BB2"/>
    <w:rsid w:val="00BC6D46"/>
    <w:rsid w:val="00BD1840"/>
    <w:rsid w:val="00BD2133"/>
    <w:rsid w:val="00BD2499"/>
    <w:rsid w:val="00BD2A73"/>
    <w:rsid w:val="00BD3BBE"/>
    <w:rsid w:val="00BD4D44"/>
    <w:rsid w:val="00BD4DD0"/>
    <w:rsid w:val="00BD65AC"/>
    <w:rsid w:val="00BD6F40"/>
    <w:rsid w:val="00BD7566"/>
    <w:rsid w:val="00BD7E83"/>
    <w:rsid w:val="00BE01A4"/>
    <w:rsid w:val="00BE116F"/>
    <w:rsid w:val="00BE271B"/>
    <w:rsid w:val="00BE2E63"/>
    <w:rsid w:val="00BE310D"/>
    <w:rsid w:val="00BE312F"/>
    <w:rsid w:val="00BE314B"/>
    <w:rsid w:val="00BE398F"/>
    <w:rsid w:val="00BE3BE1"/>
    <w:rsid w:val="00BE414B"/>
    <w:rsid w:val="00BE46A5"/>
    <w:rsid w:val="00BE6017"/>
    <w:rsid w:val="00BE6AD7"/>
    <w:rsid w:val="00BE72A9"/>
    <w:rsid w:val="00BF166E"/>
    <w:rsid w:val="00BF2DE1"/>
    <w:rsid w:val="00BF3BC8"/>
    <w:rsid w:val="00BF3F0F"/>
    <w:rsid w:val="00BF529D"/>
    <w:rsid w:val="00BF5ECB"/>
    <w:rsid w:val="00BF6AE3"/>
    <w:rsid w:val="00BF6D6A"/>
    <w:rsid w:val="00BF715E"/>
    <w:rsid w:val="00BF7E9A"/>
    <w:rsid w:val="00C0195C"/>
    <w:rsid w:val="00C01EEA"/>
    <w:rsid w:val="00C02156"/>
    <w:rsid w:val="00C02E38"/>
    <w:rsid w:val="00C038BC"/>
    <w:rsid w:val="00C054C6"/>
    <w:rsid w:val="00C058C7"/>
    <w:rsid w:val="00C066AD"/>
    <w:rsid w:val="00C0787F"/>
    <w:rsid w:val="00C10C4C"/>
    <w:rsid w:val="00C10FE5"/>
    <w:rsid w:val="00C1164E"/>
    <w:rsid w:val="00C11CE0"/>
    <w:rsid w:val="00C12333"/>
    <w:rsid w:val="00C12512"/>
    <w:rsid w:val="00C125CD"/>
    <w:rsid w:val="00C13553"/>
    <w:rsid w:val="00C13781"/>
    <w:rsid w:val="00C14158"/>
    <w:rsid w:val="00C14519"/>
    <w:rsid w:val="00C14CF6"/>
    <w:rsid w:val="00C20658"/>
    <w:rsid w:val="00C20BC5"/>
    <w:rsid w:val="00C21BAA"/>
    <w:rsid w:val="00C223DD"/>
    <w:rsid w:val="00C23714"/>
    <w:rsid w:val="00C24E5B"/>
    <w:rsid w:val="00C252DD"/>
    <w:rsid w:val="00C26424"/>
    <w:rsid w:val="00C26C14"/>
    <w:rsid w:val="00C2727E"/>
    <w:rsid w:val="00C272DE"/>
    <w:rsid w:val="00C27340"/>
    <w:rsid w:val="00C27C12"/>
    <w:rsid w:val="00C27EA3"/>
    <w:rsid w:val="00C30425"/>
    <w:rsid w:val="00C31058"/>
    <w:rsid w:val="00C32291"/>
    <w:rsid w:val="00C32608"/>
    <w:rsid w:val="00C32CDB"/>
    <w:rsid w:val="00C33522"/>
    <w:rsid w:val="00C337AE"/>
    <w:rsid w:val="00C352A7"/>
    <w:rsid w:val="00C36AD1"/>
    <w:rsid w:val="00C36C41"/>
    <w:rsid w:val="00C36C55"/>
    <w:rsid w:val="00C371FC"/>
    <w:rsid w:val="00C3755A"/>
    <w:rsid w:val="00C410AF"/>
    <w:rsid w:val="00C42FBC"/>
    <w:rsid w:val="00C443E8"/>
    <w:rsid w:val="00C4469D"/>
    <w:rsid w:val="00C45514"/>
    <w:rsid w:val="00C46D18"/>
    <w:rsid w:val="00C47587"/>
    <w:rsid w:val="00C47A70"/>
    <w:rsid w:val="00C51665"/>
    <w:rsid w:val="00C51A11"/>
    <w:rsid w:val="00C524BA"/>
    <w:rsid w:val="00C528D4"/>
    <w:rsid w:val="00C52C76"/>
    <w:rsid w:val="00C53EF6"/>
    <w:rsid w:val="00C54DC2"/>
    <w:rsid w:val="00C562F1"/>
    <w:rsid w:val="00C563DC"/>
    <w:rsid w:val="00C57CEE"/>
    <w:rsid w:val="00C57F80"/>
    <w:rsid w:val="00C57FDD"/>
    <w:rsid w:val="00C603B6"/>
    <w:rsid w:val="00C60848"/>
    <w:rsid w:val="00C61A35"/>
    <w:rsid w:val="00C6267B"/>
    <w:rsid w:val="00C647D2"/>
    <w:rsid w:val="00C64845"/>
    <w:rsid w:val="00C6487F"/>
    <w:rsid w:val="00C64C5A"/>
    <w:rsid w:val="00C65222"/>
    <w:rsid w:val="00C657DF"/>
    <w:rsid w:val="00C6624A"/>
    <w:rsid w:val="00C663B9"/>
    <w:rsid w:val="00C663EE"/>
    <w:rsid w:val="00C67420"/>
    <w:rsid w:val="00C71C13"/>
    <w:rsid w:val="00C71EAE"/>
    <w:rsid w:val="00C72C12"/>
    <w:rsid w:val="00C7454D"/>
    <w:rsid w:val="00C75D35"/>
    <w:rsid w:val="00C76819"/>
    <w:rsid w:val="00C76A19"/>
    <w:rsid w:val="00C76ECC"/>
    <w:rsid w:val="00C77044"/>
    <w:rsid w:val="00C80349"/>
    <w:rsid w:val="00C80881"/>
    <w:rsid w:val="00C80F5C"/>
    <w:rsid w:val="00C83D28"/>
    <w:rsid w:val="00C85A7A"/>
    <w:rsid w:val="00C85A9E"/>
    <w:rsid w:val="00C85D9E"/>
    <w:rsid w:val="00C86A4D"/>
    <w:rsid w:val="00C86D0C"/>
    <w:rsid w:val="00C86D68"/>
    <w:rsid w:val="00C87CAE"/>
    <w:rsid w:val="00C90A9A"/>
    <w:rsid w:val="00C914CB"/>
    <w:rsid w:val="00C92039"/>
    <w:rsid w:val="00C92222"/>
    <w:rsid w:val="00C92CA0"/>
    <w:rsid w:val="00C934B5"/>
    <w:rsid w:val="00C94018"/>
    <w:rsid w:val="00C968BF"/>
    <w:rsid w:val="00C96FCC"/>
    <w:rsid w:val="00C972C5"/>
    <w:rsid w:val="00C97DA4"/>
    <w:rsid w:val="00CA12A9"/>
    <w:rsid w:val="00CA29BD"/>
    <w:rsid w:val="00CA3271"/>
    <w:rsid w:val="00CA3CEA"/>
    <w:rsid w:val="00CA3F8F"/>
    <w:rsid w:val="00CA4590"/>
    <w:rsid w:val="00CA48FB"/>
    <w:rsid w:val="00CA5CDA"/>
    <w:rsid w:val="00CA6B7B"/>
    <w:rsid w:val="00CA7EF5"/>
    <w:rsid w:val="00CB0251"/>
    <w:rsid w:val="00CB030C"/>
    <w:rsid w:val="00CB0E2B"/>
    <w:rsid w:val="00CB21D0"/>
    <w:rsid w:val="00CB2B0F"/>
    <w:rsid w:val="00CB2C31"/>
    <w:rsid w:val="00CB3B28"/>
    <w:rsid w:val="00CB3CA8"/>
    <w:rsid w:val="00CB4AE8"/>
    <w:rsid w:val="00CB6440"/>
    <w:rsid w:val="00CB6465"/>
    <w:rsid w:val="00CB66D1"/>
    <w:rsid w:val="00CB7980"/>
    <w:rsid w:val="00CC0E9C"/>
    <w:rsid w:val="00CC1F61"/>
    <w:rsid w:val="00CC25F4"/>
    <w:rsid w:val="00CC291B"/>
    <w:rsid w:val="00CC2A44"/>
    <w:rsid w:val="00CC2DFB"/>
    <w:rsid w:val="00CC32AB"/>
    <w:rsid w:val="00CC35C4"/>
    <w:rsid w:val="00CC375B"/>
    <w:rsid w:val="00CC38A3"/>
    <w:rsid w:val="00CC4DF8"/>
    <w:rsid w:val="00CC6BA7"/>
    <w:rsid w:val="00CC72D9"/>
    <w:rsid w:val="00CC7CCF"/>
    <w:rsid w:val="00CC7E94"/>
    <w:rsid w:val="00CD021B"/>
    <w:rsid w:val="00CD0463"/>
    <w:rsid w:val="00CD08B3"/>
    <w:rsid w:val="00CD0F28"/>
    <w:rsid w:val="00CD1035"/>
    <w:rsid w:val="00CD147D"/>
    <w:rsid w:val="00CD1BDB"/>
    <w:rsid w:val="00CD2B60"/>
    <w:rsid w:val="00CD2EB6"/>
    <w:rsid w:val="00CD300D"/>
    <w:rsid w:val="00CD3182"/>
    <w:rsid w:val="00CD40FA"/>
    <w:rsid w:val="00CD410B"/>
    <w:rsid w:val="00CD4F74"/>
    <w:rsid w:val="00CD5629"/>
    <w:rsid w:val="00CD5CC9"/>
    <w:rsid w:val="00CD61D5"/>
    <w:rsid w:val="00CD7317"/>
    <w:rsid w:val="00CE03D0"/>
    <w:rsid w:val="00CE0A11"/>
    <w:rsid w:val="00CE1000"/>
    <w:rsid w:val="00CE1240"/>
    <w:rsid w:val="00CE2227"/>
    <w:rsid w:val="00CE2575"/>
    <w:rsid w:val="00CE2EFB"/>
    <w:rsid w:val="00CE3281"/>
    <w:rsid w:val="00CE463E"/>
    <w:rsid w:val="00CE477F"/>
    <w:rsid w:val="00CE4E29"/>
    <w:rsid w:val="00CE56CD"/>
    <w:rsid w:val="00CE5812"/>
    <w:rsid w:val="00CE5990"/>
    <w:rsid w:val="00CE5AA6"/>
    <w:rsid w:val="00CE696C"/>
    <w:rsid w:val="00CE69D8"/>
    <w:rsid w:val="00CE7414"/>
    <w:rsid w:val="00CE74DD"/>
    <w:rsid w:val="00CF0413"/>
    <w:rsid w:val="00CF116B"/>
    <w:rsid w:val="00CF2E08"/>
    <w:rsid w:val="00CF3ACB"/>
    <w:rsid w:val="00CF46B5"/>
    <w:rsid w:val="00CF4B8E"/>
    <w:rsid w:val="00CF51A8"/>
    <w:rsid w:val="00CF67E0"/>
    <w:rsid w:val="00CF7285"/>
    <w:rsid w:val="00CF77BF"/>
    <w:rsid w:val="00CF7CE7"/>
    <w:rsid w:val="00CF7D77"/>
    <w:rsid w:val="00D00991"/>
    <w:rsid w:val="00D027A7"/>
    <w:rsid w:val="00D03D5F"/>
    <w:rsid w:val="00D046C8"/>
    <w:rsid w:val="00D06432"/>
    <w:rsid w:val="00D0724E"/>
    <w:rsid w:val="00D10EE7"/>
    <w:rsid w:val="00D11710"/>
    <w:rsid w:val="00D12B67"/>
    <w:rsid w:val="00D12E10"/>
    <w:rsid w:val="00D13F74"/>
    <w:rsid w:val="00D140EA"/>
    <w:rsid w:val="00D14D8D"/>
    <w:rsid w:val="00D14F77"/>
    <w:rsid w:val="00D15BE9"/>
    <w:rsid w:val="00D15ECC"/>
    <w:rsid w:val="00D15EF9"/>
    <w:rsid w:val="00D17034"/>
    <w:rsid w:val="00D1736C"/>
    <w:rsid w:val="00D20705"/>
    <w:rsid w:val="00D21B0C"/>
    <w:rsid w:val="00D222D7"/>
    <w:rsid w:val="00D22741"/>
    <w:rsid w:val="00D22A3B"/>
    <w:rsid w:val="00D22C79"/>
    <w:rsid w:val="00D2362D"/>
    <w:rsid w:val="00D23670"/>
    <w:rsid w:val="00D2518F"/>
    <w:rsid w:val="00D25D7E"/>
    <w:rsid w:val="00D25E4A"/>
    <w:rsid w:val="00D26003"/>
    <w:rsid w:val="00D2614E"/>
    <w:rsid w:val="00D3010C"/>
    <w:rsid w:val="00D30798"/>
    <w:rsid w:val="00D30D4F"/>
    <w:rsid w:val="00D3192C"/>
    <w:rsid w:val="00D320DE"/>
    <w:rsid w:val="00D3271D"/>
    <w:rsid w:val="00D331FA"/>
    <w:rsid w:val="00D3403D"/>
    <w:rsid w:val="00D3425C"/>
    <w:rsid w:val="00D34BC5"/>
    <w:rsid w:val="00D34D73"/>
    <w:rsid w:val="00D35525"/>
    <w:rsid w:val="00D36853"/>
    <w:rsid w:val="00D37020"/>
    <w:rsid w:val="00D4013C"/>
    <w:rsid w:val="00D407AF"/>
    <w:rsid w:val="00D41626"/>
    <w:rsid w:val="00D416C4"/>
    <w:rsid w:val="00D419F5"/>
    <w:rsid w:val="00D41AB5"/>
    <w:rsid w:val="00D4277D"/>
    <w:rsid w:val="00D42ACE"/>
    <w:rsid w:val="00D42D23"/>
    <w:rsid w:val="00D44154"/>
    <w:rsid w:val="00D447CB"/>
    <w:rsid w:val="00D44C0C"/>
    <w:rsid w:val="00D44D8C"/>
    <w:rsid w:val="00D44DFC"/>
    <w:rsid w:val="00D44EA9"/>
    <w:rsid w:val="00D47987"/>
    <w:rsid w:val="00D47B1D"/>
    <w:rsid w:val="00D47BD5"/>
    <w:rsid w:val="00D47E54"/>
    <w:rsid w:val="00D500E1"/>
    <w:rsid w:val="00D50556"/>
    <w:rsid w:val="00D506F1"/>
    <w:rsid w:val="00D50D91"/>
    <w:rsid w:val="00D51961"/>
    <w:rsid w:val="00D52EAB"/>
    <w:rsid w:val="00D53484"/>
    <w:rsid w:val="00D53FA9"/>
    <w:rsid w:val="00D5459D"/>
    <w:rsid w:val="00D552F4"/>
    <w:rsid w:val="00D561A7"/>
    <w:rsid w:val="00D56620"/>
    <w:rsid w:val="00D56DC8"/>
    <w:rsid w:val="00D57054"/>
    <w:rsid w:val="00D572AC"/>
    <w:rsid w:val="00D57474"/>
    <w:rsid w:val="00D60258"/>
    <w:rsid w:val="00D607B5"/>
    <w:rsid w:val="00D60D5A"/>
    <w:rsid w:val="00D61962"/>
    <w:rsid w:val="00D61EA0"/>
    <w:rsid w:val="00D6255A"/>
    <w:rsid w:val="00D626AA"/>
    <w:rsid w:val="00D6366A"/>
    <w:rsid w:val="00D6386B"/>
    <w:rsid w:val="00D63F6D"/>
    <w:rsid w:val="00D64B58"/>
    <w:rsid w:val="00D65999"/>
    <w:rsid w:val="00D65E55"/>
    <w:rsid w:val="00D66098"/>
    <w:rsid w:val="00D66993"/>
    <w:rsid w:val="00D66E6E"/>
    <w:rsid w:val="00D678A5"/>
    <w:rsid w:val="00D701AF"/>
    <w:rsid w:val="00D70211"/>
    <w:rsid w:val="00D71507"/>
    <w:rsid w:val="00D72E00"/>
    <w:rsid w:val="00D73ABF"/>
    <w:rsid w:val="00D73F77"/>
    <w:rsid w:val="00D74242"/>
    <w:rsid w:val="00D74469"/>
    <w:rsid w:val="00D74A98"/>
    <w:rsid w:val="00D74B41"/>
    <w:rsid w:val="00D758D8"/>
    <w:rsid w:val="00D77066"/>
    <w:rsid w:val="00D7709A"/>
    <w:rsid w:val="00D7742B"/>
    <w:rsid w:val="00D77B4E"/>
    <w:rsid w:val="00D806D9"/>
    <w:rsid w:val="00D80937"/>
    <w:rsid w:val="00D809D8"/>
    <w:rsid w:val="00D80AE7"/>
    <w:rsid w:val="00D81367"/>
    <w:rsid w:val="00D82758"/>
    <w:rsid w:val="00D82B64"/>
    <w:rsid w:val="00D85E09"/>
    <w:rsid w:val="00D85F33"/>
    <w:rsid w:val="00D86D3B"/>
    <w:rsid w:val="00D87F17"/>
    <w:rsid w:val="00D91417"/>
    <w:rsid w:val="00D9175F"/>
    <w:rsid w:val="00D91AA8"/>
    <w:rsid w:val="00D91F92"/>
    <w:rsid w:val="00D92349"/>
    <w:rsid w:val="00D92CA5"/>
    <w:rsid w:val="00D97F6D"/>
    <w:rsid w:val="00DA0380"/>
    <w:rsid w:val="00DA0556"/>
    <w:rsid w:val="00DA0F03"/>
    <w:rsid w:val="00DA10E4"/>
    <w:rsid w:val="00DA11A7"/>
    <w:rsid w:val="00DA15F2"/>
    <w:rsid w:val="00DA1F41"/>
    <w:rsid w:val="00DA217E"/>
    <w:rsid w:val="00DA241F"/>
    <w:rsid w:val="00DA47D9"/>
    <w:rsid w:val="00DA48DF"/>
    <w:rsid w:val="00DA4C5E"/>
    <w:rsid w:val="00DA5609"/>
    <w:rsid w:val="00DA5B19"/>
    <w:rsid w:val="00DA5DA5"/>
    <w:rsid w:val="00DA736B"/>
    <w:rsid w:val="00DA7932"/>
    <w:rsid w:val="00DB2DBA"/>
    <w:rsid w:val="00DB2E91"/>
    <w:rsid w:val="00DB3319"/>
    <w:rsid w:val="00DB3D5F"/>
    <w:rsid w:val="00DB4AA1"/>
    <w:rsid w:val="00DB4F8B"/>
    <w:rsid w:val="00DB5D9F"/>
    <w:rsid w:val="00DB6145"/>
    <w:rsid w:val="00DB6531"/>
    <w:rsid w:val="00DB6722"/>
    <w:rsid w:val="00DB67FF"/>
    <w:rsid w:val="00DB7053"/>
    <w:rsid w:val="00DB78CC"/>
    <w:rsid w:val="00DB7CBB"/>
    <w:rsid w:val="00DB7F83"/>
    <w:rsid w:val="00DC020F"/>
    <w:rsid w:val="00DC0322"/>
    <w:rsid w:val="00DC0791"/>
    <w:rsid w:val="00DC0A8E"/>
    <w:rsid w:val="00DC0BE8"/>
    <w:rsid w:val="00DC101C"/>
    <w:rsid w:val="00DC1433"/>
    <w:rsid w:val="00DC1D6E"/>
    <w:rsid w:val="00DC2203"/>
    <w:rsid w:val="00DC2D87"/>
    <w:rsid w:val="00DC2E44"/>
    <w:rsid w:val="00DC35EC"/>
    <w:rsid w:val="00DC45E3"/>
    <w:rsid w:val="00DC4ABA"/>
    <w:rsid w:val="00DC4CE7"/>
    <w:rsid w:val="00DC602F"/>
    <w:rsid w:val="00DC6EF7"/>
    <w:rsid w:val="00DC71CD"/>
    <w:rsid w:val="00DC7559"/>
    <w:rsid w:val="00DC7B87"/>
    <w:rsid w:val="00DD1529"/>
    <w:rsid w:val="00DD15B1"/>
    <w:rsid w:val="00DD196F"/>
    <w:rsid w:val="00DD32AB"/>
    <w:rsid w:val="00DD34C9"/>
    <w:rsid w:val="00DD3B92"/>
    <w:rsid w:val="00DD4975"/>
    <w:rsid w:val="00DD4F8B"/>
    <w:rsid w:val="00DD4FE6"/>
    <w:rsid w:val="00DD52CB"/>
    <w:rsid w:val="00DD5939"/>
    <w:rsid w:val="00DD7B0D"/>
    <w:rsid w:val="00DE098E"/>
    <w:rsid w:val="00DE0C71"/>
    <w:rsid w:val="00DE169F"/>
    <w:rsid w:val="00DE1D67"/>
    <w:rsid w:val="00DE2081"/>
    <w:rsid w:val="00DE393E"/>
    <w:rsid w:val="00DE3D4F"/>
    <w:rsid w:val="00DE5712"/>
    <w:rsid w:val="00DE644F"/>
    <w:rsid w:val="00DE7F6F"/>
    <w:rsid w:val="00DF0A61"/>
    <w:rsid w:val="00DF1367"/>
    <w:rsid w:val="00DF1A8E"/>
    <w:rsid w:val="00DF24DD"/>
    <w:rsid w:val="00DF3C35"/>
    <w:rsid w:val="00DF423C"/>
    <w:rsid w:val="00DF5AFE"/>
    <w:rsid w:val="00DF63E1"/>
    <w:rsid w:val="00DF7D01"/>
    <w:rsid w:val="00E013BA"/>
    <w:rsid w:val="00E01923"/>
    <w:rsid w:val="00E01E58"/>
    <w:rsid w:val="00E02647"/>
    <w:rsid w:val="00E0267D"/>
    <w:rsid w:val="00E044A5"/>
    <w:rsid w:val="00E05180"/>
    <w:rsid w:val="00E0602D"/>
    <w:rsid w:val="00E0651A"/>
    <w:rsid w:val="00E066C4"/>
    <w:rsid w:val="00E07304"/>
    <w:rsid w:val="00E104C4"/>
    <w:rsid w:val="00E10F80"/>
    <w:rsid w:val="00E113E6"/>
    <w:rsid w:val="00E11545"/>
    <w:rsid w:val="00E11734"/>
    <w:rsid w:val="00E12B8E"/>
    <w:rsid w:val="00E136DE"/>
    <w:rsid w:val="00E14E82"/>
    <w:rsid w:val="00E151D2"/>
    <w:rsid w:val="00E15DF8"/>
    <w:rsid w:val="00E166D7"/>
    <w:rsid w:val="00E20654"/>
    <w:rsid w:val="00E21A40"/>
    <w:rsid w:val="00E21FCF"/>
    <w:rsid w:val="00E23E3C"/>
    <w:rsid w:val="00E23E64"/>
    <w:rsid w:val="00E24254"/>
    <w:rsid w:val="00E2488C"/>
    <w:rsid w:val="00E249F2"/>
    <w:rsid w:val="00E24AEF"/>
    <w:rsid w:val="00E25260"/>
    <w:rsid w:val="00E254E7"/>
    <w:rsid w:val="00E2631D"/>
    <w:rsid w:val="00E26B35"/>
    <w:rsid w:val="00E27995"/>
    <w:rsid w:val="00E27C59"/>
    <w:rsid w:val="00E30AD3"/>
    <w:rsid w:val="00E30E49"/>
    <w:rsid w:val="00E30F4E"/>
    <w:rsid w:val="00E31181"/>
    <w:rsid w:val="00E319B3"/>
    <w:rsid w:val="00E3214D"/>
    <w:rsid w:val="00E33EDC"/>
    <w:rsid w:val="00E3445E"/>
    <w:rsid w:val="00E3456E"/>
    <w:rsid w:val="00E354A2"/>
    <w:rsid w:val="00E35801"/>
    <w:rsid w:val="00E358CD"/>
    <w:rsid w:val="00E35E37"/>
    <w:rsid w:val="00E36027"/>
    <w:rsid w:val="00E37F66"/>
    <w:rsid w:val="00E405F4"/>
    <w:rsid w:val="00E40866"/>
    <w:rsid w:val="00E41689"/>
    <w:rsid w:val="00E418DA"/>
    <w:rsid w:val="00E42BF1"/>
    <w:rsid w:val="00E42DAF"/>
    <w:rsid w:val="00E45835"/>
    <w:rsid w:val="00E45A0D"/>
    <w:rsid w:val="00E461AE"/>
    <w:rsid w:val="00E46674"/>
    <w:rsid w:val="00E46A45"/>
    <w:rsid w:val="00E471AA"/>
    <w:rsid w:val="00E478BE"/>
    <w:rsid w:val="00E47A6C"/>
    <w:rsid w:val="00E50070"/>
    <w:rsid w:val="00E5104A"/>
    <w:rsid w:val="00E51219"/>
    <w:rsid w:val="00E52701"/>
    <w:rsid w:val="00E52DC2"/>
    <w:rsid w:val="00E52DDF"/>
    <w:rsid w:val="00E533D8"/>
    <w:rsid w:val="00E537E3"/>
    <w:rsid w:val="00E53B04"/>
    <w:rsid w:val="00E53DFA"/>
    <w:rsid w:val="00E53EAF"/>
    <w:rsid w:val="00E543AD"/>
    <w:rsid w:val="00E54C50"/>
    <w:rsid w:val="00E55328"/>
    <w:rsid w:val="00E55472"/>
    <w:rsid w:val="00E56A33"/>
    <w:rsid w:val="00E57480"/>
    <w:rsid w:val="00E57A7F"/>
    <w:rsid w:val="00E60175"/>
    <w:rsid w:val="00E60BE0"/>
    <w:rsid w:val="00E60BF2"/>
    <w:rsid w:val="00E620E0"/>
    <w:rsid w:val="00E626FE"/>
    <w:rsid w:val="00E62981"/>
    <w:rsid w:val="00E63104"/>
    <w:rsid w:val="00E64D95"/>
    <w:rsid w:val="00E65113"/>
    <w:rsid w:val="00E652D1"/>
    <w:rsid w:val="00E654C9"/>
    <w:rsid w:val="00E66547"/>
    <w:rsid w:val="00E66A27"/>
    <w:rsid w:val="00E6745B"/>
    <w:rsid w:val="00E6749F"/>
    <w:rsid w:val="00E7106B"/>
    <w:rsid w:val="00E71700"/>
    <w:rsid w:val="00E71979"/>
    <w:rsid w:val="00E71C6B"/>
    <w:rsid w:val="00E728B0"/>
    <w:rsid w:val="00E72D87"/>
    <w:rsid w:val="00E73848"/>
    <w:rsid w:val="00E76517"/>
    <w:rsid w:val="00E77C0E"/>
    <w:rsid w:val="00E803E8"/>
    <w:rsid w:val="00E80C98"/>
    <w:rsid w:val="00E819BD"/>
    <w:rsid w:val="00E8223F"/>
    <w:rsid w:val="00E8228D"/>
    <w:rsid w:val="00E826F1"/>
    <w:rsid w:val="00E827AC"/>
    <w:rsid w:val="00E82C55"/>
    <w:rsid w:val="00E83065"/>
    <w:rsid w:val="00E903A3"/>
    <w:rsid w:val="00E90496"/>
    <w:rsid w:val="00E90975"/>
    <w:rsid w:val="00E90BEC"/>
    <w:rsid w:val="00E915A6"/>
    <w:rsid w:val="00E92025"/>
    <w:rsid w:val="00E92110"/>
    <w:rsid w:val="00E92352"/>
    <w:rsid w:val="00E9310E"/>
    <w:rsid w:val="00E93713"/>
    <w:rsid w:val="00E9441E"/>
    <w:rsid w:val="00E94A3D"/>
    <w:rsid w:val="00E954CE"/>
    <w:rsid w:val="00E95A81"/>
    <w:rsid w:val="00E95B78"/>
    <w:rsid w:val="00E965C0"/>
    <w:rsid w:val="00E96D1D"/>
    <w:rsid w:val="00E96F46"/>
    <w:rsid w:val="00E974AC"/>
    <w:rsid w:val="00EA04E7"/>
    <w:rsid w:val="00EA0C3A"/>
    <w:rsid w:val="00EA0E26"/>
    <w:rsid w:val="00EA1414"/>
    <w:rsid w:val="00EA153B"/>
    <w:rsid w:val="00EA1A58"/>
    <w:rsid w:val="00EA1F78"/>
    <w:rsid w:val="00EA25B2"/>
    <w:rsid w:val="00EA2EE0"/>
    <w:rsid w:val="00EA38F3"/>
    <w:rsid w:val="00EA3E11"/>
    <w:rsid w:val="00EA5507"/>
    <w:rsid w:val="00EA568A"/>
    <w:rsid w:val="00EA5DB0"/>
    <w:rsid w:val="00EA6072"/>
    <w:rsid w:val="00EA6714"/>
    <w:rsid w:val="00EA6C19"/>
    <w:rsid w:val="00EA6E99"/>
    <w:rsid w:val="00EA6F54"/>
    <w:rsid w:val="00EA78BF"/>
    <w:rsid w:val="00EB0CCE"/>
    <w:rsid w:val="00EB25D5"/>
    <w:rsid w:val="00EB2ADF"/>
    <w:rsid w:val="00EB2BDF"/>
    <w:rsid w:val="00EB31E6"/>
    <w:rsid w:val="00EB3FAA"/>
    <w:rsid w:val="00EB4F74"/>
    <w:rsid w:val="00EB5F6C"/>
    <w:rsid w:val="00EB6051"/>
    <w:rsid w:val="00EB65CE"/>
    <w:rsid w:val="00EB698D"/>
    <w:rsid w:val="00EB6A58"/>
    <w:rsid w:val="00EB6B0B"/>
    <w:rsid w:val="00EB715A"/>
    <w:rsid w:val="00EB7A3B"/>
    <w:rsid w:val="00EC05EC"/>
    <w:rsid w:val="00EC0E64"/>
    <w:rsid w:val="00EC2FC5"/>
    <w:rsid w:val="00EC37B5"/>
    <w:rsid w:val="00EC37BF"/>
    <w:rsid w:val="00EC423E"/>
    <w:rsid w:val="00EC50D8"/>
    <w:rsid w:val="00EC61C3"/>
    <w:rsid w:val="00EC6FF6"/>
    <w:rsid w:val="00EC758E"/>
    <w:rsid w:val="00ED166D"/>
    <w:rsid w:val="00ED19D0"/>
    <w:rsid w:val="00ED239B"/>
    <w:rsid w:val="00ED30F8"/>
    <w:rsid w:val="00ED3261"/>
    <w:rsid w:val="00ED349B"/>
    <w:rsid w:val="00ED38E8"/>
    <w:rsid w:val="00ED3987"/>
    <w:rsid w:val="00ED464E"/>
    <w:rsid w:val="00ED5CA9"/>
    <w:rsid w:val="00ED6823"/>
    <w:rsid w:val="00EE0415"/>
    <w:rsid w:val="00EE15A0"/>
    <w:rsid w:val="00EE1A49"/>
    <w:rsid w:val="00EE23FD"/>
    <w:rsid w:val="00EE4A42"/>
    <w:rsid w:val="00EE4C90"/>
    <w:rsid w:val="00EE5D2A"/>
    <w:rsid w:val="00EE5EE2"/>
    <w:rsid w:val="00EE6838"/>
    <w:rsid w:val="00EE761F"/>
    <w:rsid w:val="00EF0EC8"/>
    <w:rsid w:val="00EF123B"/>
    <w:rsid w:val="00EF1488"/>
    <w:rsid w:val="00EF234C"/>
    <w:rsid w:val="00EF24B6"/>
    <w:rsid w:val="00EF2578"/>
    <w:rsid w:val="00EF3A4F"/>
    <w:rsid w:val="00EF3B7F"/>
    <w:rsid w:val="00EF3FA0"/>
    <w:rsid w:val="00EF54B9"/>
    <w:rsid w:val="00EF613C"/>
    <w:rsid w:val="00EF6F62"/>
    <w:rsid w:val="00EF7477"/>
    <w:rsid w:val="00EF768E"/>
    <w:rsid w:val="00EF7C2B"/>
    <w:rsid w:val="00F014A8"/>
    <w:rsid w:val="00F01629"/>
    <w:rsid w:val="00F0169C"/>
    <w:rsid w:val="00F016E4"/>
    <w:rsid w:val="00F01C71"/>
    <w:rsid w:val="00F027CB"/>
    <w:rsid w:val="00F03F6A"/>
    <w:rsid w:val="00F0430A"/>
    <w:rsid w:val="00F04651"/>
    <w:rsid w:val="00F0637E"/>
    <w:rsid w:val="00F077B9"/>
    <w:rsid w:val="00F10B5B"/>
    <w:rsid w:val="00F11C1B"/>
    <w:rsid w:val="00F11E2D"/>
    <w:rsid w:val="00F11E99"/>
    <w:rsid w:val="00F12986"/>
    <w:rsid w:val="00F12AB9"/>
    <w:rsid w:val="00F13CDA"/>
    <w:rsid w:val="00F14404"/>
    <w:rsid w:val="00F14B67"/>
    <w:rsid w:val="00F14C0F"/>
    <w:rsid w:val="00F1556B"/>
    <w:rsid w:val="00F157E4"/>
    <w:rsid w:val="00F159F0"/>
    <w:rsid w:val="00F20E10"/>
    <w:rsid w:val="00F21922"/>
    <w:rsid w:val="00F23BA1"/>
    <w:rsid w:val="00F243E3"/>
    <w:rsid w:val="00F24BAE"/>
    <w:rsid w:val="00F24D1C"/>
    <w:rsid w:val="00F25873"/>
    <w:rsid w:val="00F26E00"/>
    <w:rsid w:val="00F26E68"/>
    <w:rsid w:val="00F26F8B"/>
    <w:rsid w:val="00F305EA"/>
    <w:rsid w:val="00F32392"/>
    <w:rsid w:val="00F32582"/>
    <w:rsid w:val="00F32BA8"/>
    <w:rsid w:val="00F32DB0"/>
    <w:rsid w:val="00F33726"/>
    <w:rsid w:val="00F33BA9"/>
    <w:rsid w:val="00F34000"/>
    <w:rsid w:val="00F3445E"/>
    <w:rsid w:val="00F34822"/>
    <w:rsid w:val="00F350B9"/>
    <w:rsid w:val="00F35420"/>
    <w:rsid w:val="00F360F3"/>
    <w:rsid w:val="00F36222"/>
    <w:rsid w:val="00F36935"/>
    <w:rsid w:val="00F36CEE"/>
    <w:rsid w:val="00F37F7E"/>
    <w:rsid w:val="00F41028"/>
    <w:rsid w:val="00F4131A"/>
    <w:rsid w:val="00F4181C"/>
    <w:rsid w:val="00F43770"/>
    <w:rsid w:val="00F44483"/>
    <w:rsid w:val="00F4567D"/>
    <w:rsid w:val="00F45F13"/>
    <w:rsid w:val="00F46588"/>
    <w:rsid w:val="00F46661"/>
    <w:rsid w:val="00F476EE"/>
    <w:rsid w:val="00F47B1C"/>
    <w:rsid w:val="00F5123E"/>
    <w:rsid w:val="00F51A0A"/>
    <w:rsid w:val="00F51F33"/>
    <w:rsid w:val="00F52412"/>
    <w:rsid w:val="00F52C33"/>
    <w:rsid w:val="00F52D15"/>
    <w:rsid w:val="00F5455A"/>
    <w:rsid w:val="00F55EEA"/>
    <w:rsid w:val="00F563FC"/>
    <w:rsid w:val="00F56725"/>
    <w:rsid w:val="00F569FF"/>
    <w:rsid w:val="00F57505"/>
    <w:rsid w:val="00F6054F"/>
    <w:rsid w:val="00F608ED"/>
    <w:rsid w:val="00F61964"/>
    <w:rsid w:val="00F6214B"/>
    <w:rsid w:val="00F62407"/>
    <w:rsid w:val="00F63E01"/>
    <w:rsid w:val="00F64276"/>
    <w:rsid w:val="00F644D6"/>
    <w:rsid w:val="00F65276"/>
    <w:rsid w:val="00F652EE"/>
    <w:rsid w:val="00F70C20"/>
    <w:rsid w:val="00F714FE"/>
    <w:rsid w:val="00F71A79"/>
    <w:rsid w:val="00F71DB6"/>
    <w:rsid w:val="00F72352"/>
    <w:rsid w:val="00F736B1"/>
    <w:rsid w:val="00F740DE"/>
    <w:rsid w:val="00F74427"/>
    <w:rsid w:val="00F759D3"/>
    <w:rsid w:val="00F77ED8"/>
    <w:rsid w:val="00F77FD8"/>
    <w:rsid w:val="00F80DED"/>
    <w:rsid w:val="00F8238C"/>
    <w:rsid w:val="00F826A8"/>
    <w:rsid w:val="00F8349B"/>
    <w:rsid w:val="00F837C2"/>
    <w:rsid w:val="00F84546"/>
    <w:rsid w:val="00F845CA"/>
    <w:rsid w:val="00F84C0D"/>
    <w:rsid w:val="00F854D5"/>
    <w:rsid w:val="00F8557D"/>
    <w:rsid w:val="00F85B22"/>
    <w:rsid w:val="00F85B5B"/>
    <w:rsid w:val="00F872A3"/>
    <w:rsid w:val="00F87709"/>
    <w:rsid w:val="00F91A17"/>
    <w:rsid w:val="00F91AA2"/>
    <w:rsid w:val="00F91EE9"/>
    <w:rsid w:val="00F92E40"/>
    <w:rsid w:val="00F93BC7"/>
    <w:rsid w:val="00F93F3B"/>
    <w:rsid w:val="00F94E45"/>
    <w:rsid w:val="00F95408"/>
    <w:rsid w:val="00F9556C"/>
    <w:rsid w:val="00F95EB5"/>
    <w:rsid w:val="00F9716F"/>
    <w:rsid w:val="00F97F6A"/>
    <w:rsid w:val="00FA006F"/>
    <w:rsid w:val="00FA04F0"/>
    <w:rsid w:val="00FA0B06"/>
    <w:rsid w:val="00FA1741"/>
    <w:rsid w:val="00FA1B05"/>
    <w:rsid w:val="00FA1C7E"/>
    <w:rsid w:val="00FA1E48"/>
    <w:rsid w:val="00FA43B1"/>
    <w:rsid w:val="00FA547B"/>
    <w:rsid w:val="00FA569C"/>
    <w:rsid w:val="00FA615A"/>
    <w:rsid w:val="00FB028A"/>
    <w:rsid w:val="00FB0DD7"/>
    <w:rsid w:val="00FB0ECA"/>
    <w:rsid w:val="00FB19E4"/>
    <w:rsid w:val="00FB2112"/>
    <w:rsid w:val="00FB234F"/>
    <w:rsid w:val="00FB26BD"/>
    <w:rsid w:val="00FB2B93"/>
    <w:rsid w:val="00FB2E0D"/>
    <w:rsid w:val="00FB3714"/>
    <w:rsid w:val="00FB40E5"/>
    <w:rsid w:val="00FB41A4"/>
    <w:rsid w:val="00FB4CC8"/>
    <w:rsid w:val="00FB4D88"/>
    <w:rsid w:val="00FB5145"/>
    <w:rsid w:val="00FB55F6"/>
    <w:rsid w:val="00FB5944"/>
    <w:rsid w:val="00FB63CB"/>
    <w:rsid w:val="00FC030E"/>
    <w:rsid w:val="00FC0BF7"/>
    <w:rsid w:val="00FC16EB"/>
    <w:rsid w:val="00FC39A4"/>
    <w:rsid w:val="00FC3C8C"/>
    <w:rsid w:val="00FC41A1"/>
    <w:rsid w:val="00FC4578"/>
    <w:rsid w:val="00FC51EE"/>
    <w:rsid w:val="00FC645C"/>
    <w:rsid w:val="00FC6599"/>
    <w:rsid w:val="00FC6E94"/>
    <w:rsid w:val="00FD03FC"/>
    <w:rsid w:val="00FD123E"/>
    <w:rsid w:val="00FD2671"/>
    <w:rsid w:val="00FD2927"/>
    <w:rsid w:val="00FD2E39"/>
    <w:rsid w:val="00FD37F9"/>
    <w:rsid w:val="00FD3C67"/>
    <w:rsid w:val="00FD4B2D"/>
    <w:rsid w:val="00FD5A95"/>
    <w:rsid w:val="00FD5D83"/>
    <w:rsid w:val="00FD67D9"/>
    <w:rsid w:val="00FD73BF"/>
    <w:rsid w:val="00FE0AA4"/>
    <w:rsid w:val="00FE1849"/>
    <w:rsid w:val="00FE564F"/>
    <w:rsid w:val="00FE5EA8"/>
    <w:rsid w:val="00FE603D"/>
    <w:rsid w:val="00FE609D"/>
    <w:rsid w:val="00FE6866"/>
    <w:rsid w:val="00FE6BB2"/>
    <w:rsid w:val="00FE793C"/>
    <w:rsid w:val="00FF1066"/>
    <w:rsid w:val="00FF14C5"/>
    <w:rsid w:val="00FF1E81"/>
    <w:rsid w:val="00FF23A5"/>
    <w:rsid w:val="00FF282B"/>
    <w:rsid w:val="00FF33E7"/>
    <w:rsid w:val="00FF4009"/>
    <w:rsid w:val="00FF4436"/>
    <w:rsid w:val="00FF4DC8"/>
    <w:rsid w:val="00FF6277"/>
    <w:rsid w:val="00FF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A0"/>
  </w:style>
  <w:style w:type="paragraph" w:styleId="Heading1">
    <w:name w:val="heading 1"/>
    <w:basedOn w:val="Normal"/>
    <w:next w:val="Normal"/>
    <w:link w:val="Heading1Char"/>
    <w:uiPriority w:val="9"/>
    <w:qFormat/>
    <w:rsid w:val="004A1D4B"/>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7413FE"/>
    <w:pPr>
      <w:keepNext/>
      <w:keepLines/>
      <w:numPr>
        <w:numId w:val="10"/>
      </w:numPr>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3281"/>
    <w:pPr>
      <w:keepNext/>
      <w:keepLines/>
      <w:spacing w:before="36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C443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D4B"/>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4A1D4B"/>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4A1D4B"/>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4A1D4B"/>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unhideWhenUsed/>
    <w:qFormat/>
    <w:rsid w:val="004A1D4B"/>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G Footnote Text,single space,FOOTNOTES,fn,Footnote Text 1,Footnote Text Char Char,Footnote Text Char Char Char,Char Char Char Char Char,ALTS FOOTNOTE,Note de bas de page2,footnote,footnote text,ft,texto de nota al pie,Footnote text,ADB"/>
    <w:basedOn w:val="Normal"/>
    <w:link w:val="FootnoteTextChar"/>
    <w:uiPriority w:val="99"/>
    <w:qFormat/>
    <w:rsid w:val="00296F65"/>
    <w:pPr>
      <w:spacing w:after="0" w:line="240" w:lineRule="auto"/>
    </w:pPr>
    <w:rPr>
      <w:rFonts w:ascii="Times New Roman" w:eastAsia="Times New Roman" w:hAnsi="Times New Roman"/>
      <w:sz w:val="16"/>
      <w:szCs w:val="20"/>
      <w:lang w:eastAsia="es-ES_tradnl" w:bidi="en-US"/>
    </w:rPr>
  </w:style>
  <w:style w:type="character" w:customStyle="1" w:styleId="FootnoteTextChar">
    <w:name w:val="Footnote Text Char"/>
    <w:aliases w:val="RG Footnote Text Char,single space Char,FOOTNOTES Char,fn Char,Footnote Text 1 Char,Footnote Text Char Char Char1,Footnote Text Char Char Char Char,Char Char Char Char Char Char,ALTS FOOTNOTE Char,Note de bas de page2 Char,ft Char"/>
    <w:basedOn w:val="DefaultParagraphFont"/>
    <w:link w:val="FootnoteText"/>
    <w:uiPriority w:val="99"/>
    <w:rsid w:val="00296F65"/>
    <w:rPr>
      <w:rFonts w:ascii="Times New Roman" w:eastAsia="Times New Roman" w:hAnsi="Times New Roman"/>
      <w:sz w:val="16"/>
      <w:szCs w:val="20"/>
      <w:lang w:eastAsia="es-ES_tradnl" w:bidi="en-US"/>
    </w:rPr>
  </w:style>
  <w:style w:type="character" w:styleId="FootnoteReference">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rsid w:val="009F6524"/>
    <w:rPr>
      <w:rFonts w:cs="Times New Roman"/>
      <w:vertAlign w:val="superscript"/>
    </w:rPr>
  </w:style>
  <w:style w:type="character" w:customStyle="1" w:styleId="Heading2Char">
    <w:name w:val="Heading 2 Char"/>
    <w:basedOn w:val="DefaultParagraphFont"/>
    <w:link w:val="Heading2"/>
    <w:uiPriority w:val="9"/>
    <w:rsid w:val="007413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3281"/>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uiPriority w:val="9"/>
    <w:rsid w:val="00C443E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A1D4B"/>
    <w:rPr>
      <w:rFonts w:asciiTheme="majorHAnsi" w:eastAsiaTheme="majorEastAsia" w:hAnsiTheme="majorHAnsi" w:cstheme="majorBidi"/>
      <w:b/>
      <w:bCs/>
      <w:sz w:val="28"/>
      <w:szCs w:val="28"/>
      <w:lang w:bidi="en-US"/>
    </w:rPr>
  </w:style>
  <w:style w:type="character" w:customStyle="1" w:styleId="Heading5Char">
    <w:name w:val="Heading 5 Char"/>
    <w:basedOn w:val="DefaultParagraphFont"/>
    <w:link w:val="Heading5"/>
    <w:uiPriority w:val="9"/>
    <w:rsid w:val="004A1D4B"/>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4A1D4B"/>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4A1D4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4A1D4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rsid w:val="004A1D4B"/>
    <w:rPr>
      <w:rFonts w:asciiTheme="majorHAnsi" w:eastAsiaTheme="majorEastAsia" w:hAnsiTheme="majorHAnsi" w:cstheme="majorBidi"/>
      <w:i/>
      <w:iCs/>
      <w:spacing w:val="5"/>
      <w:sz w:val="20"/>
      <w:szCs w:val="20"/>
      <w:lang w:bidi="en-US"/>
    </w:rPr>
  </w:style>
  <w:style w:type="numbering" w:customStyle="1" w:styleId="NoList1">
    <w:name w:val="No List1"/>
    <w:next w:val="NoList"/>
    <w:uiPriority w:val="99"/>
    <w:semiHidden/>
    <w:unhideWhenUsed/>
    <w:rsid w:val="004A1D4B"/>
  </w:style>
  <w:style w:type="paragraph" w:styleId="Title">
    <w:name w:val="Title"/>
    <w:basedOn w:val="Normal"/>
    <w:next w:val="Normal"/>
    <w:link w:val="TitleChar"/>
    <w:uiPriority w:val="10"/>
    <w:qFormat/>
    <w:rsid w:val="004A1D4B"/>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4A1D4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4A1D4B"/>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4A1D4B"/>
    <w:rPr>
      <w:rFonts w:asciiTheme="majorHAnsi" w:eastAsiaTheme="majorEastAsia" w:hAnsiTheme="majorHAnsi" w:cstheme="majorBidi"/>
      <w:i/>
      <w:iCs/>
      <w:spacing w:val="13"/>
      <w:sz w:val="24"/>
      <w:szCs w:val="24"/>
      <w:lang w:bidi="en-US"/>
    </w:rPr>
  </w:style>
  <w:style w:type="character" w:styleId="Strong">
    <w:name w:val="Strong"/>
    <w:uiPriority w:val="22"/>
    <w:qFormat/>
    <w:rsid w:val="004A1D4B"/>
    <w:rPr>
      <w:b/>
      <w:bCs/>
    </w:rPr>
  </w:style>
  <w:style w:type="character" w:styleId="Emphasis">
    <w:name w:val="Emphasis"/>
    <w:uiPriority w:val="20"/>
    <w:qFormat/>
    <w:rsid w:val="007E4A1E"/>
    <w:rPr>
      <w:rFonts w:asciiTheme="majorHAnsi" w:hAnsiTheme="majorHAnsi"/>
      <w:b/>
      <w:bCs/>
      <w:iCs/>
      <w:color w:val="4F81BD" w:themeColor="accent1"/>
      <w:spacing w:val="10"/>
    </w:rPr>
  </w:style>
  <w:style w:type="paragraph" w:styleId="NoSpacing">
    <w:name w:val="No Spacing"/>
    <w:basedOn w:val="Normal"/>
    <w:link w:val="NoSpacingChar"/>
    <w:uiPriority w:val="1"/>
    <w:qFormat/>
    <w:rsid w:val="004A1D4B"/>
    <w:pPr>
      <w:spacing w:after="0" w:line="240" w:lineRule="auto"/>
    </w:pPr>
    <w:rPr>
      <w:rFonts w:eastAsiaTheme="minorEastAsia"/>
      <w:lang w:bidi="en-US"/>
    </w:rPr>
  </w:style>
  <w:style w:type="paragraph" w:styleId="ListParagraph">
    <w:name w:val="List Paragraph"/>
    <w:basedOn w:val="Normal"/>
    <w:uiPriority w:val="34"/>
    <w:qFormat/>
    <w:rsid w:val="007D0B5B"/>
    <w:pPr>
      <w:numPr>
        <w:numId w:val="34"/>
      </w:numPr>
      <w:spacing w:before="120"/>
      <w:ind w:left="0" w:firstLine="0"/>
      <w:jc w:val="both"/>
    </w:pPr>
    <w:rPr>
      <w:rFonts w:ascii="Times New Roman" w:eastAsiaTheme="minorEastAsia" w:hAnsi="Times New Roman" w:cs="Times New Roman"/>
      <w:lang w:bidi="en-US"/>
    </w:rPr>
  </w:style>
  <w:style w:type="paragraph" w:styleId="Quote">
    <w:name w:val="Quote"/>
    <w:basedOn w:val="Normal"/>
    <w:next w:val="Normal"/>
    <w:link w:val="QuoteChar"/>
    <w:uiPriority w:val="29"/>
    <w:qFormat/>
    <w:rsid w:val="004A1D4B"/>
    <w:pPr>
      <w:spacing w:before="200" w:after="0"/>
      <w:ind w:left="360" w:right="360"/>
    </w:pPr>
    <w:rPr>
      <w:rFonts w:eastAsiaTheme="minorEastAsia"/>
      <w:i/>
      <w:iCs/>
      <w:lang w:bidi="en-US"/>
    </w:rPr>
  </w:style>
  <w:style w:type="character" w:customStyle="1" w:styleId="QuoteChar">
    <w:name w:val="Quote Char"/>
    <w:basedOn w:val="DefaultParagraphFont"/>
    <w:link w:val="Quote"/>
    <w:uiPriority w:val="29"/>
    <w:rsid w:val="004A1D4B"/>
    <w:rPr>
      <w:rFonts w:eastAsiaTheme="minorEastAsia"/>
      <w:i/>
      <w:iCs/>
      <w:lang w:bidi="en-US"/>
    </w:rPr>
  </w:style>
  <w:style w:type="paragraph" w:styleId="IntenseQuote">
    <w:name w:val="Intense Quote"/>
    <w:basedOn w:val="Normal"/>
    <w:next w:val="Normal"/>
    <w:link w:val="IntenseQuoteChar"/>
    <w:uiPriority w:val="30"/>
    <w:qFormat/>
    <w:rsid w:val="004A1D4B"/>
    <w:pPr>
      <w:pBdr>
        <w:bottom w:val="single" w:sz="4" w:space="1" w:color="auto"/>
      </w:pBdr>
      <w:spacing w:before="200" w:after="280"/>
      <w:ind w:left="1008" w:right="1152"/>
    </w:pPr>
    <w:rPr>
      <w:rFonts w:eastAsiaTheme="minorEastAsia"/>
      <w:b/>
      <w:bCs/>
      <w:i/>
      <w:iCs/>
      <w:lang w:bidi="en-US"/>
    </w:rPr>
  </w:style>
  <w:style w:type="character" w:customStyle="1" w:styleId="IntenseQuoteChar">
    <w:name w:val="Intense Quote Char"/>
    <w:basedOn w:val="DefaultParagraphFont"/>
    <w:link w:val="IntenseQuote"/>
    <w:uiPriority w:val="30"/>
    <w:rsid w:val="004A1D4B"/>
    <w:rPr>
      <w:rFonts w:eastAsiaTheme="minorEastAsia"/>
      <w:b/>
      <w:bCs/>
      <w:i/>
      <w:iCs/>
      <w:lang w:bidi="en-US"/>
    </w:rPr>
  </w:style>
  <w:style w:type="character" w:styleId="SubtleEmphasis">
    <w:name w:val="Subtle Emphasis"/>
    <w:uiPriority w:val="19"/>
    <w:qFormat/>
    <w:rsid w:val="004A1D4B"/>
    <w:rPr>
      <w:i/>
      <w:iCs/>
    </w:rPr>
  </w:style>
  <w:style w:type="character" w:styleId="IntenseEmphasis">
    <w:name w:val="Intense Emphasis"/>
    <w:uiPriority w:val="21"/>
    <w:qFormat/>
    <w:rsid w:val="004A1D4B"/>
    <w:rPr>
      <w:b/>
      <w:bCs/>
    </w:rPr>
  </w:style>
  <w:style w:type="character" w:styleId="SubtleReference">
    <w:name w:val="Subtle Reference"/>
    <w:uiPriority w:val="31"/>
    <w:qFormat/>
    <w:rsid w:val="004A1D4B"/>
    <w:rPr>
      <w:smallCaps/>
    </w:rPr>
  </w:style>
  <w:style w:type="character" w:styleId="IntenseReference">
    <w:name w:val="Intense Reference"/>
    <w:uiPriority w:val="32"/>
    <w:qFormat/>
    <w:rsid w:val="004A1D4B"/>
    <w:rPr>
      <w:smallCaps/>
      <w:spacing w:val="5"/>
      <w:u w:val="single"/>
    </w:rPr>
  </w:style>
  <w:style w:type="character" w:styleId="BookTitle">
    <w:name w:val="Book Title"/>
    <w:uiPriority w:val="33"/>
    <w:qFormat/>
    <w:rsid w:val="004A1D4B"/>
    <w:rPr>
      <w:i/>
      <w:iCs/>
      <w:smallCaps/>
      <w:spacing w:val="5"/>
    </w:rPr>
  </w:style>
  <w:style w:type="paragraph" w:styleId="TOCHeading">
    <w:name w:val="TOC Heading"/>
    <w:basedOn w:val="Heading1"/>
    <w:next w:val="Normal"/>
    <w:uiPriority w:val="39"/>
    <w:unhideWhenUsed/>
    <w:qFormat/>
    <w:rsid w:val="004A1D4B"/>
    <w:pPr>
      <w:outlineLvl w:val="9"/>
    </w:pPr>
  </w:style>
  <w:style w:type="paragraph" w:styleId="Caption">
    <w:name w:val="caption"/>
    <w:aliases w:val="WB Caption,Caption Char Char Char,Caption1 Char,Caption1"/>
    <w:basedOn w:val="Normal"/>
    <w:next w:val="Normal"/>
    <w:link w:val="CaptionChar"/>
    <w:uiPriority w:val="35"/>
    <w:rsid w:val="004A1D4B"/>
    <w:pPr>
      <w:spacing w:after="0" w:line="240" w:lineRule="auto"/>
    </w:pPr>
    <w:rPr>
      <w:rFonts w:ascii="Times New Roman" w:eastAsia="Times New Roman" w:hAnsi="Times New Roman"/>
      <w:b/>
      <w:bCs/>
      <w:sz w:val="20"/>
      <w:szCs w:val="20"/>
      <w:lang w:bidi="en-US"/>
    </w:rPr>
  </w:style>
  <w:style w:type="paragraph" w:styleId="BalloonText">
    <w:name w:val="Balloon Text"/>
    <w:basedOn w:val="Normal"/>
    <w:link w:val="BalloonTextChar"/>
    <w:uiPriority w:val="99"/>
    <w:semiHidden/>
    <w:rsid w:val="004A1D4B"/>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4A1D4B"/>
    <w:rPr>
      <w:rFonts w:ascii="Tahoma" w:eastAsiaTheme="minorEastAsia" w:hAnsi="Tahoma" w:cs="Tahoma"/>
      <w:sz w:val="16"/>
      <w:szCs w:val="16"/>
      <w:lang w:bidi="en-US"/>
    </w:rPr>
  </w:style>
  <w:style w:type="paragraph" w:styleId="Header">
    <w:name w:val="header"/>
    <w:basedOn w:val="Normal"/>
    <w:link w:val="HeaderChar"/>
    <w:uiPriority w:val="99"/>
    <w:rsid w:val="004A1D4B"/>
    <w:pPr>
      <w:tabs>
        <w:tab w:val="center" w:pos="4680"/>
        <w:tab w:val="right" w:pos="9360"/>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4A1D4B"/>
    <w:rPr>
      <w:rFonts w:eastAsiaTheme="minorEastAsia"/>
      <w:lang w:bidi="en-US"/>
    </w:rPr>
  </w:style>
  <w:style w:type="paragraph" w:styleId="Footer">
    <w:name w:val="footer"/>
    <w:basedOn w:val="Normal"/>
    <w:link w:val="FooterChar"/>
    <w:uiPriority w:val="99"/>
    <w:rsid w:val="004A1D4B"/>
    <w:pPr>
      <w:tabs>
        <w:tab w:val="center" w:pos="4680"/>
        <w:tab w:val="right" w:pos="9360"/>
      </w:tabs>
      <w:spacing w:after="0" w:line="240" w:lineRule="auto"/>
    </w:pPr>
    <w:rPr>
      <w:rFonts w:eastAsiaTheme="minorEastAsia"/>
      <w:lang w:bidi="en-US"/>
    </w:rPr>
  </w:style>
  <w:style w:type="character" w:customStyle="1" w:styleId="FooterChar">
    <w:name w:val="Footer Char"/>
    <w:basedOn w:val="DefaultParagraphFont"/>
    <w:link w:val="Footer"/>
    <w:uiPriority w:val="99"/>
    <w:rsid w:val="004A1D4B"/>
    <w:rPr>
      <w:rFonts w:eastAsiaTheme="minorEastAsia"/>
      <w:lang w:bidi="en-US"/>
    </w:rPr>
  </w:style>
  <w:style w:type="paragraph" w:customStyle="1" w:styleId="EstilodeTextoparaAFRICA">
    <w:name w:val="Estilo de Texto para AFRICA"/>
    <w:uiPriority w:val="99"/>
    <w:rsid w:val="004A1D4B"/>
    <w:rPr>
      <w:rFonts w:eastAsia="Times New Roman"/>
      <w:lang w:bidi="en-US"/>
    </w:rPr>
  </w:style>
  <w:style w:type="character" w:styleId="PageNumber">
    <w:name w:val="page number"/>
    <w:uiPriority w:val="99"/>
    <w:rsid w:val="004A1D4B"/>
    <w:rPr>
      <w:rFonts w:cs="Times New Roman"/>
    </w:rPr>
  </w:style>
  <w:style w:type="paragraph" w:customStyle="1" w:styleId="EstiloJustificadoIzquierda013Primeralnea025Interl">
    <w:name w:val="Estilo Justificado Izquierda:  0.13&quot; Primera línea:  0.25&quot; Interl..."/>
    <w:basedOn w:val="Normal"/>
    <w:uiPriority w:val="99"/>
    <w:rsid w:val="004A1D4B"/>
    <w:pPr>
      <w:spacing w:after="120" w:line="360" w:lineRule="auto"/>
      <w:ind w:left="187" w:firstLine="360"/>
    </w:pPr>
    <w:rPr>
      <w:rFonts w:ascii="Times New Roman" w:eastAsiaTheme="minorEastAsia" w:hAnsi="Times New Roman"/>
      <w:sz w:val="24"/>
      <w:szCs w:val="20"/>
      <w:lang w:val="es-ES" w:eastAsia="es-ES" w:bidi="en-US"/>
    </w:rPr>
  </w:style>
  <w:style w:type="paragraph" w:styleId="BodyText">
    <w:name w:val="Body Text"/>
    <w:basedOn w:val="Normal"/>
    <w:link w:val="BodyTextChar1"/>
    <w:uiPriority w:val="99"/>
    <w:semiHidden/>
    <w:rsid w:val="004A1D4B"/>
    <w:pPr>
      <w:spacing w:after="120"/>
    </w:pPr>
    <w:rPr>
      <w:rFonts w:eastAsia="Times New Roman"/>
      <w:lang w:bidi="en-US"/>
    </w:rPr>
  </w:style>
  <w:style w:type="character" w:customStyle="1" w:styleId="BodyTextChar">
    <w:name w:val="Body Text Char"/>
    <w:basedOn w:val="DefaultParagraphFont"/>
    <w:link w:val="BodyText"/>
    <w:uiPriority w:val="99"/>
    <w:semiHidden/>
    <w:rsid w:val="004A1D4B"/>
  </w:style>
  <w:style w:type="character" w:customStyle="1" w:styleId="BodyTextChar1">
    <w:name w:val="Body Text Char1"/>
    <w:basedOn w:val="DefaultParagraphFont"/>
    <w:link w:val="BodyText"/>
    <w:uiPriority w:val="99"/>
    <w:semiHidden/>
    <w:rsid w:val="004A1D4B"/>
    <w:rPr>
      <w:rFonts w:eastAsia="Times New Roman"/>
      <w:lang w:bidi="en-US"/>
    </w:rPr>
  </w:style>
  <w:style w:type="character" w:styleId="Hyperlink">
    <w:name w:val="Hyperlink"/>
    <w:uiPriority w:val="99"/>
    <w:rsid w:val="004A1D4B"/>
    <w:rPr>
      <w:rFonts w:cs="Times New Roman"/>
      <w:color w:val="0000FF"/>
      <w:u w:val="single"/>
    </w:rPr>
  </w:style>
  <w:style w:type="paragraph" w:customStyle="1" w:styleId="EstiloparareferenciasJustificadoSangrafrancesa25">
    <w:name w:val="Estilo para referencias + Justificado Sangría francesa:  25..."/>
    <w:basedOn w:val="Normal"/>
    <w:uiPriority w:val="99"/>
    <w:rsid w:val="004A1D4B"/>
    <w:pPr>
      <w:spacing w:after="120" w:line="240" w:lineRule="auto"/>
      <w:ind w:left="1083" w:hanging="1440"/>
    </w:pPr>
    <w:rPr>
      <w:rFonts w:ascii="Times New Roman" w:eastAsia="Times New Roman" w:hAnsi="Times New Roman"/>
      <w:sz w:val="24"/>
      <w:szCs w:val="20"/>
      <w:lang w:bidi="en-US"/>
    </w:rPr>
  </w:style>
  <w:style w:type="paragraph" w:customStyle="1" w:styleId="EstiloEstiloparareferenciasJustificadoSangrafrancesa25">
    <w:name w:val="Estilo Estilo para referencias + Justificado Sangría francesa:  25..."/>
    <w:basedOn w:val="Normal"/>
    <w:uiPriority w:val="99"/>
    <w:rsid w:val="004A1D4B"/>
    <w:pPr>
      <w:spacing w:after="120" w:line="240" w:lineRule="auto"/>
      <w:ind w:left="1083" w:hanging="1440"/>
    </w:pPr>
    <w:rPr>
      <w:rFonts w:ascii="Times New Roman" w:eastAsia="Times New Roman" w:hAnsi="Times New Roman"/>
      <w:szCs w:val="20"/>
      <w:lang w:bidi="en-US"/>
    </w:rPr>
  </w:style>
  <w:style w:type="character" w:customStyle="1" w:styleId="FootnoteTextChar1">
    <w:name w:val="Footnote Text Char1"/>
    <w:aliases w:val="footnote text Char1,fn Char1,Footnote text Char,ADB Char1,footnote text Char Char,fn Char Char,ADB Char Char,single space Char Char Char,pod carou Char,Текст сноски-FN Char,Table_Footnote_last Char,single space Char Char1"/>
    <w:uiPriority w:val="99"/>
    <w:rsid w:val="004A1D4B"/>
    <w:rPr>
      <w:rFonts w:ascii="Calibri" w:hAnsi="Calibri" w:cs="Times New Roman"/>
      <w:lang w:val="en-US" w:eastAsia="en-US"/>
    </w:rPr>
  </w:style>
  <w:style w:type="table" w:styleId="TableGrid">
    <w:name w:val="Table Grid"/>
    <w:basedOn w:val="TableNormal"/>
    <w:uiPriority w:val="59"/>
    <w:rsid w:val="004A1D4B"/>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A1D4B"/>
  </w:style>
  <w:style w:type="table" w:customStyle="1" w:styleId="TableGrid1">
    <w:name w:val="Table Grid1"/>
    <w:basedOn w:val="TableNormal"/>
    <w:next w:val="TableGrid"/>
    <w:uiPriority w:val="99"/>
    <w:locked/>
    <w:rsid w:val="004A1D4B"/>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A1D4B"/>
    <w:rPr>
      <w:rFonts w:eastAsiaTheme="minorEastAsia"/>
      <w:lang w:bidi="en-US"/>
    </w:rPr>
  </w:style>
  <w:style w:type="numbering" w:customStyle="1" w:styleId="NoList2">
    <w:name w:val="No List2"/>
    <w:next w:val="NoList"/>
    <w:uiPriority w:val="99"/>
    <w:semiHidden/>
    <w:unhideWhenUsed/>
    <w:rsid w:val="004A1D4B"/>
  </w:style>
  <w:style w:type="paragraph" w:customStyle="1" w:styleId="Default">
    <w:name w:val="Default"/>
    <w:rsid w:val="004A1D4B"/>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4A1D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4A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0">
    <w:name w:val="Pa0"/>
    <w:basedOn w:val="Normal"/>
    <w:next w:val="Normal"/>
    <w:uiPriority w:val="99"/>
    <w:rsid w:val="004A1D4B"/>
    <w:pPr>
      <w:autoSpaceDE w:val="0"/>
      <w:autoSpaceDN w:val="0"/>
      <w:adjustRightInd w:val="0"/>
      <w:spacing w:after="0" w:line="241" w:lineRule="atLeast"/>
    </w:pPr>
    <w:rPr>
      <w:rFonts w:ascii="ITC Franklin Gothic Std Book" w:hAnsi="ITC Franklin Gothic Std Book"/>
      <w:sz w:val="24"/>
      <w:szCs w:val="24"/>
    </w:rPr>
  </w:style>
  <w:style w:type="paragraph" w:customStyle="1" w:styleId="Pa3">
    <w:name w:val="Pa3"/>
    <w:basedOn w:val="Normal"/>
    <w:next w:val="Normal"/>
    <w:uiPriority w:val="99"/>
    <w:rsid w:val="004A1D4B"/>
    <w:pPr>
      <w:autoSpaceDE w:val="0"/>
      <w:autoSpaceDN w:val="0"/>
      <w:adjustRightInd w:val="0"/>
      <w:spacing w:after="0" w:line="181" w:lineRule="atLeast"/>
    </w:pPr>
    <w:rPr>
      <w:rFonts w:ascii="ITC Franklin Gothic Std Book" w:hAnsi="ITC Franklin Gothic Std Book"/>
      <w:sz w:val="24"/>
      <w:szCs w:val="24"/>
    </w:rPr>
  </w:style>
  <w:style w:type="paragraph" w:styleId="EndnoteText">
    <w:name w:val="endnote text"/>
    <w:basedOn w:val="Normal"/>
    <w:link w:val="EndnoteTextChar"/>
    <w:uiPriority w:val="99"/>
    <w:semiHidden/>
    <w:unhideWhenUsed/>
    <w:rsid w:val="004A1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D4B"/>
    <w:rPr>
      <w:sz w:val="20"/>
      <w:szCs w:val="20"/>
    </w:rPr>
  </w:style>
  <w:style w:type="character" w:styleId="EndnoteReference">
    <w:name w:val="endnote reference"/>
    <w:basedOn w:val="DefaultParagraphFont"/>
    <w:uiPriority w:val="99"/>
    <w:semiHidden/>
    <w:unhideWhenUsed/>
    <w:rsid w:val="004A1D4B"/>
    <w:rPr>
      <w:vertAlign w:val="superscript"/>
    </w:rPr>
  </w:style>
  <w:style w:type="table" w:customStyle="1" w:styleId="TableGrid3">
    <w:name w:val="Table Grid3"/>
    <w:basedOn w:val="TableNormal"/>
    <w:next w:val="TableGrid"/>
    <w:uiPriority w:val="59"/>
    <w:rsid w:val="004A1D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A1D4B"/>
  </w:style>
  <w:style w:type="table" w:customStyle="1" w:styleId="TableGrid4">
    <w:name w:val="Table Grid4"/>
    <w:basedOn w:val="TableNormal"/>
    <w:next w:val="TableGrid"/>
    <w:uiPriority w:val="59"/>
    <w:rsid w:val="004A1D4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basedOn w:val="DefaultParagraphFont"/>
    <w:rsid w:val="004A1D4B"/>
    <w:rPr>
      <w:sz w:val="17"/>
      <w:szCs w:val="17"/>
    </w:rPr>
  </w:style>
  <w:style w:type="character" w:customStyle="1" w:styleId="CaptionChar">
    <w:name w:val="Caption Char"/>
    <w:aliases w:val="WB Caption Char,Caption Char Char Char Char,Caption1 Char Char,Caption1 Char1"/>
    <w:basedOn w:val="DefaultParagraphFont"/>
    <w:link w:val="Caption"/>
    <w:locked/>
    <w:rsid w:val="004A1D4B"/>
    <w:rPr>
      <w:rFonts w:ascii="Times New Roman" w:eastAsia="Times New Roman" w:hAnsi="Times New Roman"/>
      <w:b/>
      <w:bCs/>
      <w:sz w:val="20"/>
      <w:szCs w:val="20"/>
      <w:lang w:bidi="en-US"/>
    </w:rPr>
  </w:style>
  <w:style w:type="paragraph" w:styleId="BodyText3">
    <w:name w:val="Body Text 3"/>
    <w:basedOn w:val="Normal"/>
    <w:link w:val="BodyText3Char"/>
    <w:uiPriority w:val="99"/>
    <w:semiHidden/>
    <w:unhideWhenUsed/>
    <w:rsid w:val="004A1D4B"/>
    <w:pPr>
      <w:spacing w:after="120" w:line="240" w:lineRule="auto"/>
    </w:pPr>
    <w:rPr>
      <w:rFonts w:ascii="Times New Roman" w:eastAsia="Times New Roman" w:hAnsi="Times New Roman" w:cs="Times New Roman"/>
      <w:sz w:val="16"/>
      <w:szCs w:val="16"/>
      <w:lang w:bidi="en-US"/>
    </w:rPr>
  </w:style>
  <w:style w:type="character" w:customStyle="1" w:styleId="BodyText3Char">
    <w:name w:val="Body Text 3 Char"/>
    <w:basedOn w:val="DefaultParagraphFont"/>
    <w:link w:val="BodyText3"/>
    <w:uiPriority w:val="99"/>
    <w:semiHidden/>
    <w:rsid w:val="004A1D4B"/>
    <w:rPr>
      <w:rFonts w:ascii="Times New Roman" w:eastAsia="Times New Roman" w:hAnsi="Times New Roman" w:cs="Times New Roman"/>
      <w:sz w:val="16"/>
      <w:szCs w:val="16"/>
      <w:lang w:bidi="en-US"/>
    </w:rPr>
  </w:style>
  <w:style w:type="character" w:customStyle="1" w:styleId="apple-style-span">
    <w:name w:val="apple-style-span"/>
    <w:basedOn w:val="DefaultParagraphFont"/>
    <w:rsid w:val="004A1D4B"/>
  </w:style>
  <w:style w:type="paragraph" w:styleId="PlainText">
    <w:name w:val="Plain Text"/>
    <w:basedOn w:val="Normal"/>
    <w:link w:val="PlainTextChar"/>
    <w:uiPriority w:val="99"/>
    <w:unhideWhenUsed/>
    <w:rsid w:val="004A1D4B"/>
    <w:pPr>
      <w:spacing w:after="0" w:line="240" w:lineRule="auto"/>
    </w:pPr>
    <w:rPr>
      <w:rFonts w:ascii="Consolas" w:eastAsiaTheme="minorEastAsia" w:hAnsi="Consolas" w:cs="Consolas"/>
      <w:sz w:val="21"/>
      <w:szCs w:val="21"/>
      <w:lang w:bidi="en-US"/>
    </w:rPr>
  </w:style>
  <w:style w:type="character" w:customStyle="1" w:styleId="PlainTextChar">
    <w:name w:val="Plain Text Char"/>
    <w:basedOn w:val="DefaultParagraphFont"/>
    <w:link w:val="PlainText"/>
    <w:uiPriority w:val="99"/>
    <w:rsid w:val="004A1D4B"/>
    <w:rPr>
      <w:rFonts w:ascii="Consolas" w:eastAsiaTheme="minorEastAsia" w:hAnsi="Consolas" w:cs="Consolas"/>
      <w:sz w:val="21"/>
      <w:szCs w:val="21"/>
      <w:lang w:bidi="en-US"/>
    </w:rPr>
  </w:style>
  <w:style w:type="paragraph" w:styleId="TOC1">
    <w:name w:val="toc 1"/>
    <w:basedOn w:val="Normal"/>
    <w:next w:val="Normal"/>
    <w:autoRedefine/>
    <w:uiPriority w:val="39"/>
    <w:unhideWhenUsed/>
    <w:qFormat/>
    <w:rsid w:val="00A620FF"/>
    <w:pPr>
      <w:tabs>
        <w:tab w:val="right" w:leader="dot" w:pos="9350"/>
      </w:tabs>
      <w:spacing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900364"/>
    <w:pPr>
      <w:tabs>
        <w:tab w:val="left" w:pos="450"/>
        <w:tab w:val="left" w:pos="880"/>
        <w:tab w:val="right" w:leader="dot" w:pos="9350"/>
      </w:tabs>
      <w:spacing w:before="60" w:after="60"/>
    </w:pPr>
    <w:rPr>
      <w:rFonts w:cstheme="minorHAnsi"/>
      <w:b/>
      <w:bCs/>
      <w:sz w:val="20"/>
      <w:szCs w:val="20"/>
    </w:rPr>
  </w:style>
  <w:style w:type="paragraph" w:styleId="TOC3">
    <w:name w:val="toc 3"/>
    <w:basedOn w:val="Normal"/>
    <w:next w:val="Normal"/>
    <w:autoRedefine/>
    <w:uiPriority w:val="39"/>
    <w:unhideWhenUsed/>
    <w:rsid w:val="004A1D4B"/>
    <w:pPr>
      <w:spacing w:after="0"/>
      <w:ind w:left="220"/>
    </w:pPr>
    <w:rPr>
      <w:rFonts w:cstheme="minorHAnsi"/>
      <w:sz w:val="20"/>
      <w:szCs w:val="20"/>
    </w:rPr>
  </w:style>
  <w:style w:type="paragraph" w:styleId="CommentText">
    <w:name w:val="annotation text"/>
    <w:basedOn w:val="Normal"/>
    <w:link w:val="CommentTextChar"/>
    <w:uiPriority w:val="99"/>
    <w:semiHidden/>
    <w:unhideWhenUsed/>
    <w:rsid w:val="004A1D4B"/>
    <w:pPr>
      <w:spacing w:line="240" w:lineRule="auto"/>
    </w:pPr>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4A1D4B"/>
    <w:rPr>
      <w:rFonts w:eastAsiaTheme="minorEastAsia"/>
      <w:sz w:val="20"/>
      <w:szCs w:val="20"/>
      <w:lang w:bidi="en-US"/>
    </w:rPr>
  </w:style>
  <w:style w:type="numbering" w:styleId="111111">
    <w:name w:val="Outline List 2"/>
    <w:basedOn w:val="NoList"/>
    <w:unhideWhenUsed/>
    <w:rsid w:val="004A1D4B"/>
    <w:pPr>
      <w:numPr>
        <w:numId w:val="3"/>
      </w:numPr>
    </w:pPr>
  </w:style>
  <w:style w:type="table" w:customStyle="1" w:styleId="TableGrid11">
    <w:name w:val="Table Grid11"/>
    <w:basedOn w:val="TableNormal"/>
    <w:uiPriority w:val="59"/>
    <w:rsid w:val="004A1D4B"/>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A1D4B"/>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4A1D4B"/>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Numbering">
    <w:name w:val="Paragraph Numbering"/>
    <w:basedOn w:val="Normal"/>
    <w:uiPriority w:val="99"/>
    <w:rsid w:val="004A1D4B"/>
    <w:pPr>
      <w:numPr>
        <w:numId w:val="4"/>
      </w:numPr>
      <w:spacing w:after="240"/>
    </w:pPr>
    <w:rPr>
      <w:rFonts w:eastAsiaTheme="minorEastAsia"/>
      <w:lang w:bidi="en-US"/>
    </w:rPr>
  </w:style>
  <w:style w:type="paragraph" w:styleId="TOC4">
    <w:name w:val="toc 4"/>
    <w:basedOn w:val="Normal"/>
    <w:next w:val="Normal"/>
    <w:autoRedefine/>
    <w:uiPriority w:val="39"/>
    <w:unhideWhenUsed/>
    <w:rsid w:val="004A1D4B"/>
    <w:pPr>
      <w:spacing w:after="0"/>
      <w:ind w:left="440"/>
    </w:pPr>
    <w:rPr>
      <w:rFonts w:cstheme="minorHAnsi"/>
      <w:sz w:val="20"/>
      <w:szCs w:val="20"/>
    </w:rPr>
  </w:style>
  <w:style w:type="paragraph" w:styleId="TOC5">
    <w:name w:val="toc 5"/>
    <w:basedOn w:val="Normal"/>
    <w:next w:val="Normal"/>
    <w:autoRedefine/>
    <w:uiPriority w:val="39"/>
    <w:unhideWhenUsed/>
    <w:rsid w:val="004A1D4B"/>
    <w:pPr>
      <w:spacing w:after="0"/>
      <w:ind w:left="660"/>
    </w:pPr>
    <w:rPr>
      <w:rFonts w:cstheme="minorHAnsi"/>
      <w:sz w:val="20"/>
      <w:szCs w:val="20"/>
    </w:rPr>
  </w:style>
  <w:style w:type="paragraph" w:styleId="TOC6">
    <w:name w:val="toc 6"/>
    <w:basedOn w:val="Normal"/>
    <w:next w:val="Normal"/>
    <w:autoRedefine/>
    <w:uiPriority w:val="39"/>
    <w:unhideWhenUsed/>
    <w:rsid w:val="004A1D4B"/>
    <w:pPr>
      <w:spacing w:after="0"/>
      <w:ind w:left="880"/>
    </w:pPr>
    <w:rPr>
      <w:rFonts w:cstheme="minorHAnsi"/>
      <w:sz w:val="20"/>
      <w:szCs w:val="20"/>
    </w:rPr>
  </w:style>
  <w:style w:type="paragraph" w:styleId="TOC7">
    <w:name w:val="toc 7"/>
    <w:basedOn w:val="Normal"/>
    <w:next w:val="Normal"/>
    <w:autoRedefine/>
    <w:uiPriority w:val="39"/>
    <w:unhideWhenUsed/>
    <w:rsid w:val="004A1D4B"/>
    <w:pPr>
      <w:spacing w:after="0"/>
      <w:ind w:left="1100"/>
    </w:pPr>
    <w:rPr>
      <w:rFonts w:cstheme="minorHAnsi"/>
      <w:sz w:val="20"/>
      <w:szCs w:val="20"/>
    </w:rPr>
  </w:style>
  <w:style w:type="paragraph" w:styleId="TOC8">
    <w:name w:val="toc 8"/>
    <w:basedOn w:val="Normal"/>
    <w:next w:val="Normal"/>
    <w:autoRedefine/>
    <w:uiPriority w:val="39"/>
    <w:unhideWhenUsed/>
    <w:rsid w:val="004A1D4B"/>
    <w:pPr>
      <w:spacing w:after="0"/>
      <w:ind w:left="1320"/>
    </w:pPr>
    <w:rPr>
      <w:rFonts w:cstheme="minorHAnsi"/>
      <w:sz w:val="20"/>
      <w:szCs w:val="20"/>
    </w:rPr>
  </w:style>
  <w:style w:type="paragraph" w:styleId="TOC9">
    <w:name w:val="toc 9"/>
    <w:basedOn w:val="Normal"/>
    <w:next w:val="Normal"/>
    <w:autoRedefine/>
    <w:uiPriority w:val="39"/>
    <w:unhideWhenUsed/>
    <w:rsid w:val="004A1D4B"/>
    <w:pPr>
      <w:spacing w:after="0"/>
      <w:ind w:left="1540"/>
    </w:pPr>
    <w:rPr>
      <w:rFonts w:cstheme="minorHAnsi"/>
      <w:sz w:val="20"/>
      <w:szCs w:val="20"/>
    </w:rPr>
  </w:style>
  <w:style w:type="numbering" w:customStyle="1" w:styleId="1111111">
    <w:name w:val="1 / 1.1 / 1.1.11"/>
    <w:basedOn w:val="NoList"/>
    <w:next w:val="111111"/>
    <w:unhideWhenUsed/>
    <w:rsid w:val="004A1D4B"/>
  </w:style>
  <w:style w:type="table" w:customStyle="1" w:styleId="TableGrid12">
    <w:name w:val="Table Grid12"/>
    <w:basedOn w:val="TableNormal"/>
    <w:uiPriority w:val="59"/>
    <w:rsid w:val="004A1D4B"/>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A1D4B"/>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99"/>
    <w:rsid w:val="004A1D4B"/>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A1D4B"/>
    <w:rPr>
      <w:color w:val="800080" w:themeColor="followedHyperlink"/>
      <w:u w:val="single"/>
    </w:rPr>
  </w:style>
  <w:style w:type="paragraph" w:customStyle="1" w:styleId="Bullets">
    <w:name w:val="Bullets"/>
    <w:basedOn w:val="Normal"/>
    <w:uiPriority w:val="99"/>
    <w:rsid w:val="004A1D4B"/>
    <w:pPr>
      <w:numPr>
        <w:numId w:val="5"/>
      </w:numPr>
      <w:spacing w:before="240" w:after="0" w:line="240" w:lineRule="auto"/>
    </w:pPr>
    <w:rPr>
      <w:rFonts w:ascii="Book Antiqua" w:eastAsia="Times New Roman" w:hAnsi="Book Antiqua" w:cs="Book Antiqua"/>
      <w:sz w:val="24"/>
      <w:szCs w:val="24"/>
    </w:rPr>
  </w:style>
  <w:style w:type="character" w:styleId="PlaceholderText">
    <w:name w:val="Placeholder Text"/>
    <w:basedOn w:val="DefaultParagraphFont"/>
    <w:uiPriority w:val="99"/>
    <w:semiHidden/>
    <w:rsid w:val="004A1D4B"/>
    <w:rPr>
      <w:color w:val="808080"/>
    </w:rPr>
  </w:style>
  <w:style w:type="character" w:styleId="CommentReference">
    <w:name w:val="annotation reference"/>
    <w:basedOn w:val="DefaultParagraphFont"/>
    <w:uiPriority w:val="99"/>
    <w:semiHidden/>
    <w:unhideWhenUsed/>
    <w:rsid w:val="004A1D4B"/>
    <w:rPr>
      <w:sz w:val="16"/>
      <w:szCs w:val="16"/>
    </w:rPr>
  </w:style>
  <w:style w:type="paragraph" w:styleId="CommentSubject">
    <w:name w:val="annotation subject"/>
    <w:basedOn w:val="CommentText"/>
    <w:next w:val="CommentText"/>
    <w:link w:val="CommentSubjectChar"/>
    <w:uiPriority w:val="99"/>
    <w:semiHidden/>
    <w:unhideWhenUsed/>
    <w:rsid w:val="004A1D4B"/>
    <w:rPr>
      <w:rFonts w:ascii="Calibri" w:eastAsia="Calibri" w:hAnsi="Calibri" w:cs="Times New Roman"/>
      <w:b/>
      <w:bCs/>
      <w:lang w:bidi="ar-SA"/>
    </w:rPr>
  </w:style>
  <w:style w:type="character" w:customStyle="1" w:styleId="CommentSubjectChar">
    <w:name w:val="Comment Subject Char"/>
    <w:basedOn w:val="CommentTextChar"/>
    <w:link w:val="CommentSubject"/>
    <w:uiPriority w:val="99"/>
    <w:semiHidden/>
    <w:rsid w:val="004A1D4B"/>
    <w:rPr>
      <w:rFonts w:ascii="Calibri" w:eastAsia="Calibri" w:hAnsi="Calibri" w:cs="Times New Roman"/>
      <w:b/>
      <w:bCs/>
    </w:rPr>
  </w:style>
  <w:style w:type="table" w:customStyle="1" w:styleId="LightShading-Accent11">
    <w:name w:val="Light Shading - Accent 11"/>
    <w:basedOn w:val="TableNormal"/>
    <w:uiPriority w:val="60"/>
    <w:rsid w:val="004A1D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uiPriority w:val="61"/>
    <w:rsid w:val="004A1D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uiPriority w:val="99"/>
    <w:semiHidden/>
    <w:unhideWhenUsed/>
    <w:rsid w:val="004A1D4B"/>
    <w:pPr>
      <w:spacing w:after="120"/>
      <w:ind w:left="360"/>
    </w:pPr>
  </w:style>
  <w:style w:type="character" w:customStyle="1" w:styleId="BodyTextIndentChar">
    <w:name w:val="Body Text Indent Char"/>
    <w:basedOn w:val="DefaultParagraphFont"/>
    <w:link w:val="BodyTextIndent"/>
    <w:uiPriority w:val="99"/>
    <w:semiHidden/>
    <w:rsid w:val="004A1D4B"/>
  </w:style>
  <w:style w:type="paragraph" w:styleId="BodyTextFirstIndent2">
    <w:name w:val="Body Text First Indent 2"/>
    <w:basedOn w:val="BodyTextIndent"/>
    <w:link w:val="BodyTextFirstIndent2Char"/>
    <w:rsid w:val="004A1D4B"/>
    <w:pPr>
      <w:widowControl w:val="0"/>
      <w:autoSpaceDE w:val="0"/>
      <w:autoSpaceDN w:val="0"/>
      <w:adjustRightInd w:val="0"/>
      <w:spacing w:line="288" w:lineRule="auto"/>
      <w:ind w:right="792" w:firstLine="210"/>
      <w:jc w:val="center"/>
    </w:pPr>
    <w:rPr>
      <w:rFonts w:ascii="Georgia" w:eastAsia="Times New Roman" w:hAnsi="Georgia" w:cs="Times New Roman"/>
      <w:szCs w:val="24"/>
      <w:lang w:val="en-GB" w:eastAsia="fr-FR"/>
    </w:rPr>
  </w:style>
  <w:style w:type="character" w:customStyle="1" w:styleId="BodyTextFirstIndent2Char">
    <w:name w:val="Body Text First Indent 2 Char"/>
    <w:basedOn w:val="BodyTextIndentChar"/>
    <w:link w:val="BodyTextFirstIndent2"/>
    <w:rsid w:val="004A1D4B"/>
    <w:rPr>
      <w:rFonts w:ascii="Georgia" w:eastAsia="Times New Roman" w:hAnsi="Georgia" w:cs="Times New Roman"/>
      <w:szCs w:val="24"/>
      <w:lang w:val="en-GB" w:eastAsia="fr-FR"/>
    </w:rPr>
  </w:style>
  <w:style w:type="table" w:customStyle="1" w:styleId="TableGrid7">
    <w:name w:val="Table Grid7"/>
    <w:basedOn w:val="TableNormal"/>
    <w:next w:val="TableGrid"/>
    <w:uiPriority w:val="59"/>
    <w:rsid w:val="004A1D4B"/>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
    <w:name w:val="date"/>
    <w:basedOn w:val="DefaultParagraphFont"/>
    <w:rsid w:val="004A1D4B"/>
  </w:style>
  <w:style w:type="numbering" w:customStyle="1" w:styleId="NoList4">
    <w:name w:val="No List4"/>
    <w:next w:val="NoList"/>
    <w:uiPriority w:val="99"/>
    <w:semiHidden/>
    <w:unhideWhenUsed/>
    <w:rsid w:val="00F57505"/>
  </w:style>
  <w:style w:type="numbering" w:customStyle="1" w:styleId="NoList12">
    <w:name w:val="No List12"/>
    <w:next w:val="NoList"/>
    <w:uiPriority w:val="99"/>
    <w:semiHidden/>
    <w:unhideWhenUsed/>
    <w:rsid w:val="00F57505"/>
  </w:style>
  <w:style w:type="numbering" w:customStyle="1" w:styleId="NoList21">
    <w:name w:val="No List21"/>
    <w:next w:val="NoList"/>
    <w:uiPriority w:val="99"/>
    <w:semiHidden/>
    <w:unhideWhenUsed/>
    <w:rsid w:val="00F57505"/>
  </w:style>
  <w:style w:type="numbering" w:customStyle="1" w:styleId="NoList31">
    <w:name w:val="No List31"/>
    <w:next w:val="NoList"/>
    <w:uiPriority w:val="99"/>
    <w:semiHidden/>
    <w:unhideWhenUsed/>
    <w:rsid w:val="00F57505"/>
  </w:style>
  <w:style w:type="numbering" w:customStyle="1" w:styleId="1111112">
    <w:name w:val="1 / 1.1 / 1.1.12"/>
    <w:basedOn w:val="NoList"/>
    <w:next w:val="111111"/>
    <w:unhideWhenUsed/>
    <w:rsid w:val="00F57505"/>
    <w:pPr>
      <w:numPr>
        <w:numId w:val="9"/>
      </w:numPr>
    </w:pPr>
  </w:style>
  <w:style w:type="numbering" w:customStyle="1" w:styleId="11111111">
    <w:name w:val="1 / 1.1 / 1.1.111"/>
    <w:basedOn w:val="NoList"/>
    <w:next w:val="111111"/>
    <w:unhideWhenUsed/>
    <w:rsid w:val="00F57505"/>
  </w:style>
  <w:style w:type="table" w:customStyle="1" w:styleId="LightShading-Accent111">
    <w:name w:val="Light Shading - Accent 111"/>
    <w:basedOn w:val="TableNormal"/>
    <w:uiPriority w:val="60"/>
    <w:rsid w:val="00F5750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1">
    <w:name w:val="Light List - Accent 121"/>
    <w:basedOn w:val="TableNormal"/>
    <w:uiPriority w:val="61"/>
    <w:rsid w:val="00F575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ableofFigures">
    <w:name w:val="table of figures"/>
    <w:basedOn w:val="Normal"/>
    <w:next w:val="Normal"/>
    <w:uiPriority w:val="99"/>
    <w:unhideWhenUsed/>
    <w:rsid w:val="00A620FF"/>
    <w:pPr>
      <w:spacing w:after="0"/>
    </w:pPr>
  </w:style>
  <w:style w:type="paragraph" w:styleId="Revision">
    <w:name w:val="Revision"/>
    <w:hidden/>
    <w:uiPriority w:val="99"/>
    <w:semiHidden/>
    <w:rsid w:val="00606805"/>
    <w:pPr>
      <w:spacing w:after="0" w:line="240" w:lineRule="auto"/>
    </w:pPr>
  </w:style>
  <w:style w:type="table" w:customStyle="1" w:styleId="TableGrid8">
    <w:name w:val="Table Grid8"/>
    <w:basedOn w:val="TableNormal"/>
    <w:next w:val="TableGrid"/>
    <w:uiPriority w:val="59"/>
    <w:rsid w:val="00B85C15"/>
    <w:pPr>
      <w:spacing w:after="0" w:line="240" w:lineRule="auto"/>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634089">
      <w:bodyDiv w:val="1"/>
      <w:marLeft w:val="0"/>
      <w:marRight w:val="0"/>
      <w:marTop w:val="0"/>
      <w:marBottom w:val="0"/>
      <w:divBdr>
        <w:top w:val="none" w:sz="0" w:space="0" w:color="auto"/>
        <w:left w:val="none" w:sz="0" w:space="0" w:color="auto"/>
        <w:bottom w:val="none" w:sz="0" w:space="0" w:color="auto"/>
        <w:right w:val="none" w:sz="0" w:space="0" w:color="auto"/>
      </w:divBdr>
      <w:divsChild>
        <w:div w:id="1283611304">
          <w:marLeft w:val="547"/>
          <w:marRight w:val="0"/>
          <w:marTop w:val="65"/>
          <w:marBottom w:val="0"/>
          <w:divBdr>
            <w:top w:val="none" w:sz="0" w:space="0" w:color="auto"/>
            <w:left w:val="none" w:sz="0" w:space="0" w:color="auto"/>
            <w:bottom w:val="none" w:sz="0" w:space="0" w:color="auto"/>
            <w:right w:val="none" w:sz="0" w:space="0" w:color="auto"/>
          </w:divBdr>
        </w:div>
        <w:div w:id="312804886">
          <w:marLeft w:val="547"/>
          <w:marRight w:val="0"/>
          <w:marTop w:val="65"/>
          <w:marBottom w:val="0"/>
          <w:divBdr>
            <w:top w:val="none" w:sz="0" w:space="0" w:color="auto"/>
            <w:left w:val="none" w:sz="0" w:space="0" w:color="auto"/>
            <w:bottom w:val="none" w:sz="0" w:space="0" w:color="auto"/>
            <w:right w:val="none" w:sz="0" w:space="0" w:color="auto"/>
          </w:divBdr>
        </w:div>
        <w:div w:id="382292209">
          <w:marLeft w:val="547"/>
          <w:marRight w:val="0"/>
          <w:marTop w:val="65"/>
          <w:marBottom w:val="0"/>
          <w:divBdr>
            <w:top w:val="none" w:sz="0" w:space="0" w:color="auto"/>
            <w:left w:val="none" w:sz="0" w:space="0" w:color="auto"/>
            <w:bottom w:val="none" w:sz="0" w:space="0" w:color="auto"/>
            <w:right w:val="none" w:sz="0" w:space="0" w:color="auto"/>
          </w:divBdr>
        </w:div>
        <w:div w:id="1024944625">
          <w:marLeft w:val="547"/>
          <w:marRight w:val="0"/>
          <w:marTop w:val="65"/>
          <w:marBottom w:val="0"/>
          <w:divBdr>
            <w:top w:val="none" w:sz="0" w:space="0" w:color="auto"/>
            <w:left w:val="none" w:sz="0" w:space="0" w:color="auto"/>
            <w:bottom w:val="none" w:sz="0" w:space="0" w:color="auto"/>
            <w:right w:val="none" w:sz="0" w:space="0" w:color="auto"/>
          </w:divBdr>
        </w:div>
        <w:div w:id="1925869558">
          <w:marLeft w:val="547"/>
          <w:marRight w:val="0"/>
          <w:marTop w:val="65"/>
          <w:marBottom w:val="0"/>
          <w:divBdr>
            <w:top w:val="none" w:sz="0" w:space="0" w:color="auto"/>
            <w:left w:val="none" w:sz="0" w:space="0" w:color="auto"/>
            <w:bottom w:val="none" w:sz="0" w:space="0" w:color="auto"/>
            <w:right w:val="none" w:sz="0" w:space="0" w:color="auto"/>
          </w:divBdr>
        </w:div>
        <w:div w:id="1668049015">
          <w:marLeft w:val="547"/>
          <w:marRight w:val="0"/>
          <w:marTop w:val="65"/>
          <w:marBottom w:val="0"/>
          <w:divBdr>
            <w:top w:val="none" w:sz="0" w:space="0" w:color="auto"/>
            <w:left w:val="none" w:sz="0" w:space="0" w:color="auto"/>
            <w:bottom w:val="none" w:sz="0" w:space="0" w:color="auto"/>
            <w:right w:val="none" w:sz="0" w:space="0" w:color="auto"/>
          </w:divBdr>
        </w:div>
        <w:div w:id="1336228597">
          <w:marLeft w:val="547"/>
          <w:marRight w:val="0"/>
          <w:marTop w:val="65"/>
          <w:marBottom w:val="0"/>
          <w:divBdr>
            <w:top w:val="none" w:sz="0" w:space="0" w:color="auto"/>
            <w:left w:val="none" w:sz="0" w:space="0" w:color="auto"/>
            <w:bottom w:val="none" w:sz="0" w:space="0" w:color="auto"/>
            <w:right w:val="none" w:sz="0" w:space="0" w:color="auto"/>
          </w:divBdr>
        </w:div>
        <w:div w:id="1850366820">
          <w:marLeft w:val="547"/>
          <w:marRight w:val="0"/>
          <w:marTop w:val="65"/>
          <w:marBottom w:val="0"/>
          <w:divBdr>
            <w:top w:val="none" w:sz="0" w:space="0" w:color="auto"/>
            <w:left w:val="none" w:sz="0" w:space="0" w:color="auto"/>
            <w:bottom w:val="none" w:sz="0" w:space="0" w:color="auto"/>
            <w:right w:val="none" w:sz="0" w:space="0" w:color="auto"/>
          </w:divBdr>
        </w:div>
        <w:div w:id="1330406180">
          <w:marLeft w:val="547"/>
          <w:marRight w:val="0"/>
          <w:marTop w:val="65"/>
          <w:marBottom w:val="0"/>
          <w:divBdr>
            <w:top w:val="none" w:sz="0" w:space="0" w:color="auto"/>
            <w:left w:val="none" w:sz="0" w:space="0" w:color="auto"/>
            <w:bottom w:val="none" w:sz="0" w:space="0" w:color="auto"/>
            <w:right w:val="none" w:sz="0" w:space="0" w:color="auto"/>
          </w:divBdr>
        </w:div>
      </w:divsChild>
    </w:div>
    <w:div w:id="467213485">
      <w:bodyDiv w:val="1"/>
      <w:marLeft w:val="0"/>
      <w:marRight w:val="0"/>
      <w:marTop w:val="0"/>
      <w:marBottom w:val="0"/>
      <w:divBdr>
        <w:top w:val="none" w:sz="0" w:space="0" w:color="auto"/>
        <w:left w:val="none" w:sz="0" w:space="0" w:color="auto"/>
        <w:bottom w:val="none" w:sz="0" w:space="0" w:color="auto"/>
        <w:right w:val="none" w:sz="0" w:space="0" w:color="auto"/>
      </w:divBdr>
      <w:divsChild>
        <w:div w:id="802232071">
          <w:marLeft w:val="547"/>
          <w:marRight w:val="0"/>
          <w:marTop w:val="53"/>
          <w:marBottom w:val="0"/>
          <w:divBdr>
            <w:top w:val="none" w:sz="0" w:space="0" w:color="auto"/>
            <w:left w:val="none" w:sz="0" w:space="0" w:color="auto"/>
            <w:bottom w:val="none" w:sz="0" w:space="0" w:color="auto"/>
            <w:right w:val="none" w:sz="0" w:space="0" w:color="auto"/>
          </w:divBdr>
        </w:div>
        <w:div w:id="1966496794">
          <w:marLeft w:val="547"/>
          <w:marRight w:val="0"/>
          <w:marTop w:val="53"/>
          <w:marBottom w:val="0"/>
          <w:divBdr>
            <w:top w:val="none" w:sz="0" w:space="0" w:color="auto"/>
            <w:left w:val="none" w:sz="0" w:space="0" w:color="auto"/>
            <w:bottom w:val="none" w:sz="0" w:space="0" w:color="auto"/>
            <w:right w:val="none" w:sz="0" w:space="0" w:color="auto"/>
          </w:divBdr>
        </w:div>
        <w:div w:id="1734115219">
          <w:marLeft w:val="547"/>
          <w:marRight w:val="0"/>
          <w:marTop w:val="53"/>
          <w:marBottom w:val="0"/>
          <w:divBdr>
            <w:top w:val="none" w:sz="0" w:space="0" w:color="auto"/>
            <w:left w:val="none" w:sz="0" w:space="0" w:color="auto"/>
            <w:bottom w:val="none" w:sz="0" w:space="0" w:color="auto"/>
            <w:right w:val="none" w:sz="0" w:space="0" w:color="auto"/>
          </w:divBdr>
        </w:div>
        <w:div w:id="1572302058">
          <w:marLeft w:val="547"/>
          <w:marRight w:val="0"/>
          <w:marTop w:val="53"/>
          <w:marBottom w:val="0"/>
          <w:divBdr>
            <w:top w:val="none" w:sz="0" w:space="0" w:color="auto"/>
            <w:left w:val="none" w:sz="0" w:space="0" w:color="auto"/>
            <w:bottom w:val="none" w:sz="0" w:space="0" w:color="auto"/>
            <w:right w:val="none" w:sz="0" w:space="0" w:color="auto"/>
          </w:divBdr>
        </w:div>
        <w:div w:id="2022005875">
          <w:marLeft w:val="547"/>
          <w:marRight w:val="0"/>
          <w:marTop w:val="53"/>
          <w:marBottom w:val="0"/>
          <w:divBdr>
            <w:top w:val="none" w:sz="0" w:space="0" w:color="auto"/>
            <w:left w:val="none" w:sz="0" w:space="0" w:color="auto"/>
            <w:bottom w:val="none" w:sz="0" w:space="0" w:color="auto"/>
            <w:right w:val="none" w:sz="0" w:space="0" w:color="auto"/>
          </w:divBdr>
        </w:div>
        <w:div w:id="1111784890">
          <w:marLeft w:val="547"/>
          <w:marRight w:val="0"/>
          <w:marTop w:val="53"/>
          <w:marBottom w:val="0"/>
          <w:divBdr>
            <w:top w:val="none" w:sz="0" w:space="0" w:color="auto"/>
            <w:left w:val="none" w:sz="0" w:space="0" w:color="auto"/>
            <w:bottom w:val="none" w:sz="0" w:space="0" w:color="auto"/>
            <w:right w:val="none" w:sz="0" w:space="0" w:color="auto"/>
          </w:divBdr>
        </w:div>
        <w:div w:id="2081826518">
          <w:marLeft w:val="1166"/>
          <w:marRight w:val="0"/>
          <w:marTop w:val="53"/>
          <w:marBottom w:val="0"/>
          <w:divBdr>
            <w:top w:val="none" w:sz="0" w:space="0" w:color="auto"/>
            <w:left w:val="none" w:sz="0" w:space="0" w:color="auto"/>
            <w:bottom w:val="none" w:sz="0" w:space="0" w:color="auto"/>
            <w:right w:val="none" w:sz="0" w:space="0" w:color="auto"/>
          </w:divBdr>
        </w:div>
        <w:div w:id="2140030454">
          <w:marLeft w:val="1166"/>
          <w:marRight w:val="0"/>
          <w:marTop w:val="53"/>
          <w:marBottom w:val="0"/>
          <w:divBdr>
            <w:top w:val="none" w:sz="0" w:space="0" w:color="auto"/>
            <w:left w:val="none" w:sz="0" w:space="0" w:color="auto"/>
            <w:bottom w:val="none" w:sz="0" w:space="0" w:color="auto"/>
            <w:right w:val="none" w:sz="0" w:space="0" w:color="auto"/>
          </w:divBdr>
        </w:div>
      </w:divsChild>
    </w:div>
    <w:div w:id="912400165">
      <w:bodyDiv w:val="1"/>
      <w:marLeft w:val="0"/>
      <w:marRight w:val="0"/>
      <w:marTop w:val="0"/>
      <w:marBottom w:val="0"/>
      <w:divBdr>
        <w:top w:val="none" w:sz="0" w:space="0" w:color="auto"/>
        <w:left w:val="none" w:sz="0" w:space="0" w:color="auto"/>
        <w:bottom w:val="none" w:sz="0" w:space="0" w:color="auto"/>
        <w:right w:val="none" w:sz="0" w:space="0" w:color="auto"/>
      </w:divBdr>
    </w:div>
    <w:div w:id="1554657215">
      <w:bodyDiv w:val="1"/>
      <w:marLeft w:val="0"/>
      <w:marRight w:val="0"/>
      <w:marTop w:val="0"/>
      <w:marBottom w:val="0"/>
      <w:divBdr>
        <w:top w:val="none" w:sz="0" w:space="0" w:color="auto"/>
        <w:left w:val="none" w:sz="0" w:space="0" w:color="auto"/>
        <w:bottom w:val="none" w:sz="0" w:space="0" w:color="auto"/>
        <w:right w:val="none" w:sz="0" w:space="0" w:color="auto"/>
      </w:divBdr>
      <w:divsChild>
        <w:div w:id="2007437139">
          <w:marLeft w:val="547"/>
          <w:marRight w:val="0"/>
          <w:marTop w:val="53"/>
          <w:marBottom w:val="0"/>
          <w:divBdr>
            <w:top w:val="none" w:sz="0" w:space="0" w:color="auto"/>
            <w:left w:val="none" w:sz="0" w:space="0" w:color="auto"/>
            <w:bottom w:val="none" w:sz="0" w:space="0" w:color="auto"/>
            <w:right w:val="none" w:sz="0" w:space="0" w:color="auto"/>
          </w:divBdr>
        </w:div>
        <w:div w:id="1832480270">
          <w:marLeft w:val="547"/>
          <w:marRight w:val="0"/>
          <w:marTop w:val="53"/>
          <w:marBottom w:val="0"/>
          <w:divBdr>
            <w:top w:val="none" w:sz="0" w:space="0" w:color="auto"/>
            <w:left w:val="none" w:sz="0" w:space="0" w:color="auto"/>
            <w:bottom w:val="none" w:sz="0" w:space="0" w:color="auto"/>
            <w:right w:val="none" w:sz="0" w:space="0" w:color="auto"/>
          </w:divBdr>
        </w:div>
        <w:div w:id="955678520">
          <w:marLeft w:val="547"/>
          <w:marRight w:val="0"/>
          <w:marTop w:val="53"/>
          <w:marBottom w:val="0"/>
          <w:divBdr>
            <w:top w:val="none" w:sz="0" w:space="0" w:color="auto"/>
            <w:left w:val="none" w:sz="0" w:space="0" w:color="auto"/>
            <w:bottom w:val="none" w:sz="0" w:space="0" w:color="auto"/>
            <w:right w:val="none" w:sz="0" w:space="0" w:color="auto"/>
          </w:divBdr>
        </w:div>
        <w:div w:id="1127431281">
          <w:marLeft w:val="547"/>
          <w:marRight w:val="0"/>
          <w:marTop w:val="53"/>
          <w:marBottom w:val="0"/>
          <w:divBdr>
            <w:top w:val="none" w:sz="0" w:space="0" w:color="auto"/>
            <w:left w:val="none" w:sz="0" w:space="0" w:color="auto"/>
            <w:bottom w:val="none" w:sz="0" w:space="0" w:color="auto"/>
            <w:right w:val="none" w:sz="0" w:space="0" w:color="auto"/>
          </w:divBdr>
        </w:div>
        <w:div w:id="1204051850">
          <w:marLeft w:val="547"/>
          <w:marRight w:val="0"/>
          <w:marTop w:val="53"/>
          <w:marBottom w:val="0"/>
          <w:divBdr>
            <w:top w:val="none" w:sz="0" w:space="0" w:color="auto"/>
            <w:left w:val="none" w:sz="0" w:space="0" w:color="auto"/>
            <w:bottom w:val="none" w:sz="0" w:space="0" w:color="auto"/>
            <w:right w:val="none" w:sz="0" w:space="0" w:color="auto"/>
          </w:divBdr>
        </w:div>
        <w:div w:id="1251155916">
          <w:marLeft w:val="547"/>
          <w:marRight w:val="0"/>
          <w:marTop w:val="53"/>
          <w:marBottom w:val="0"/>
          <w:divBdr>
            <w:top w:val="none" w:sz="0" w:space="0" w:color="auto"/>
            <w:left w:val="none" w:sz="0" w:space="0" w:color="auto"/>
            <w:bottom w:val="none" w:sz="0" w:space="0" w:color="auto"/>
            <w:right w:val="none" w:sz="0" w:space="0" w:color="auto"/>
          </w:divBdr>
        </w:div>
        <w:div w:id="1474827929">
          <w:marLeft w:val="1166"/>
          <w:marRight w:val="0"/>
          <w:marTop w:val="53"/>
          <w:marBottom w:val="0"/>
          <w:divBdr>
            <w:top w:val="none" w:sz="0" w:space="0" w:color="auto"/>
            <w:left w:val="none" w:sz="0" w:space="0" w:color="auto"/>
            <w:bottom w:val="none" w:sz="0" w:space="0" w:color="auto"/>
            <w:right w:val="none" w:sz="0" w:space="0" w:color="auto"/>
          </w:divBdr>
        </w:div>
        <w:div w:id="2047024796">
          <w:marLeft w:val="1166"/>
          <w:marRight w:val="0"/>
          <w:marTop w:val="53"/>
          <w:marBottom w:val="0"/>
          <w:divBdr>
            <w:top w:val="none" w:sz="0" w:space="0" w:color="auto"/>
            <w:left w:val="none" w:sz="0" w:space="0" w:color="auto"/>
            <w:bottom w:val="none" w:sz="0" w:space="0" w:color="auto"/>
            <w:right w:val="none" w:sz="0" w:space="0" w:color="auto"/>
          </w:divBdr>
        </w:div>
      </w:divsChild>
    </w:div>
    <w:div w:id="1598636558">
      <w:bodyDiv w:val="1"/>
      <w:marLeft w:val="0"/>
      <w:marRight w:val="0"/>
      <w:marTop w:val="0"/>
      <w:marBottom w:val="0"/>
      <w:divBdr>
        <w:top w:val="none" w:sz="0" w:space="0" w:color="auto"/>
        <w:left w:val="none" w:sz="0" w:space="0" w:color="auto"/>
        <w:bottom w:val="none" w:sz="0" w:space="0" w:color="auto"/>
        <w:right w:val="none" w:sz="0" w:space="0" w:color="auto"/>
      </w:divBdr>
      <w:divsChild>
        <w:div w:id="1925072486">
          <w:marLeft w:val="547"/>
          <w:marRight w:val="0"/>
          <w:marTop w:val="240"/>
          <w:marBottom w:val="0"/>
          <w:divBdr>
            <w:top w:val="none" w:sz="0" w:space="0" w:color="auto"/>
            <w:left w:val="none" w:sz="0" w:space="0" w:color="auto"/>
            <w:bottom w:val="none" w:sz="0" w:space="0" w:color="auto"/>
            <w:right w:val="none" w:sz="0" w:space="0" w:color="auto"/>
          </w:divBdr>
        </w:div>
      </w:divsChild>
    </w:div>
    <w:div w:id="1761759030">
      <w:bodyDiv w:val="1"/>
      <w:marLeft w:val="0"/>
      <w:marRight w:val="0"/>
      <w:marTop w:val="0"/>
      <w:marBottom w:val="0"/>
      <w:divBdr>
        <w:top w:val="none" w:sz="0" w:space="0" w:color="auto"/>
        <w:left w:val="none" w:sz="0" w:space="0" w:color="auto"/>
        <w:bottom w:val="none" w:sz="0" w:space="0" w:color="auto"/>
        <w:right w:val="none" w:sz="0" w:space="0" w:color="auto"/>
      </w:divBdr>
      <w:divsChild>
        <w:div w:id="985627431">
          <w:marLeft w:val="547"/>
          <w:marRight w:val="0"/>
          <w:marTop w:val="120"/>
          <w:marBottom w:val="120"/>
          <w:divBdr>
            <w:top w:val="none" w:sz="0" w:space="0" w:color="auto"/>
            <w:left w:val="none" w:sz="0" w:space="0" w:color="auto"/>
            <w:bottom w:val="none" w:sz="0" w:space="0" w:color="auto"/>
            <w:right w:val="none" w:sz="0" w:space="0" w:color="auto"/>
          </w:divBdr>
        </w:div>
        <w:div w:id="1009987009">
          <w:marLeft w:val="547"/>
          <w:marRight w:val="0"/>
          <w:marTop w:val="120"/>
          <w:marBottom w:val="120"/>
          <w:divBdr>
            <w:top w:val="none" w:sz="0" w:space="0" w:color="auto"/>
            <w:left w:val="none" w:sz="0" w:space="0" w:color="auto"/>
            <w:bottom w:val="none" w:sz="0" w:space="0" w:color="auto"/>
            <w:right w:val="none" w:sz="0" w:space="0" w:color="auto"/>
          </w:divBdr>
        </w:div>
      </w:divsChild>
    </w:div>
    <w:div w:id="2051299409">
      <w:bodyDiv w:val="1"/>
      <w:marLeft w:val="0"/>
      <w:marRight w:val="0"/>
      <w:marTop w:val="0"/>
      <w:marBottom w:val="0"/>
      <w:divBdr>
        <w:top w:val="none" w:sz="0" w:space="0" w:color="auto"/>
        <w:left w:val="none" w:sz="0" w:space="0" w:color="auto"/>
        <w:bottom w:val="none" w:sz="0" w:space="0" w:color="auto"/>
        <w:right w:val="none" w:sz="0" w:space="0" w:color="auto"/>
      </w:divBdr>
      <w:divsChild>
        <w:div w:id="282661369">
          <w:marLeft w:val="547"/>
          <w:marRight w:val="0"/>
          <w:marTop w:val="53"/>
          <w:marBottom w:val="0"/>
          <w:divBdr>
            <w:top w:val="none" w:sz="0" w:space="0" w:color="auto"/>
            <w:left w:val="none" w:sz="0" w:space="0" w:color="auto"/>
            <w:bottom w:val="none" w:sz="0" w:space="0" w:color="auto"/>
            <w:right w:val="none" w:sz="0" w:space="0" w:color="auto"/>
          </w:divBdr>
        </w:div>
        <w:div w:id="2043627862">
          <w:marLeft w:val="547"/>
          <w:marRight w:val="0"/>
          <w:marTop w:val="53"/>
          <w:marBottom w:val="0"/>
          <w:divBdr>
            <w:top w:val="none" w:sz="0" w:space="0" w:color="auto"/>
            <w:left w:val="none" w:sz="0" w:space="0" w:color="auto"/>
            <w:bottom w:val="none" w:sz="0" w:space="0" w:color="auto"/>
            <w:right w:val="none" w:sz="0" w:space="0" w:color="auto"/>
          </w:divBdr>
        </w:div>
        <w:div w:id="130295408">
          <w:marLeft w:val="547"/>
          <w:marRight w:val="0"/>
          <w:marTop w:val="53"/>
          <w:marBottom w:val="0"/>
          <w:divBdr>
            <w:top w:val="none" w:sz="0" w:space="0" w:color="auto"/>
            <w:left w:val="none" w:sz="0" w:space="0" w:color="auto"/>
            <w:bottom w:val="none" w:sz="0" w:space="0" w:color="auto"/>
            <w:right w:val="none" w:sz="0" w:space="0" w:color="auto"/>
          </w:divBdr>
        </w:div>
        <w:div w:id="741297799">
          <w:marLeft w:val="547"/>
          <w:marRight w:val="0"/>
          <w:marTop w:val="53"/>
          <w:marBottom w:val="0"/>
          <w:divBdr>
            <w:top w:val="none" w:sz="0" w:space="0" w:color="auto"/>
            <w:left w:val="none" w:sz="0" w:space="0" w:color="auto"/>
            <w:bottom w:val="none" w:sz="0" w:space="0" w:color="auto"/>
            <w:right w:val="none" w:sz="0" w:space="0" w:color="auto"/>
          </w:divBdr>
        </w:div>
        <w:div w:id="566308093">
          <w:marLeft w:val="547"/>
          <w:marRight w:val="0"/>
          <w:marTop w:val="53"/>
          <w:marBottom w:val="0"/>
          <w:divBdr>
            <w:top w:val="none" w:sz="0" w:space="0" w:color="auto"/>
            <w:left w:val="none" w:sz="0" w:space="0" w:color="auto"/>
            <w:bottom w:val="none" w:sz="0" w:space="0" w:color="auto"/>
            <w:right w:val="none" w:sz="0" w:space="0" w:color="auto"/>
          </w:divBdr>
        </w:div>
        <w:div w:id="6949976">
          <w:marLeft w:val="547"/>
          <w:marRight w:val="0"/>
          <w:marTop w:val="53"/>
          <w:marBottom w:val="0"/>
          <w:divBdr>
            <w:top w:val="none" w:sz="0" w:space="0" w:color="auto"/>
            <w:left w:val="none" w:sz="0" w:space="0" w:color="auto"/>
            <w:bottom w:val="none" w:sz="0" w:space="0" w:color="auto"/>
            <w:right w:val="none" w:sz="0" w:space="0" w:color="auto"/>
          </w:divBdr>
        </w:div>
        <w:div w:id="549731300">
          <w:marLeft w:val="1166"/>
          <w:marRight w:val="0"/>
          <w:marTop w:val="53"/>
          <w:marBottom w:val="0"/>
          <w:divBdr>
            <w:top w:val="none" w:sz="0" w:space="0" w:color="auto"/>
            <w:left w:val="none" w:sz="0" w:space="0" w:color="auto"/>
            <w:bottom w:val="none" w:sz="0" w:space="0" w:color="auto"/>
            <w:right w:val="none" w:sz="0" w:space="0" w:color="auto"/>
          </w:divBdr>
        </w:div>
        <w:div w:id="1185054248">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wb308038\Documents\work\Russia\Russia%20-%20Competition%20Innovation%20and%20Economic%20Diversification\Brief\Economic%20Diversification%20in%20Russia%20-%20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Russia\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Russia\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Russia\char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areaChart>
        <c:grouping val="percentStacked"/>
        <c:ser>
          <c:idx val="3"/>
          <c:order val="3"/>
          <c:tx>
            <c:strRef>
              <c:f>Exports!$B$4</c:f>
            </c:strRef>
          </c:tx>
          <c:cat>
            <c:multiLvlStrRef>
              <c:f>Exports!$A$5:$A$17</c:f>
            </c:multiLvlStrRef>
          </c:cat>
          <c:val>
            <c:numRef>
              <c:f>Exports!$B$5:$B$17</c:f>
            </c:numRef>
          </c:val>
        </c:ser>
        <c:ser>
          <c:idx val="4"/>
          <c:order val="4"/>
          <c:tx>
            <c:strRef>
              <c:f>Exports!$C$4</c:f>
            </c:strRef>
          </c:tx>
          <c:spPr>
            <a:ln w="25400">
              <a:noFill/>
            </a:ln>
          </c:spPr>
          <c:cat>
            <c:multiLvlStrRef>
              <c:f>Exports!$A$5:$A$17</c:f>
            </c:multiLvlStrRef>
          </c:cat>
          <c:val>
            <c:numRef>
              <c:f>Exports!$C$5:$C$17</c:f>
            </c:numRef>
          </c:val>
        </c:ser>
        <c:ser>
          <c:idx val="5"/>
          <c:order val="5"/>
          <c:tx>
            <c:strRef>
              <c:f>Exports!$D$4</c:f>
            </c:strRef>
          </c:tx>
          <c:spPr>
            <a:ln w="25400">
              <a:noFill/>
            </a:ln>
          </c:spPr>
          <c:cat>
            <c:multiLvlStrRef>
              <c:f>Exports!$A$5:$A$17</c:f>
            </c:multiLvlStrRef>
          </c:cat>
          <c:val>
            <c:numRef>
              <c:f>Exports!$D$5:$D$17</c:f>
            </c:numRef>
          </c:val>
        </c:ser>
        <c:ser>
          <c:idx val="0"/>
          <c:order val="0"/>
          <c:tx>
            <c:strRef>
              <c:f>Exports!$B$4</c:f>
              <c:strCache>
                <c:ptCount val="1"/>
                <c:pt idx="0">
                  <c:v>Oil</c:v>
                </c:pt>
              </c:strCache>
            </c:strRef>
          </c:tx>
          <c:cat>
            <c:numRef>
              <c:f>Exports!$A$5:$A$17</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Exports!$B$5:$B$17</c:f>
              <c:numCache>
                <c:formatCode>#,##0</c:formatCode>
                <c:ptCount val="13"/>
                <c:pt idx="0">
                  <c:v>22506813440</c:v>
                </c:pt>
                <c:pt idx="1">
                  <c:v>22695849984</c:v>
                </c:pt>
                <c:pt idx="2">
                  <c:v>13670637460</c:v>
                </c:pt>
                <c:pt idx="3">
                  <c:v>18900002107</c:v>
                </c:pt>
                <c:pt idx="4">
                  <c:v>34524488732</c:v>
                </c:pt>
                <c:pt idx="5">
                  <c:v>32871357883</c:v>
                </c:pt>
                <c:pt idx="6">
                  <c:v>38952324424</c:v>
                </c:pt>
                <c:pt idx="7">
                  <c:v>50974548082</c:v>
                </c:pt>
                <c:pt idx="8">
                  <c:v>74392641251</c:v>
                </c:pt>
                <c:pt idx="9">
                  <c:v>113595798026</c:v>
                </c:pt>
                <c:pt idx="10">
                  <c:v>141132928855</c:v>
                </c:pt>
                <c:pt idx="11">
                  <c:v>166389685450</c:v>
                </c:pt>
                <c:pt idx="12">
                  <c:v>230605543262</c:v>
                </c:pt>
              </c:numCache>
            </c:numRef>
          </c:val>
        </c:ser>
        <c:ser>
          <c:idx val="1"/>
          <c:order val="1"/>
          <c:tx>
            <c:strRef>
              <c:f>Exports!$C$4</c:f>
              <c:strCache>
                <c:ptCount val="1"/>
                <c:pt idx="0">
                  <c:v>Gas</c:v>
                </c:pt>
              </c:strCache>
            </c:strRef>
          </c:tx>
          <c:cat>
            <c:numRef>
              <c:f>Exports!$A$5:$A$17</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Exports!$C$5:$C$17</c:f>
              <c:numCache>
                <c:formatCode>#,##0</c:formatCode>
                <c:ptCount val="13"/>
                <c:pt idx="0">
                  <c:v>14167026688</c:v>
                </c:pt>
                <c:pt idx="1">
                  <c:v>15843917824</c:v>
                </c:pt>
                <c:pt idx="2">
                  <c:v>13406664811</c:v>
                </c:pt>
                <c:pt idx="3">
                  <c:v>11531789773</c:v>
                </c:pt>
                <c:pt idx="4">
                  <c:v>16285297992</c:v>
                </c:pt>
                <c:pt idx="5">
                  <c:v>17357994899</c:v>
                </c:pt>
                <c:pt idx="6">
                  <c:v>15473067600</c:v>
                </c:pt>
                <c:pt idx="7">
                  <c:v>19499306037</c:v>
                </c:pt>
                <c:pt idx="8">
                  <c:v>21181814996</c:v>
                </c:pt>
                <c:pt idx="9">
                  <c:v>30767047497</c:v>
                </c:pt>
                <c:pt idx="10">
                  <c:v>38926215200</c:v>
                </c:pt>
                <c:pt idx="11">
                  <c:v>43712944853</c:v>
                </c:pt>
                <c:pt idx="12">
                  <c:v>67142379173</c:v>
                </c:pt>
              </c:numCache>
            </c:numRef>
          </c:val>
        </c:ser>
        <c:ser>
          <c:idx val="2"/>
          <c:order val="2"/>
          <c:tx>
            <c:strRef>
              <c:f>Exports!$D$4</c:f>
              <c:strCache>
                <c:ptCount val="1"/>
                <c:pt idx="0">
                  <c:v>Other</c:v>
                </c:pt>
              </c:strCache>
            </c:strRef>
          </c:tx>
          <c:cat>
            <c:numRef>
              <c:f>Exports!$A$5:$A$17</c:f>
              <c:numCache>
                <c:formatCode>General</c:formatCod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numCache>
            </c:numRef>
          </c:cat>
          <c:val>
            <c:numRef>
              <c:f>Exports!$D$5:$D$17</c:f>
              <c:numCache>
                <c:formatCode>#,##0</c:formatCode>
                <c:ptCount val="13"/>
                <c:pt idx="0">
                  <c:v>52028972032</c:v>
                </c:pt>
                <c:pt idx="1">
                  <c:v>47349477376</c:v>
                </c:pt>
                <c:pt idx="2">
                  <c:v>45198283195</c:v>
                </c:pt>
                <c:pt idx="3">
                  <c:v>42453208072</c:v>
                </c:pt>
                <c:pt idx="4">
                  <c:v>52282961697</c:v>
                </c:pt>
                <c:pt idx="5">
                  <c:v>49639044245</c:v>
                </c:pt>
                <c:pt idx="6">
                  <c:v>52266605848</c:v>
                </c:pt>
                <c:pt idx="7">
                  <c:v>63181831044</c:v>
                </c:pt>
                <c:pt idx="8">
                  <c:v>86025922903</c:v>
                </c:pt>
                <c:pt idx="9">
                  <c:v>97088811359</c:v>
                </c:pt>
                <c:pt idx="10">
                  <c:v>121184855946</c:v>
                </c:pt>
                <c:pt idx="11">
                  <c:v>142163768468</c:v>
                </c:pt>
                <c:pt idx="12">
                  <c:v>170246032141</c:v>
                </c:pt>
              </c:numCache>
            </c:numRef>
          </c:val>
        </c:ser>
        <c:axId val="170850944"/>
        <c:axId val="171389312"/>
      </c:areaChart>
      <c:catAx>
        <c:axId val="170850944"/>
        <c:scaling>
          <c:orientation val="minMax"/>
        </c:scaling>
        <c:axPos val="b"/>
        <c:numFmt formatCode="General" sourceLinked="1"/>
        <c:tickLblPos val="nextTo"/>
        <c:txPr>
          <a:bodyPr/>
          <a:lstStyle/>
          <a:p>
            <a:pPr>
              <a:defRPr sz="900"/>
            </a:pPr>
            <a:endParaRPr lang="en-US"/>
          </a:p>
        </c:txPr>
        <c:crossAx val="171389312"/>
        <c:crosses val="autoZero"/>
        <c:auto val="1"/>
        <c:lblAlgn val="ctr"/>
        <c:lblOffset val="100"/>
      </c:catAx>
      <c:valAx>
        <c:axId val="171389312"/>
        <c:scaling>
          <c:orientation val="minMax"/>
        </c:scaling>
        <c:axPos val="l"/>
        <c:majorGridlines/>
        <c:minorGridlines/>
        <c:numFmt formatCode="0%" sourceLinked="1"/>
        <c:tickLblPos val="nextTo"/>
        <c:txPr>
          <a:bodyPr/>
          <a:lstStyle/>
          <a:p>
            <a:pPr>
              <a:defRPr sz="900"/>
            </a:pPr>
            <a:endParaRPr lang="en-US"/>
          </a:p>
        </c:txPr>
        <c:crossAx val="170850944"/>
        <c:crosses val="autoZero"/>
        <c:crossBetween val="midCat"/>
      </c:valAx>
    </c:plotArea>
    <c:plotVisOnly val="1"/>
    <c:dispBlanksAs val="zero"/>
  </c:chart>
  <c:txPr>
    <a:bodyPr/>
    <a:lstStyle/>
    <a:p>
      <a:pPr>
        <a:defRPr sz="1000"/>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Textiles</a:t>
            </a:r>
          </a:p>
        </c:rich>
      </c:tx>
      <c:layout>
        <c:manualLayout>
          <c:xMode val="edge"/>
          <c:yMode val="edge"/>
          <c:x val="0.43546285340282015"/>
          <c:y val="0"/>
        </c:manualLayout>
      </c:layout>
    </c:title>
    <c:plotArea>
      <c:layout>
        <c:manualLayout>
          <c:layoutTarget val="inner"/>
          <c:xMode val="edge"/>
          <c:yMode val="edge"/>
          <c:x val="0.25828027805378156"/>
          <c:y val="0.11553432032144752"/>
          <c:w val="0.71708114610673668"/>
          <c:h val="0.700643773694965"/>
        </c:manualLayout>
      </c:layout>
      <c:barChart>
        <c:barDir val="bar"/>
        <c:grouping val="stacked"/>
        <c:ser>
          <c:idx val="1"/>
          <c:order val="1"/>
          <c:spPr>
            <a:solidFill>
              <a:srgbClr val="A50021"/>
            </a:solidFill>
          </c:spPr>
          <c:dPt>
            <c:idx val="0"/>
            <c:spPr>
              <a:solidFill>
                <a:srgbClr val="4F81BD">
                  <a:lumMod val="20000"/>
                  <a:lumOff val="80000"/>
                </a:srgbClr>
              </a:solidFill>
            </c:spPr>
          </c:dPt>
          <c:dPt>
            <c:idx val="1"/>
            <c:spPr>
              <a:solidFill>
                <a:srgbClr val="4F81BD">
                  <a:lumMod val="20000"/>
                  <a:lumOff val="80000"/>
                </a:srgbClr>
              </a:solidFill>
            </c:spPr>
          </c:dPt>
          <c:dPt>
            <c:idx val="2"/>
            <c:spPr>
              <a:solidFill>
                <a:srgbClr val="4F81BD">
                  <a:lumMod val="20000"/>
                  <a:lumOff val="80000"/>
                </a:srgbClr>
              </a:solidFill>
            </c:spPr>
          </c:dPt>
          <c:dPt>
            <c:idx val="3"/>
            <c:spPr>
              <a:solidFill>
                <a:srgbClr val="4F81BD"/>
              </a:solidFill>
            </c:spPr>
          </c:dPt>
          <c:dPt>
            <c:idx val="4"/>
            <c:spPr>
              <a:solidFill>
                <a:srgbClr val="4F81BD"/>
              </a:solidFill>
            </c:spPr>
          </c:dPt>
          <c:dPt>
            <c:idx val="5"/>
            <c:spPr>
              <a:solidFill>
                <a:srgbClr val="1F497D">
                  <a:lumMod val="75000"/>
                </a:srgbClr>
              </a:solidFill>
            </c:spPr>
          </c:dPt>
          <c:dPt>
            <c:idx val="6"/>
            <c:spPr>
              <a:solidFill>
                <a:srgbClr val="1F497D">
                  <a:lumMod val="75000"/>
                </a:srgbClr>
              </a:solidFill>
            </c:spPr>
          </c:dPt>
          <c:dPt>
            <c:idx val="7"/>
            <c:spPr>
              <a:solidFill>
                <a:srgbClr val="1F497D">
                  <a:lumMod val="75000"/>
                </a:srgbClr>
              </a:solidFill>
            </c:spPr>
          </c:dPt>
          <c:dPt>
            <c:idx val="8"/>
            <c:spPr>
              <a:solidFill>
                <a:srgbClr val="1F497D">
                  <a:lumMod val="75000"/>
                </a:srgbClr>
              </a:solidFill>
            </c:spPr>
          </c:dPt>
          <c:dPt>
            <c:idx val="9"/>
            <c:spPr>
              <a:solidFill>
                <a:srgbClr val="1F497D">
                  <a:lumMod val="75000"/>
                </a:srgbClr>
              </a:solidFill>
            </c:spPr>
          </c:dPt>
          <c:cat>
            <c:strRef>
              <c:f>'chart 1 HHI'!$G$33:$G$42</c:f>
              <c:strCache>
                <c:ptCount val="10"/>
                <c:pt idx="0">
                  <c:v>Moscow</c:v>
                </c:pt>
                <c:pt idx="1">
                  <c:v>Saint-Petersburg</c:v>
                </c:pt>
                <c:pt idx="2">
                  <c:v>Tver oblast</c:v>
                </c:pt>
                <c:pt idx="3">
                  <c:v>Perm Krai</c:v>
                </c:pt>
                <c:pt idx="4">
                  <c:v>Rostov oblast</c:v>
                </c:pt>
                <c:pt idx="5">
                  <c:v>Voronezh oblast</c:v>
                </c:pt>
                <c:pt idx="6">
                  <c:v>Tatarstan</c:v>
                </c:pt>
                <c:pt idx="7">
                  <c:v>Irkutsk oblast</c:v>
                </c:pt>
                <c:pt idx="8">
                  <c:v>Tomsk oblast</c:v>
                </c:pt>
                <c:pt idx="9">
                  <c:v>Karelia</c:v>
                </c:pt>
              </c:strCache>
            </c:strRef>
          </c:cat>
          <c:val>
            <c:numRef>
              <c:f>'chart 1 HHI'!$H$33:$H$42</c:f>
              <c:numCache>
                <c:formatCode>General</c:formatCode>
                <c:ptCount val="10"/>
                <c:pt idx="0">
                  <c:v>283.2174563349277</c:v>
                </c:pt>
                <c:pt idx="1">
                  <c:v>962.24886827067382</c:v>
                </c:pt>
                <c:pt idx="2">
                  <c:v>1207.9112527333657</c:v>
                </c:pt>
                <c:pt idx="3">
                  <c:v>2317.5888320811391</c:v>
                </c:pt>
                <c:pt idx="4">
                  <c:v>2405.05096908921</c:v>
                </c:pt>
                <c:pt idx="5">
                  <c:v>2607.7213694220482</c:v>
                </c:pt>
                <c:pt idx="6">
                  <c:v>2930.5224328472887</c:v>
                </c:pt>
                <c:pt idx="7">
                  <c:v>3243.8944511779805</c:v>
                </c:pt>
                <c:pt idx="8">
                  <c:v>4840.2674287486825</c:v>
                </c:pt>
                <c:pt idx="9">
                  <c:v>9994.241843087937</c:v>
                </c:pt>
              </c:numCache>
            </c:numRef>
          </c:val>
        </c:ser>
        <c:ser>
          <c:idx val="0"/>
          <c:order val="0"/>
          <c:spPr>
            <a:solidFill>
              <a:srgbClr val="A50021"/>
            </a:solidFill>
          </c:spPr>
          <c:dPt>
            <c:idx val="0"/>
            <c:spPr>
              <a:solidFill>
                <a:srgbClr val="4F81BD">
                  <a:lumMod val="20000"/>
                  <a:lumOff val="80000"/>
                </a:srgbClr>
              </a:solidFill>
            </c:spPr>
          </c:dPt>
          <c:dPt>
            <c:idx val="1"/>
            <c:spPr>
              <a:solidFill>
                <a:srgbClr val="4F81BD">
                  <a:lumMod val="20000"/>
                  <a:lumOff val="80000"/>
                </a:srgbClr>
              </a:solidFill>
            </c:spPr>
          </c:dPt>
          <c:dPt>
            <c:idx val="2"/>
            <c:spPr>
              <a:solidFill>
                <a:srgbClr val="4F81BD">
                  <a:lumMod val="20000"/>
                  <a:lumOff val="80000"/>
                </a:srgbClr>
              </a:solidFill>
            </c:spPr>
          </c:dPt>
          <c:dPt>
            <c:idx val="3"/>
            <c:spPr>
              <a:solidFill>
                <a:srgbClr val="4F81BD"/>
              </a:solidFill>
            </c:spPr>
          </c:dPt>
          <c:dPt>
            <c:idx val="4"/>
            <c:spPr>
              <a:solidFill>
                <a:srgbClr val="4F81BD"/>
              </a:solidFill>
            </c:spPr>
          </c:dPt>
          <c:dPt>
            <c:idx val="5"/>
            <c:spPr>
              <a:solidFill>
                <a:srgbClr val="1F497D">
                  <a:lumMod val="75000"/>
                </a:srgbClr>
              </a:solidFill>
            </c:spPr>
          </c:dPt>
          <c:dPt>
            <c:idx val="6"/>
            <c:spPr>
              <a:solidFill>
                <a:srgbClr val="1F497D">
                  <a:lumMod val="75000"/>
                </a:srgbClr>
              </a:solidFill>
            </c:spPr>
          </c:dPt>
          <c:dPt>
            <c:idx val="7"/>
            <c:spPr>
              <a:solidFill>
                <a:srgbClr val="1F497D">
                  <a:lumMod val="75000"/>
                </a:srgbClr>
              </a:solidFill>
            </c:spPr>
          </c:dPt>
          <c:dPt>
            <c:idx val="8"/>
            <c:spPr>
              <a:solidFill>
                <a:srgbClr val="1F497D">
                  <a:lumMod val="75000"/>
                </a:srgbClr>
              </a:solidFill>
            </c:spPr>
          </c:dPt>
          <c:dPt>
            <c:idx val="9"/>
            <c:spPr>
              <a:solidFill>
                <a:srgbClr val="1F497D">
                  <a:lumMod val="75000"/>
                </a:srgbClr>
              </a:solidFill>
            </c:spPr>
          </c:dPt>
          <c:cat>
            <c:strRef>
              <c:f>'chart 1 HHI'!$G$33:$G$42</c:f>
              <c:strCache>
                <c:ptCount val="10"/>
                <c:pt idx="0">
                  <c:v>Moscow</c:v>
                </c:pt>
                <c:pt idx="1">
                  <c:v>Saint-Petersburg</c:v>
                </c:pt>
                <c:pt idx="2">
                  <c:v>Tver oblast</c:v>
                </c:pt>
                <c:pt idx="3">
                  <c:v>Perm Krai</c:v>
                </c:pt>
                <c:pt idx="4">
                  <c:v>Rostov oblast</c:v>
                </c:pt>
                <c:pt idx="5">
                  <c:v>Voronezh oblast</c:v>
                </c:pt>
                <c:pt idx="6">
                  <c:v>Tatarstan</c:v>
                </c:pt>
                <c:pt idx="7">
                  <c:v>Irkutsk oblast</c:v>
                </c:pt>
                <c:pt idx="8">
                  <c:v>Tomsk oblast</c:v>
                </c:pt>
                <c:pt idx="9">
                  <c:v>Karelia</c:v>
                </c:pt>
              </c:strCache>
            </c:strRef>
          </c:cat>
          <c:val>
            <c:numRef>
              <c:f>'chart 1 HHI'!$H$33:$H$42</c:f>
              <c:numCache>
                <c:formatCode>General</c:formatCode>
                <c:ptCount val="10"/>
                <c:pt idx="0">
                  <c:v>283.2174563349277</c:v>
                </c:pt>
                <c:pt idx="1">
                  <c:v>962.24886827067382</c:v>
                </c:pt>
                <c:pt idx="2">
                  <c:v>1207.9112527333657</c:v>
                </c:pt>
                <c:pt idx="3">
                  <c:v>2317.5888320811391</c:v>
                </c:pt>
                <c:pt idx="4">
                  <c:v>2405.05096908921</c:v>
                </c:pt>
                <c:pt idx="5">
                  <c:v>2607.7213694220482</c:v>
                </c:pt>
                <c:pt idx="6">
                  <c:v>2930.5224328472887</c:v>
                </c:pt>
                <c:pt idx="7">
                  <c:v>3243.8944511779805</c:v>
                </c:pt>
                <c:pt idx="8">
                  <c:v>4840.2674287486825</c:v>
                </c:pt>
                <c:pt idx="9">
                  <c:v>9994.241843087937</c:v>
                </c:pt>
              </c:numCache>
            </c:numRef>
          </c:val>
        </c:ser>
        <c:gapWidth val="55"/>
        <c:overlap val="100"/>
        <c:axId val="171494784"/>
        <c:axId val="171504768"/>
      </c:barChart>
      <c:catAx>
        <c:axId val="171494784"/>
        <c:scaling>
          <c:orientation val="minMax"/>
        </c:scaling>
        <c:axPos val="l"/>
        <c:numFmt formatCode="General" sourceLinked="1"/>
        <c:majorTickMark val="none"/>
        <c:tickLblPos val="nextTo"/>
        <c:crossAx val="171504768"/>
        <c:crosses val="autoZero"/>
        <c:auto val="1"/>
        <c:lblAlgn val="ctr"/>
        <c:lblOffset val="100"/>
        <c:tickLblSkip val="1"/>
      </c:catAx>
      <c:valAx>
        <c:axId val="171504768"/>
        <c:scaling>
          <c:orientation val="minMax"/>
          <c:max val="10000"/>
        </c:scaling>
        <c:axPos val="b"/>
        <c:majorGridlines>
          <c:spPr>
            <a:ln>
              <a:solidFill>
                <a:sysClr val="window" lastClr="FFFFFF"/>
              </a:solidFill>
            </a:ln>
          </c:spPr>
        </c:majorGridlines>
        <c:numFmt formatCode="General" sourceLinked="1"/>
        <c:tickLblPos val="nextTo"/>
        <c:crossAx val="171494784"/>
        <c:crosses val="autoZero"/>
        <c:crossBetween val="between"/>
        <c:majorUnit val="2000"/>
      </c:valAx>
      <c:spPr>
        <a:solidFill>
          <a:srgbClr val="4F81BD">
            <a:lumMod val="20000"/>
            <a:lumOff val="80000"/>
            <a:alpha val="20000"/>
          </a:srgbClr>
        </a:solidFill>
      </c:spPr>
    </c:plotArea>
    <c:plotVisOnly val="1"/>
  </c:chart>
  <c:spPr>
    <a:ln>
      <a:noFill/>
    </a:ln>
  </c:spPr>
  <c:txPr>
    <a:bodyPr/>
    <a:lstStyle/>
    <a:p>
      <a:pPr>
        <a:defRPr sz="600">
          <a:latin typeface="Calibri" pitchFamily="34" charset="0"/>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Electronics</a:t>
            </a:r>
          </a:p>
        </c:rich>
      </c:tx>
      <c:layout>
        <c:manualLayout>
          <c:xMode val="edge"/>
          <c:yMode val="edge"/>
          <c:x val="0.41476307088633163"/>
          <c:y val="0"/>
        </c:manualLayout>
      </c:layout>
    </c:title>
    <c:plotArea>
      <c:layout>
        <c:manualLayout>
          <c:layoutTarget val="inner"/>
          <c:xMode val="edge"/>
          <c:yMode val="edge"/>
          <c:x val="0.23440507436570429"/>
          <c:y val="0.13338989603043824"/>
          <c:w val="0.71243525809273844"/>
          <c:h val="0.70139738346660141"/>
        </c:manualLayout>
      </c:layout>
      <c:barChart>
        <c:barDir val="bar"/>
        <c:grouping val="stacked"/>
        <c:ser>
          <c:idx val="0"/>
          <c:order val="0"/>
          <c:spPr>
            <a:solidFill>
              <a:srgbClr val="A50021"/>
            </a:solidFill>
          </c:spPr>
          <c:dPt>
            <c:idx val="0"/>
            <c:spPr>
              <a:solidFill>
                <a:srgbClr val="4F81BD">
                  <a:lumMod val="20000"/>
                  <a:lumOff val="80000"/>
                </a:srgbClr>
              </a:solidFill>
            </c:spPr>
          </c:dPt>
          <c:dPt>
            <c:idx val="1"/>
            <c:spPr>
              <a:solidFill>
                <a:srgbClr val="4F81BD">
                  <a:lumMod val="20000"/>
                  <a:lumOff val="80000"/>
                </a:srgbClr>
              </a:solidFill>
            </c:spPr>
          </c:dPt>
          <c:dPt>
            <c:idx val="2"/>
            <c:spPr>
              <a:solidFill>
                <a:srgbClr val="4F81BD"/>
              </a:solidFill>
            </c:spPr>
          </c:dPt>
          <c:dPt>
            <c:idx val="3"/>
            <c:spPr>
              <a:solidFill>
                <a:srgbClr val="4F81BD"/>
              </a:solidFill>
            </c:spPr>
          </c:dPt>
          <c:dPt>
            <c:idx val="4"/>
            <c:spPr>
              <a:solidFill>
                <a:srgbClr val="1F497D">
                  <a:lumMod val="75000"/>
                </a:srgbClr>
              </a:solidFill>
            </c:spPr>
          </c:dPt>
          <c:dPt>
            <c:idx val="5"/>
            <c:spPr>
              <a:solidFill>
                <a:srgbClr val="1F497D">
                  <a:lumMod val="75000"/>
                </a:srgbClr>
              </a:solidFill>
            </c:spPr>
          </c:dPt>
          <c:dPt>
            <c:idx val="6"/>
            <c:spPr>
              <a:solidFill>
                <a:srgbClr val="1F497D">
                  <a:lumMod val="75000"/>
                </a:srgbClr>
              </a:solidFill>
            </c:spPr>
          </c:dPt>
          <c:dPt>
            <c:idx val="7"/>
            <c:spPr>
              <a:solidFill>
                <a:srgbClr val="1F497D">
                  <a:lumMod val="75000"/>
                </a:srgbClr>
              </a:solidFill>
            </c:spPr>
          </c:dPt>
          <c:dPt>
            <c:idx val="8"/>
            <c:spPr>
              <a:solidFill>
                <a:srgbClr val="1F497D">
                  <a:lumMod val="75000"/>
                </a:srgbClr>
              </a:solidFill>
            </c:spPr>
          </c:dPt>
          <c:cat>
            <c:strRef>
              <c:f>'chart 1 HHI'!$G$46:$G$54</c:f>
              <c:strCache>
                <c:ptCount val="9"/>
                <c:pt idx="0">
                  <c:v>Moscow</c:v>
                </c:pt>
                <c:pt idx="1">
                  <c:v>Saint-Petersburg</c:v>
                </c:pt>
                <c:pt idx="2">
                  <c:v>Rostov oblast</c:v>
                </c:pt>
                <c:pt idx="3">
                  <c:v>Voronezh oblast</c:v>
                </c:pt>
                <c:pt idx="4">
                  <c:v>Perm Krai</c:v>
                </c:pt>
                <c:pt idx="5">
                  <c:v>Tomsk oblast</c:v>
                </c:pt>
                <c:pt idx="6">
                  <c:v>Tver oblast</c:v>
                </c:pt>
                <c:pt idx="7">
                  <c:v>Tatarstan</c:v>
                </c:pt>
                <c:pt idx="8">
                  <c:v>Irkutsk oblast</c:v>
                </c:pt>
              </c:strCache>
            </c:strRef>
          </c:cat>
          <c:val>
            <c:numRef>
              <c:f>'chart 1 HHI'!$H$46:$H$54</c:f>
              <c:numCache>
                <c:formatCode>General</c:formatCode>
                <c:ptCount val="9"/>
                <c:pt idx="0">
                  <c:v>525.51047220380804</c:v>
                </c:pt>
                <c:pt idx="1">
                  <c:v>546.50534863276869</c:v>
                </c:pt>
                <c:pt idx="2">
                  <c:v>2101.7574943114741</c:v>
                </c:pt>
                <c:pt idx="3">
                  <c:v>2548.6603058507003</c:v>
                </c:pt>
                <c:pt idx="4">
                  <c:v>3333.8818954722956</c:v>
                </c:pt>
                <c:pt idx="5">
                  <c:v>5091.0699593627351</c:v>
                </c:pt>
                <c:pt idx="6">
                  <c:v>5865.7499093283295</c:v>
                </c:pt>
                <c:pt idx="7">
                  <c:v>6018.8686757618016</c:v>
                </c:pt>
                <c:pt idx="8">
                  <c:v>6782.5364948483602</c:v>
                </c:pt>
              </c:numCache>
            </c:numRef>
          </c:val>
        </c:ser>
        <c:gapWidth val="55"/>
        <c:overlap val="100"/>
        <c:axId val="171552768"/>
        <c:axId val="171554304"/>
      </c:barChart>
      <c:catAx>
        <c:axId val="171552768"/>
        <c:scaling>
          <c:orientation val="minMax"/>
        </c:scaling>
        <c:axPos val="l"/>
        <c:numFmt formatCode="General" sourceLinked="1"/>
        <c:majorTickMark val="none"/>
        <c:tickLblPos val="nextTo"/>
        <c:crossAx val="171554304"/>
        <c:crosses val="autoZero"/>
        <c:auto val="1"/>
        <c:lblAlgn val="ctr"/>
        <c:lblOffset val="100"/>
        <c:tickLblSkip val="1"/>
      </c:catAx>
      <c:valAx>
        <c:axId val="171554304"/>
        <c:scaling>
          <c:orientation val="minMax"/>
          <c:max val="10000"/>
        </c:scaling>
        <c:axPos val="b"/>
        <c:majorGridlines>
          <c:spPr>
            <a:ln>
              <a:solidFill>
                <a:sysClr val="window" lastClr="FFFFFF"/>
              </a:solidFill>
            </a:ln>
          </c:spPr>
        </c:majorGridlines>
        <c:numFmt formatCode="General" sourceLinked="1"/>
        <c:tickLblPos val="nextTo"/>
        <c:crossAx val="171552768"/>
        <c:crosses val="autoZero"/>
        <c:crossBetween val="between"/>
        <c:majorUnit val="2000"/>
      </c:valAx>
      <c:spPr>
        <a:solidFill>
          <a:srgbClr val="4F81BD">
            <a:lumMod val="20000"/>
            <a:lumOff val="80000"/>
            <a:alpha val="20000"/>
          </a:srgbClr>
        </a:solidFill>
      </c:spPr>
    </c:plotArea>
    <c:plotVisOnly val="1"/>
  </c:chart>
  <c:spPr>
    <a:ln>
      <a:noFill/>
    </a:ln>
  </c:spPr>
  <c:txPr>
    <a:bodyPr/>
    <a:lstStyle/>
    <a:p>
      <a:pPr>
        <a:defRPr sz="600">
          <a:latin typeface="Calibri" pitchFamily="34" charset="0"/>
        </a:defRPr>
      </a:pPr>
      <a:endParaRPr lang="en-US"/>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Plastic and Rubber</a:t>
            </a:r>
          </a:p>
        </c:rich>
      </c:tx>
      <c:layout>
        <c:manualLayout>
          <c:xMode val="edge"/>
          <c:yMode val="edge"/>
          <c:x val="0.44171112502677279"/>
          <c:y val="0"/>
        </c:manualLayout>
      </c:layout>
    </c:title>
    <c:plotArea>
      <c:layout>
        <c:manualLayout>
          <c:layoutTarget val="inner"/>
          <c:xMode val="edge"/>
          <c:yMode val="edge"/>
          <c:x val="0.26810613517060716"/>
          <c:y val="0.16494047619048036"/>
          <c:w val="0.66735393427384981"/>
          <c:h val="0.66655277465316864"/>
        </c:manualLayout>
      </c:layout>
      <c:barChart>
        <c:barDir val="bar"/>
        <c:grouping val="stacked"/>
        <c:ser>
          <c:idx val="0"/>
          <c:order val="0"/>
          <c:spPr>
            <a:solidFill>
              <a:schemeClr val="accent1">
                <a:lumMod val="40000"/>
                <a:lumOff val="60000"/>
              </a:schemeClr>
            </a:solidFill>
          </c:spPr>
          <c:dPt>
            <c:idx val="0"/>
            <c:spPr>
              <a:solidFill>
                <a:srgbClr val="4F81BD">
                  <a:lumMod val="20000"/>
                  <a:lumOff val="80000"/>
                </a:srgbClr>
              </a:solidFill>
            </c:spPr>
          </c:dPt>
          <c:dPt>
            <c:idx val="1"/>
            <c:spPr>
              <a:solidFill>
                <a:srgbClr val="4F81BD">
                  <a:lumMod val="20000"/>
                  <a:lumOff val="80000"/>
                </a:srgbClr>
              </a:solidFill>
            </c:spPr>
          </c:dPt>
          <c:dPt>
            <c:idx val="2"/>
            <c:spPr>
              <a:solidFill>
                <a:srgbClr val="4F81BD">
                  <a:lumMod val="20000"/>
                  <a:lumOff val="80000"/>
                </a:srgbClr>
              </a:solidFill>
            </c:spPr>
          </c:dPt>
          <c:dPt>
            <c:idx val="3"/>
            <c:spPr>
              <a:solidFill>
                <a:srgbClr val="4F81BD">
                  <a:lumMod val="20000"/>
                  <a:lumOff val="80000"/>
                </a:srgbClr>
              </a:solidFill>
            </c:spPr>
          </c:dPt>
          <c:dPt>
            <c:idx val="4"/>
            <c:spPr>
              <a:solidFill>
                <a:srgbClr val="4F81BD">
                  <a:lumMod val="20000"/>
                  <a:lumOff val="80000"/>
                </a:srgbClr>
              </a:solidFill>
            </c:spPr>
          </c:dPt>
          <c:dPt>
            <c:idx val="5"/>
            <c:spPr>
              <a:solidFill>
                <a:srgbClr val="4F81BD"/>
              </a:solidFill>
            </c:spPr>
          </c:dPt>
          <c:dPt>
            <c:idx val="6"/>
            <c:spPr>
              <a:solidFill>
                <a:srgbClr val="4F81BD"/>
              </a:solidFill>
            </c:spPr>
          </c:dPt>
          <c:dPt>
            <c:idx val="7"/>
            <c:spPr>
              <a:solidFill>
                <a:srgbClr val="4F81BD"/>
              </a:solidFill>
            </c:spPr>
          </c:dPt>
          <c:dPt>
            <c:idx val="8"/>
            <c:spPr>
              <a:solidFill>
                <a:srgbClr val="4F81BD"/>
              </a:solidFill>
            </c:spPr>
          </c:dPt>
          <c:dPt>
            <c:idx val="9"/>
            <c:spPr>
              <a:solidFill>
                <a:srgbClr val="4F81BD"/>
              </a:solidFill>
            </c:spPr>
          </c:dPt>
          <c:cat>
            <c:strRef>
              <c:f>'chart 1 HHI'!$G$60:$G$69</c:f>
              <c:strCache>
                <c:ptCount val="10"/>
                <c:pt idx="0">
                  <c:v>Moscow</c:v>
                </c:pt>
                <c:pt idx="1">
                  <c:v>Saint-Petersburg</c:v>
                </c:pt>
                <c:pt idx="2">
                  <c:v>Perm Krai</c:v>
                </c:pt>
                <c:pt idx="3">
                  <c:v>Irkutsk oblast</c:v>
                </c:pt>
                <c:pt idx="4">
                  <c:v>Tomsk oblast</c:v>
                </c:pt>
                <c:pt idx="5">
                  <c:v>Tver oblast</c:v>
                </c:pt>
                <c:pt idx="6">
                  <c:v>Voronezh oblast</c:v>
                </c:pt>
                <c:pt idx="7">
                  <c:v>Rostov oblast</c:v>
                </c:pt>
                <c:pt idx="8">
                  <c:v>Tatarstan</c:v>
                </c:pt>
                <c:pt idx="9">
                  <c:v>Karelia</c:v>
                </c:pt>
              </c:strCache>
            </c:strRef>
          </c:cat>
          <c:val>
            <c:numRef>
              <c:f>'chart 1 HHI'!$H$60:$H$69</c:f>
              <c:numCache>
                <c:formatCode>General</c:formatCode>
                <c:ptCount val="10"/>
                <c:pt idx="0">
                  <c:v>148.57842371674192</c:v>
                </c:pt>
                <c:pt idx="1">
                  <c:v>246.5641907544223</c:v>
                </c:pt>
                <c:pt idx="2">
                  <c:v>579.32853355108352</c:v>
                </c:pt>
                <c:pt idx="3">
                  <c:v>955.79794026523052</c:v>
                </c:pt>
                <c:pt idx="4">
                  <c:v>1396.3353231941389</c:v>
                </c:pt>
                <c:pt idx="5">
                  <c:v>1573.5261258682331</c:v>
                </c:pt>
                <c:pt idx="6">
                  <c:v>1691.1686973610665</c:v>
                </c:pt>
                <c:pt idx="7">
                  <c:v>2021.9973115574728</c:v>
                </c:pt>
                <c:pt idx="8">
                  <c:v>2210.2633294892603</c:v>
                </c:pt>
                <c:pt idx="9">
                  <c:v>2390.4641399692146</c:v>
                </c:pt>
              </c:numCache>
            </c:numRef>
          </c:val>
        </c:ser>
        <c:gapWidth val="55"/>
        <c:overlap val="100"/>
        <c:axId val="172933888"/>
        <c:axId val="172935424"/>
      </c:barChart>
      <c:catAx>
        <c:axId val="172933888"/>
        <c:scaling>
          <c:orientation val="minMax"/>
        </c:scaling>
        <c:axPos val="l"/>
        <c:numFmt formatCode="General" sourceLinked="1"/>
        <c:majorTickMark val="none"/>
        <c:tickLblPos val="nextTo"/>
        <c:crossAx val="172935424"/>
        <c:crosses val="autoZero"/>
        <c:auto val="1"/>
        <c:lblAlgn val="ctr"/>
        <c:lblOffset val="100"/>
        <c:tickLblSkip val="1"/>
      </c:catAx>
      <c:valAx>
        <c:axId val="172935424"/>
        <c:scaling>
          <c:orientation val="minMax"/>
          <c:max val="10000"/>
        </c:scaling>
        <c:axPos val="b"/>
        <c:majorGridlines>
          <c:spPr>
            <a:ln>
              <a:solidFill>
                <a:sysClr val="window" lastClr="FFFFFF"/>
              </a:solidFill>
            </a:ln>
          </c:spPr>
        </c:majorGridlines>
        <c:numFmt formatCode="General" sourceLinked="1"/>
        <c:tickLblPos val="nextTo"/>
        <c:crossAx val="172933888"/>
        <c:crosses val="autoZero"/>
        <c:crossBetween val="between"/>
        <c:majorUnit val="2000"/>
      </c:valAx>
      <c:spPr>
        <a:solidFill>
          <a:srgbClr val="4F81BD">
            <a:lumMod val="20000"/>
            <a:lumOff val="80000"/>
            <a:alpha val="20000"/>
          </a:srgbClr>
        </a:solidFill>
      </c:spPr>
    </c:plotArea>
    <c:plotVisOnly val="1"/>
  </c:chart>
  <c:spPr>
    <a:ln>
      <a:noFill/>
    </a:ln>
  </c:spPr>
  <c:txPr>
    <a:bodyPr/>
    <a:lstStyle/>
    <a:p>
      <a:pPr>
        <a:defRPr sz="600">
          <a:latin typeface="Calibri" pitchFamily="34" charset="0"/>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0.41633</cdr:x>
      <cdr:y>0.47442</cdr:y>
    </cdr:from>
    <cdr:to>
      <cdr:x>0.56527</cdr:x>
      <cdr:y>0.56965</cdr:y>
    </cdr:to>
    <cdr:sp macro="" textlink="">
      <cdr:nvSpPr>
        <cdr:cNvPr id="3" name="TextBox 2"/>
        <cdr:cNvSpPr txBox="1"/>
      </cdr:nvSpPr>
      <cdr:spPr>
        <a:xfrm xmlns:a="http://schemas.openxmlformats.org/drawingml/2006/main">
          <a:off x="1769736" y="1236705"/>
          <a:ext cx="633114" cy="24824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dirty="0">
              <a:solidFill>
                <a:schemeClr val="bg1"/>
              </a:solidFill>
            </a:rPr>
            <a:t>Gas</a:t>
          </a:r>
        </a:p>
      </cdr:txBody>
    </cdr:sp>
  </cdr:relSizeAnchor>
  <cdr:relSizeAnchor xmlns:cdr="http://schemas.openxmlformats.org/drawingml/2006/chartDrawing">
    <cdr:from>
      <cdr:x>0.53191</cdr:x>
      <cdr:y>0.22222</cdr:y>
    </cdr:from>
    <cdr:to>
      <cdr:x>0.67358</cdr:x>
      <cdr:y>0.32292</cdr:y>
    </cdr:to>
    <cdr:sp macro="" textlink="">
      <cdr:nvSpPr>
        <cdr:cNvPr id="4" name="TextBox 3"/>
        <cdr:cNvSpPr txBox="1"/>
      </cdr:nvSpPr>
      <cdr:spPr>
        <a:xfrm xmlns:a="http://schemas.openxmlformats.org/drawingml/2006/main">
          <a:off x="3810000" y="1066800"/>
          <a:ext cx="1014753" cy="48342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dirty="0"/>
            <a:t>Other exports</a:t>
          </a:r>
        </a:p>
      </cdr:txBody>
    </cdr:sp>
  </cdr:relSizeAnchor>
  <cdr:relSizeAnchor xmlns:cdr="http://schemas.openxmlformats.org/drawingml/2006/chartDrawing">
    <cdr:from>
      <cdr:x>0.70213</cdr:x>
      <cdr:y>0.57143</cdr:y>
    </cdr:from>
    <cdr:to>
      <cdr:x>0.81576</cdr:x>
      <cdr:y>0.66317</cdr:y>
    </cdr:to>
    <cdr:sp macro="" textlink="">
      <cdr:nvSpPr>
        <cdr:cNvPr id="5" name="TextBox 1"/>
        <cdr:cNvSpPr txBox="1"/>
      </cdr:nvSpPr>
      <cdr:spPr>
        <a:xfrm xmlns:a="http://schemas.openxmlformats.org/drawingml/2006/main">
          <a:off x="5029200" y="2743200"/>
          <a:ext cx="813909" cy="44040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dirty="0"/>
            <a:t>Petroleum</a:t>
          </a:r>
        </a:p>
      </cdr:txBody>
    </cdr:sp>
  </cdr:relSizeAnchor>
</c:userShapes>
</file>

<file path=word/drawings/drawing2.xml><?xml version="1.0" encoding="utf-8"?>
<c:userShapes xmlns:c="http://schemas.openxmlformats.org/drawingml/2006/chart">
  <cdr:relSizeAnchor xmlns:cdr="http://schemas.openxmlformats.org/drawingml/2006/chartDrawing">
    <cdr:from>
      <cdr:x>0.09416</cdr:x>
      <cdr:y>0.60387</cdr:y>
    </cdr:from>
    <cdr:to>
      <cdr:x>0.99915</cdr:x>
      <cdr:y>0.60611</cdr:y>
    </cdr:to>
    <cdr:sp macro="" textlink="">
      <cdr:nvSpPr>
        <cdr:cNvPr id="3" name="Straight Connector 2"/>
        <cdr:cNvSpPr/>
      </cdr:nvSpPr>
      <cdr:spPr>
        <a:xfrm xmlns:a="http://schemas.openxmlformats.org/drawingml/2006/main" flipV="1">
          <a:off x="190831" y="1014001"/>
          <a:ext cx="1834193" cy="3766"/>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0.10914</cdr:x>
      <cdr:y>0.45411</cdr:y>
    </cdr:from>
    <cdr:to>
      <cdr:x>0.99915</cdr:x>
      <cdr:y>0.45414</cdr:y>
    </cdr:to>
    <cdr:sp macro="" textlink="">
      <cdr:nvSpPr>
        <cdr:cNvPr id="6" name="Straight Connector 5"/>
        <cdr:cNvSpPr/>
      </cdr:nvSpPr>
      <cdr:spPr>
        <a:xfrm xmlns:a="http://schemas.openxmlformats.org/drawingml/2006/main" flipV="1">
          <a:off x="324764" y="781398"/>
          <a:ext cx="2648364" cy="58"/>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lumMod val="65000"/>
              <a:lumOff val="3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0.59914</cdr:x>
      <cdr:y>0.64399</cdr:y>
    </cdr:from>
    <cdr:to>
      <cdr:x>0.97906</cdr:x>
      <cdr:y>0.82393</cdr:y>
    </cdr:to>
    <cdr:sp macro="" textlink="">
      <cdr:nvSpPr>
        <cdr:cNvPr id="8" name="TextBox 3"/>
        <cdr:cNvSpPr txBox="1"/>
      </cdr:nvSpPr>
      <cdr:spPr>
        <a:xfrm xmlns:a="http://schemas.openxmlformats.org/drawingml/2006/main">
          <a:off x="1214305" y="1081377"/>
          <a:ext cx="770002" cy="3021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pitchFamily="34" charset="0"/>
              <a:ea typeface="+mn-ea"/>
              <a:cs typeface="+mn-cs"/>
            </a:rPr>
            <a:t>Unconcentrated: &lt;1500</a:t>
          </a:r>
          <a:endParaRPr lang="en-US" sz="600" b="0">
            <a:latin typeface="Calibri" pitchFamily="34" charset="0"/>
          </a:endParaRPr>
        </a:p>
        <a:p xmlns:a="http://schemas.openxmlformats.org/drawingml/2006/main">
          <a:endParaRPr lang="en-US" sz="600">
            <a:latin typeface="Calibri" pitchFamily="34" charset="0"/>
          </a:endParaRPr>
        </a:p>
      </cdr:txBody>
    </cdr:sp>
  </cdr:relSizeAnchor>
  <cdr:relSizeAnchor xmlns:cdr="http://schemas.openxmlformats.org/drawingml/2006/chartDrawing">
    <cdr:from>
      <cdr:x>0.70562</cdr:x>
      <cdr:y>0.21739</cdr:y>
    </cdr:from>
    <cdr:to>
      <cdr:x>0.94503</cdr:x>
      <cdr:y>0.46759</cdr:y>
    </cdr:to>
    <cdr:sp macro="" textlink="">
      <cdr:nvSpPr>
        <cdr:cNvPr id="9" name="TextBox 4"/>
        <cdr:cNvSpPr txBox="1"/>
      </cdr:nvSpPr>
      <cdr:spPr>
        <a:xfrm xmlns:a="http://schemas.openxmlformats.org/drawingml/2006/main">
          <a:off x="2099691" y="374072"/>
          <a:ext cx="712405" cy="43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dirty="0">
              <a:latin typeface="Calibri" pitchFamily="34" charset="0"/>
              <a:ea typeface="+mn-ea"/>
              <a:cs typeface="+mn-cs"/>
            </a:rPr>
            <a:t>Highly concentrated : 1500-2500</a:t>
          </a:r>
          <a:endParaRPr lang="en-US" sz="600" b="0" dirty="0">
            <a:latin typeface="Calibri" pitchFamily="34" charset="0"/>
          </a:endParaRPr>
        </a:p>
        <a:p xmlns:a="http://schemas.openxmlformats.org/drawingml/2006/main">
          <a:endParaRPr lang="en-US" sz="600" dirty="0">
            <a:latin typeface="Calibri" pitchFamily="34" charset="0"/>
          </a:endParaRPr>
        </a:p>
      </cdr:txBody>
    </cdr:sp>
  </cdr:relSizeAnchor>
  <cdr:relSizeAnchor xmlns:cdr="http://schemas.openxmlformats.org/drawingml/2006/chartDrawing">
    <cdr:from>
      <cdr:x>0.57964</cdr:x>
      <cdr:y>0.43023</cdr:y>
    </cdr:from>
    <cdr:to>
      <cdr:x>0.97632</cdr:x>
      <cdr:y>0.63926</cdr:y>
    </cdr:to>
    <cdr:sp macro="" textlink="">
      <cdr:nvSpPr>
        <cdr:cNvPr id="11" name="TextBox 1"/>
        <cdr:cNvSpPr txBox="1"/>
      </cdr:nvSpPr>
      <cdr:spPr>
        <a:xfrm xmlns:a="http://schemas.openxmlformats.org/drawingml/2006/main">
          <a:off x="1174777" y="722437"/>
          <a:ext cx="803970" cy="3509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dirty="0">
              <a:latin typeface="Calibri"/>
            </a:rPr>
            <a:t>Moderately concentrated: 1500-2500</a:t>
          </a:r>
          <a:endParaRPr lang="en-US" sz="600" b="0" dirty="0"/>
        </a:p>
        <a:p xmlns:a="http://schemas.openxmlformats.org/drawingml/2006/main">
          <a:endParaRPr lang="en-US" sz="600" dirty="0"/>
        </a:p>
      </cdr:txBody>
    </cdr:sp>
  </cdr:relSizeAnchor>
</c:userShapes>
</file>

<file path=word/drawings/drawing3.xml><?xml version="1.0" encoding="utf-8"?>
<c:userShapes xmlns:c="http://schemas.openxmlformats.org/drawingml/2006/chart">
  <cdr:relSizeAnchor xmlns:cdr="http://schemas.openxmlformats.org/drawingml/2006/chartDrawing">
    <cdr:from>
      <cdr:x>0.05535</cdr:x>
      <cdr:y>0.66172</cdr:y>
    </cdr:from>
    <cdr:to>
      <cdr:x>0.96837</cdr:x>
      <cdr:y>0.66351</cdr:y>
    </cdr:to>
    <cdr:sp macro="" textlink="">
      <cdr:nvSpPr>
        <cdr:cNvPr id="3" name="Straight Connector 2"/>
        <cdr:cNvSpPr/>
      </cdr:nvSpPr>
      <cdr:spPr>
        <a:xfrm xmlns:a="http://schemas.openxmlformats.org/drawingml/2006/main" flipV="1">
          <a:off x="111318" y="1110184"/>
          <a:ext cx="1836227" cy="2999"/>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0.45386</cdr:x>
      <cdr:y>0.70255</cdr:y>
    </cdr:from>
    <cdr:to>
      <cdr:x>0.91987</cdr:x>
      <cdr:y>0.7963</cdr:y>
    </cdr:to>
    <cdr:sp macro="" textlink="">
      <cdr:nvSpPr>
        <cdr:cNvPr id="4" name="TextBox 3"/>
        <cdr:cNvSpPr txBox="1"/>
      </cdr:nvSpPr>
      <cdr:spPr>
        <a:xfrm xmlns:a="http://schemas.openxmlformats.org/drawingml/2006/main">
          <a:off x="1208930" y="1206613"/>
          <a:ext cx="1241316" cy="1610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pitchFamily="34" charset="0"/>
              <a:ea typeface="+mn-ea"/>
              <a:cs typeface="+mn-cs"/>
            </a:rPr>
            <a:t>Unconcentrated: &lt;1500</a:t>
          </a:r>
          <a:endParaRPr lang="en-US" sz="600" b="0">
            <a:latin typeface="Calibri" pitchFamily="34" charset="0"/>
          </a:endParaRPr>
        </a:p>
        <a:p xmlns:a="http://schemas.openxmlformats.org/drawingml/2006/main">
          <a:endParaRPr lang="en-US" sz="600">
            <a:latin typeface="Calibri" pitchFamily="34" charset="0"/>
          </a:endParaRPr>
        </a:p>
      </cdr:txBody>
    </cdr:sp>
  </cdr:relSizeAnchor>
  <cdr:relSizeAnchor xmlns:cdr="http://schemas.openxmlformats.org/drawingml/2006/chartDrawing">
    <cdr:from>
      <cdr:x>0.67512</cdr:x>
      <cdr:y>0.23957</cdr:y>
    </cdr:from>
    <cdr:to>
      <cdr:x>0.96119</cdr:x>
      <cdr:y>0.49074</cdr:y>
    </cdr:to>
    <cdr:sp macro="" textlink="">
      <cdr:nvSpPr>
        <cdr:cNvPr id="5" name="TextBox 4"/>
        <cdr:cNvSpPr txBox="1"/>
      </cdr:nvSpPr>
      <cdr:spPr>
        <a:xfrm xmlns:a="http://schemas.openxmlformats.org/drawingml/2006/main">
          <a:off x="1798308" y="411457"/>
          <a:ext cx="762012" cy="4313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pitchFamily="34" charset="0"/>
              <a:ea typeface="+mn-ea"/>
              <a:cs typeface="+mn-cs"/>
            </a:rPr>
            <a:t>Highly concentrated : 1500-2500</a:t>
          </a:r>
          <a:endParaRPr lang="en-US" sz="600" b="0">
            <a:latin typeface="Calibri" pitchFamily="34" charset="0"/>
          </a:endParaRPr>
        </a:p>
        <a:p xmlns:a="http://schemas.openxmlformats.org/drawingml/2006/main">
          <a:endParaRPr lang="en-US" sz="600">
            <a:latin typeface="Calibri" pitchFamily="34" charset="0"/>
          </a:endParaRPr>
        </a:p>
      </cdr:txBody>
    </cdr:sp>
  </cdr:relSizeAnchor>
  <cdr:relSizeAnchor xmlns:cdr="http://schemas.openxmlformats.org/drawingml/2006/chartDrawing">
    <cdr:from>
      <cdr:x>0.0514</cdr:x>
      <cdr:y>0.51001</cdr:y>
    </cdr:from>
    <cdr:to>
      <cdr:x>0.97628</cdr:x>
      <cdr:y>0.51185</cdr:y>
    </cdr:to>
    <cdr:sp macro="" textlink="">
      <cdr:nvSpPr>
        <cdr:cNvPr id="6" name="Straight Connector 5"/>
        <cdr:cNvSpPr/>
      </cdr:nvSpPr>
      <cdr:spPr>
        <a:xfrm xmlns:a="http://schemas.openxmlformats.org/drawingml/2006/main" flipV="1">
          <a:off x="103367" y="855653"/>
          <a:ext cx="1860081" cy="3088"/>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lumMod val="65000"/>
              <a:lumOff val="3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0.45466</cdr:x>
      <cdr:y>0.51227</cdr:y>
    </cdr:from>
    <cdr:to>
      <cdr:x>0.9648</cdr:x>
      <cdr:y>0.67299</cdr:y>
    </cdr:to>
    <cdr:sp macro="" textlink="">
      <cdr:nvSpPr>
        <cdr:cNvPr id="7" name="TextBox 1"/>
        <cdr:cNvSpPr txBox="1"/>
      </cdr:nvSpPr>
      <cdr:spPr>
        <a:xfrm xmlns:a="http://schemas.openxmlformats.org/drawingml/2006/main">
          <a:off x="914400" y="859448"/>
          <a:ext cx="1025963" cy="2696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a:rPr>
            <a:t>Moderately concentrated: 1500-2500</a:t>
          </a:r>
          <a:endParaRPr lang="en-US" sz="600" b="0"/>
        </a:p>
        <a:p xmlns:a="http://schemas.openxmlformats.org/drawingml/2006/main">
          <a:endParaRPr lang="en-US" sz="600"/>
        </a:p>
      </cdr:txBody>
    </cdr:sp>
  </cdr:relSizeAnchor>
</c:userShapes>
</file>

<file path=word/drawings/drawing4.xml><?xml version="1.0" encoding="utf-8"?>
<c:userShapes xmlns:c="http://schemas.openxmlformats.org/drawingml/2006/chart">
  <cdr:relSizeAnchor xmlns:cdr="http://schemas.openxmlformats.org/drawingml/2006/chartDrawing">
    <cdr:from>
      <cdr:x>0.10329</cdr:x>
      <cdr:y>0.48156</cdr:y>
    </cdr:from>
    <cdr:to>
      <cdr:x>0.99951</cdr:x>
      <cdr:y>0.48356</cdr:y>
    </cdr:to>
    <cdr:sp macro="" textlink="">
      <cdr:nvSpPr>
        <cdr:cNvPr id="3" name="Straight Connector 2"/>
        <cdr:cNvSpPr/>
      </cdr:nvSpPr>
      <cdr:spPr>
        <a:xfrm xmlns:a="http://schemas.openxmlformats.org/drawingml/2006/main">
          <a:off x="209745" y="808614"/>
          <a:ext cx="1819826" cy="3359"/>
        </a:xfrm>
        <a:prstGeom xmlns:a="http://schemas.openxmlformats.org/drawingml/2006/main" prst="line">
          <a:avLst/>
        </a:prstGeom>
        <a:ln xmlns:a="http://schemas.openxmlformats.org/drawingml/2006/main" w="3175">
          <a:solidFill>
            <a:schemeClr val="tx1">
              <a:lumMod val="65000"/>
              <a:lumOff val="35000"/>
            </a:schemeClr>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cdr:x>
      <cdr:y>0.57986</cdr:y>
    </cdr:from>
    <cdr:to>
      <cdr:x>0.9</cdr:x>
      <cdr:y>0.79552</cdr:y>
    </cdr:to>
    <cdr:sp macro="" textlink="">
      <cdr:nvSpPr>
        <cdr:cNvPr id="4" name="TextBox 3"/>
        <cdr:cNvSpPr txBox="1"/>
      </cdr:nvSpPr>
      <cdr:spPr>
        <a:xfrm xmlns:a="http://schemas.openxmlformats.org/drawingml/2006/main">
          <a:off x="1015279" y="973684"/>
          <a:ext cx="812222" cy="362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pitchFamily="34" charset="0"/>
              <a:ea typeface="+mn-ea"/>
              <a:cs typeface="+mn-cs"/>
            </a:rPr>
            <a:t>Unconcentrated: &lt;1500</a:t>
          </a:r>
          <a:endParaRPr lang="en-US" sz="600" b="0">
            <a:latin typeface="Calibri" pitchFamily="34" charset="0"/>
          </a:endParaRPr>
        </a:p>
      </cdr:txBody>
    </cdr:sp>
  </cdr:relSizeAnchor>
  <cdr:relSizeAnchor xmlns:cdr="http://schemas.openxmlformats.org/drawingml/2006/chartDrawing">
    <cdr:from>
      <cdr:x>0.53078</cdr:x>
      <cdr:y>0.17643</cdr:y>
    </cdr:from>
    <cdr:to>
      <cdr:x>0.92856</cdr:x>
      <cdr:y>0.36741</cdr:y>
    </cdr:to>
    <cdr:sp macro="" textlink="">
      <cdr:nvSpPr>
        <cdr:cNvPr id="7" name="TextBox 1"/>
        <cdr:cNvSpPr txBox="1"/>
      </cdr:nvSpPr>
      <cdr:spPr>
        <a:xfrm xmlns:a="http://schemas.openxmlformats.org/drawingml/2006/main">
          <a:off x="1553099" y="284777"/>
          <a:ext cx="1163936" cy="308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600" b="0" i="0" baseline="0">
              <a:latin typeface="Calibri"/>
            </a:rPr>
            <a:t>Moderately concentrated: 1500-2500</a:t>
          </a:r>
          <a:endParaRPr lang="en-US" sz="600" b="0"/>
        </a:p>
        <a:p xmlns:a="http://schemas.openxmlformats.org/drawingml/2006/main">
          <a:endParaRPr lang="en-US" sz="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B Russia Corpor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WB Russia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576A-4DEC-43F5-BC41-16C6194A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wb359724</dc:creator>
  <cp:lastModifiedBy>wb350881</cp:lastModifiedBy>
  <cp:revision>3</cp:revision>
  <cp:lastPrinted>2011-07-25T14:49:00Z</cp:lastPrinted>
  <dcterms:created xsi:type="dcterms:W3CDTF">2012-04-12T18:15:00Z</dcterms:created>
  <dcterms:modified xsi:type="dcterms:W3CDTF">2012-04-12T20:29:00Z</dcterms:modified>
</cp:coreProperties>
</file>