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AE3C" w14:textId="77777777" w:rsidR="001A58A1" w:rsidRDefault="001A58A1" w:rsidP="00203F2A">
      <w:pPr>
        <w:pStyle w:val="NoSpacing"/>
        <w:jc w:val="both"/>
      </w:pPr>
      <w:bookmarkStart w:id="0" w:name="_GoBack"/>
      <w:bookmarkEnd w:id="0"/>
    </w:p>
    <w:p w14:paraId="29AE1EF2" w14:textId="77777777" w:rsidR="001171BC" w:rsidRDefault="001171BC" w:rsidP="00203F2A">
      <w:pPr>
        <w:pStyle w:val="NoSpacing"/>
        <w:jc w:val="both"/>
      </w:pPr>
    </w:p>
    <w:p w14:paraId="17E5FA04" w14:textId="77777777" w:rsidR="001171BC" w:rsidRDefault="001171BC" w:rsidP="00203F2A">
      <w:pPr>
        <w:pStyle w:val="NoSpacing"/>
        <w:jc w:val="both"/>
      </w:pPr>
    </w:p>
    <w:p w14:paraId="6CB52598" w14:textId="77777777" w:rsidR="001171BC" w:rsidRDefault="001171BC" w:rsidP="00203F2A">
      <w:pPr>
        <w:pStyle w:val="NoSpacing"/>
        <w:jc w:val="both"/>
      </w:pPr>
    </w:p>
    <w:p w14:paraId="77EC5C15" w14:textId="77777777" w:rsidR="001A58A1" w:rsidRDefault="001A58A1" w:rsidP="00203F2A">
      <w:pPr>
        <w:pStyle w:val="NoSpacing"/>
        <w:jc w:val="both"/>
      </w:pPr>
    </w:p>
    <w:p w14:paraId="4195883E" w14:textId="77777777" w:rsidR="001171BC" w:rsidRDefault="001171BC" w:rsidP="00203F2A">
      <w:pPr>
        <w:pStyle w:val="NoSpacing"/>
        <w:jc w:val="both"/>
      </w:pPr>
    </w:p>
    <w:p w14:paraId="20987AAE" w14:textId="2D7F35A9" w:rsidR="001A58A1" w:rsidRPr="00F33439" w:rsidRDefault="001A58A1" w:rsidP="00203F2A">
      <w:pPr>
        <w:pStyle w:val="NoSpacing"/>
        <w:jc w:val="both"/>
        <w:rPr>
          <w:b/>
        </w:rPr>
      </w:pPr>
    </w:p>
    <w:p w14:paraId="14A73BFB" w14:textId="77777777" w:rsidR="001A58A1" w:rsidRDefault="001A58A1" w:rsidP="00203F2A">
      <w:pPr>
        <w:pStyle w:val="NoSpacing"/>
        <w:jc w:val="center"/>
      </w:pPr>
    </w:p>
    <w:p w14:paraId="6EB4CCB2" w14:textId="77777777" w:rsidR="001171BC" w:rsidRDefault="001171BC" w:rsidP="00203F2A">
      <w:pPr>
        <w:pStyle w:val="NoSpacing"/>
        <w:jc w:val="center"/>
      </w:pPr>
    </w:p>
    <w:p w14:paraId="291DB191" w14:textId="77777777" w:rsidR="001171BC" w:rsidRDefault="001171BC" w:rsidP="00203F2A">
      <w:pPr>
        <w:pStyle w:val="NoSpacing"/>
        <w:jc w:val="center"/>
      </w:pPr>
    </w:p>
    <w:p w14:paraId="156637E9" w14:textId="77777777" w:rsidR="00203F2A" w:rsidRDefault="00203F2A" w:rsidP="00203F2A">
      <w:pPr>
        <w:spacing w:line="276" w:lineRule="auto"/>
        <w:jc w:val="center"/>
        <w:rPr>
          <w:rFonts w:asciiTheme="majorHAnsi" w:hAnsiTheme="majorHAnsi" w:cs="Arial"/>
          <w:b/>
          <w:sz w:val="28"/>
          <w:szCs w:val="28"/>
        </w:rPr>
      </w:pPr>
      <w:r w:rsidRPr="00CC4FFD">
        <w:rPr>
          <w:rFonts w:asciiTheme="majorHAnsi" w:hAnsiTheme="majorHAnsi" w:cs="Arial"/>
          <w:b/>
          <w:sz w:val="28"/>
          <w:szCs w:val="28"/>
        </w:rPr>
        <w:t>Republic of Suriname</w:t>
      </w:r>
    </w:p>
    <w:p w14:paraId="0D7BB034" w14:textId="77777777" w:rsidR="00203F2A" w:rsidRDefault="00203F2A" w:rsidP="00203F2A">
      <w:pPr>
        <w:pStyle w:val="Title"/>
        <w:spacing w:line="276" w:lineRule="auto"/>
        <w:jc w:val="center"/>
        <w:rPr>
          <w:b/>
          <w:sz w:val="72"/>
          <w:szCs w:val="72"/>
          <w:lang w:val="en-GB"/>
        </w:rPr>
      </w:pPr>
    </w:p>
    <w:p w14:paraId="5D23641A" w14:textId="2DCCB23D" w:rsidR="00203F2A" w:rsidRPr="00B910A3" w:rsidRDefault="00203F2A" w:rsidP="00203F2A">
      <w:pPr>
        <w:pStyle w:val="Title"/>
        <w:spacing w:line="276" w:lineRule="auto"/>
        <w:jc w:val="center"/>
        <w:rPr>
          <w:b/>
          <w:sz w:val="72"/>
          <w:szCs w:val="72"/>
          <w:lang w:val="en-GB"/>
        </w:rPr>
      </w:pPr>
      <w:r w:rsidRPr="00B910A3">
        <w:rPr>
          <w:b/>
          <w:sz w:val="72"/>
          <w:szCs w:val="72"/>
          <w:lang w:val="en-GB"/>
        </w:rPr>
        <w:t xml:space="preserve">Suriname </w:t>
      </w:r>
      <w:r>
        <w:rPr>
          <w:b/>
          <w:sz w:val="72"/>
          <w:szCs w:val="72"/>
          <w:lang w:val="en-GB"/>
        </w:rPr>
        <w:t>Competitiveness</w:t>
      </w:r>
      <w:r w:rsidRPr="00B910A3">
        <w:rPr>
          <w:b/>
          <w:sz w:val="72"/>
          <w:szCs w:val="72"/>
          <w:lang w:val="en-GB"/>
        </w:rPr>
        <w:t xml:space="preserve"> and</w:t>
      </w:r>
    </w:p>
    <w:p w14:paraId="31C40F8A" w14:textId="20DE91F9" w:rsidR="00203F2A" w:rsidRDefault="00203F2A" w:rsidP="00203F2A">
      <w:pPr>
        <w:pStyle w:val="Title"/>
        <w:spacing w:line="276" w:lineRule="auto"/>
        <w:jc w:val="center"/>
        <w:rPr>
          <w:b/>
          <w:sz w:val="72"/>
          <w:szCs w:val="72"/>
          <w:lang w:val="en-GB"/>
        </w:rPr>
      </w:pPr>
      <w:r w:rsidRPr="00B910A3">
        <w:rPr>
          <w:b/>
          <w:sz w:val="72"/>
          <w:szCs w:val="72"/>
          <w:lang w:val="en-GB"/>
        </w:rPr>
        <w:t>Sector Diversification Project (</w:t>
      </w:r>
      <w:r w:rsidR="000A52CC">
        <w:rPr>
          <w:b/>
          <w:sz w:val="72"/>
          <w:szCs w:val="72"/>
          <w:lang w:val="en-GB"/>
        </w:rPr>
        <w:t>S</w:t>
      </w:r>
      <w:r>
        <w:rPr>
          <w:b/>
          <w:sz w:val="72"/>
          <w:szCs w:val="72"/>
          <w:lang w:val="en-GB"/>
        </w:rPr>
        <w:t>C</w:t>
      </w:r>
      <w:r w:rsidRPr="00B910A3">
        <w:rPr>
          <w:b/>
          <w:sz w:val="72"/>
          <w:szCs w:val="72"/>
          <w:lang w:val="en-GB"/>
        </w:rPr>
        <w:t>SD)</w:t>
      </w:r>
    </w:p>
    <w:p w14:paraId="4994EFA8" w14:textId="77777777" w:rsidR="00203F2A" w:rsidRDefault="00203F2A" w:rsidP="00203F2A">
      <w:pPr>
        <w:pStyle w:val="NoSpacing"/>
        <w:jc w:val="center"/>
      </w:pPr>
    </w:p>
    <w:p w14:paraId="71BAE7A8" w14:textId="77777777" w:rsidR="00203F2A" w:rsidRDefault="00203F2A" w:rsidP="00203F2A">
      <w:pPr>
        <w:pStyle w:val="NoSpacing"/>
        <w:jc w:val="center"/>
      </w:pPr>
    </w:p>
    <w:p w14:paraId="2A55F9E4" w14:textId="77777777" w:rsidR="00203F2A" w:rsidRDefault="00203F2A" w:rsidP="00203F2A">
      <w:pPr>
        <w:pStyle w:val="NoSpacing"/>
        <w:jc w:val="center"/>
      </w:pPr>
    </w:p>
    <w:p w14:paraId="3F605BFF" w14:textId="77777777" w:rsidR="00203F2A" w:rsidRPr="00115955" w:rsidRDefault="00203F2A" w:rsidP="00203F2A">
      <w:pPr>
        <w:pStyle w:val="NoSpacing"/>
        <w:jc w:val="center"/>
        <w:rPr>
          <w:b/>
          <w:sz w:val="48"/>
          <w:szCs w:val="48"/>
        </w:rPr>
      </w:pPr>
      <w:r w:rsidRPr="00115955">
        <w:rPr>
          <w:b/>
          <w:sz w:val="48"/>
          <w:szCs w:val="48"/>
        </w:rPr>
        <w:t>ENVIRONMENTAL AND SOCIAL MANAGEMENT FRAMEWORK (ESMF)</w:t>
      </w:r>
    </w:p>
    <w:p w14:paraId="6EB61A01" w14:textId="77777777" w:rsidR="00203F2A" w:rsidRDefault="00203F2A" w:rsidP="00203F2A">
      <w:pPr>
        <w:pStyle w:val="NoSpacing"/>
        <w:jc w:val="center"/>
      </w:pPr>
    </w:p>
    <w:p w14:paraId="5B10866E" w14:textId="77777777" w:rsidR="00203F2A" w:rsidRDefault="00203F2A" w:rsidP="00203F2A">
      <w:pPr>
        <w:pStyle w:val="NoSpacing"/>
        <w:jc w:val="center"/>
      </w:pPr>
    </w:p>
    <w:p w14:paraId="240223B9" w14:textId="77777777" w:rsidR="00203F2A" w:rsidRDefault="00203F2A" w:rsidP="00203F2A">
      <w:pPr>
        <w:pStyle w:val="NoSpacing"/>
        <w:jc w:val="center"/>
      </w:pPr>
    </w:p>
    <w:p w14:paraId="01212A0E" w14:textId="77777777" w:rsidR="00203F2A" w:rsidRDefault="00203F2A" w:rsidP="00203F2A">
      <w:pPr>
        <w:pStyle w:val="NoSpacing"/>
        <w:jc w:val="center"/>
      </w:pPr>
    </w:p>
    <w:p w14:paraId="70571740" w14:textId="77777777" w:rsidR="00203F2A" w:rsidRPr="00203F2A" w:rsidRDefault="00203F2A" w:rsidP="00203F2A">
      <w:pPr>
        <w:pStyle w:val="NoSpacing"/>
        <w:jc w:val="center"/>
        <w:rPr>
          <w:sz w:val="28"/>
          <w:szCs w:val="28"/>
        </w:rPr>
      </w:pPr>
      <w:r w:rsidRPr="00203F2A">
        <w:rPr>
          <w:sz w:val="28"/>
          <w:szCs w:val="28"/>
        </w:rPr>
        <w:t>(P166187)</w:t>
      </w:r>
    </w:p>
    <w:p w14:paraId="5823ECFC" w14:textId="77777777" w:rsidR="00203F2A" w:rsidRPr="00203F2A" w:rsidRDefault="00203F2A" w:rsidP="00203F2A">
      <w:pPr>
        <w:pStyle w:val="NoSpacing"/>
        <w:jc w:val="center"/>
        <w:rPr>
          <w:sz w:val="28"/>
          <w:szCs w:val="28"/>
        </w:rPr>
      </w:pPr>
    </w:p>
    <w:p w14:paraId="754752CA" w14:textId="77777777" w:rsidR="00203F2A" w:rsidRPr="00203F2A" w:rsidRDefault="00203F2A" w:rsidP="00203F2A">
      <w:pPr>
        <w:pStyle w:val="NoSpacing"/>
        <w:jc w:val="center"/>
        <w:rPr>
          <w:sz w:val="28"/>
          <w:szCs w:val="28"/>
        </w:rPr>
      </w:pPr>
    </w:p>
    <w:p w14:paraId="4C400804" w14:textId="78A4CC63" w:rsidR="00203F2A" w:rsidRPr="00203F2A" w:rsidRDefault="00233FD9" w:rsidP="00203F2A">
      <w:pPr>
        <w:pStyle w:val="NoSpacing"/>
        <w:jc w:val="center"/>
        <w:rPr>
          <w:sz w:val="28"/>
          <w:szCs w:val="28"/>
        </w:rPr>
      </w:pPr>
      <w:r>
        <w:rPr>
          <w:sz w:val="28"/>
          <w:szCs w:val="28"/>
        </w:rPr>
        <w:t>June</w:t>
      </w:r>
      <w:r w:rsidR="00203F2A" w:rsidRPr="00203F2A">
        <w:rPr>
          <w:sz w:val="28"/>
          <w:szCs w:val="28"/>
        </w:rPr>
        <w:t xml:space="preserve"> 201</w:t>
      </w:r>
      <w:r w:rsidR="00700385">
        <w:rPr>
          <w:sz w:val="28"/>
          <w:szCs w:val="28"/>
        </w:rPr>
        <w:t>9</w:t>
      </w:r>
    </w:p>
    <w:p w14:paraId="4F806C60" w14:textId="77777777" w:rsidR="00203F2A" w:rsidRDefault="00203F2A" w:rsidP="00203F2A">
      <w:pPr>
        <w:pStyle w:val="NoSpacing"/>
        <w:jc w:val="both"/>
      </w:pPr>
    </w:p>
    <w:p w14:paraId="0CCA806F" w14:textId="77777777" w:rsidR="00203F2A" w:rsidRDefault="00203F2A" w:rsidP="00203F2A">
      <w:pPr>
        <w:pStyle w:val="NoSpacing"/>
        <w:jc w:val="both"/>
      </w:pPr>
    </w:p>
    <w:p w14:paraId="4FADE8D5" w14:textId="77777777" w:rsidR="00203F2A" w:rsidRDefault="00203F2A" w:rsidP="00203F2A">
      <w:pPr>
        <w:pStyle w:val="NoSpacing"/>
        <w:jc w:val="both"/>
      </w:pPr>
    </w:p>
    <w:p w14:paraId="5DCA0A4B" w14:textId="77777777" w:rsidR="00203F2A" w:rsidRDefault="00203F2A" w:rsidP="00203F2A">
      <w:pPr>
        <w:pStyle w:val="NoSpacing"/>
        <w:jc w:val="both"/>
      </w:pPr>
    </w:p>
    <w:p w14:paraId="30605A88" w14:textId="1BF02521" w:rsidR="00AE0870" w:rsidRDefault="00AE0870" w:rsidP="00203F2A">
      <w:pPr>
        <w:jc w:val="both"/>
      </w:pPr>
      <w:r>
        <w:br w:type="page"/>
      </w:r>
    </w:p>
    <w:p w14:paraId="678E60B4" w14:textId="77777777" w:rsidR="005E68BF" w:rsidRDefault="005E68BF" w:rsidP="00203F2A">
      <w:pPr>
        <w:pStyle w:val="Heading1"/>
        <w:jc w:val="both"/>
        <w:sectPr w:rsidR="005E68BF" w:rsidSect="003A5FEC">
          <w:footerReference w:type="first" r:id="rId8"/>
          <w:pgSz w:w="11906" w:h="16838" w:code="9"/>
          <w:pgMar w:top="851" w:right="1440" w:bottom="1276" w:left="1440" w:header="720" w:footer="720" w:gutter="0"/>
          <w:pgNumType w:start="1"/>
          <w:cols w:space="720"/>
          <w:titlePg/>
          <w:docGrid w:linePitch="360"/>
        </w:sectPr>
      </w:pPr>
      <w:bookmarkStart w:id="1" w:name="_Toc531613266"/>
    </w:p>
    <w:p w14:paraId="0A511FA8" w14:textId="39E37F10" w:rsidR="007A3529" w:rsidRPr="0083506D" w:rsidRDefault="007A3529" w:rsidP="00203F2A">
      <w:pPr>
        <w:pStyle w:val="Heading1"/>
        <w:jc w:val="both"/>
        <w:rPr>
          <w:b w:val="0"/>
        </w:rPr>
      </w:pPr>
      <w:bookmarkStart w:id="2" w:name="_Toc531965012"/>
      <w:r w:rsidRPr="0083506D">
        <w:lastRenderedPageBreak/>
        <w:t>Executive Summary</w:t>
      </w:r>
      <w:bookmarkEnd w:id="1"/>
      <w:bookmarkEnd w:id="2"/>
    </w:p>
    <w:p w14:paraId="65382262" w14:textId="77777777" w:rsidR="007A3529" w:rsidRDefault="007A3529" w:rsidP="00203F2A">
      <w:pPr>
        <w:pStyle w:val="NoSpacing"/>
        <w:jc w:val="both"/>
      </w:pPr>
    </w:p>
    <w:p w14:paraId="358BE5D7" w14:textId="77777777" w:rsidR="007A3529" w:rsidRPr="00050206" w:rsidRDefault="007A3529" w:rsidP="00203F2A">
      <w:pPr>
        <w:pStyle w:val="NoSpacing"/>
        <w:jc w:val="both"/>
      </w:pPr>
      <w:r w:rsidRPr="00050206">
        <w:t>The World Bank’s program supporting development in Suriname is grounded in the Country Partnership Strategy (CPS) established between the World Bank Group (WBG) and the Government of Suriname in 2015. The strategy has the overarching goal of promoting sustainable, inclusive, and diversified growth in Suriname. Underpinning the CPS is a focus on strengthening environmental and social standards and impact management.</w:t>
      </w:r>
    </w:p>
    <w:p w14:paraId="52FD3395" w14:textId="77777777" w:rsidR="007A3529" w:rsidRPr="00050206" w:rsidRDefault="007A3529" w:rsidP="00203F2A">
      <w:pPr>
        <w:pStyle w:val="NoSpacing"/>
        <w:jc w:val="both"/>
      </w:pPr>
    </w:p>
    <w:p w14:paraId="56B0CA19" w14:textId="29F1FB9D" w:rsidR="007A3529" w:rsidRPr="00050206" w:rsidRDefault="007A3529" w:rsidP="00203F2A">
      <w:pPr>
        <w:pStyle w:val="NoSpacing"/>
        <w:jc w:val="both"/>
        <w:rPr>
          <w:strike/>
        </w:rPr>
      </w:pPr>
      <w:proofErr w:type="gramStart"/>
      <w:r w:rsidRPr="00050206">
        <w:t>In an effort to</w:t>
      </w:r>
      <w:proofErr w:type="gramEnd"/>
      <w:r w:rsidRPr="00050206">
        <w:t xml:space="preserve"> further harness its natural and cultural capital to generate economic opportunities, the Government of Suriname (GOS) plans to diversify economic activity through an increase in private investment. The government’s 2012-16 and 2017-21 ‘National Development Plans’ and its 2016-18 ‘Stabilization and Recovery Plan’ following the economic crisis, all highlight the need to diversify economic activity, including through an increase in private investment. The GOS has taken important steps to improve its ability to facilitate private sector growth and investment, such as the establishment of a Competitiveness Unit Suriname (CUS) in 2014 and the recent </w:t>
      </w:r>
      <w:r w:rsidR="00DC31DD">
        <w:t>operationalization</w:t>
      </w:r>
      <w:r w:rsidR="00DC31DD" w:rsidRPr="00050206">
        <w:t xml:space="preserve"> </w:t>
      </w:r>
      <w:r w:rsidRPr="00050206">
        <w:t>of InvestSur as the national investment promotion agency.</w:t>
      </w:r>
      <w:r w:rsidRPr="00050206">
        <w:rPr>
          <w:strike/>
        </w:rPr>
        <w:t xml:space="preserve"> </w:t>
      </w:r>
    </w:p>
    <w:p w14:paraId="5745FB4B" w14:textId="77777777" w:rsidR="007A3529" w:rsidRPr="00050206" w:rsidRDefault="007A3529" w:rsidP="00203F2A">
      <w:pPr>
        <w:pStyle w:val="NoSpacing"/>
        <w:jc w:val="both"/>
      </w:pPr>
    </w:p>
    <w:p w14:paraId="32C660C3" w14:textId="7EC69A79" w:rsidR="007A3529" w:rsidRDefault="007A3529" w:rsidP="00203F2A">
      <w:pPr>
        <w:pStyle w:val="NoSpacing"/>
        <w:jc w:val="both"/>
      </w:pPr>
      <w:r w:rsidRPr="00050206">
        <w:t>The Suriname Competitiveness and Sector Diversification (</w:t>
      </w:r>
      <w:r w:rsidR="000A52CC">
        <w:t>S</w:t>
      </w:r>
      <w:r w:rsidRPr="00050206">
        <w:t xml:space="preserve">CSD) Project is a specific lending operation being prepared under the </w:t>
      </w:r>
      <w:r w:rsidR="002F54A7">
        <w:t xml:space="preserve">World </w:t>
      </w:r>
      <w:r w:rsidRPr="00050206">
        <w:t xml:space="preserve">Bank’s CPS to address these challenges and contribute to </w:t>
      </w:r>
      <w:r w:rsidR="002F54A7">
        <w:t xml:space="preserve">the </w:t>
      </w:r>
      <w:r w:rsidRPr="00050206">
        <w:t xml:space="preserve">National Development Plans. The development objective of </w:t>
      </w:r>
      <w:r w:rsidR="00190610">
        <w:t>SCSD</w:t>
      </w:r>
      <w:r w:rsidRPr="00050206">
        <w:t xml:space="preserve"> is </w:t>
      </w:r>
      <w:r w:rsidR="002541CB">
        <w:rPr>
          <w:noProof/>
        </w:rPr>
        <w:t>support sector governance improvements and increase competitiveness in targeted industries in Suriname</w:t>
      </w:r>
      <w:r w:rsidRPr="00050206">
        <w:t>, through three Project Components (PCs) of which PC 2 aims at supporting value chains and Small and Medium size</w:t>
      </w:r>
      <w:r>
        <w:t xml:space="preserve"> Enterprises (</w:t>
      </w:r>
      <w:r w:rsidRPr="00F74E0B">
        <w:t>SMEs</w:t>
      </w:r>
      <w:r>
        <w:t>)</w:t>
      </w:r>
      <w:r w:rsidRPr="00F74E0B">
        <w:t>. This PC will address</w:t>
      </w:r>
      <w:r w:rsidRPr="006B1CC3">
        <w:t xml:space="preserve"> constraints and strengthen targeted value chains, with a specific focus on promoting growth and diversification within agribusiness, tourism and other emerging sectors in Suriname. Foreseen activities under </w:t>
      </w:r>
      <w:r>
        <w:t>PC 2</w:t>
      </w:r>
      <w:r w:rsidRPr="006B1CC3">
        <w:t xml:space="preserve"> include</w:t>
      </w:r>
      <w:r>
        <w:t>:</w:t>
      </w:r>
    </w:p>
    <w:p w14:paraId="7F7ADD9F" w14:textId="77777777" w:rsidR="007A3529" w:rsidRDefault="007A3529" w:rsidP="00203F2A">
      <w:pPr>
        <w:pStyle w:val="NoSpacing"/>
        <w:jc w:val="both"/>
      </w:pPr>
    </w:p>
    <w:p w14:paraId="1D0F524B" w14:textId="253A2D32" w:rsidR="007A3529" w:rsidRDefault="007A3529" w:rsidP="00203F2A">
      <w:pPr>
        <w:pStyle w:val="NoSpacing"/>
        <w:numPr>
          <w:ilvl w:val="0"/>
          <w:numId w:val="23"/>
        </w:numPr>
        <w:jc w:val="both"/>
        <w:rPr>
          <w:lang w:val="en-US"/>
        </w:rPr>
      </w:pPr>
      <w:r>
        <w:t xml:space="preserve">The establishment of a </w:t>
      </w:r>
      <w:r w:rsidRPr="00CA7FC3">
        <w:rPr>
          <w:u w:val="single"/>
          <w:lang w:val="en-US"/>
        </w:rPr>
        <w:t>SME support fund</w:t>
      </w:r>
      <w:r w:rsidRPr="00CA7FC3">
        <w:rPr>
          <w:lang w:val="en-US"/>
        </w:rPr>
        <w:t>, financing business development services and matching grants for firm-level investments</w:t>
      </w:r>
      <w:r w:rsidR="000F2506">
        <w:rPr>
          <w:lang w:val="en-US"/>
        </w:rPr>
        <w:t xml:space="preserve"> and competitive upgrading</w:t>
      </w:r>
      <w:r w:rsidRPr="006B1CC3">
        <w:t xml:space="preserve">. </w:t>
      </w:r>
      <w:r w:rsidRPr="00CA7FC3">
        <w:rPr>
          <w:lang w:val="en-US"/>
        </w:rPr>
        <w:t xml:space="preserve">This fund would provide direct support to SMEs that apply and are competitively selected. SMEs engaged in agribusiness or tourism activities will be targeted, but those engaged in other sectors would not be excluded. </w:t>
      </w:r>
      <w:r w:rsidR="003E3F57">
        <w:rPr>
          <w:lang w:val="en-US"/>
        </w:rPr>
        <w:t xml:space="preserve">This fund will also </w:t>
      </w:r>
      <w:r w:rsidR="00FD7791">
        <w:rPr>
          <w:lang w:val="en-US"/>
        </w:rPr>
        <w:t>finance matching grants to groups of firms working in a value chain for shared assets</w:t>
      </w:r>
      <w:r w:rsidR="00171A2C">
        <w:rPr>
          <w:lang w:val="en-US"/>
        </w:rPr>
        <w:t xml:space="preserve"> to increase value chain competitiveness</w:t>
      </w:r>
      <w:r w:rsidR="00FD7791">
        <w:rPr>
          <w:lang w:val="en-US"/>
        </w:rPr>
        <w:t xml:space="preserve">. </w:t>
      </w:r>
      <w:r w:rsidRPr="00CA7FC3">
        <w:rPr>
          <w:lang w:val="en-US"/>
        </w:rPr>
        <w:t xml:space="preserve">Support is expected to average </w:t>
      </w:r>
      <w:r>
        <w:rPr>
          <w:lang w:val="en-US"/>
        </w:rPr>
        <w:t>US</w:t>
      </w:r>
      <w:r w:rsidRPr="00CA7FC3">
        <w:rPr>
          <w:lang w:val="en-US"/>
        </w:rPr>
        <w:t>$50k per SME,</w:t>
      </w:r>
      <w:r w:rsidR="00FD7791">
        <w:rPr>
          <w:lang w:val="en-US"/>
        </w:rPr>
        <w:t xml:space="preserve"> </w:t>
      </w:r>
      <w:r w:rsidR="001D1770">
        <w:rPr>
          <w:lang w:val="en-US"/>
        </w:rPr>
        <w:t xml:space="preserve">through business development services or matching grant co-investments </w:t>
      </w:r>
      <w:r w:rsidR="00FD7791">
        <w:rPr>
          <w:lang w:val="en-US"/>
        </w:rPr>
        <w:t xml:space="preserve">targeting </w:t>
      </w:r>
      <w:r w:rsidR="001D1770">
        <w:rPr>
          <w:lang w:val="en-US"/>
        </w:rPr>
        <w:t xml:space="preserve">a total of </w:t>
      </w:r>
      <w:r w:rsidR="00FD7791">
        <w:rPr>
          <w:lang w:val="en-US"/>
        </w:rPr>
        <w:t>160 firms,</w:t>
      </w:r>
      <w:r w:rsidRPr="00CA7FC3">
        <w:rPr>
          <w:lang w:val="en-US"/>
        </w:rPr>
        <w:t xml:space="preserve"> </w:t>
      </w:r>
      <w:r w:rsidR="00FD7791">
        <w:rPr>
          <w:lang w:val="en-US"/>
        </w:rPr>
        <w:t xml:space="preserve">and US$250k in co-investments for group beneficiaries, </w:t>
      </w:r>
      <w:r w:rsidRPr="00CA7FC3">
        <w:rPr>
          <w:lang w:val="en-US"/>
        </w:rPr>
        <w:t xml:space="preserve">targeting </w:t>
      </w:r>
      <w:r w:rsidR="006C0A3A">
        <w:rPr>
          <w:lang w:val="en-US"/>
        </w:rPr>
        <w:t xml:space="preserve">ten to twelve </w:t>
      </w:r>
      <w:r w:rsidR="000F2506">
        <w:rPr>
          <w:lang w:val="en-US"/>
        </w:rPr>
        <w:t>groups</w:t>
      </w:r>
      <w:r w:rsidRPr="00CA7FC3">
        <w:rPr>
          <w:lang w:val="en-US"/>
        </w:rPr>
        <w:t>.</w:t>
      </w:r>
    </w:p>
    <w:p w14:paraId="6FD4BFE4" w14:textId="1530299D" w:rsidR="007A3529" w:rsidRPr="00CA7FC3" w:rsidRDefault="0093620E" w:rsidP="00203F2A">
      <w:pPr>
        <w:pStyle w:val="NoSpacing"/>
        <w:numPr>
          <w:ilvl w:val="0"/>
          <w:numId w:val="23"/>
        </w:numPr>
        <w:jc w:val="both"/>
        <w:rPr>
          <w:lang w:val="en-US"/>
        </w:rPr>
      </w:pPr>
      <w:r>
        <w:rPr>
          <w:lang w:val="en-US"/>
        </w:rPr>
        <w:t xml:space="preserve">Support for </w:t>
      </w:r>
      <w:r w:rsidR="007A3529" w:rsidRPr="00CA7FC3">
        <w:rPr>
          <w:u w:val="single"/>
          <w:lang w:val="en-US"/>
        </w:rPr>
        <w:t xml:space="preserve">investment climate </w:t>
      </w:r>
      <w:r>
        <w:rPr>
          <w:u w:val="single"/>
          <w:lang w:val="en-US"/>
        </w:rPr>
        <w:t xml:space="preserve">and </w:t>
      </w:r>
      <w:r w:rsidR="007A3529" w:rsidRPr="00CA7FC3">
        <w:rPr>
          <w:u w:val="single"/>
          <w:lang w:val="en-US"/>
        </w:rPr>
        <w:t>institutional reforms</w:t>
      </w:r>
      <w:r w:rsidR="007A3529" w:rsidRPr="006B1CC3">
        <w:t>.</w:t>
      </w:r>
      <w:r w:rsidR="007A3529">
        <w:t xml:space="preserve"> </w:t>
      </w:r>
      <w:r w:rsidR="007A3529" w:rsidRPr="00CA7FC3">
        <w:rPr>
          <w:lang w:val="en-US"/>
        </w:rPr>
        <w:t xml:space="preserve">This activity </w:t>
      </w:r>
      <w:r>
        <w:rPr>
          <w:lang w:val="en-US"/>
        </w:rPr>
        <w:t>will</w:t>
      </w:r>
      <w:r w:rsidR="007A3529" w:rsidRPr="00CA7FC3">
        <w:rPr>
          <w:lang w:val="en-US"/>
        </w:rPr>
        <w:t xml:space="preserve"> finance </w:t>
      </w:r>
      <w:r>
        <w:rPr>
          <w:lang w:val="en-US"/>
        </w:rPr>
        <w:t>technical assistance and capacity support for the government to improve the investment climate for tourism and agribusiness and implement cross-cutting business environment reforms</w:t>
      </w:r>
      <w:r w:rsidR="007A3529" w:rsidRPr="00CA7FC3">
        <w:rPr>
          <w:lang w:val="en-US"/>
        </w:rPr>
        <w:t xml:space="preserve">. </w:t>
      </w:r>
    </w:p>
    <w:p w14:paraId="4FD273F4" w14:textId="77777777" w:rsidR="007A3529" w:rsidRPr="00050206" w:rsidRDefault="007A3529" w:rsidP="00203F2A">
      <w:pPr>
        <w:pStyle w:val="NoSpacing"/>
        <w:jc w:val="both"/>
        <w:rPr>
          <w:lang w:val="en-US"/>
        </w:rPr>
      </w:pPr>
    </w:p>
    <w:p w14:paraId="57B747A8" w14:textId="3F7C6208" w:rsidR="007A3529" w:rsidRDefault="007A3529" w:rsidP="00203F2A">
      <w:pPr>
        <w:pStyle w:val="NoSpacing"/>
        <w:jc w:val="both"/>
      </w:pPr>
      <w:r w:rsidRPr="00050206">
        <w:t xml:space="preserve">The </w:t>
      </w:r>
      <w:r w:rsidR="00190610">
        <w:t>SCSD</w:t>
      </w:r>
      <w:r w:rsidRPr="00050206">
        <w:t xml:space="preserve"> Project is classified by the WBG as Category B, meaning that the potential adverse environmental impacts on human populations or environmentally important areas are site-specific; few if any of them are irreversible; and in most cases mitigation measures can be designed. As it is anticipated that the activities under PC 2 - of which exact locations and impacts are not yet known - trigger the World Banks’ Environmental Assessment Policy (OP.4.01), the </w:t>
      </w:r>
      <w:r w:rsidRPr="00050206">
        <w:rPr>
          <w:i/>
        </w:rPr>
        <w:t>Environmental and Social Management Framework (ESMF)</w:t>
      </w:r>
      <w:r w:rsidRPr="00050206">
        <w:t xml:space="preserve"> is considered the most appropriate</w:t>
      </w:r>
      <w:r>
        <w:t xml:space="preserve"> environmental and social management instrument and </w:t>
      </w:r>
      <w:r w:rsidRPr="004C610C">
        <w:t xml:space="preserve">will be applicable throughout the duration of this </w:t>
      </w:r>
      <w:r w:rsidR="00190610">
        <w:t>SCSD</w:t>
      </w:r>
      <w:r w:rsidRPr="004C610C">
        <w:t xml:space="preserve"> Project, aiming to:</w:t>
      </w:r>
    </w:p>
    <w:p w14:paraId="2D44E714" w14:textId="77777777" w:rsidR="007A3529" w:rsidRPr="004C610C" w:rsidRDefault="007A3529" w:rsidP="00203F2A">
      <w:pPr>
        <w:pStyle w:val="NoSpacing"/>
        <w:jc w:val="both"/>
      </w:pPr>
    </w:p>
    <w:p w14:paraId="4761A516" w14:textId="77777777" w:rsidR="007A3529" w:rsidRDefault="007A3529" w:rsidP="00203F2A">
      <w:pPr>
        <w:pStyle w:val="NoSpacing"/>
        <w:numPr>
          <w:ilvl w:val="0"/>
          <w:numId w:val="7"/>
        </w:numPr>
        <w:jc w:val="both"/>
      </w:pPr>
      <w:r>
        <w:t>integrate environmental and social aspects into the pre-feasibility and feasibility analysis of potential sub-projects under PC 2 at the preparation and planning stages;</w:t>
      </w:r>
    </w:p>
    <w:p w14:paraId="08070706" w14:textId="77777777" w:rsidR="007A3529" w:rsidRDefault="007A3529" w:rsidP="00203F2A">
      <w:pPr>
        <w:pStyle w:val="NoSpacing"/>
        <w:numPr>
          <w:ilvl w:val="0"/>
          <w:numId w:val="7"/>
        </w:numPr>
        <w:jc w:val="both"/>
      </w:pPr>
      <w:r>
        <w:t xml:space="preserve">promote transparency </w:t>
      </w:r>
      <w:proofErr w:type="gramStart"/>
      <w:r>
        <w:t>through the use of</w:t>
      </w:r>
      <w:proofErr w:type="gramEnd"/>
      <w:r>
        <w:t xml:space="preserve"> stakeholder consultations and disclosure procedures;</w:t>
      </w:r>
    </w:p>
    <w:p w14:paraId="10A53657" w14:textId="77777777" w:rsidR="007A3529" w:rsidRDefault="007A3529" w:rsidP="00203F2A">
      <w:pPr>
        <w:pStyle w:val="NoSpacing"/>
        <w:numPr>
          <w:ilvl w:val="0"/>
          <w:numId w:val="7"/>
        </w:numPr>
        <w:jc w:val="both"/>
      </w:pPr>
      <w:r>
        <w:lastRenderedPageBreak/>
        <w:t>consider possible uses of strategic environmental and social analyses;</w:t>
      </w:r>
    </w:p>
    <w:p w14:paraId="2D22742F" w14:textId="77777777" w:rsidR="007A3529" w:rsidRDefault="007A3529" w:rsidP="00203F2A">
      <w:pPr>
        <w:pStyle w:val="NoSpacing"/>
        <w:numPr>
          <w:ilvl w:val="0"/>
          <w:numId w:val="7"/>
        </w:numPr>
        <w:jc w:val="both"/>
      </w:pPr>
      <w:r>
        <w:t>encourage consideration of technical alternatives based on possible environmental and social impacts; and</w:t>
      </w:r>
    </w:p>
    <w:p w14:paraId="1DCFFAFB" w14:textId="2F214EBF" w:rsidR="007A3529" w:rsidRDefault="00203F2A" w:rsidP="00203F2A">
      <w:pPr>
        <w:pStyle w:val="NoSpacing"/>
        <w:numPr>
          <w:ilvl w:val="0"/>
          <w:numId w:val="7"/>
        </w:numPr>
        <w:jc w:val="both"/>
      </w:pPr>
      <w:r>
        <w:t>Strengthen</w:t>
      </w:r>
      <w:r w:rsidR="007A3529">
        <w:t xml:space="preserve"> environmental and social management capacities within the national institutions and the project stakeholders.</w:t>
      </w:r>
    </w:p>
    <w:p w14:paraId="4EDC22BC" w14:textId="77777777" w:rsidR="007A3529" w:rsidRPr="00050206" w:rsidRDefault="007A3529" w:rsidP="00203F2A">
      <w:pPr>
        <w:pStyle w:val="NoSpacing"/>
        <w:jc w:val="both"/>
      </w:pPr>
    </w:p>
    <w:p w14:paraId="6E2D5EEF" w14:textId="6596DD04" w:rsidR="007A3529" w:rsidRPr="00BD455C" w:rsidRDefault="007A3529" w:rsidP="00203F2A">
      <w:pPr>
        <w:pStyle w:val="NoSpacing"/>
        <w:jc w:val="both"/>
      </w:pPr>
      <w:r w:rsidRPr="00050206">
        <w:t xml:space="preserve">The Project has designed safeguard frameworks for environmental protection and social rights to which all activities and business development under the </w:t>
      </w:r>
      <w:r w:rsidR="00190610">
        <w:t>SCSD</w:t>
      </w:r>
      <w:r w:rsidRPr="00050206">
        <w:t xml:space="preserve"> Project must comply. These frameworks will assess, expose and analyse the potential environmental and social impacts of all</w:t>
      </w:r>
      <w:r>
        <w:t xml:space="preserve"> activities of the Project. The Project has developed two primary safeguard instruments: this Environmental and Social Management Framework (ESMF), including a Resettlement Policy Framework (RPF), as well as an Indigenous and Tribal Peoples Planning Framework (ITPPF)</w:t>
      </w:r>
      <w:r w:rsidR="007C1FAB">
        <w:t xml:space="preserve">, including a Grievance Redress Mechanism (GRM), </w:t>
      </w:r>
      <w:r>
        <w:t xml:space="preserve">presented in a separate document. </w:t>
      </w:r>
      <w:r w:rsidRPr="00BD455C">
        <w:t xml:space="preserve">Decision-making on </w:t>
      </w:r>
      <w:r w:rsidR="00190610">
        <w:t>SCSD</w:t>
      </w:r>
      <w:r w:rsidRPr="00BD455C">
        <w:t xml:space="preserve"> Project support activities, both public and private, will be based on the degree of compliance with the</w:t>
      </w:r>
      <w:r>
        <w:t>se</w:t>
      </w:r>
      <w:r w:rsidRPr="00BD455C">
        <w:t xml:space="preserve"> social and environmental safeguards.</w:t>
      </w:r>
    </w:p>
    <w:p w14:paraId="5D9FF274" w14:textId="77777777" w:rsidR="007A3529" w:rsidRDefault="007A3529" w:rsidP="00203F2A">
      <w:pPr>
        <w:pStyle w:val="NoSpacing"/>
        <w:jc w:val="both"/>
      </w:pPr>
    </w:p>
    <w:p w14:paraId="5C254141" w14:textId="09908B52" w:rsidR="007A3529" w:rsidRPr="000759A8" w:rsidRDefault="007A3529" w:rsidP="00203F2A">
      <w:pPr>
        <w:pStyle w:val="NoSpacing"/>
        <w:jc w:val="both"/>
        <w:rPr>
          <w:strike/>
        </w:rPr>
      </w:pPr>
      <w:r w:rsidRPr="00050206">
        <w:rPr>
          <w:b/>
        </w:rPr>
        <w:t>Sections 3, 4 and 5</w:t>
      </w:r>
      <w:r w:rsidRPr="000759A8">
        <w:t xml:space="preserve"> of this document successively provide a comprehensive baseline description of Suriname’s legal, regulatory and policy framework</w:t>
      </w:r>
      <w:r>
        <w:t>;</w:t>
      </w:r>
      <w:r w:rsidRPr="000759A8">
        <w:t xml:space="preserve"> the country’s environmental and social baseline</w:t>
      </w:r>
      <w:r>
        <w:t>;</w:t>
      </w:r>
      <w:r w:rsidRPr="000759A8">
        <w:t xml:space="preserve"> and deal with land use and </w:t>
      </w:r>
      <w:r w:rsidR="007C1FAB">
        <w:t xml:space="preserve">land </w:t>
      </w:r>
      <w:r w:rsidRPr="000759A8">
        <w:t xml:space="preserve">ownership. </w:t>
      </w:r>
    </w:p>
    <w:p w14:paraId="1C4530C9" w14:textId="77777777" w:rsidR="007A3529" w:rsidRPr="000759A8" w:rsidRDefault="007A3529" w:rsidP="00203F2A">
      <w:pPr>
        <w:pStyle w:val="NoSpacing"/>
        <w:jc w:val="both"/>
      </w:pPr>
    </w:p>
    <w:p w14:paraId="256D3E27" w14:textId="7603D4DD" w:rsidR="007A3529" w:rsidRPr="006E4010" w:rsidRDefault="007A3529" w:rsidP="00203F2A">
      <w:pPr>
        <w:pStyle w:val="NoSpacing"/>
        <w:jc w:val="both"/>
      </w:pPr>
      <w:r w:rsidRPr="006E4010">
        <w:t xml:space="preserve">Activities under PC 2 aim to increase private investment in value chains, especially in agribusiness and tourism, through </w:t>
      </w:r>
      <w:r w:rsidR="006D1B89">
        <w:t>individual SME and value chain group</w:t>
      </w:r>
      <w:r w:rsidRPr="006E4010">
        <w:t xml:space="preserve"> ‘matching grant support’ to improve tourism and agribusiness development and the competitiveness of value chains. The </w:t>
      </w:r>
      <w:r>
        <w:t xml:space="preserve">environmental and social management </w:t>
      </w:r>
      <w:r w:rsidRPr="006E4010">
        <w:t xml:space="preserve">tools and checklists that have been developed under this ESMF apply for </w:t>
      </w:r>
      <w:r>
        <w:t>sub-p</w:t>
      </w:r>
      <w:r w:rsidRPr="006E4010">
        <w:t xml:space="preserve">roject proposals when assessing the environmental and social impacts of </w:t>
      </w:r>
      <w:r>
        <w:t xml:space="preserve">proposed </w:t>
      </w:r>
      <w:r w:rsidRPr="006E4010">
        <w:t>and future investments</w:t>
      </w:r>
      <w:r>
        <w:t>. They also apply</w:t>
      </w:r>
      <w:r w:rsidRPr="006E4010">
        <w:t xml:space="preserve"> in case</w:t>
      </w:r>
      <w:r>
        <w:rPr>
          <w:b/>
        </w:rPr>
        <w:t xml:space="preserve"> </w:t>
      </w:r>
      <w:r w:rsidRPr="00971617">
        <w:t xml:space="preserve">service </w:t>
      </w:r>
      <w:r>
        <w:t xml:space="preserve">provider(s) are contracted for the deliverance of </w:t>
      </w:r>
      <w:r w:rsidR="002C6FF6">
        <w:t xml:space="preserve">constructions and </w:t>
      </w:r>
      <w:r>
        <w:t xml:space="preserve">additional </w:t>
      </w:r>
      <w:r w:rsidRPr="00971617">
        <w:t>services</w:t>
      </w:r>
      <w:r>
        <w:t xml:space="preserve">. </w:t>
      </w:r>
      <w:r w:rsidRPr="004A104C">
        <w:rPr>
          <w:b/>
        </w:rPr>
        <w:t>Section 6</w:t>
      </w:r>
      <w:r w:rsidRPr="006E4010">
        <w:t xml:space="preserve"> of this document provides an assessment of possible risks and impact</w:t>
      </w:r>
      <w:r>
        <w:t>s</w:t>
      </w:r>
      <w:r w:rsidRPr="006E4010">
        <w:t xml:space="preserve"> of potential </w:t>
      </w:r>
      <w:r>
        <w:t>sub-p</w:t>
      </w:r>
      <w:r w:rsidRPr="006E4010">
        <w:t xml:space="preserve">roject proposals and </w:t>
      </w:r>
      <w:bookmarkStart w:id="3" w:name="_Hlk531603605"/>
      <w:r w:rsidRPr="006E4010">
        <w:t xml:space="preserve">an illustrative list of risks and impacts </w:t>
      </w:r>
      <w:bookmarkEnd w:id="3"/>
      <w:r w:rsidRPr="006E4010">
        <w:t>to be considered. For all identified potential impacts with a substantial to moderate significance, mitigating actions are required. A screening tool for the identification of potential impacts is included in Annex 1.</w:t>
      </w:r>
    </w:p>
    <w:p w14:paraId="6AF61B4F" w14:textId="77777777" w:rsidR="007A3529" w:rsidRDefault="007A3529" w:rsidP="00203F2A">
      <w:pPr>
        <w:pStyle w:val="NoSpacing"/>
        <w:jc w:val="both"/>
      </w:pPr>
    </w:p>
    <w:p w14:paraId="7E8287ED" w14:textId="0FF60577" w:rsidR="007A3529" w:rsidRDefault="007A3529" w:rsidP="00203F2A">
      <w:pPr>
        <w:pStyle w:val="NoSpacing"/>
        <w:jc w:val="both"/>
      </w:pPr>
      <w:r w:rsidRPr="004A104C">
        <w:t xml:space="preserve">The proposed mitigating actions and the monitoring of the actions’ effectiveness in eliminating or reducing the negative impacts of proposed </w:t>
      </w:r>
      <w:r>
        <w:t>sub-p</w:t>
      </w:r>
      <w:r w:rsidRPr="004A104C">
        <w:t xml:space="preserve">roject activities must be </w:t>
      </w:r>
      <w:r>
        <w:t xml:space="preserve">addressed </w:t>
      </w:r>
      <w:r w:rsidRPr="004A104C">
        <w:t>in a</w:t>
      </w:r>
      <w:r>
        <w:t>n</w:t>
      </w:r>
      <w:r w:rsidRPr="004A104C">
        <w:t xml:space="preserve"> ‘Environmental and Social Management Plan’ (ESMP). This ESMP as described </w:t>
      </w:r>
      <w:r w:rsidRPr="004A104C">
        <w:rPr>
          <w:b/>
        </w:rPr>
        <w:t>Section 7</w:t>
      </w:r>
      <w:r w:rsidRPr="004A104C">
        <w:t xml:space="preserve"> of this document, </w:t>
      </w:r>
      <w:r w:rsidR="002C6FF6">
        <w:t xml:space="preserve">aims to </w:t>
      </w:r>
      <w:r w:rsidRPr="004A104C">
        <w:t>identif</w:t>
      </w:r>
      <w:r w:rsidR="002C6FF6">
        <w:t>y</w:t>
      </w:r>
      <w:r w:rsidRPr="004A104C">
        <w:t xml:space="preserve"> feasible and cost-effective </w:t>
      </w:r>
      <w:bookmarkStart w:id="4" w:name="_Hlk531603723"/>
      <w:r w:rsidRPr="004A104C">
        <w:t xml:space="preserve">mitigating measures that may reduce potentially significant adverse environmental and social impacts to acceptable levels. </w:t>
      </w:r>
      <w:bookmarkEnd w:id="4"/>
      <w:r w:rsidRPr="004A104C">
        <w:t>The plan includes</w:t>
      </w:r>
      <w:r>
        <w:t xml:space="preserve"> compensatory measures if mitigation measures are not feasible, cost-effective, or sufficient. Specifically, the ESMP:</w:t>
      </w:r>
    </w:p>
    <w:p w14:paraId="70A59464" w14:textId="77777777" w:rsidR="007A3529" w:rsidRDefault="007A3529" w:rsidP="00203F2A">
      <w:pPr>
        <w:pStyle w:val="NoSpacing"/>
        <w:jc w:val="both"/>
      </w:pPr>
    </w:p>
    <w:p w14:paraId="1B3AC5EE" w14:textId="77777777" w:rsidR="007A3529" w:rsidRDefault="007A3529" w:rsidP="00203F2A">
      <w:pPr>
        <w:pStyle w:val="NoSpacing"/>
        <w:numPr>
          <w:ilvl w:val="0"/>
          <w:numId w:val="11"/>
        </w:numPr>
        <w:jc w:val="both"/>
      </w:pPr>
      <w:r>
        <w:t>identifies and summarizes all anticipated significant adverse environmental impacts (including those involving indigenous people or involuntary resettlement);</w:t>
      </w:r>
    </w:p>
    <w:p w14:paraId="38C7E9D8" w14:textId="77777777" w:rsidR="007A3529" w:rsidRDefault="007A3529" w:rsidP="00203F2A">
      <w:pPr>
        <w:pStyle w:val="NoSpacing"/>
        <w:numPr>
          <w:ilvl w:val="0"/>
          <w:numId w:val="11"/>
        </w:numPr>
        <w:jc w:val="both"/>
      </w:pPr>
      <w:r>
        <w:t>describes each mitigation measure, including the type of impact to which it relates and the conditions under which it is required, together with designs, equipment descriptions, and operating procedures, as appropriate;</w:t>
      </w:r>
    </w:p>
    <w:p w14:paraId="6862C7A7" w14:textId="77777777" w:rsidR="007A3529" w:rsidRDefault="007A3529" w:rsidP="00203F2A">
      <w:pPr>
        <w:pStyle w:val="NoSpacing"/>
        <w:numPr>
          <w:ilvl w:val="0"/>
          <w:numId w:val="11"/>
        </w:numPr>
        <w:jc w:val="both"/>
      </w:pPr>
      <w:r>
        <w:t>estimates any potential environmental (positive) impacts of these measures; and</w:t>
      </w:r>
    </w:p>
    <w:p w14:paraId="309236BF" w14:textId="77777777" w:rsidR="007A3529" w:rsidRDefault="007A3529" w:rsidP="00203F2A">
      <w:pPr>
        <w:pStyle w:val="NoSpacing"/>
        <w:numPr>
          <w:ilvl w:val="0"/>
          <w:numId w:val="11"/>
        </w:numPr>
        <w:jc w:val="both"/>
      </w:pPr>
      <w:r>
        <w:t>provides linkage with any other mitigation plans (e.g., for Involuntary Resettlement, Indigenous Peoples, or Cultural Property) required for the project.</w:t>
      </w:r>
    </w:p>
    <w:p w14:paraId="744B187F" w14:textId="77777777" w:rsidR="007A3529" w:rsidRDefault="007A3529" w:rsidP="00203F2A">
      <w:pPr>
        <w:pStyle w:val="NoSpacing"/>
        <w:jc w:val="both"/>
        <w:rPr>
          <w:b/>
        </w:rPr>
      </w:pPr>
    </w:p>
    <w:p w14:paraId="58C35F22" w14:textId="7CD03E4F" w:rsidR="002C6FF6" w:rsidRDefault="002C6FF6" w:rsidP="00203F2A">
      <w:pPr>
        <w:pStyle w:val="NoSpacing"/>
        <w:jc w:val="both"/>
      </w:pPr>
      <w:bookmarkStart w:id="5" w:name="_Hlk531862447"/>
      <w:r>
        <w:t>Additionally, the ESMP clearly describes the design and implementing responsibilities</w:t>
      </w:r>
      <w:r w:rsidR="009C4F12">
        <w:t xml:space="preserve"> of all proposed mitigating measures, including the monitoring and reporting on the effectiveness of these. </w:t>
      </w:r>
    </w:p>
    <w:bookmarkEnd w:id="5"/>
    <w:p w14:paraId="6CDF2A02" w14:textId="77777777" w:rsidR="002C6FF6" w:rsidRDefault="002C6FF6" w:rsidP="00203F2A">
      <w:pPr>
        <w:pStyle w:val="NoSpacing"/>
        <w:jc w:val="both"/>
      </w:pPr>
    </w:p>
    <w:p w14:paraId="5DE2A3A1" w14:textId="794BC3F3" w:rsidR="007A3529" w:rsidRDefault="007A3529" w:rsidP="00203F2A">
      <w:pPr>
        <w:pStyle w:val="NoSpacing"/>
        <w:jc w:val="both"/>
      </w:pPr>
      <w:r w:rsidRPr="00FF15F3">
        <w:t>All proposed mitigation measures will be based on the World Banks’ Mitigation Hierarchy which is considered crucial for all sub-project’s activities aiming to achieve no overall adverse impact on biodiversity.</w:t>
      </w:r>
      <w:r>
        <w:t xml:space="preserve"> </w:t>
      </w:r>
      <w:r w:rsidRPr="004A104C">
        <w:t>Additional to the WB</w:t>
      </w:r>
      <w:r>
        <w:t>G</w:t>
      </w:r>
      <w:r w:rsidRPr="004A104C">
        <w:t xml:space="preserve"> Operational Policies on Environmental Management and Suriname’s national legal requirements, internationally recognised ‘Best Practice’ guidelines </w:t>
      </w:r>
      <w:r w:rsidR="009C4F12">
        <w:t xml:space="preserve">are proposed </w:t>
      </w:r>
      <w:r w:rsidRPr="004A104C">
        <w:t xml:space="preserve">regarding (i) the collection and processing of </w:t>
      </w:r>
      <w:r>
        <w:t>Non-Timber Forest Products (</w:t>
      </w:r>
      <w:r w:rsidRPr="004A104C">
        <w:t>NTFPs</w:t>
      </w:r>
      <w:r>
        <w:t>)</w:t>
      </w:r>
      <w:r w:rsidRPr="004A104C">
        <w:t>, (ii) sustainable fishery and (iii)</w:t>
      </w:r>
      <w:r>
        <w:t xml:space="preserve"> aiming at sustainable tourism development.</w:t>
      </w:r>
    </w:p>
    <w:p w14:paraId="5AAC3320" w14:textId="77777777" w:rsidR="007A3529" w:rsidRDefault="007A3529" w:rsidP="00203F2A">
      <w:pPr>
        <w:pStyle w:val="NoSpacing"/>
        <w:jc w:val="both"/>
      </w:pPr>
    </w:p>
    <w:p w14:paraId="6FB83933" w14:textId="7AA030C9" w:rsidR="007A3529" w:rsidRDefault="007A3529" w:rsidP="00203F2A">
      <w:pPr>
        <w:pStyle w:val="NoSpacing"/>
        <w:jc w:val="both"/>
        <w:rPr>
          <w:b/>
        </w:rPr>
      </w:pPr>
      <w:r>
        <w:t xml:space="preserve">To support the understanding of the ESMF and </w:t>
      </w:r>
      <w:r w:rsidR="009C4F12">
        <w:t xml:space="preserve">the </w:t>
      </w:r>
      <w:r>
        <w:t xml:space="preserve">use of the ESMP, elaborating on the abovementioned </w:t>
      </w:r>
      <w:r w:rsidRPr="006E4010">
        <w:t>list of risks and impacts</w:t>
      </w:r>
      <w:r>
        <w:t xml:space="preserve">, </w:t>
      </w:r>
      <w:r w:rsidRPr="004A104C">
        <w:rPr>
          <w:b/>
        </w:rPr>
        <w:t>Section 7</w:t>
      </w:r>
      <w:r>
        <w:t xml:space="preserve"> provides examples of possible mitigating measures</w:t>
      </w:r>
      <w:r w:rsidRPr="009D0303">
        <w:rPr>
          <w:b/>
        </w:rPr>
        <w:t xml:space="preserve"> </w:t>
      </w:r>
      <w:r w:rsidRPr="004A104C">
        <w:t>that may eliminate or reduce potentially adverse environmental and social impacts to acceptable levels.</w:t>
      </w:r>
      <w:r w:rsidR="009C4F12">
        <w:t xml:space="preserve"> </w:t>
      </w:r>
      <w:r w:rsidRPr="004A104C">
        <w:t xml:space="preserve">In agriculture, the introduction of Integrated Pest Management, aiming at the reduction of </w:t>
      </w:r>
      <w:r>
        <w:t xml:space="preserve">the </w:t>
      </w:r>
      <w:r w:rsidRPr="004A104C">
        <w:t xml:space="preserve">use of hazardous and persistent agrochemicals, is described in </w:t>
      </w:r>
      <w:r w:rsidRPr="004A104C">
        <w:rPr>
          <w:b/>
        </w:rPr>
        <w:t>Section 8</w:t>
      </w:r>
      <w:r w:rsidRPr="004A104C">
        <w:t>.</w:t>
      </w:r>
    </w:p>
    <w:p w14:paraId="0977571C" w14:textId="77777777" w:rsidR="007A3529" w:rsidRDefault="007A3529" w:rsidP="00203F2A">
      <w:pPr>
        <w:pStyle w:val="NoSpacing"/>
        <w:jc w:val="both"/>
        <w:rPr>
          <w:b/>
        </w:rPr>
      </w:pPr>
    </w:p>
    <w:p w14:paraId="42559122" w14:textId="4AED1A3A" w:rsidR="007A3529" w:rsidRDefault="007A3529" w:rsidP="00203F2A">
      <w:pPr>
        <w:spacing w:after="0" w:line="240" w:lineRule="auto"/>
        <w:jc w:val="both"/>
      </w:pPr>
      <w:r w:rsidRPr="004A104C">
        <w:rPr>
          <w:b/>
        </w:rPr>
        <w:t>Section 9</w:t>
      </w:r>
      <w:r w:rsidRPr="006025A1">
        <w:t xml:space="preserve"> of this document deals with the capacity needs for implementing the ESMF. Representatives of the ministries of Natural Resources (MNR) and Trade, Industry and Tourism (MTIT) who will oversee the future </w:t>
      </w:r>
      <w:r w:rsidR="00190610">
        <w:t>SCSD</w:t>
      </w:r>
      <w:r w:rsidRPr="006025A1">
        <w:t xml:space="preserve"> Project Implementation Units (PIUs), realize there is a need to establish a functional system of environmental and social </w:t>
      </w:r>
      <w:r>
        <w:t xml:space="preserve">(E&amp;S) </w:t>
      </w:r>
      <w:r w:rsidRPr="006025A1">
        <w:t xml:space="preserve">management, likely including the hiring of both a social and an environmental expert to screen </w:t>
      </w:r>
      <w:r>
        <w:t>sub-p</w:t>
      </w:r>
      <w:r w:rsidRPr="006025A1">
        <w:t>roject applications,</w:t>
      </w:r>
      <w:r w:rsidRPr="00DC2FB3">
        <w:t xml:space="preserve"> identify social and environmental impacts, and report on them as needed. Additional to this, the PIU</w:t>
      </w:r>
      <w:r>
        <w:t>s</w:t>
      </w:r>
      <w:r w:rsidRPr="00DC2FB3">
        <w:t xml:space="preserve"> consider contract</w:t>
      </w:r>
      <w:r>
        <w:t>ing</w:t>
      </w:r>
      <w:r w:rsidRPr="00DC2FB3">
        <w:t xml:space="preserve"> one or more E&amp;S junior </w:t>
      </w:r>
      <w:r>
        <w:t xml:space="preserve">specialists </w:t>
      </w:r>
      <w:r w:rsidRPr="00DC2FB3">
        <w:t xml:space="preserve">who will closely cooperate with </w:t>
      </w:r>
      <w:r w:rsidR="00190610">
        <w:t>SCSD</w:t>
      </w:r>
      <w:r w:rsidRPr="00DC2FB3">
        <w:t xml:space="preserve"> grant applicants (both public and private) to provide support in the grant application procedure. Furthermore, the PIU</w:t>
      </w:r>
      <w:r>
        <w:t>s</w:t>
      </w:r>
      <w:r w:rsidRPr="00DC2FB3">
        <w:t xml:space="preserve"> will consider </w:t>
      </w:r>
      <w:r>
        <w:t xml:space="preserve">hiring </w:t>
      </w:r>
      <w:r w:rsidRPr="00DC2FB3">
        <w:t>a qualified consultation expert - as required - to support and oversee the public consultation processes at the sub-project level.</w:t>
      </w:r>
      <w:r>
        <w:t xml:space="preserve"> </w:t>
      </w:r>
    </w:p>
    <w:p w14:paraId="3C87FEF2" w14:textId="77777777" w:rsidR="0018091B" w:rsidRPr="00DC2FB3" w:rsidRDefault="0018091B" w:rsidP="00203F2A">
      <w:pPr>
        <w:spacing w:after="0" w:line="240" w:lineRule="auto"/>
        <w:jc w:val="both"/>
      </w:pPr>
    </w:p>
    <w:p w14:paraId="67AD9586" w14:textId="6D323439" w:rsidR="007A3529" w:rsidRPr="00DC2FB3" w:rsidRDefault="007A3529" w:rsidP="00203F2A">
      <w:pPr>
        <w:spacing w:after="0" w:line="240" w:lineRule="auto"/>
        <w:jc w:val="both"/>
      </w:pPr>
      <w:r>
        <w:t xml:space="preserve">The MNR and MTIT </w:t>
      </w:r>
      <w:r w:rsidRPr="00DC2FB3">
        <w:t xml:space="preserve">do not have departments specifically dealing with environmental and </w:t>
      </w:r>
      <w:r w:rsidRPr="006025A1">
        <w:t xml:space="preserve">social impact issues. Within the scope of the </w:t>
      </w:r>
      <w:r w:rsidR="00190610">
        <w:t>SCSD</w:t>
      </w:r>
      <w:r w:rsidRPr="006025A1">
        <w:t xml:space="preserve"> Project these capacities need to be developed. The PIU Project staff, as well as counterparts from NIMOS and other relevant officers within MTIT and MNR will undergo training on how to apply the ESMF and other safeguard frameworks. During Project implementation, the </w:t>
      </w:r>
      <w:r w:rsidR="00190610">
        <w:t>SCSD</w:t>
      </w:r>
      <w:r w:rsidRPr="006025A1">
        <w:t xml:space="preserve"> grant awardees, which also</w:t>
      </w:r>
      <w:r w:rsidRPr="00DC2FB3">
        <w:t xml:space="preserve"> includes SMEs and private entrepreneurs, will be sensitized to strengthen social and environmental awareness, aiming at a better understanding and acceptance of the use of these safeguard frameworks and the identification, implementation and monitoring of mitigation measures, including IPM where relevant. </w:t>
      </w:r>
    </w:p>
    <w:p w14:paraId="094E1D29" w14:textId="77777777" w:rsidR="007A3529" w:rsidRDefault="007A3529" w:rsidP="00203F2A">
      <w:pPr>
        <w:pStyle w:val="NoSpacing"/>
        <w:jc w:val="both"/>
        <w:rPr>
          <w:b/>
        </w:rPr>
      </w:pPr>
    </w:p>
    <w:p w14:paraId="14C15B74" w14:textId="77777777" w:rsidR="007A3529" w:rsidRDefault="007A3529" w:rsidP="00203F2A">
      <w:pPr>
        <w:pStyle w:val="NoSpacing"/>
        <w:jc w:val="both"/>
        <w:rPr>
          <w:b/>
        </w:rPr>
      </w:pPr>
    </w:p>
    <w:p w14:paraId="58DE3566" w14:textId="77777777" w:rsidR="007A3529" w:rsidRDefault="007A3529" w:rsidP="00203F2A">
      <w:pPr>
        <w:pStyle w:val="NoSpacing"/>
        <w:jc w:val="both"/>
      </w:pPr>
    </w:p>
    <w:p w14:paraId="5FB3761A" w14:textId="77777777" w:rsidR="007A3529" w:rsidRDefault="007A3529" w:rsidP="00203F2A">
      <w:pPr>
        <w:jc w:val="both"/>
      </w:pPr>
      <w:r>
        <w:br w:type="page"/>
      </w:r>
    </w:p>
    <w:p w14:paraId="02C69A71" w14:textId="77777777" w:rsidR="007A3529" w:rsidRPr="007179BB" w:rsidRDefault="007A3529" w:rsidP="00203F2A">
      <w:pPr>
        <w:pStyle w:val="Heading1"/>
        <w:jc w:val="both"/>
        <w:rPr>
          <w:lang w:val="nl-NL"/>
        </w:rPr>
      </w:pPr>
      <w:bookmarkStart w:id="6" w:name="_Toc531613267"/>
      <w:bookmarkStart w:id="7" w:name="_Toc531965013"/>
      <w:r w:rsidRPr="007179BB">
        <w:rPr>
          <w:lang w:val="nl-NL"/>
        </w:rPr>
        <w:t>Nederlandstalige Samenvatting</w:t>
      </w:r>
      <w:bookmarkEnd w:id="6"/>
      <w:bookmarkEnd w:id="7"/>
    </w:p>
    <w:p w14:paraId="181F901C" w14:textId="77777777" w:rsidR="007A3529" w:rsidRPr="007179BB" w:rsidRDefault="007A3529" w:rsidP="00203F2A">
      <w:pPr>
        <w:pStyle w:val="NoSpacing"/>
        <w:jc w:val="both"/>
        <w:rPr>
          <w:lang w:val="nl-NL"/>
        </w:rPr>
      </w:pPr>
    </w:p>
    <w:p w14:paraId="0DE8385A" w14:textId="77777777" w:rsidR="007A3529" w:rsidRDefault="007A3529" w:rsidP="00203F2A">
      <w:pPr>
        <w:pStyle w:val="NoSpacing"/>
        <w:jc w:val="both"/>
        <w:rPr>
          <w:lang w:val="nl-NL"/>
        </w:rPr>
      </w:pPr>
      <w:r w:rsidRPr="00EE01C3">
        <w:rPr>
          <w:lang w:val="nl-NL"/>
        </w:rPr>
        <w:t>Het ontwikkelingsprogramma van de Wereldbank</w:t>
      </w:r>
      <w:r>
        <w:rPr>
          <w:lang w:val="nl-NL"/>
        </w:rPr>
        <w:t xml:space="preserve"> (World Bank Group: WBG)</w:t>
      </w:r>
      <w:r w:rsidRPr="00EE01C3">
        <w:rPr>
          <w:lang w:val="nl-NL"/>
        </w:rPr>
        <w:t xml:space="preserve"> in Suriname is w</w:t>
      </w:r>
      <w:r>
        <w:rPr>
          <w:lang w:val="nl-NL"/>
        </w:rPr>
        <w:t xml:space="preserve">ederzijds </w:t>
      </w:r>
      <w:r w:rsidRPr="00EE01C3">
        <w:rPr>
          <w:lang w:val="nl-NL"/>
        </w:rPr>
        <w:t xml:space="preserve">vastgelegd in </w:t>
      </w:r>
      <w:r>
        <w:rPr>
          <w:lang w:val="nl-NL"/>
        </w:rPr>
        <w:t>de Partnerschap Strategie (Country Partnership Strategy: CPS) zoals overeengekomen met de regering van Suriname in 2015. De strategie heeft als overkoepelend doel het stimuleren van duurzame, inclusieve en een gediversifieerde groei van private bedrijvigheid in Suriname. Het partnerschap heeft hierbij een nadrukkelijke focus op het versterken van milieu- en sociale standaarden en impact management.</w:t>
      </w:r>
    </w:p>
    <w:p w14:paraId="20C68553" w14:textId="77777777" w:rsidR="007A3529" w:rsidRDefault="007A3529" w:rsidP="00203F2A">
      <w:pPr>
        <w:pStyle w:val="NoSpacing"/>
        <w:jc w:val="both"/>
        <w:rPr>
          <w:lang w:val="nl-NL"/>
        </w:rPr>
      </w:pPr>
    </w:p>
    <w:p w14:paraId="7AF59691" w14:textId="43E48A91" w:rsidR="007A3529" w:rsidRPr="0011161D" w:rsidRDefault="007A3529" w:rsidP="00203F2A">
      <w:pPr>
        <w:pStyle w:val="NoSpacing"/>
        <w:jc w:val="both"/>
        <w:rPr>
          <w:lang w:val="nl-NL"/>
        </w:rPr>
      </w:pPr>
      <w:r w:rsidRPr="0011161D">
        <w:rPr>
          <w:lang w:val="nl-NL"/>
        </w:rPr>
        <w:t xml:space="preserve">In </w:t>
      </w:r>
      <w:r>
        <w:rPr>
          <w:lang w:val="nl-NL"/>
        </w:rPr>
        <w:t xml:space="preserve">haar voornemen tot een verdere benutting van het natuurlijk en cultureel kapitaal ten behoeve van economische ontwikkeling, streeft Suriname naar een verdere diversificatie van economische activiteit door het stimuleren van private investeringen. Dit voornemen is achtereenvolgens verwoord in het Nationaal Ontwikkelingsplan 2012-16 en 2017-21, en in het Stabilisatie en Herstelplan 2016-18. Al deze plannen onderkennen de noodzaak van economische diversificatie en het belang van private investeringen om dit te realiseren. Inmiddels heeft de regering van Suriname belangrijke stappen gezet om dit te stimuleren en te faciliteren, waaronder de instelling van de afdeling ‘stimulering concurrentievermogen’ binnen het ministerie van Handel, Industrie en Toerisme (Competitiveness Unit Suriname: CUS) en de recente </w:t>
      </w:r>
      <w:r w:rsidR="002A07FF" w:rsidRPr="002A07FF">
        <w:rPr>
          <w:lang w:val="nl-NL"/>
        </w:rPr>
        <w:t>operationalisering</w:t>
      </w:r>
      <w:r w:rsidR="002A07FF">
        <w:rPr>
          <w:lang w:val="nl-NL"/>
        </w:rPr>
        <w:t xml:space="preserve"> </w:t>
      </w:r>
      <w:r>
        <w:rPr>
          <w:lang w:val="nl-NL"/>
        </w:rPr>
        <w:t>van InvestSur, het nationaal agentschap ter promotie van private investeringen.</w:t>
      </w:r>
    </w:p>
    <w:p w14:paraId="3A9E3B93" w14:textId="77777777" w:rsidR="007A3529" w:rsidRDefault="007A3529" w:rsidP="00203F2A">
      <w:pPr>
        <w:pStyle w:val="NoSpacing"/>
        <w:jc w:val="both"/>
        <w:rPr>
          <w:lang w:val="nl-NL"/>
        </w:rPr>
      </w:pPr>
    </w:p>
    <w:p w14:paraId="63605CD4" w14:textId="14B611C0" w:rsidR="007A3529" w:rsidRDefault="00AA4C04" w:rsidP="00203F2A">
      <w:pPr>
        <w:pStyle w:val="NoSpacing"/>
        <w:jc w:val="both"/>
        <w:rPr>
          <w:lang w:val="nl-NL"/>
        </w:rPr>
      </w:pPr>
      <w:r w:rsidRPr="00AA4C04">
        <w:rPr>
          <w:lang w:val="nl-NL"/>
        </w:rPr>
        <w:t xml:space="preserve">Het Project </w:t>
      </w:r>
      <w:r w:rsidR="00190610">
        <w:rPr>
          <w:lang w:val="nl-NL"/>
        </w:rPr>
        <w:t xml:space="preserve">Suriname </w:t>
      </w:r>
      <w:r w:rsidRPr="00AA4C04">
        <w:rPr>
          <w:lang w:val="nl-NL"/>
        </w:rPr>
        <w:t xml:space="preserve">‘Concurrentievermogen en Sector-Diversificatie’ (Competitiveness and Sector Diversification: </w:t>
      </w:r>
      <w:r w:rsidR="00190610">
        <w:rPr>
          <w:lang w:val="nl-NL"/>
        </w:rPr>
        <w:t>S</w:t>
      </w:r>
      <w:r w:rsidRPr="00AA4C04">
        <w:rPr>
          <w:lang w:val="nl-NL"/>
        </w:rPr>
        <w:t xml:space="preserve">CSD) dat momenteel wordt voorbereid als onderdeel van de CPS heeft als doel een concrete bijdrage te leveren aan de Nationale Ontwikkelingsplannen van Suriname. </w:t>
      </w:r>
      <w:r w:rsidR="00542A51">
        <w:rPr>
          <w:lang w:val="nl-NL"/>
        </w:rPr>
        <w:t>D</w:t>
      </w:r>
      <w:r w:rsidR="00A23588" w:rsidRPr="00A23588">
        <w:rPr>
          <w:lang w:val="nl-NL"/>
        </w:rPr>
        <w:t xml:space="preserve">oel van </w:t>
      </w:r>
      <w:r w:rsidR="00542A51">
        <w:rPr>
          <w:lang w:val="nl-NL"/>
        </w:rPr>
        <w:t xml:space="preserve">dit Project </w:t>
      </w:r>
      <w:r w:rsidR="00A23588" w:rsidRPr="00A23588">
        <w:rPr>
          <w:lang w:val="nl-NL"/>
        </w:rPr>
        <w:t>is het verbeteren van de governance van de ondersteunende sector en het vergroten van het concurrentievermogen in specifieke industrieën in Suriname</w:t>
      </w:r>
      <w:r w:rsidR="00542A51">
        <w:rPr>
          <w:lang w:val="nl-NL"/>
        </w:rPr>
        <w:t xml:space="preserve">. </w:t>
      </w:r>
      <w:r w:rsidR="007A3529">
        <w:rPr>
          <w:lang w:val="nl-NL"/>
        </w:rPr>
        <w:t xml:space="preserve">Het </w:t>
      </w:r>
      <w:r w:rsidR="00011F37">
        <w:rPr>
          <w:lang w:val="nl-NL"/>
        </w:rPr>
        <w:t>P</w:t>
      </w:r>
      <w:r w:rsidR="007A3529">
        <w:rPr>
          <w:lang w:val="nl-NL"/>
        </w:rPr>
        <w:t xml:space="preserve">roject kent drie componenten waarvan </w:t>
      </w:r>
      <w:r w:rsidR="00011F37">
        <w:rPr>
          <w:lang w:val="nl-NL"/>
        </w:rPr>
        <w:t>P</w:t>
      </w:r>
      <w:r w:rsidR="007A3529">
        <w:rPr>
          <w:lang w:val="nl-NL"/>
        </w:rPr>
        <w:t xml:space="preserve">roject </w:t>
      </w:r>
      <w:r w:rsidR="00011F37">
        <w:rPr>
          <w:lang w:val="nl-NL"/>
        </w:rPr>
        <w:t>C</w:t>
      </w:r>
      <w:r w:rsidR="007A3529">
        <w:rPr>
          <w:lang w:val="nl-NL"/>
        </w:rPr>
        <w:t>omponent 2 (PC 2) de volgende activiteiten kent:</w:t>
      </w:r>
    </w:p>
    <w:p w14:paraId="02D61679" w14:textId="77777777" w:rsidR="007A3529" w:rsidRDefault="007A3529" w:rsidP="00203F2A">
      <w:pPr>
        <w:pStyle w:val="NoSpacing"/>
        <w:jc w:val="both"/>
        <w:rPr>
          <w:lang w:val="nl-NL"/>
        </w:rPr>
      </w:pPr>
    </w:p>
    <w:p w14:paraId="3AEDDEE1" w14:textId="3D688770" w:rsidR="007A3529" w:rsidRDefault="007A3529" w:rsidP="00654311">
      <w:pPr>
        <w:pStyle w:val="NoSpacing"/>
        <w:numPr>
          <w:ilvl w:val="0"/>
          <w:numId w:val="34"/>
        </w:numPr>
        <w:jc w:val="both"/>
        <w:rPr>
          <w:lang w:val="nl-NL"/>
        </w:rPr>
      </w:pPr>
      <w:r>
        <w:rPr>
          <w:lang w:val="nl-NL"/>
        </w:rPr>
        <w:t xml:space="preserve">Een </w:t>
      </w:r>
      <w:r w:rsidRPr="00011F37">
        <w:rPr>
          <w:u w:val="single"/>
          <w:lang w:val="nl-NL"/>
        </w:rPr>
        <w:t>fonds voor Midden- en Klein Bedrijf</w:t>
      </w:r>
      <w:r>
        <w:rPr>
          <w:lang w:val="nl-NL"/>
        </w:rPr>
        <w:t xml:space="preserve"> (Small and Medium size Enterprises: SMEs), ter financiering van bedrijfsontwikkeling en </w:t>
      </w:r>
      <w:r w:rsidR="00011F37">
        <w:rPr>
          <w:lang w:val="nl-NL"/>
        </w:rPr>
        <w:t>cofinanciering</w:t>
      </w:r>
      <w:r>
        <w:rPr>
          <w:lang w:val="nl-NL"/>
        </w:rPr>
        <w:t xml:space="preserve"> van fysieke investeringen in productiegoederen. </w:t>
      </w:r>
      <w:r w:rsidR="005642FC" w:rsidRPr="005642FC">
        <w:rPr>
          <w:lang w:val="nl-NL"/>
        </w:rPr>
        <w:t>Dit zal 160 individuele bedrijven ten goede komen, met gemiddeld 50.000 steun per bedrijf</w:t>
      </w:r>
      <w:r>
        <w:rPr>
          <w:lang w:val="nl-NL"/>
        </w:rPr>
        <w:t>.</w:t>
      </w:r>
      <w:r w:rsidR="00654311">
        <w:rPr>
          <w:lang w:val="nl-NL"/>
        </w:rPr>
        <w:t xml:space="preserve"> </w:t>
      </w:r>
      <w:r w:rsidR="00654311" w:rsidRPr="00654311">
        <w:rPr>
          <w:lang w:val="nl-NL"/>
        </w:rPr>
        <w:t>Dit fonds financiert ook vergelijkbare subsidies aan groepen bedrijven die werken in een waardeketen voor gedeelde activa om het concurrentievermogen van de waardeketen te vergroten</w:t>
      </w:r>
      <w:r w:rsidR="00654311">
        <w:rPr>
          <w:lang w:val="nl-NL"/>
        </w:rPr>
        <w:t xml:space="preserve">, </w:t>
      </w:r>
      <w:r w:rsidR="00654311" w:rsidRPr="00654311">
        <w:rPr>
          <w:lang w:val="nl-NL"/>
        </w:rPr>
        <w:t>met een gemiddelde van US $ 250.000 in co-investeringen voor groepsbegun</w:t>
      </w:r>
      <w:r w:rsidR="00654311">
        <w:rPr>
          <w:lang w:val="nl-NL"/>
        </w:rPr>
        <w:t xml:space="preserve">stigden, gericht op </w:t>
      </w:r>
      <w:r w:rsidR="00AD3CD7" w:rsidRPr="00AD3CD7">
        <w:rPr>
          <w:lang w:val="nl-NL"/>
        </w:rPr>
        <w:t>tien voor twaalf</w:t>
      </w:r>
      <w:r w:rsidR="00AD3CD7" w:rsidRPr="00AD3CD7" w:rsidDel="00AD3CD7">
        <w:rPr>
          <w:lang w:val="nl-NL"/>
        </w:rPr>
        <w:t xml:space="preserve"> </w:t>
      </w:r>
      <w:r w:rsidR="00654311">
        <w:rPr>
          <w:lang w:val="nl-NL"/>
        </w:rPr>
        <w:t>groepen</w:t>
      </w:r>
      <w:r w:rsidR="00654311" w:rsidRPr="00654311">
        <w:rPr>
          <w:lang w:val="nl-NL"/>
        </w:rPr>
        <w:t>.</w:t>
      </w:r>
    </w:p>
    <w:p w14:paraId="528C304F" w14:textId="6803671C" w:rsidR="007A3529" w:rsidRPr="0011161D" w:rsidRDefault="007A3529" w:rsidP="00654311">
      <w:pPr>
        <w:pStyle w:val="NoSpacing"/>
        <w:numPr>
          <w:ilvl w:val="0"/>
          <w:numId w:val="34"/>
        </w:numPr>
        <w:jc w:val="both"/>
        <w:rPr>
          <w:lang w:val="nl-NL"/>
        </w:rPr>
      </w:pPr>
      <w:r>
        <w:rPr>
          <w:lang w:val="nl-NL"/>
        </w:rPr>
        <w:t xml:space="preserve">Het financieren van overheidsinitiatief die bijdragen aan het verbeteren van het algehele </w:t>
      </w:r>
      <w:r w:rsidRPr="00011F37">
        <w:rPr>
          <w:u w:val="single"/>
          <w:lang w:val="nl-NL"/>
        </w:rPr>
        <w:t>investeringsklimaat</w:t>
      </w:r>
      <w:r>
        <w:rPr>
          <w:lang w:val="nl-NL"/>
        </w:rPr>
        <w:t xml:space="preserve"> en de hiervoor noodzakelijke </w:t>
      </w:r>
      <w:r w:rsidRPr="00011F37">
        <w:rPr>
          <w:u w:val="single"/>
          <w:lang w:val="nl-NL"/>
        </w:rPr>
        <w:t>institutionele hervormingen</w:t>
      </w:r>
      <w:r w:rsidR="00654311">
        <w:rPr>
          <w:lang w:val="nl-NL"/>
        </w:rPr>
        <w:t xml:space="preserve">, </w:t>
      </w:r>
      <w:r w:rsidR="00654311" w:rsidRPr="00654311">
        <w:rPr>
          <w:lang w:val="nl-NL"/>
        </w:rPr>
        <w:t>met name voor het toerisme en de agribusiness</w:t>
      </w:r>
      <w:r>
        <w:rPr>
          <w:lang w:val="nl-NL"/>
        </w:rPr>
        <w:t>.</w:t>
      </w:r>
    </w:p>
    <w:p w14:paraId="672626FB" w14:textId="77777777" w:rsidR="007A3529" w:rsidRPr="0011161D" w:rsidRDefault="007A3529" w:rsidP="00203F2A">
      <w:pPr>
        <w:pStyle w:val="NoSpacing"/>
        <w:jc w:val="both"/>
        <w:rPr>
          <w:lang w:val="nl-NL"/>
        </w:rPr>
      </w:pPr>
    </w:p>
    <w:p w14:paraId="3DB254AF" w14:textId="3BC0AAE4" w:rsidR="007A3529" w:rsidRDefault="007A3529" w:rsidP="00203F2A">
      <w:pPr>
        <w:pStyle w:val="NoSpacing"/>
        <w:jc w:val="both"/>
        <w:rPr>
          <w:lang w:val="nl-NL"/>
        </w:rPr>
      </w:pPr>
      <w:r>
        <w:rPr>
          <w:lang w:val="nl-NL"/>
        </w:rPr>
        <w:t xml:space="preserve">Het </w:t>
      </w:r>
      <w:r w:rsidR="00190610">
        <w:rPr>
          <w:lang w:val="nl-NL"/>
        </w:rPr>
        <w:t>SCSD</w:t>
      </w:r>
      <w:r>
        <w:rPr>
          <w:lang w:val="nl-NL"/>
        </w:rPr>
        <w:t xml:space="preserve"> </w:t>
      </w:r>
      <w:r w:rsidR="00011F37">
        <w:rPr>
          <w:lang w:val="nl-NL"/>
        </w:rPr>
        <w:t>P</w:t>
      </w:r>
      <w:r>
        <w:rPr>
          <w:lang w:val="nl-NL"/>
        </w:rPr>
        <w:t xml:space="preserve">roject is door de WBG geclassificeerd als een Categorie B </w:t>
      </w:r>
      <w:r w:rsidR="00011F37">
        <w:rPr>
          <w:lang w:val="nl-NL"/>
        </w:rPr>
        <w:t>P</w:t>
      </w:r>
      <w:r>
        <w:rPr>
          <w:lang w:val="nl-NL"/>
        </w:rPr>
        <w:t xml:space="preserve">roject, wat betekent dat de potentiele negatieve effecten of mens en milieu locatie-specifiek zijn en dat al tijdens de ontwerpfase van de verschillende activiteiten mitigerende maatregelen geïdentificeerd kunnen worden, en uitgevoerd worden tijdens de uitvoering en verdere duur van het project. Om dit te kunnen waarborgen, is de uitvoering van het project gehouden van de richtlijnen zoals verwoord in de WBG uitvoeringsrichtlijn 4.01 (WBG Operational Policy: OP 4.01): Milieu Effecten Beoordeling (Environmental Assessment Policy). Deze richtlijn verplicht tot het ontwikkelen en uitvoeren van een zogenaamd ‘Milieu en Sociaal Management Kader’ (Environmental and Social Management Framework: ESMF) dat gedurende de gehele uitvoeringstermijn van het </w:t>
      </w:r>
      <w:r w:rsidR="00190610">
        <w:rPr>
          <w:lang w:val="nl-NL"/>
        </w:rPr>
        <w:t>SCSD</w:t>
      </w:r>
      <w:r>
        <w:rPr>
          <w:lang w:val="nl-NL"/>
        </w:rPr>
        <w:t xml:space="preserve"> </w:t>
      </w:r>
      <w:r w:rsidR="00011F37">
        <w:rPr>
          <w:lang w:val="nl-NL"/>
        </w:rPr>
        <w:t>P</w:t>
      </w:r>
      <w:r>
        <w:rPr>
          <w:lang w:val="nl-NL"/>
        </w:rPr>
        <w:t>roject van kracht zal zijn. Doel van het ESMF is:</w:t>
      </w:r>
    </w:p>
    <w:p w14:paraId="7D678DD2" w14:textId="77777777" w:rsidR="007A3529" w:rsidRDefault="007A3529" w:rsidP="00203F2A">
      <w:pPr>
        <w:pStyle w:val="NoSpacing"/>
        <w:jc w:val="both"/>
        <w:rPr>
          <w:lang w:val="nl-NL"/>
        </w:rPr>
      </w:pPr>
    </w:p>
    <w:p w14:paraId="08B89FBD" w14:textId="711457F9" w:rsidR="007A3529" w:rsidRDefault="007A3529" w:rsidP="00203F2A">
      <w:pPr>
        <w:pStyle w:val="NoSpacing"/>
        <w:numPr>
          <w:ilvl w:val="0"/>
          <w:numId w:val="35"/>
        </w:numPr>
        <w:jc w:val="both"/>
        <w:rPr>
          <w:lang w:val="nl-NL"/>
        </w:rPr>
      </w:pPr>
      <w:r>
        <w:rPr>
          <w:lang w:val="nl-NL"/>
        </w:rPr>
        <w:t xml:space="preserve">Het overwegen van potentiele milieu effecten en sociale impact in haalbaarheidsstudies van geplande </w:t>
      </w:r>
      <w:r w:rsidR="00011F37">
        <w:rPr>
          <w:lang w:val="nl-NL"/>
        </w:rPr>
        <w:t>P</w:t>
      </w:r>
      <w:r>
        <w:rPr>
          <w:lang w:val="nl-NL"/>
        </w:rPr>
        <w:t>roject activiteiten en deze integreren in de voorbereiding en planningsfase van deze activiteiten;</w:t>
      </w:r>
    </w:p>
    <w:p w14:paraId="2DD4BF3F" w14:textId="77777777" w:rsidR="007A3529" w:rsidRDefault="007A3529" w:rsidP="00203F2A">
      <w:pPr>
        <w:pStyle w:val="NoSpacing"/>
        <w:numPr>
          <w:ilvl w:val="0"/>
          <w:numId w:val="35"/>
        </w:numPr>
        <w:jc w:val="both"/>
        <w:rPr>
          <w:lang w:val="nl-NL"/>
        </w:rPr>
      </w:pPr>
      <w:r>
        <w:rPr>
          <w:lang w:val="nl-NL"/>
        </w:rPr>
        <w:t>Het stimuleren en bevorderen van volledige transparantie van activiteiten middels het betrekken van belanghebbenden, consultaties en openbaarheid van plannen en initiatieven;</w:t>
      </w:r>
    </w:p>
    <w:p w14:paraId="55B9A675" w14:textId="273403E8" w:rsidR="007A3529" w:rsidRDefault="007A3529" w:rsidP="00203F2A">
      <w:pPr>
        <w:pStyle w:val="NoSpacing"/>
        <w:numPr>
          <w:ilvl w:val="0"/>
          <w:numId w:val="35"/>
        </w:numPr>
        <w:jc w:val="both"/>
        <w:rPr>
          <w:lang w:val="nl-NL"/>
        </w:rPr>
      </w:pPr>
      <w:r>
        <w:rPr>
          <w:lang w:val="nl-NL"/>
        </w:rPr>
        <w:t xml:space="preserve">In relatie tot de omvang en aard van geplande </w:t>
      </w:r>
      <w:r w:rsidR="00011F37">
        <w:rPr>
          <w:lang w:val="nl-NL"/>
        </w:rPr>
        <w:t>P</w:t>
      </w:r>
      <w:r>
        <w:rPr>
          <w:lang w:val="nl-NL"/>
        </w:rPr>
        <w:t>roject</w:t>
      </w:r>
      <w:r w:rsidR="00011F37">
        <w:rPr>
          <w:lang w:val="nl-NL"/>
        </w:rPr>
        <w:t xml:space="preserve"> </w:t>
      </w:r>
      <w:r>
        <w:rPr>
          <w:lang w:val="nl-NL"/>
        </w:rPr>
        <w:t>activiteiten, het (laten) uitvoeren van milieu en sociale effecten studies en analyses;</w:t>
      </w:r>
    </w:p>
    <w:p w14:paraId="4E33B6C9" w14:textId="764CCA09" w:rsidR="007A3529" w:rsidRDefault="007A3529" w:rsidP="00203F2A">
      <w:pPr>
        <w:pStyle w:val="NoSpacing"/>
        <w:numPr>
          <w:ilvl w:val="0"/>
          <w:numId w:val="35"/>
        </w:numPr>
        <w:jc w:val="both"/>
        <w:rPr>
          <w:lang w:val="nl-NL"/>
        </w:rPr>
      </w:pPr>
      <w:r>
        <w:rPr>
          <w:lang w:val="nl-NL"/>
        </w:rPr>
        <w:t xml:space="preserve">Gebaseerd op de resultaten van dergelijke impact studies, het overwegen van technische alternatieven voor de uitvoering van geplande </w:t>
      </w:r>
      <w:r w:rsidR="00011F37">
        <w:rPr>
          <w:lang w:val="nl-NL"/>
        </w:rPr>
        <w:t>P</w:t>
      </w:r>
      <w:r>
        <w:rPr>
          <w:lang w:val="nl-NL"/>
        </w:rPr>
        <w:t>roject activiteiten;</w:t>
      </w:r>
    </w:p>
    <w:p w14:paraId="30F82685" w14:textId="77777777" w:rsidR="007A3529" w:rsidRDefault="007A3529" w:rsidP="00203F2A">
      <w:pPr>
        <w:pStyle w:val="NoSpacing"/>
        <w:numPr>
          <w:ilvl w:val="0"/>
          <w:numId w:val="35"/>
        </w:numPr>
        <w:jc w:val="both"/>
        <w:rPr>
          <w:lang w:val="nl-NL"/>
        </w:rPr>
      </w:pPr>
      <w:r>
        <w:rPr>
          <w:lang w:val="nl-NL"/>
        </w:rPr>
        <w:t>Het vergroten van kennis en kunde van betrokkenen - zowel privaat en publiek - bij de uitvoering van milieu- en sociale effecten studies en rapportages.</w:t>
      </w:r>
    </w:p>
    <w:p w14:paraId="3AEA8C91" w14:textId="77777777" w:rsidR="007A3529" w:rsidRPr="007179BB" w:rsidRDefault="007A3529" w:rsidP="00203F2A">
      <w:pPr>
        <w:pStyle w:val="NoSpacing"/>
        <w:jc w:val="both"/>
        <w:rPr>
          <w:lang w:val="nl-NL"/>
        </w:rPr>
      </w:pPr>
    </w:p>
    <w:p w14:paraId="531F5EC2" w14:textId="4300521A" w:rsidR="007A3529" w:rsidRDefault="007A3529" w:rsidP="00203F2A">
      <w:pPr>
        <w:pStyle w:val="NoSpacing"/>
        <w:jc w:val="both"/>
        <w:rPr>
          <w:lang w:val="nl-NL"/>
        </w:rPr>
      </w:pPr>
      <w:r>
        <w:rPr>
          <w:lang w:val="nl-NL"/>
        </w:rPr>
        <w:t xml:space="preserve">Behalve het bovengenoemde ESMF zijn in de context van het </w:t>
      </w:r>
      <w:r w:rsidR="00190610">
        <w:rPr>
          <w:lang w:val="nl-NL"/>
        </w:rPr>
        <w:t>SCSD</w:t>
      </w:r>
      <w:r>
        <w:rPr>
          <w:lang w:val="nl-NL"/>
        </w:rPr>
        <w:t xml:space="preserve"> </w:t>
      </w:r>
      <w:r w:rsidR="00011F37">
        <w:rPr>
          <w:lang w:val="nl-NL"/>
        </w:rPr>
        <w:t>P</w:t>
      </w:r>
      <w:r>
        <w:rPr>
          <w:lang w:val="nl-NL"/>
        </w:rPr>
        <w:t>roject ook nog de volgende uitvoeringsrichtlijnen (Project Safeguard Documents) ontwikkeld: i) hervestiging / transmigratie richtlijn (Resettlement Policy Framework: RPF) en het ii) tribale volken planning kader (Indigenous and Tribal Peoples Planning Framework: ITPPF)</w:t>
      </w:r>
      <w:r w:rsidR="00011F37">
        <w:rPr>
          <w:lang w:val="nl-NL"/>
        </w:rPr>
        <w:t>, waaronder ook het procedure voor behandeling van klachten en bezwaar is ontwikkeld (Grievance Redress Mechanism: GRM)</w:t>
      </w:r>
      <w:r>
        <w:rPr>
          <w:lang w:val="nl-NL"/>
        </w:rPr>
        <w:t xml:space="preserve">. Al deze beleidskaders zijn van kracht gedurende de gehele uitvoeringstermijn van het </w:t>
      </w:r>
      <w:r w:rsidR="00190610">
        <w:rPr>
          <w:lang w:val="nl-NL"/>
        </w:rPr>
        <w:t>SCSD</w:t>
      </w:r>
      <w:r>
        <w:rPr>
          <w:lang w:val="nl-NL"/>
        </w:rPr>
        <w:t xml:space="preserve"> </w:t>
      </w:r>
      <w:r w:rsidR="00011F37">
        <w:rPr>
          <w:lang w:val="nl-NL"/>
        </w:rPr>
        <w:t>P</w:t>
      </w:r>
      <w:r>
        <w:rPr>
          <w:lang w:val="nl-NL"/>
        </w:rPr>
        <w:t xml:space="preserve">roject en de beoordeling en selectie van </w:t>
      </w:r>
      <w:r w:rsidR="00011F37">
        <w:rPr>
          <w:lang w:val="nl-NL"/>
        </w:rPr>
        <w:t>P</w:t>
      </w:r>
      <w:r>
        <w:rPr>
          <w:lang w:val="nl-NL"/>
        </w:rPr>
        <w:t>roject</w:t>
      </w:r>
      <w:r w:rsidR="00011F37">
        <w:rPr>
          <w:lang w:val="nl-NL"/>
        </w:rPr>
        <w:t xml:space="preserve"> </w:t>
      </w:r>
      <w:r>
        <w:rPr>
          <w:lang w:val="nl-NL"/>
        </w:rPr>
        <w:t>activiteiten zal mede gebaseerd worden op de mate van ‘naleving’ van deze richtlijnen.</w:t>
      </w:r>
    </w:p>
    <w:p w14:paraId="75830846" w14:textId="77777777" w:rsidR="007A3529" w:rsidRDefault="007A3529" w:rsidP="00203F2A">
      <w:pPr>
        <w:pStyle w:val="NoSpacing"/>
        <w:jc w:val="both"/>
        <w:rPr>
          <w:lang w:val="nl-NL"/>
        </w:rPr>
      </w:pPr>
    </w:p>
    <w:p w14:paraId="3EE1506D" w14:textId="1E134AD2" w:rsidR="007A3529" w:rsidRDefault="007A3529" w:rsidP="00203F2A">
      <w:pPr>
        <w:pStyle w:val="NoSpacing"/>
        <w:jc w:val="both"/>
        <w:rPr>
          <w:lang w:val="nl-NL"/>
        </w:rPr>
      </w:pPr>
      <w:r>
        <w:rPr>
          <w:lang w:val="nl-NL"/>
        </w:rPr>
        <w:t xml:space="preserve">In de hoofdstukken 3, 4 en 5 van dit document wordt achtereenvolgens een uitvoerige beschrijving gegeven van </w:t>
      </w:r>
      <w:r w:rsidR="00FF46F9">
        <w:rPr>
          <w:lang w:val="nl-NL"/>
        </w:rPr>
        <w:t xml:space="preserve">(i) </w:t>
      </w:r>
      <w:r>
        <w:rPr>
          <w:lang w:val="nl-NL"/>
        </w:rPr>
        <w:t>de Surinaamse wet- en regelgeving en het institutioneel kader</w:t>
      </w:r>
      <w:r w:rsidR="00FF46F9">
        <w:rPr>
          <w:lang w:val="nl-NL"/>
        </w:rPr>
        <w:t xml:space="preserve">; (ii) </w:t>
      </w:r>
      <w:r>
        <w:rPr>
          <w:lang w:val="nl-NL"/>
        </w:rPr>
        <w:t>een beschrijving van land, natuur en culture rijkdommen en diversiteit en</w:t>
      </w:r>
      <w:r w:rsidR="00FF46F9">
        <w:rPr>
          <w:lang w:val="nl-NL"/>
        </w:rPr>
        <w:t>; (iii)</w:t>
      </w:r>
      <w:r>
        <w:rPr>
          <w:lang w:val="nl-NL"/>
        </w:rPr>
        <w:t xml:space="preserve"> het landgebruik en de vormen van landeigendom.</w:t>
      </w:r>
    </w:p>
    <w:p w14:paraId="64D74E1F" w14:textId="77777777" w:rsidR="007A3529" w:rsidRDefault="007A3529" w:rsidP="00203F2A">
      <w:pPr>
        <w:pStyle w:val="NoSpacing"/>
        <w:jc w:val="both"/>
        <w:rPr>
          <w:lang w:val="nl-NL"/>
        </w:rPr>
      </w:pPr>
    </w:p>
    <w:p w14:paraId="32DCE403" w14:textId="72EFA013" w:rsidR="007A3529" w:rsidRDefault="007A3529" w:rsidP="00203F2A">
      <w:pPr>
        <w:pStyle w:val="NoSpacing"/>
        <w:jc w:val="both"/>
        <w:rPr>
          <w:lang w:val="nl-NL"/>
        </w:rPr>
      </w:pPr>
      <w:r>
        <w:rPr>
          <w:lang w:val="nl-NL"/>
        </w:rPr>
        <w:t xml:space="preserve">Hoewel op dit moment van </w:t>
      </w:r>
      <w:r w:rsidR="00190610">
        <w:rPr>
          <w:lang w:val="nl-NL"/>
        </w:rPr>
        <w:t>SCSD</w:t>
      </w:r>
      <w:r>
        <w:rPr>
          <w:lang w:val="nl-NL"/>
        </w:rPr>
        <w:t xml:space="preserve"> </w:t>
      </w:r>
      <w:r w:rsidR="00FF46F9">
        <w:rPr>
          <w:lang w:val="nl-NL"/>
        </w:rPr>
        <w:t>P</w:t>
      </w:r>
      <w:r>
        <w:rPr>
          <w:lang w:val="nl-NL"/>
        </w:rPr>
        <w:t xml:space="preserve">roject voorbereiding zowel de aard van activiteiten en de locaties hiervan hier niet bekend </w:t>
      </w:r>
      <w:r w:rsidR="00FF46F9">
        <w:rPr>
          <w:lang w:val="nl-NL"/>
        </w:rPr>
        <w:t>zijn</w:t>
      </w:r>
      <w:r>
        <w:rPr>
          <w:lang w:val="nl-NL"/>
        </w:rPr>
        <w:t>, is het ESMF en de hiervoor ontwikkelde ‘tools en checklists’ van toepassing op alle potentiele activiteiten. Dit betreft niet alleen de directe activiteiten die (mede) gefinancierd worden vanuit het Infrastructuurfonds (de overheid) en het SME fonds, maar ook alle activiteiten die in dit kader worden uitgevoerd door (onder-) aannemers en overige dienstverleners. Hoofdstuk 6 van het ESMF document biedt een overzicht van potentiele risico’s en (</w:t>
      </w:r>
      <w:r w:rsidR="00FF46F9">
        <w:rPr>
          <w:lang w:val="nl-NL"/>
        </w:rPr>
        <w:t xml:space="preserve">de </w:t>
      </w:r>
      <w:r>
        <w:rPr>
          <w:lang w:val="nl-NL"/>
        </w:rPr>
        <w:t xml:space="preserve">mate van) impacts van deze activiteiten en geeft concrete voorbeelden hiervan. Bijlage 1 beschrijft het ‘screening tool’ en een checklist voor de beoordeling van potentiele </w:t>
      </w:r>
      <w:r w:rsidR="00FF46F9">
        <w:rPr>
          <w:lang w:val="nl-NL"/>
        </w:rPr>
        <w:t>P</w:t>
      </w:r>
      <w:r>
        <w:rPr>
          <w:lang w:val="nl-NL"/>
        </w:rPr>
        <w:t>roject</w:t>
      </w:r>
      <w:r w:rsidR="00FF46F9">
        <w:rPr>
          <w:lang w:val="nl-NL"/>
        </w:rPr>
        <w:t xml:space="preserve"> </w:t>
      </w:r>
      <w:r>
        <w:rPr>
          <w:lang w:val="nl-NL"/>
        </w:rPr>
        <w:t>voorstellen. In alle gevallen waarbij de potentiele impact als gemiddeld of hoger wordt gekwalificeerd, moeten mitigerende maatregelen worden geïdentificeerd.</w:t>
      </w:r>
    </w:p>
    <w:p w14:paraId="5F241E61" w14:textId="77777777" w:rsidR="007A3529" w:rsidRDefault="007A3529" w:rsidP="00203F2A">
      <w:pPr>
        <w:pStyle w:val="NoSpacing"/>
        <w:jc w:val="both"/>
        <w:rPr>
          <w:lang w:val="nl-NL"/>
        </w:rPr>
      </w:pPr>
    </w:p>
    <w:p w14:paraId="07AE6089" w14:textId="1AC1BBF5" w:rsidR="007A3529" w:rsidRDefault="007A3529" w:rsidP="00203F2A">
      <w:pPr>
        <w:pStyle w:val="NoSpacing"/>
        <w:jc w:val="both"/>
        <w:rPr>
          <w:lang w:val="nl-NL"/>
        </w:rPr>
      </w:pPr>
      <w:r>
        <w:rPr>
          <w:lang w:val="nl-NL"/>
        </w:rPr>
        <w:t>Alle voorgestelde mitigerende maatregelen en het hiervan verwachte effect in het elimineren of reduceren van negatieve effecten op mens en milieu moeten worden beschreven in het zogenaamde Milieu en Sociaal Management Plan (Environmental and Social Management Plan: ESMP). De te volgen stappen om te komen tot een ESMP zijn beschreven in hoofdstuk 7 van dit document. Alle hierin voorgestelde mitigerende maatregelen moeten realistisch, uitvoerbaar en kosten-efficiënt zijn en resulteren in een aanvaardbaar impact niveau. Waar dit niet mogelijk of onvoldoende is, moeten compenserende maatregelen worden getroffen.</w:t>
      </w:r>
    </w:p>
    <w:p w14:paraId="47BA0D75" w14:textId="77777777" w:rsidR="007A3529" w:rsidRDefault="007A3529" w:rsidP="00203F2A">
      <w:pPr>
        <w:pStyle w:val="NoSpacing"/>
        <w:jc w:val="both"/>
        <w:rPr>
          <w:lang w:val="nl-NL"/>
        </w:rPr>
      </w:pPr>
      <w:r>
        <w:rPr>
          <w:lang w:val="nl-NL"/>
        </w:rPr>
        <w:t>Samengevat beschrijft het ESMP:</w:t>
      </w:r>
    </w:p>
    <w:p w14:paraId="47A3295B" w14:textId="77777777" w:rsidR="007A3529" w:rsidRDefault="007A3529" w:rsidP="00203F2A">
      <w:pPr>
        <w:pStyle w:val="NoSpacing"/>
        <w:jc w:val="both"/>
        <w:rPr>
          <w:lang w:val="nl-NL"/>
        </w:rPr>
      </w:pPr>
    </w:p>
    <w:p w14:paraId="59765875" w14:textId="1104476B" w:rsidR="007A3529" w:rsidRDefault="007A3529" w:rsidP="00203F2A">
      <w:pPr>
        <w:pStyle w:val="NoSpacing"/>
        <w:numPr>
          <w:ilvl w:val="0"/>
          <w:numId w:val="36"/>
        </w:numPr>
        <w:jc w:val="both"/>
        <w:rPr>
          <w:lang w:val="nl-NL"/>
        </w:rPr>
      </w:pPr>
      <w:r>
        <w:rPr>
          <w:lang w:val="nl-NL"/>
        </w:rPr>
        <w:t xml:space="preserve">Een </w:t>
      </w:r>
      <w:r w:rsidR="00FF46F9">
        <w:rPr>
          <w:lang w:val="nl-NL"/>
        </w:rPr>
        <w:t>uiteenzetting</w:t>
      </w:r>
      <w:r>
        <w:rPr>
          <w:lang w:val="nl-NL"/>
        </w:rPr>
        <w:t xml:space="preserve"> van alle geïdentificeerde negatieve effecten op mens en milieu, inclusief de potentiele impact</w:t>
      </w:r>
      <w:r w:rsidR="00FF46F9">
        <w:rPr>
          <w:lang w:val="nl-NL"/>
        </w:rPr>
        <w:t>s</w:t>
      </w:r>
      <w:r>
        <w:rPr>
          <w:lang w:val="nl-NL"/>
        </w:rPr>
        <w:t xml:space="preserve"> op tribale gemeenschappen en onvrijwillige hervestiging/migratie;</w:t>
      </w:r>
    </w:p>
    <w:p w14:paraId="2C2C5686" w14:textId="6C347F2D" w:rsidR="007A3529" w:rsidRDefault="007A3529" w:rsidP="00203F2A">
      <w:pPr>
        <w:pStyle w:val="NoSpacing"/>
        <w:numPr>
          <w:ilvl w:val="0"/>
          <w:numId w:val="36"/>
        </w:numPr>
        <w:jc w:val="both"/>
        <w:rPr>
          <w:lang w:val="nl-NL"/>
        </w:rPr>
      </w:pPr>
      <w:r>
        <w:rPr>
          <w:lang w:val="nl-NL"/>
        </w:rPr>
        <w:t>Een opsomming van alle voorgestelde mitigerende maatregelen in relatie tot de specifieke impact</w:t>
      </w:r>
      <w:r w:rsidR="00FF46F9">
        <w:rPr>
          <w:lang w:val="nl-NL"/>
        </w:rPr>
        <w:t>s</w:t>
      </w:r>
      <w:r>
        <w:rPr>
          <w:lang w:val="nl-NL"/>
        </w:rPr>
        <w:t>, en de wijze en het moment van uitvoering ervan;</w:t>
      </w:r>
    </w:p>
    <w:p w14:paraId="3C001A3D" w14:textId="77777777" w:rsidR="007A3529" w:rsidRDefault="007A3529" w:rsidP="00203F2A">
      <w:pPr>
        <w:pStyle w:val="NoSpacing"/>
        <w:numPr>
          <w:ilvl w:val="0"/>
          <w:numId w:val="36"/>
        </w:numPr>
        <w:jc w:val="both"/>
        <w:rPr>
          <w:lang w:val="nl-NL"/>
        </w:rPr>
      </w:pPr>
      <w:r>
        <w:rPr>
          <w:lang w:val="nl-NL"/>
        </w:rPr>
        <w:t>Een indicatie van het te verwachten positieve effect van deze mitigerende maatregelen;</w:t>
      </w:r>
    </w:p>
    <w:p w14:paraId="6AFB5B8B" w14:textId="5E8E30B9" w:rsidR="007A3529" w:rsidRDefault="007A3529" w:rsidP="00203F2A">
      <w:pPr>
        <w:pStyle w:val="NoSpacing"/>
        <w:numPr>
          <w:ilvl w:val="0"/>
          <w:numId w:val="36"/>
        </w:numPr>
        <w:jc w:val="both"/>
        <w:rPr>
          <w:lang w:val="nl-NL"/>
        </w:rPr>
      </w:pPr>
      <w:r>
        <w:rPr>
          <w:lang w:val="nl-NL"/>
        </w:rPr>
        <w:t>Een beschrijving van de relatie(s) met overige ‘safeguard policies’ zoals het RPF en het ITPPF</w:t>
      </w:r>
      <w:r w:rsidR="00FF46F9">
        <w:rPr>
          <w:lang w:val="nl-NL"/>
        </w:rPr>
        <w:t xml:space="preserve"> </w:t>
      </w:r>
      <w:r>
        <w:rPr>
          <w:lang w:val="nl-NL"/>
        </w:rPr>
        <w:t>(indien van toepassing).</w:t>
      </w:r>
    </w:p>
    <w:p w14:paraId="47F3C4FA" w14:textId="77777777" w:rsidR="007A3529" w:rsidRDefault="007A3529" w:rsidP="00203F2A">
      <w:pPr>
        <w:pStyle w:val="NoSpacing"/>
        <w:jc w:val="both"/>
        <w:rPr>
          <w:lang w:val="nl-NL"/>
        </w:rPr>
      </w:pPr>
    </w:p>
    <w:p w14:paraId="552EBB21" w14:textId="1C1099AE" w:rsidR="00FF46F9" w:rsidRPr="00FF46F9" w:rsidRDefault="00FF46F9" w:rsidP="00203F2A">
      <w:pPr>
        <w:pStyle w:val="NoSpacing"/>
        <w:jc w:val="both"/>
        <w:rPr>
          <w:lang w:val="nl-NL"/>
        </w:rPr>
      </w:pPr>
      <w:r w:rsidRPr="00FF46F9">
        <w:rPr>
          <w:lang w:val="nl-NL"/>
        </w:rPr>
        <w:t xml:space="preserve">Aanvullend </w:t>
      </w:r>
      <w:r w:rsidR="00374D9B">
        <w:rPr>
          <w:lang w:val="nl-NL"/>
        </w:rPr>
        <w:t xml:space="preserve">wordt in het </w:t>
      </w:r>
      <w:r w:rsidRPr="00FF46F9">
        <w:rPr>
          <w:lang w:val="nl-NL"/>
        </w:rPr>
        <w:t>E</w:t>
      </w:r>
      <w:r>
        <w:rPr>
          <w:lang w:val="nl-NL"/>
        </w:rPr>
        <w:t xml:space="preserve">SMP </w:t>
      </w:r>
      <w:r w:rsidR="00374D9B">
        <w:rPr>
          <w:lang w:val="nl-NL"/>
        </w:rPr>
        <w:t xml:space="preserve">duidelijk vastgelegd </w:t>
      </w:r>
      <w:r>
        <w:rPr>
          <w:lang w:val="nl-NL"/>
        </w:rPr>
        <w:t xml:space="preserve">wie verantwoordelijk zijn voor het vaststellen en uitvoeren van alle in het plan genoemde mitigerende maatregelen, inclusief de monitoring en rapportage </w:t>
      </w:r>
      <w:r w:rsidR="00374D9B">
        <w:rPr>
          <w:lang w:val="nl-NL"/>
        </w:rPr>
        <w:t>betreffende het effect van deze voorgestelde maatregelen (en voorgestelde corrigerende maatregelen).</w:t>
      </w:r>
      <w:r>
        <w:rPr>
          <w:lang w:val="nl-NL"/>
        </w:rPr>
        <w:t xml:space="preserve"> </w:t>
      </w:r>
    </w:p>
    <w:p w14:paraId="7D231610" w14:textId="77777777" w:rsidR="00FF46F9" w:rsidRPr="00FF46F9" w:rsidRDefault="00FF46F9" w:rsidP="00203F2A">
      <w:pPr>
        <w:pStyle w:val="NoSpacing"/>
        <w:jc w:val="both"/>
        <w:rPr>
          <w:lang w:val="nl-NL"/>
        </w:rPr>
      </w:pPr>
    </w:p>
    <w:p w14:paraId="6DD890CC" w14:textId="407CAA0F" w:rsidR="007A3529" w:rsidRDefault="007A3529" w:rsidP="00203F2A">
      <w:pPr>
        <w:pStyle w:val="NoSpacing"/>
        <w:jc w:val="both"/>
        <w:rPr>
          <w:lang w:val="nl-NL"/>
        </w:rPr>
      </w:pPr>
      <w:r>
        <w:rPr>
          <w:lang w:val="nl-NL"/>
        </w:rPr>
        <w:t>Alle mitigerende maatregelen zijn gebaseerd dop de WBG ‘Mitigation Hierarchy’ welke bepalend is voor de prioritering van maatregelen: vermijden, verminderen, mitigeren en compenseren. Daarnaast zijn een aantal internationaal erkende ‘best practice’ richtlijnen beschreven in relatie duurzame oogst van niet-hout bosproducten, duurzame visserij en verantwoord natuurtoerisme.</w:t>
      </w:r>
    </w:p>
    <w:p w14:paraId="2837C41E" w14:textId="77777777" w:rsidR="007A3529" w:rsidRDefault="007A3529" w:rsidP="00203F2A">
      <w:pPr>
        <w:pStyle w:val="NoSpacing"/>
        <w:jc w:val="both"/>
        <w:rPr>
          <w:lang w:val="nl-NL"/>
        </w:rPr>
      </w:pPr>
    </w:p>
    <w:p w14:paraId="7E6B7CD9" w14:textId="05EC713A" w:rsidR="007A3529" w:rsidRDefault="007A3529" w:rsidP="00203F2A">
      <w:pPr>
        <w:pStyle w:val="NoSpacing"/>
        <w:jc w:val="both"/>
        <w:rPr>
          <w:lang w:val="nl-NL"/>
        </w:rPr>
      </w:pPr>
      <w:r>
        <w:rPr>
          <w:lang w:val="nl-NL"/>
        </w:rPr>
        <w:t xml:space="preserve">Voor een beter begrip van het ESMF en het ESMP en in aanvulling op de eerder genoemde lijst van voorbeelden van potentiele risico’s en de (mate van) effecten hiervan op mens en natuur, wordt hoofdstuk 7 afgesloten met dezelfde lijst, nu aangevuld met voorbeelden van </w:t>
      </w:r>
      <w:r w:rsidR="00374D9B">
        <w:rPr>
          <w:lang w:val="nl-NL"/>
        </w:rPr>
        <w:t xml:space="preserve">mogelijke </w:t>
      </w:r>
      <w:r>
        <w:rPr>
          <w:lang w:val="nl-NL"/>
        </w:rPr>
        <w:t xml:space="preserve">mitigerende maatregelen. Met betrekking tot </w:t>
      </w:r>
      <w:r w:rsidR="00374D9B">
        <w:rPr>
          <w:lang w:val="nl-NL"/>
        </w:rPr>
        <w:t xml:space="preserve">potentiele activiteiten </w:t>
      </w:r>
      <w:r>
        <w:rPr>
          <w:lang w:val="nl-NL"/>
        </w:rPr>
        <w:t>in de agrarische sectoren zal hierbij ook de introductie van alternatieve bestrijding van ziekten en plagen (Integrated Pest Management: IPM) overwogen moeten worden, gericht op het minimaliseren van het gebruik van landbouw-chemicaliën. Het concept van IPM wordt nader beschreven in hoofdstuk 8 van dit ESMF document.</w:t>
      </w:r>
    </w:p>
    <w:p w14:paraId="7CA19BBF" w14:textId="77777777" w:rsidR="007A3529" w:rsidRDefault="007A3529" w:rsidP="00203F2A">
      <w:pPr>
        <w:pStyle w:val="NoSpacing"/>
        <w:jc w:val="both"/>
        <w:rPr>
          <w:lang w:val="nl-NL"/>
        </w:rPr>
      </w:pPr>
    </w:p>
    <w:p w14:paraId="5EE0E599" w14:textId="66E084DA" w:rsidR="007A3529" w:rsidRDefault="007A3529" w:rsidP="00203F2A">
      <w:pPr>
        <w:pStyle w:val="NoSpacing"/>
        <w:jc w:val="both"/>
        <w:rPr>
          <w:lang w:val="nl-NL"/>
        </w:rPr>
      </w:pPr>
      <w:r>
        <w:rPr>
          <w:lang w:val="nl-NL"/>
        </w:rPr>
        <w:t>Hoofdstuk 9 is geheel gewijd aan de capaciteitsbehoefte voor een adequate uitvoering van het ESMF. Vertegenwoordigers van de ministeries van Handel, Industrie en Toerisme (MHIT)</w:t>
      </w:r>
      <w:r w:rsidR="008619AD">
        <w:rPr>
          <w:lang w:val="nl-NL"/>
        </w:rPr>
        <w:t xml:space="preserve">, </w:t>
      </w:r>
      <w:r>
        <w:rPr>
          <w:lang w:val="nl-NL"/>
        </w:rPr>
        <w:t>van Natuurlijke Hulpbronnen (MNH) en de binnen deze beide ministeries onder te brengen Project Bureaus (Project Implementation Units: PIUs) beseffen dat er een goed functionerende structuur opgezet moet worden waarin de juiste kennis en ervaring samengebracht wordt voor het adequaat uitvoeren van het ESMF. Deze kennis zal in beginsel van buiten moeten worden ingehuurd, dit betreft zowel een sociaal</w:t>
      </w:r>
      <w:r w:rsidR="008619AD">
        <w:rPr>
          <w:lang w:val="nl-NL"/>
        </w:rPr>
        <w:t>-</w:t>
      </w:r>
      <w:r>
        <w:rPr>
          <w:lang w:val="nl-NL"/>
        </w:rPr>
        <w:t xml:space="preserve"> als een milieudeskundige. Daarnaast overwegen de PIUs om één of meerdere junior experts te contracteren, deze zullen de project</w:t>
      </w:r>
      <w:r w:rsidR="008619AD">
        <w:rPr>
          <w:lang w:val="nl-NL"/>
        </w:rPr>
        <w:t>aanvragers</w:t>
      </w:r>
      <w:r>
        <w:rPr>
          <w:lang w:val="nl-NL"/>
        </w:rPr>
        <w:t xml:space="preserve"> assisteren bij het opstellen en indienen van het projectvoorstel. Daarnaast zal - naar behoefte - een </w:t>
      </w:r>
      <w:r w:rsidR="008619AD">
        <w:rPr>
          <w:lang w:val="nl-NL"/>
        </w:rPr>
        <w:t xml:space="preserve">communicatie / </w:t>
      </w:r>
      <w:r>
        <w:rPr>
          <w:lang w:val="nl-NL"/>
        </w:rPr>
        <w:t>consultatie expert worden gecontracteerd. De noodzakelijke kwalificaties van deze deskundigen is beschreven in hoofdstuk 9.</w:t>
      </w:r>
    </w:p>
    <w:p w14:paraId="74D4F81E" w14:textId="53399BFC" w:rsidR="007A3529" w:rsidRDefault="007A3529" w:rsidP="00203F2A">
      <w:pPr>
        <w:pStyle w:val="NoSpacing"/>
        <w:jc w:val="both"/>
        <w:rPr>
          <w:lang w:val="nl-NL"/>
        </w:rPr>
      </w:pPr>
      <w:r>
        <w:rPr>
          <w:lang w:val="nl-NL"/>
        </w:rPr>
        <w:t>Alle betrokkenen binnen de ministeries van MHIT en NH (en de PIUs) worden getraind in het gebruik van het ESMF en overige kader documenten (RPF en ITPPF). Waar gewenst zullen ook medewerkers van NIMOS en overige instituten hierin participeren. Tenslotte, project uitvoerders en overige belanghebbenden zullen worden voorgelicht over het belang van deze ‘safeguard framework</w:t>
      </w:r>
      <w:r w:rsidR="008619AD">
        <w:rPr>
          <w:lang w:val="nl-NL"/>
        </w:rPr>
        <w:t xml:space="preserve"> documents</w:t>
      </w:r>
      <w:r>
        <w:rPr>
          <w:lang w:val="nl-NL"/>
        </w:rPr>
        <w:t>’ en het gebruik hiervan, inclusief de introductie van IPM.</w:t>
      </w:r>
    </w:p>
    <w:p w14:paraId="293F996D" w14:textId="77777777" w:rsidR="007A3529" w:rsidRDefault="007A3529" w:rsidP="00203F2A">
      <w:pPr>
        <w:pStyle w:val="NoSpacing"/>
        <w:jc w:val="both"/>
        <w:rPr>
          <w:lang w:val="nl-NL"/>
        </w:rPr>
      </w:pPr>
    </w:p>
    <w:p w14:paraId="07EDAE43" w14:textId="77777777" w:rsidR="007A3529" w:rsidRDefault="007A3529" w:rsidP="00203F2A">
      <w:pPr>
        <w:pStyle w:val="NoSpacing"/>
        <w:jc w:val="both"/>
        <w:rPr>
          <w:lang w:val="nl-NL"/>
        </w:rPr>
      </w:pPr>
    </w:p>
    <w:p w14:paraId="4442F4A4" w14:textId="77777777" w:rsidR="007A3529" w:rsidRDefault="007A3529" w:rsidP="00203F2A">
      <w:pPr>
        <w:pStyle w:val="NoSpacing"/>
        <w:jc w:val="both"/>
        <w:rPr>
          <w:lang w:val="nl-NL"/>
        </w:rPr>
      </w:pPr>
    </w:p>
    <w:p w14:paraId="57B0092D" w14:textId="77777777" w:rsidR="007A3529" w:rsidRDefault="007A3529" w:rsidP="00203F2A">
      <w:pPr>
        <w:pStyle w:val="NoSpacing"/>
        <w:jc w:val="both"/>
        <w:rPr>
          <w:lang w:val="nl-NL"/>
        </w:rPr>
      </w:pPr>
    </w:p>
    <w:p w14:paraId="175CD5C6" w14:textId="77777777" w:rsidR="007A3529" w:rsidRDefault="007A3529" w:rsidP="00203F2A">
      <w:pPr>
        <w:pStyle w:val="NoSpacing"/>
        <w:jc w:val="both"/>
        <w:rPr>
          <w:lang w:val="nl-NL"/>
        </w:rPr>
      </w:pPr>
    </w:p>
    <w:p w14:paraId="5398E7F0" w14:textId="77777777" w:rsidR="007A3529" w:rsidRPr="007A3529" w:rsidRDefault="007A3529" w:rsidP="00203F2A">
      <w:pPr>
        <w:pStyle w:val="NoSpacing"/>
        <w:jc w:val="both"/>
        <w:rPr>
          <w:lang w:val="nl-NL"/>
        </w:rPr>
      </w:pPr>
    </w:p>
    <w:p w14:paraId="1C73272C" w14:textId="77777777" w:rsidR="007A3529" w:rsidRPr="007A3529" w:rsidRDefault="007A3529" w:rsidP="00203F2A">
      <w:pPr>
        <w:pStyle w:val="NoSpacing"/>
        <w:jc w:val="both"/>
        <w:rPr>
          <w:lang w:val="nl-NL"/>
        </w:rPr>
      </w:pPr>
    </w:p>
    <w:p w14:paraId="1C76D36F" w14:textId="2C06D055" w:rsidR="001A58A1" w:rsidRPr="007A3529" w:rsidRDefault="001A58A1" w:rsidP="00203F2A">
      <w:pPr>
        <w:pStyle w:val="NoSpacing"/>
        <w:jc w:val="both"/>
        <w:rPr>
          <w:lang w:val="nl-NL"/>
        </w:rPr>
      </w:pPr>
      <w:r w:rsidRPr="007A3529">
        <w:rPr>
          <w:lang w:val="nl-NL"/>
        </w:rPr>
        <w:br w:type="page"/>
      </w:r>
    </w:p>
    <w:p w14:paraId="51BA5CAB" w14:textId="74FD5192" w:rsidR="001A58A1" w:rsidRPr="0083506D" w:rsidRDefault="001A58A1" w:rsidP="00203F2A">
      <w:pPr>
        <w:pStyle w:val="Heading1"/>
        <w:jc w:val="both"/>
        <w:rPr>
          <w:b w:val="0"/>
        </w:rPr>
      </w:pPr>
      <w:bookmarkStart w:id="8" w:name="_Toc531965014"/>
      <w:r w:rsidRPr="003B2FBC">
        <w:t>Abbreviations and Acronyms</w:t>
      </w:r>
      <w:bookmarkEnd w:id="8"/>
    </w:p>
    <w:p w14:paraId="7581DF4A" w14:textId="77777777" w:rsidR="001A58A1" w:rsidRDefault="001A58A1" w:rsidP="00203F2A">
      <w:pPr>
        <w:pStyle w:val="NoSpacing"/>
        <w:jc w:val="both"/>
      </w:pPr>
    </w:p>
    <w:p w14:paraId="1270E628" w14:textId="71CD1279" w:rsidR="00B705DA" w:rsidRDefault="00B705DA" w:rsidP="00203F2A">
      <w:pPr>
        <w:pStyle w:val="NoSpacing"/>
        <w:jc w:val="both"/>
      </w:pPr>
      <w:r>
        <w:t>BSO</w:t>
      </w:r>
      <w:r>
        <w:tab/>
      </w:r>
      <w:r>
        <w:tab/>
        <w:t>Business Support Organisation</w:t>
      </w:r>
    </w:p>
    <w:p w14:paraId="12600B8D" w14:textId="37F022B9" w:rsidR="005F7592" w:rsidRDefault="00F20B31" w:rsidP="00203F2A">
      <w:pPr>
        <w:pStyle w:val="NoSpacing"/>
        <w:jc w:val="both"/>
      </w:pPr>
      <w:r>
        <w:t>CARICOM</w:t>
      </w:r>
      <w:r>
        <w:tab/>
      </w:r>
      <w:r w:rsidRPr="00F20B31">
        <w:t>Caribbean Community</w:t>
      </w:r>
    </w:p>
    <w:p w14:paraId="09A7E8D5" w14:textId="77777777" w:rsidR="00285D3E" w:rsidRDefault="00285D3E" w:rsidP="00203F2A">
      <w:pPr>
        <w:pStyle w:val="NoSpacing"/>
        <w:jc w:val="both"/>
      </w:pPr>
      <w:r>
        <w:t>CPS</w:t>
      </w:r>
      <w:r>
        <w:tab/>
      </w:r>
      <w:r>
        <w:tab/>
        <w:t>Country Partnership Strategy</w:t>
      </w:r>
    </w:p>
    <w:p w14:paraId="099BE73C" w14:textId="767D8A61" w:rsidR="00F20B31" w:rsidRPr="000B15A6" w:rsidRDefault="00F20B31" w:rsidP="00203F2A">
      <w:pPr>
        <w:pStyle w:val="NoSpacing"/>
        <w:jc w:val="both"/>
      </w:pPr>
      <w:r w:rsidRPr="000B15A6">
        <w:t>CSNR</w:t>
      </w:r>
      <w:r w:rsidRPr="000B15A6">
        <w:tab/>
      </w:r>
      <w:r w:rsidRPr="000B15A6">
        <w:tab/>
        <w:t>Central Suriname Nature Reserve</w:t>
      </w:r>
      <w:r w:rsidR="00975353">
        <w:t xml:space="preserve"> (</w:t>
      </w:r>
      <w:proofErr w:type="spellStart"/>
      <w:r w:rsidR="00975353" w:rsidRPr="00975353">
        <w:t>Centraal</w:t>
      </w:r>
      <w:proofErr w:type="spellEnd"/>
      <w:r w:rsidR="00975353" w:rsidRPr="00975353">
        <w:t xml:space="preserve"> Suriname </w:t>
      </w:r>
      <w:proofErr w:type="spellStart"/>
      <w:r w:rsidR="00975353" w:rsidRPr="00975353">
        <w:t>Natuur</w:t>
      </w:r>
      <w:proofErr w:type="spellEnd"/>
      <w:r w:rsidR="00975353" w:rsidRPr="00975353">
        <w:t xml:space="preserve"> </w:t>
      </w:r>
      <w:proofErr w:type="spellStart"/>
      <w:r w:rsidR="00975353" w:rsidRPr="00975353">
        <w:t>Reservaat</w:t>
      </w:r>
      <w:proofErr w:type="spellEnd"/>
      <w:r w:rsidR="00975353">
        <w:t>)</w:t>
      </w:r>
    </w:p>
    <w:p w14:paraId="3D029096" w14:textId="77777777" w:rsidR="00F33439" w:rsidRDefault="00F33439" w:rsidP="00203F2A">
      <w:pPr>
        <w:pStyle w:val="NoSpacing"/>
        <w:jc w:val="both"/>
      </w:pPr>
      <w:r>
        <w:t>CUS</w:t>
      </w:r>
      <w:r>
        <w:tab/>
      </w:r>
      <w:r>
        <w:tab/>
        <w:t>Competitiveness Unit Suriname</w:t>
      </w:r>
    </w:p>
    <w:p w14:paraId="26718F47" w14:textId="77777777" w:rsidR="00F33439" w:rsidRDefault="00F33439" w:rsidP="00203F2A">
      <w:pPr>
        <w:pStyle w:val="NoSpacing"/>
        <w:jc w:val="both"/>
      </w:pPr>
      <w:r>
        <w:t>EITI</w:t>
      </w:r>
      <w:r>
        <w:tab/>
      </w:r>
      <w:r>
        <w:tab/>
        <w:t>Extractive Industries Transparency Initiative</w:t>
      </w:r>
    </w:p>
    <w:p w14:paraId="6D9266E4" w14:textId="77777777" w:rsidR="00285D3E" w:rsidRDefault="00285D3E" w:rsidP="00203F2A">
      <w:pPr>
        <w:pStyle w:val="NoSpacing"/>
        <w:jc w:val="both"/>
      </w:pPr>
      <w:r>
        <w:t>ESMF</w:t>
      </w:r>
      <w:r>
        <w:tab/>
      </w:r>
      <w:r>
        <w:tab/>
        <w:t>Environmental and Social Management Framework</w:t>
      </w:r>
    </w:p>
    <w:p w14:paraId="24821956" w14:textId="77777777" w:rsidR="0091170D" w:rsidRDefault="0091170D" w:rsidP="00203F2A">
      <w:pPr>
        <w:pStyle w:val="NoSpacing"/>
        <w:jc w:val="both"/>
      </w:pPr>
      <w:r>
        <w:t>ESIA</w:t>
      </w:r>
      <w:r>
        <w:tab/>
      </w:r>
      <w:r>
        <w:tab/>
        <w:t>Environmental and Social Impact Assessments</w:t>
      </w:r>
    </w:p>
    <w:p w14:paraId="2E12D049" w14:textId="77777777" w:rsidR="0091170D" w:rsidRDefault="0091170D" w:rsidP="00203F2A">
      <w:pPr>
        <w:pStyle w:val="NoSpacing"/>
        <w:jc w:val="both"/>
      </w:pPr>
      <w:r>
        <w:t>FAO</w:t>
      </w:r>
      <w:r>
        <w:tab/>
      </w:r>
      <w:r>
        <w:tab/>
        <w:t>Food and Agriculture Organization of the United Nations</w:t>
      </w:r>
    </w:p>
    <w:p w14:paraId="5102F563" w14:textId="3DD52912" w:rsidR="00983950" w:rsidRDefault="00983950" w:rsidP="00203F2A">
      <w:pPr>
        <w:pStyle w:val="NoSpacing"/>
        <w:jc w:val="both"/>
      </w:pPr>
      <w:r>
        <w:t>FSC</w:t>
      </w:r>
      <w:r>
        <w:tab/>
      </w:r>
      <w:r>
        <w:tab/>
        <w:t>Forest Stewardship Council</w:t>
      </w:r>
    </w:p>
    <w:p w14:paraId="44D33925" w14:textId="5962C6A2" w:rsidR="00285D3E" w:rsidRDefault="00285D3E" w:rsidP="00203F2A">
      <w:pPr>
        <w:pStyle w:val="NoSpacing"/>
        <w:jc w:val="both"/>
      </w:pPr>
      <w:r>
        <w:t>GDP</w:t>
      </w:r>
      <w:r>
        <w:tab/>
      </w:r>
      <w:r>
        <w:tab/>
        <w:t>Gross Domestic Product</w:t>
      </w:r>
    </w:p>
    <w:p w14:paraId="799F1386" w14:textId="54533B3F" w:rsidR="00983950" w:rsidRDefault="00983950" w:rsidP="00203F2A">
      <w:pPr>
        <w:pStyle w:val="NoSpacing"/>
        <w:jc w:val="both"/>
      </w:pPr>
      <w:r>
        <w:t>GOS</w:t>
      </w:r>
      <w:r>
        <w:tab/>
      </w:r>
      <w:r>
        <w:tab/>
        <w:t>Government of Suriname</w:t>
      </w:r>
    </w:p>
    <w:p w14:paraId="1814CF3C" w14:textId="20E88CFE" w:rsidR="00E9688A" w:rsidRDefault="00E9688A" w:rsidP="00203F2A">
      <w:pPr>
        <w:pStyle w:val="NoSpacing"/>
        <w:jc w:val="both"/>
      </w:pPr>
      <w:r>
        <w:t>GRM</w:t>
      </w:r>
      <w:r>
        <w:tab/>
      </w:r>
      <w:r>
        <w:tab/>
        <w:t>Grievance Redress Mechanism</w:t>
      </w:r>
    </w:p>
    <w:p w14:paraId="3D6B0B2B" w14:textId="3E67504A" w:rsidR="00983950" w:rsidRDefault="00983950" w:rsidP="00203F2A">
      <w:pPr>
        <w:pStyle w:val="NoSpacing"/>
        <w:jc w:val="both"/>
      </w:pPr>
      <w:r>
        <w:t>GSTC</w:t>
      </w:r>
      <w:r>
        <w:tab/>
      </w:r>
      <w:r>
        <w:tab/>
        <w:t>Global Sustainable Tourism Council</w:t>
      </w:r>
    </w:p>
    <w:p w14:paraId="764413FC" w14:textId="5E99747A" w:rsidR="0091170D" w:rsidRDefault="00E6057E" w:rsidP="00203F2A">
      <w:pPr>
        <w:pStyle w:val="NoSpacing"/>
        <w:jc w:val="both"/>
      </w:pPr>
      <w:r>
        <w:t>H</w:t>
      </w:r>
      <w:r w:rsidR="0091170D">
        <w:t>a</w:t>
      </w:r>
      <w:r w:rsidR="0091170D">
        <w:tab/>
      </w:r>
      <w:r w:rsidR="0091170D">
        <w:tab/>
        <w:t>Hectare</w:t>
      </w:r>
    </w:p>
    <w:p w14:paraId="401665C8" w14:textId="5E45BAAA" w:rsidR="00983950" w:rsidRDefault="00983950" w:rsidP="00203F2A">
      <w:pPr>
        <w:pStyle w:val="NoSpacing"/>
        <w:jc w:val="both"/>
      </w:pPr>
      <w:r>
        <w:t>HCV</w:t>
      </w:r>
      <w:r>
        <w:tab/>
      </w:r>
      <w:r>
        <w:tab/>
        <w:t>High Conservation Values</w:t>
      </w:r>
    </w:p>
    <w:p w14:paraId="2CBF98B1" w14:textId="77777777" w:rsidR="00F33439" w:rsidRDefault="0091170D" w:rsidP="00203F2A">
      <w:pPr>
        <w:pStyle w:val="NoSpacing"/>
        <w:jc w:val="both"/>
      </w:pPr>
      <w:r>
        <w:t>HFLD</w:t>
      </w:r>
      <w:r>
        <w:tab/>
      </w:r>
      <w:r>
        <w:tab/>
        <w:t>High Forest cover, Low Deforestation rate</w:t>
      </w:r>
    </w:p>
    <w:p w14:paraId="4D5198BD" w14:textId="77777777" w:rsidR="0091170D" w:rsidRDefault="0091170D" w:rsidP="00203F2A">
      <w:pPr>
        <w:pStyle w:val="NoSpacing"/>
        <w:jc w:val="both"/>
      </w:pPr>
      <w:r>
        <w:t>IDB</w:t>
      </w:r>
      <w:r>
        <w:tab/>
      </w:r>
      <w:r>
        <w:tab/>
        <w:t>Inter</w:t>
      </w:r>
      <w:r w:rsidR="00CC023B">
        <w:t>-American</w:t>
      </w:r>
      <w:r>
        <w:t xml:space="preserve"> Development Bank</w:t>
      </w:r>
    </w:p>
    <w:p w14:paraId="4E5D6DB7" w14:textId="77777777" w:rsidR="0091170D" w:rsidRDefault="0091170D" w:rsidP="00203F2A">
      <w:pPr>
        <w:pStyle w:val="NoSpacing"/>
        <w:jc w:val="both"/>
      </w:pPr>
      <w:bookmarkStart w:id="9" w:name="_Hlk526280680"/>
      <w:r>
        <w:t>IDCS</w:t>
      </w:r>
      <w:r>
        <w:tab/>
      </w:r>
      <w:r>
        <w:tab/>
        <w:t>Investment and Development Corporation Suriname</w:t>
      </w:r>
      <w:r w:rsidR="00CC023B">
        <w:t xml:space="preserve"> (till April 2018)</w:t>
      </w:r>
    </w:p>
    <w:bookmarkEnd w:id="9"/>
    <w:p w14:paraId="7146E443" w14:textId="77777777" w:rsidR="00F540C9" w:rsidRDefault="00F540C9" w:rsidP="00203F2A">
      <w:pPr>
        <w:pStyle w:val="NoSpacing"/>
        <w:jc w:val="both"/>
      </w:pPr>
      <w:r>
        <w:t>IFC</w:t>
      </w:r>
      <w:r>
        <w:tab/>
      </w:r>
      <w:r>
        <w:tab/>
        <w:t>International Finance Corporation</w:t>
      </w:r>
    </w:p>
    <w:p w14:paraId="47AFD5ED" w14:textId="77777777" w:rsidR="00CC023B" w:rsidRDefault="00CC023B" w:rsidP="00203F2A">
      <w:pPr>
        <w:pStyle w:val="NoSpacing"/>
        <w:jc w:val="both"/>
      </w:pPr>
      <w:r>
        <w:t>InvestSur</w:t>
      </w:r>
      <w:r>
        <w:tab/>
        <w:t>Institute for Promotion and Support of Investment in Suriname (since April 2018)</w:t>
      </w:r>
    </w:p>
    <w:p w14:paraId="3FAEBB0A" w14:textId="77777777" w:rsidR="00285D3E" w:rsidRDefault="00285D3E" w:rsidP="00203F2A">
      <w:pPr>
        <w:pStyle w:val="NoSpacing"/>
        <w:jc w:val="both"/>
      </w:pPr>
      <w:r>
        <w:t>ISDS</w:t>
      </w:r>
      <w:r>
        <w:tab/>
      </w:r>
      <w:r>
        <w:tab/>
        <w:t>Integrated Safeguards Data Sheet</w:t>
      </w:r>
    </w:p>
    <w:p w14:paraId="2D4A5596" w14:textId="77777777" w:rsidR="003074A1" w:rsidRDefault="003074A1" w:rsidP="00203F2A">
      <w:pPr>
        <w:pStyle w:val="NoSpacing"/>
        <w:jc w:val="both"/>
      </w:pPr>
      <w:r>
        <w:t>IP</w:t>
      </w:r>
      <w:r>
        <w:tab/>
      </w:r>
      <w:r>
        <w:tab/>
        <w:t>Indigenous People</w:t>
      </w:r>
    </w:p>
    <w:p w14:paraId="17C22500" w14:textId="34170511" w:rsidR="00285D3E" w:rsidRDefault="00285D3E" w:rsidP="00203F2A">
      <w:pPr>
        <w:pStyle w:val="NoSpacing"/>
        <w:jc w:val="both"/>
      </w:pPr>
      <w:r>
        <w:t>I</w:t>
      </w:r>
      <w:r w:rsidR="000873A6">
        <w:t>(</w:t>
      </w:r>
      <w:r>
        <w:t>T</w:t>
      </w:r>
      <w:r w:rsidR="000873A6">
        <w:t>)</w:t>
      </w:r>
      <w:r>
        <w:t>PPF</w:t>
      </w:r>
      <w:r>
        <w:tab/>
      </w:r>
      <w:r>
        <w:tab/>
        <w:t xml:space="preserve">Indigenous </w:t>
      </w:r>
      <w:r w:rsidR="000873A6">
        <w:t>(</w:t>
      </w:r>
      <w:r>
        <w:t>and Tribal</w:t>
      </w:r>
      <w:r w:rsidR="000873A6">
        <w:t>)</w:t>
      </w:r>
      <w:r>
        <w:t xml:space="preserve"> Peoples Planning Framework</w:t>
      </w:r>
    </w:p>
    <w:p w14:paraId="722A39EF" w14:textId="42CF0EFE" w:rsidR="00983950" w:rsidRDefault="00983950" w:rsidP="00203F2A">
      <w:pPr>
        <w:pStyle w:val="NoSpacing"/>
        <w:jc w:val="both"/>
      </w:pPr>
      <w:r>
        <w:t>IPM</w:t>
      </w:r>
      <w:r>
        <w:tab/>
      </w:r>
      <w:r>
        <w:tab/>
        <w:t>Integrated Pest Management</w:t>
      </w:r>
    </w:p>
    <w:p w14:paraId="0E122BBF" w14:textId="77777777" w:rsidR="00F33439" w:rsidRDefault="00F33439" w:rsidP="00203F2A">
      <w:pPr>
        <w:pStyle w:val="NoSpacing"/>
        <w:jc w:val="both"/>
      </w:pPr>
      <w:r>
        <w:t>LAC</w:t>
      </w:r>
      <w:r>
        <w:tab/>
      </w:r>
      <w:r>
        <w:tab/>
        <w:t xml:space="preserve">Latin America and the Caribbean region </w:t>
      </w:r>
    </w:p>
    <w:p w14:paraId="6A250172" w14:textId="6E1753A7" w:rsidR="003074A1" w:rsidRDefault="003074A1" w:rsidP="00203F2A">
      <w:pPr>
        <w:pStyle w:val="NoSpacing"/>
        <w:ind w:left="1410" w:hanging="1410"/>
        <w:jc w:val="both"/>
      </w:pPr>
      <w:r w:rsidRPr="003074A1">
        <w:t>M</w:t>
      </w:r>
      <w:r w:rsidR="00B705DA">
        <w:t>AAF</w:t>
      </w:r>
      <w:r w:rsidR="009D51D2">
        <w:tab/>
      </w:r>
      <w:r w:rsidR="009D51D2">
        <w:tab/>
      </w:r>
      <w:r w:rsidR="009D51D2" w:rsidRPr="009D51D2">
        <w:t>Ministry of Agriculture, Animal Husbandry and Fisheries</w:t>
      </w:r>
      <w:r w:rsidR="009D51D2">
        <w:t xml:space="preserve"> (</w:t>
      </w:r>
      <w:proofErr w:type="spellStart"/>
      <w:r w:rsidR="009D51D2">
        <w:t>Minis</w:t>
      </w:r>
      <w:r w:rsidR="001049BA">
        <w:t>t</w:t>
      </w:r>
      <w:r w:rsidR="009D51D2">
        <w:t>erie</w:t>
      </w:r>
      <w:proofErr w:type="spellEnd"/>
      <w:r w:rsidR="009D51D2">
        <w:t xml:space="preserve"> van </w:t>
      </w:r>
      <w:proofErr w:type="spellStart"/>
      <w:r w:rsidR="009D51D2">
        <w:t>Landbouw</w:t>
      </w:r>
      <w:proofErr w:type="spellEnd"/>
      <w:r w:rsidR="009D51D2">
        <w:t xml:space="preserve">, </w:t>
      </w:r>
      <w:proofErr w:type="spellStart"/>
      <w:r w:rsidR="009D51D2">
        <w:t>Veeteelt</w:t>
      </w:r>
      <w:proofErr w:type="spellEnd"/>
      <w:r w:rsidR="009D51D2">
        <w:t xml:space="preserve"> </w:t>
      </w:r>
      <w:proofErr w:type="spellStart"/>
      <w:r w:rsidR="009D51D2">
        <w:t>en</w:t>
      </w:r>
      <w:proofErr w:type="spellEnd"/>
      <w:r w:rsidR="009D51D2">
        <w:t xml:space="preserve"> </w:t>
      </w:r>
      <w:proofErr w:type="spellStart"/>
      <w:r w:rsidR="009D51D2">
        <w:t>Visserij</w:t>
      </w:r>
      <w:proofErr w:type="spellEnd"/>
      <w:r w:rsidR="009D51D2">
        <w:t>)</w:t>
      </w:r>
    </w:p>
    <w:p w14:paraId="0FF11E70" w14:textId="2CC50DBA" w:rsidR="00B705DA" w:rsidRDefault="00B705DA" w:rsidP="00203F2A">
      <w:pPr>
        <w:pStyle w:val="NoSpacing"/>
        <w:ind w:left="1410" w:hanging="1410"/>
        <w:jc w:val="both"/>
      </w:pPr>
      <w:r>
        <w:t>MF</w:t>
      </w:r>
      <w:r>
        <w:tab/>
        <w:t>Ministry of Finance (</w:t>
      </w:r>
      <w:proofErr w:type="spellStart"/>
      <w:r>
        <w:t>Ministerie</w:t>
      </w:r>
      <w:proofErr w:type="spellEnd"/>
      <w:r>
        <w:t xml:space="preserve"> van </w:t>
      </w:r>
      <w:proofErr w:type="spellStart"/>
      <w:r>
        <w:t>Financien</w:t>
      </w:r>
      <w:proofErr w:type="spellEnd"/>
      <w:r>
        <w:t>)</w:t>
      </w:r>
    </w:p>
    <w:p w14:paraId="50A68C8A" w14:textId="3D987C7A" w:rsidR="00B705DA" w:rsidRPr="00B705DA" w:rsidRDefault="00B705DA" w:rsidP="00203F2A">
      <w:pPr>
        <w:pStyle w:val="NoSpacing"/>
        <w:ind w:left="1410" w:hanging="1410"/>
        <w:jc w:val="both"/>
        <w:rPr>
          <w:lang w:val="nl-NL"/>
        </w:rPr>
      </w:pPr>
      <w:r w:rsidRPr="00B705DA">
        <w:rPr>
          <w:lang w:val="nl-NL"/>
        </w:rPr>
        <w:t>MNR</w:t>
      </w:r>
      <w:r w:rsidRPr="00B705DA">
        <w:rPr>
          <w:lang w:val="nl-NL"/>
        </w:rPr>
        <w:tab/>
        <w:t>Ministry of Natural Resources (Ministerie van Natuurlijke Hulpbronnen)</w:t>
      </w:r>
    </w:p>
    <w:p w14:paraId="1DEC2A7E" w14:textId="04FCB779" w:rsidR="00B705DA" w:rsidRPr="00B705DA" w:rsidRDefault="00B705DA" w:rsidP="00203F2A">
      <w:pPr>
        <w:pStyle w:val="NoSpacing"/>
        <w:ind w:left="1410" w:hanging="1410"/>
        <w:jc w:val="both"/>
      </w:pPr>
      <w:r w:rsidRPr="00B705DA">
        <w:t>MRD</w:t>
      </w:r>
      <w:r w:rsidRPr="00B705DA">
        <w:tab/>
        <w:t>Ministry of Regional D</w:t>
      </w:r>
      <w:r>
        <w:t>evelopment (</w:t>
      </w:r>
      <w:proofErr w:type="spellStart"/>
      <w:r>
        <w:t>Ministerie</w:t>
      </w:r>
      <w:proofErr w:type="spellEnd"/>
      <w:r>
        <w:t xml:space="preserve"> van </w:t>
      </w:r>
      <w:proofErr w:type="spellStart"/>
      <w:r>
        <w:t>Regionale</w:t>
      </w:r>
      <w:proofErr w:type="spellEnd"/>
      <w:r>
        <w:t xml:space="preserve"> </w:t>
      </w:r>
      <w:proofErr w:type="spellStart"/>
      <w:r>
        <w:t>Ontwikkeling</w:t>
      </w:r>
      <w:proofErr w:type="spellEnd"/>
      <w:r>
        <w:t>)</w:t>
      </w:r>
    </w:p>
    <w:p w14:paraId="1B469492" w14:textId="0E1F7550" w:rsidR="00983950" w:rsidRPr="000B15A6" w:rsidRDefault="00983950" w:rsidP="00203F2A">
      <w:pPr>
        <w:pStyle w:val="NoSpacing"/>
        <w:ind w:left="1410" w:hanging="1410"/>
        <w:jc w:val="both"/>
      </w:pPr>
      <w:r>
        <w:t>MSC</w:t>
      </w:r>
      <w:r>
        <w:tab/>
        <w:t>Marine Stewardship Council</w:t>
      </w:r>
    </w:p>
    <w:p w14:paraId="517FA5A7" w14:textId="77777777" w:rsidR="003349BA" w:rsidRPr="005E5E6F" w:rsidRDefault="003349BA" w:rsidP="00203F2A">
      <w:pPr>
        <w:pStyle w:val="NoSpacing"/>
        <w:ind w:left="1410" w:hanging="1410"/>
        <w:jc w:val="both"/>
      </w:pPr>
      <w:r>
        <w:t>MSL</w:t>
      </w:r>
      <w:r>
        <w:tab/>
        <w:t>Mean Sea Level</w:t>
      </w:r>
    </w:p>
    <w:p w14:paraId="2902C718" w14:textId="77777777" w:rsidR="00E6057E" w:rsidRDefault="00E6057E" w:rsidP="00203F2A">
      <w:pPr>
        <w:pStyle w:val="NoSpacing"/>
        <w:ind w:left="1410" w:hanging="1410"/>
        <w:jc w:val="both"/>
      </w:pPr>
      <w:r>
        <w:t>M</w:t>
      </w:r>
      <w:r w:rsidR="00DA1ACA">
        <w:t>T</w:t>
      </w:r>
      <w:r>
        <w:t>IT</w:t>
      </w:r>
      <w:r>
        <w:tab/>
      </w:r>
      <w:r>
        <w:tab/>
        <w:t>Ministry of Trade, Industry and Tourism (</w:t>
      </w:r>
      <w:proofErr w:type="spellStart"/>
      <w:r w:rsidR="00F970E2">
        <w:t>Ministerie</w:t>
      </w:r>
      <w:proofErr w:type="spellEnd"/>
      <w:r w:rsidR="00F970E2">
        <w:t xml:space="preserve"> van </w:t>
      </w:r>
      <w:r>
        <w:t xml:space="preserve">Handel, </w:t>
      </w:r>
      <w:proofErr w:type="spellStart"/>
      <w:r>
        <w:t>Industrie</w:t>
      </w:r>
      <w:proofErr w:type="spellEnd"/>
      <w:r>
        <w:t xml:space="preserve"> </w:t>
      </w:r>
      <w:proofErr w:type="spellStart"/>
      <w:r>
        <w:t>en</w:t>
      </w:r>
      <w:proofErr w:type="spellEnd"/>
      <w:r>
        <w:t xml:space="preserve"> </w:t>
      </w:r>
      <w:proofErr w:type="spellStart"/>
      <w:r>
        <w:t>Toerisme</w:t>
      </w:r>
      <w:proofErr w:type="spellEnd"/>
      <w:r>
        <w:t>)</w:t>
      </w:r>
    </w:p>
    <w:p w14:paraId="6A9CABDF" w14:textId="77777777" w:rsidR="0091170D" w:rsidRDefault="0091170D" w:rsidP="00203F2A">
      <w:pPr>
        <w:pStyle w:val="NoSpacing"/>
        <w:jc w:val="both"/>
      </w:pPr>
      <w:r>
        <w:t>MUMA</w:t>
      </w:r>
      <w:r>
        <w:tab/>
      </w:r>
      <w:r>
        <w:tab/>
        <w:t>Multiple-Use Management Areas</w:t>
      </w:r>
    </w:p>
    <w:p w14:paraId="177A8725" w14:textId="77777777" w:rsidR="0091170D" w:rsidRDefault="0091170D" w:rsidP="00203F2A">
      <w:pPr>
        <w:pStyle w:val="NoSpacing"/>
        <w:ind w:left="1410" w:hanging="1410"/>
        <w:jc w:val="both"/>
      </w:pPr>
      <w:r>
        <w:t>NIMOS</w:t>
      </w:r>
      <w:r>
        <w:tab/>
      </w:r>
      <w:r>
        <w:tab/>
        <w:t>National Institute for Environment and Development in Suriname</w:t>
      </w:r>
      <w:r w:rsidR="00E6057E">
        <w:t xml:space="preserve"> (</w:t>
      </w:r>
      <w:proofErr w:type="spellStart"/>
      <w:r w:rsidR="00E6057E">
        <w:t>Nationaal</w:t>
      </w:r>
      <w:proofErr w:type="spellEnd"/>
      <w:r w:rsidR="00E6057E">
        <w:t xml:space="preserve"> </w:t>
      </w:r>
      <w:proofErr w:type="spellStart"/>
      <w:r w:rsidR="00E6057E">
        <w:t>Instituut</w:t>
      </w:r>
      <w:proofErr w:type="spellEnd"/>
      <w:r w:rsidR="00E6057E">
        <w:t xml:space="preserve"> </w:t>
      </w:r>
      <w:proofErr w:type="spellStart"/>
      <w:r w:rsidR="00E6057E">
        <w:t>voor</w:t>
      </w:r>
      <w:proofErr w:type="spellEnd"/>
      <w:r w:rsidR="00E6057E">
        <w:t xml:space="preserve"> </w:t>
      </w:r>
      <w:proofErr w:type="spellStart"/>
      <w:r w:rsidR="00E6057E">
        <w:t>Mileu</w:t>
      </w:r>
      <w:proofErr w:type="spellEnd"/>
      <w:r w:rsidR="00E6057E">
        <w:t xml:space="preserve"> </w:t>
      </w:r>
      <w:proofErr w:type="spellStart"/>
      <w:r w:rsidR="00E6057E">
        <w:t>en</w:t>
      </w:r>
      <w:proofErr w:type="spellEnd"/>
      <w:r w:rsidR="00E6057E">
        <w:t xml:space="preserve"> </w:t>
      </w:r>
      <w:proofErr w:type="spellStart"/>
      <w:r w:rsidR="00E6057E">
        <w:t>Ontwikkeling</w:t>
      </w:r>
      <w:proofErr w:type="spellEnd"/>
      <w:r w:rsidR="00E6057E">
        <w:t xml:space="preserve"> in Suriname)</w:t>
      </w:r>
    </w:p>
    <w:p w14:paraId="529F56F4" w14:textId="77777777" w:rsidR="005E196C" w:rsidRDefault="00F540C9" w:rsidP="00203F2A">
      <w:pPr>
        <w:pStyle w:val="NoSpacing"/>
        <w:jc w:val="both"/>
      </w:pPr>
      <w:r>
        <w:t>NGO</w:t>
      </w:r>
      <w:r>
        <w:tab/>
      </w:r>
      <w:r>
        <w:tab/>
        <w:t>Non-Governmental Organisation</w:t>
      </w:r>
    </w:p>
    <w:p w14:paraId="45D7B78A" w14:textId="49F117E7" w:rsidR="00F540C9" w:rsidRDefault="005E196C" w:rsidP="00203F2A">
      <w:pPr>
        <w:pStyle w:val="NoSpacing"/>
        <w:jc w:val="both"/>
      </w:pPr>
      <w:r>
        <w:t>NMR</w:t>
      </w:r>
      <w:r>
        <w:tab/>
      </w:r>
      <w:r>
        <w:tab/>
      </w:r>
      <w:r w:rsidRPr="005E196C">
        <w:t xml:space="preserve">National </w:t>
      </w:r>
      <w:r>
        <w:t xml:space="preserve">Council </w:t>
      </w:r>
      <w:r w:rsidRPr="005E196C">
        <w:t>for the Environment</w:t>
      </w:r>
      <w:r>
        <w:t xml:space="preserve"> (</w:t>
      </w:r>
      <w:proofErr w:type="spellStart"/>
      <w:r>
        <w:t>Nationale</w:t>
      </w:r>
      <w:proofErr w:type="spellEnd"/>
      <w:r>
        <w:t xml:space="preserve"> </w:t>
      </w:r>
      <w:proofErr w:type="spellStart"/>
      <w:r>
        <w:t>Mileuraad</w:t>
      </w:r>
      <w:proofErr w:type="spellEnd"/>
      <w:r>
        <w:t>)</w:t>
      </w:r>
    </w:p>
    <w:p w14:paraId="412EC977" w14:textId="1E3A6F5B" w:rsidR="00782945" w:rsidRDefault="00782945" w:rsidP="00203F2A">
      <w:pPr>
        <w:pStyle w:val="NoSpacing"/>
        <w:jc w:val="both"/>
      </w:pPr>
      <w:r>
        <w:t>NR</w:t>
      </w:r>
      <w:r>
        <w:tab/>
      </w:r>
      <w:r>
        <w:tab/>
        <w:t>Nature Reserve</w:t>
      </w:r>
    </w:p>
    <w:p w14:paraId="7FA90E5B" w14:textId="42CEB898" w:rsidR="00F540C9" w:rsidRDefault="001C4777" w:rsidP="00203F2A">
      <w:pPr>
        <w:pStyle w:val="NoSpacing"/>
        <w:jc w:val="both"/>
      </w:pPr>
      <w:bookmarkStart w:id="10" w:name="_Hlk525634685"/>
      <w:r>
        <w:t>M</w:t>
      </w:r>
      <w:r w:rsidR="00F540C9" w:rsidRPr="00F540C9">
        <w:t>OP</w:t>
      </w:r>
      <w:r w:rsidR="00F540C9" w:rsidRPr="00F540C9">
        <w:tab/>
      </w:r>
      <w:r w:rsidR="00F540C9" w:rsidRPr="00F540C9">
        <w:tab/>
        <w:t xml:space="preserve">Multi-annual Development Plan </w:t>
      </w:r>
      <w:bookmarkEnd w:id="10"/>
      <w:r w:rsidR="00F540C9" w:rsidRPr="00F540C9">
        <w:t>(</w:t>
      </w:r>
      <w:proofErr w:type="spellStart"/>
      <w:r w:rsidR="00F540C9" w:rsidRPr="00F540C9">
        <w:t>Nationaal</w:t>
      </w:r>
      <w:proofErr w:type="spellEnd"/>
      <w:r w:rsidR="00F540C9" w:rsidRPr="00F540C9">
        <w:t xml:space="preserve"> </w:t>
      </w:r>
      <w:proofErr w:type="spellStart"/>
      <w:r w:rsidR="00F540C9" w:rsidRPr="00F540C9">
        <w:t>Ontwikkelingsplan</w:t>
      </w:r>
      <w:proofErr w:type="spellEnd"/>
      <w:r w:rsidR="00F540C9" w:rsidRPr="00F540C9">
        <w:t>)</w:t>
      </w:r>
    </w:p>
    <w:p w14:paraId="0F8C8473" w14:textId="532A9EE9" w:rsidR="00782945" w:rsidRDefault="00782945" w:rsidP="00203F2A">
      <w:pPr>
        <w:pStyle w:val="NoSpacing"/>
        <w:jc w:val="both"/>
      </w:pPr>
      <w:r>
        <w:t>NP</w:t>
      </w:r>
      <w:r>
        <w:tab/>
      </w:r>
      <w:r>
        <w:tab/>
        <w:t>Nature Park</w:t>
      </w:r>
    </w:p>
    <w:p w14:paraId="1398C879" w14:textId="68A9DA74" w:rsidR="00F20B31" w:rsidRDefault="00F20B31" w:rsidP="00203F2A">
      <w:pPr>
        <w:pStyle w:val="NoSpacing"/>
        <w:jc w:val="both"/>
      </w:pPr>
      <w:r>
        <w:t>NTFP</w:t>
      </w:r>
      <w:r>
        <w:tab/>
      </w:r>
      <w:r>
        <w:tab/>
      </w:r>
      <w:r w:rsidR="00291258">
        <w:t>Non-Timber</w:t>
      </w:r>
      <w:r>
        <w:t xml:space="preserve"> Forest Product</w:t>
      </w:r>
    </w:p>
    <w:p w14:paraId="674F96E8" w14:textId="77777777" w:rsidR="00E6057E" w:rsidRDefault="00E6057E" w:rsidP="00203F2A">
      <w:pPr>
        <w:pStyle w:val="NoSpacing"/>
        <w:jc w:val="both"/>
      </w:pPr>
      <w:r w:rsidRPr="00E6057E">
        <w:t>OP</w:t>
      </w:r>
      <w:r w:rsidRPr="00E6057E">
        <w:tab/>
      </w:r>
      <w:r w:rsidRPr="00E6057E">
        <w:tab/>
        <w:t>Operational Policy (World B</w:t>
      </w:r>
      <w:r>
        <w:t>ank)</w:t>
      </w:r>
    </w:p>
    <w:p w14:paraId="735D3106" w14:textId="77777777" w:rsidR="006A4CC2" w:rsidRPr="00E6057E" w:rsidRDefault="006A4CC2" w:rsidP="00203F2A">
      <w:pPr>
        <w:pStyle w:val="NoSpacing"/>
        <w:jc w:val="both"/>
      </w:pPr>
      <w:r>
        <w:t>O</w:t>
      </w:r>
      <w:r w:rsidRPr="006A4CC2">
        <w:t>SH</w:t>
      </w:r>
      <w:r w:rsidRPr="006A4CC2">
        <w:tab/>
      </w:r>
      <w:r w:rsidRPr="006A4CC2">
        <w:tab/>
      </w:r>
      <w:r>
        <w:t>Occupational</w:t>
      </w:r>
      <w:r w:rsidRPr="006A4CC2">
        <w:t xml:space="preserve"> Safety and Health</w:t>
      </w:r>
    </w:p>
    <w:p w14:paraId="592E9EDA" w14:textId="77777777" w:rsidR="0091170D" w:rsidRPr="00E6057E" w:rsidRDefault="0091170D" w:rsidP="00203F2A">
      <w:pPr>
        <w:pStyle w:val="NoSpacing"/>
        <w:jc w:val="both"/>
      </w:pPr>
      <w:r w:rsidRPr="00E6057E">
        <w:t>PA</w:t>
      </w:r>
      <w:r w:rsidRPr="00E6057E">
        <w:tab/>
      </w:r>
      <w:r w:rsidRPr="00E6057E">
        <w:tab/>
        <w:t>Protected Area</w:t>
      </w:r>
    </w:p>
    <w:p w14:paraId="6C90EBC8" w14:textId="2774AF63" w:rsidR="00285D3E" w:rsidRDefault="00285D3E" w:rsidP="00203F2A">
      <w:pPr>
        <w:pStyle w:val="NoSpacing"/>
        <w:jc w:val="both"/>
      </w:pPr>
      <w:r w:rsidRPr="00285D3E">
        <w:t>PAP</w:t>
      </w:r>
      <w:r w:rsidRPr="00285D3E">
        <w:tab/>
      </w:r>
      <w:r w:rsidRPr="00285D3E">
        <w:tab/>
        <w:t>Project Affected Pe</w:t>
      </w:r>
      <w:r>
        <w:t>rson</w:t>
      </w:r>
    </w:p>
    <w:p w14:paraId="427942E1" w14:textId="129650A1" w:rsidR="007A3529" w:rsidRDefault="007A3529" w:rsidP="00203F2A">
      <w:pPr>
        <w:pStyle w:val="NoSpacing"/>
        <w:jc w:val="both"/>
      </w:pPr>
      <w:r>
        <w:t>PC</w:t>
      </w:r>
      <w:r>
        <w:tab/>
      </w:r>
      <w:r>
        <w:tab/>
        <w:t>Project Component</w:t>
      </w:r>
    </w:p>
    <w:p w14:paraId="0EB248A7" w14:textId="77777777" w:rsidR="00F20B31" w:rsidRDefault="00F20B31" w:rsidP="00203F2A">
      <w:pPr>
        <w:pStyle w:val="NoSpacing"/>
        <w:jc w:val="both"/>
      </w:pPr>
      <w:r>
        <w:t>PDO</w:t>
      </w:r>
      <w:r>
        <w:tab/>
      </w:r>
      <w:r>
        <w:tab/>
        <w:t>Project Development Objective</w:t>
      </w:r>
    </w:p>
    <w:p w14:paraId="6899DED8" w14:textId="77777777" w:rsidR="00F540C9" w:rsidRDefault="00F540C9" w:rsidP="00203F2A">
      <w:pPr>
        <w:pStyle w:val="NoSpacing"/>
        <w:jc w:val="both"/>
      </w:pPr>
      <w:r>
        <w:t>PID</w:t>
      </w:r>
      <w:r>
        <w:tab/>
      </w:r>
      <w:r>
        <w:tab/>
        <w:t>Project Information Document</w:t>
      </w:r>
    </w:p>
    <w:p w14:paraId="7206FCCD" w14:textId="77777777" w:rsidR="00E6057E" w:rsidRDefault="00E6057E" w:rsidP="00203F2A">
      <w:pPr>
        <w:pStyle w:val="NoSpacing"/>
        <w:jc w:val="both"/>
      </w:pPr>
      <w:r>
        <w:t>PIU</w:t>
      </w:r>
      <w:r>
        <w:tab/>
      </w:r>
      <w:r>
        <w:tab/>
        <w:t>Project Implementation Unit (established within M</w:t>
      </w:r>
      <w:r w:rsidR="003074A1">
        <w:t>T</w:t>
      </w:r>
      <w:r>
        <w:t>IT)</w:t>
      </w:r>
    </w:p>
    <w:p w14:paraId="111D39BD" w14:textId="4F07CE36" w:rsidR="00F20B31" w:rsidRDefault="00F20B31" w:rsidP="00203F2A">
      <w:pPr>
        <w:pStyle w:val="NoSpacing"/>
        <w:jc w:val="both"/>
      </w:pPr>
      <w:r>
        <w:t>POP</w:t>
      </w:r>
      <w:r>
        <w:tab/>
      </w:r>
      <w:r>
        <w:tab/>
      </w:r>
      <w:r w:rsidRPr="00F20B31">
        <w:t>Persistent Organic Pollutants</w:t>
      </w:r>
    </w:p>
    <w:p w14:paraId="797EC37B" w14:textId="186EC6B9" w:rsidR="00983950" w:rsidRDefault="00983950" w:rsidP="00203F2A">
      <w:pPr>
        <w:pStyle w:val="NoSpacing"/>
        <w:jc w:val="both"/>
      </w:pPr>
      <w:r>
        <w:t>RPF</w:t>
      </w:r>
      <w:r>
        <w:tab/>
      </w:r>
      <w:r>
        <w:tab/>
        <w:t>Resettlement Policy Framework</w:t>
      </w:r>
    </w:p>
    <w:p w14:paraId="75C269B6" w14:textId="29CD9632" w:rsidR="00983950" w:rsidRPr="00285D3E" w:rsidRDefault="00983950" w:rsidP="00203F2A">
      <w:pPr>
        <w:pStyle w:val="NoSpacing"/>
        <w:jc w:val="both"/>
      </w:pPr>
      <w:r>
        <w:t>RSA</w:t>
      </w:r>
      <w:r>
        <w:tab/>
      </w:r>
      <w:r>
        <w:tab/>
        <w:t>Rapid Social Assessment</w:t>
      </w:r>
    </w:p>
    <w:p w14:paraId="293CC57A" w14:textId="77777777" w:rsidR="0091170D" w:rsidRDefault="0091170D" w:rsidP="00203F2A">
      <w:pPr>
        <w:pStyle w:val="NoSpacing"/>
        <w:ind w:left="1410" w:hanging="1410"/>
        <w:jc w:val="both"/>
      </w:pPr>
      <w:r>
        <w:t>SBB</w:t>
      </w:r>
      <w:r>
        <w:tab/>
      </w:r>
      <w:r>
        <w:tab/>
        <w:t>Foundation for Forest Management and Production Control (</w:t>
      </w:r>
      <w:proofErr w:type="spellStart"/>
      <w:r>
        <w:t>Stichting</w:t>
      </w:r>
      <w:proofErr w:type="spellEnd"/>
      <w:r>
        <w:t xml:space="preserve"> </w:t>
      </w:r>
      <w:proofErr w:type="spellStart"/>
      <w:r>
        <w:t>voor</w:t>
      </w:r>
      <w:proofErr w:type="spellEnd"/>
      <w:r>
        <w:t xml:space="preserve"> </w:t>
      </w:r>
      <w:proofErr w:type="spellStart"/>
      <w:r>
        <w:t>Bosbeheer</w:t>
      </w:r>
      <w:proofErr w:type="spellEnd"/>
      <w:r>
        <w:t xml:space="preserve"> </w:t>
      </w:r>
      <w:proofErr w:type="spellStart"/>
      <w:r>
        <w:t>en</w:t>
      </w:r>
      <w:proofErr w:type="spellEnd"/>
      <w:r>
        <w:t xml:space="preserve"> </w:t>
      </w:r>
      <w:proofErr w:type="spellStart"/>
      <w:r>
        <w:t>Bostoezicht</w:t>
      </w:r>
      <w:proofErr w:type="spellEnd"/>
      <w:r>
        <w:t>)</w:t>
      </w:r>
    </w:p>
    <w:p w14:paraId="1B70AD8B" w14:textId="734E8601" w:rsidR="0091170D" w:rsidRDefault="0091170D" w:rsidP="00203F2A">
      <w:pPr>
        <w:pStyle w:val="NoSpacing"/>
        <w:jc w:val="both"/>
      </w:pPr>
      <w:r>
        <w:t>SCF</w:t>
      </w:r>
      <w:r>
        <w:tab/>
      </w:r>
      <w:r>
        <w:tab/>
        <w:t>Suriname Conservation Fund</w:t>
      </w:r>
    </w:p>
    <w:p w14:paraId="2677D731" w14:textId="47D246FE" w:rsidR="00190610" w:rsidRDefault="00190610" w:rsidP="00203F2A">
      <w:pPr>
        <w:pStyle w:val="NoSpacing"/>
        <w:jc w:val="both"/>
      </w:pPr>
      <w:r>
        <w:t>SCSD</w:t>
      </w:r>
      <w:r>
        <w:tab/>
      </w:r>
      <w:r>
        <w:tab/>
        <w:t>Suriname Competitiveness and Sector Diversification</w:t>
      </w:r>
    </w:p>
    <w:p w14:paraId="4CBE6744" w14:textId="35957101" w:rsidR="00285D3E" w:rsidRDefault="00285D3E" w:rsidP="00203F2A">
      <w:pPr>
        <w:pStyle w:val="NoSpacing"/>
        <w:jc w:val="both"/>
      </w:pPr>
      <w:r>
        <w:t>SESA</w:t>
      </w:r>
      <w:r>
        <w:tab/>
      </w:r>
      <w:r>
        <w:tab/>
        <w:t>Strategic Environmental and Social Assessment</w:t>
      </w:r>
    </w:p>
    <w:p w14:paraId="411D088F" w14:textId="46D995AB" w:rsidR="00983950" w:rsidRDefault="00983950" w:rsidP="00203F2A">
      <w:pPr>
        <w:pStyle w:val="NoSpacing"/>
        <w:jc w:val="both"/>
      </w:pPr>
      <w:r>
        <w:t>SFM</w:t>
      </w:r>
      <w:r>
        <w:tab/>
      </w:r>
      <w:r>
        <w:tab/>
        <w:t>Sustainable Forest Management</w:t>
      </w:r>
    </w:p>
    <w:p w14:paraId="3F8C7744" w14:textId="77777777" w:rsidR="00285D3E" w:rsidRDefault="00285D3E" w:rsidP="00203F2A">
      <w:pPr>
        <w:pStyle w:val="NoSpacing"/>
        <w:jc w:val="both"/>
      </w:pPr>
      <w:r>
        <w:t>SME</w:t>
      </w:r>
      <w:r>
        <w:tab/>
      </w:r>
      <w:r>
        <w:tab/>
        <w:t>Small and Medium scale Enterprise</w:t>
      </w:r>
    </w:p>
    <w:p w14:paraId="0AC84432" w14:textId="77777777" w:rsidR="00285D3E" w:rsidRDefault="00285D3E" w:rsidP="00203F2A">
      <w:pPr>
        <w:pStyle w:val="NoSpacing"/>
        <w:jc w:val="both"/>
      </w:pPr>
      <w:r>
        <w:t>SOE</w:t>
      </w:r>
      <w:r>
        <w:tab/>
      </w:r>
      <w:r>
        <w:tab/>
        <w:t>State Owned Enterprise</w:t>
      </w:r>
    </w:p>
    <w:p w14:paraId="3FECF97F" w14:textId="572E79BE" w:rsidR="00285D3E" w:rsidRDefault="00285D3E" w:rsidP="00203F2A">
      <w:pPr>
        <w:pStyle w:val="NoSpacing"/>
        <w:jc w:val="both"/>
      </w:pPr>
      <w:r>
        <w:t>TOR</w:t>
      </w:r>
      <w:r>
        <w:tab/>
      </w:r>
      <w:r>
        <w:tab/>
        <w:t xml:space="preserve">Terms </w:t>
      </w:r>
      <w:r w:rsidR="00291258">
        <w:t>of</w:t>
      </w:r>
      <w:r>
        <w:t xml:space="preserve"> Reference</w:t>
      </w:r>
    </w:p>
    <w:p w14:paraId="012C53FC" w14:textId="77777777" w:rsidR="003074A1" w:rsidRDefault="003074A1" w:rsidP="00203F2A">
      <w:pPr>
        <w:pStyle w:val="NoSpacing"/>
        <w:jc w:val="both"/>
      </w:pPr>
      <w:r>
        <w:t>UN</w:t>
      </w:r>
      <w:r>
        <w:tab/>
      </w:r>
      <w:r>
        <w:tab/>
        <w:t>United Nations</w:t>
      </w:r>
    </w:p>
    <w:p w14:paraId="1C9E8BAB" w14:textId="77777777" w:rsidR="00F20B31" w:rsidRDefault="00F20B31" w:rsidP="00203F2A">
      <w:pPr>
        <w:pStyle w:val="NoSpacing"/>
        <w:jc w:val="both"/>
      </w:pPr>
      <w:r>
        <w:t>UNCBD</w:t>
      </w:r>
      <w:r>
        <w:tab/>
      </w:r>
      <w:r>
        <w:tab/>
        <w:t>United Nations Convention on Biological Diversity</w:t>
      </w:r>
    </w:p>
    <w:p w14:paraId="0960DD8B" w14:textId="77777777" w:rsidR="0091170D" w:rsidRDefault="0091170D" w:rsidP="00203F2A">
      <w:pPr>
        <w:pStyle w:val="NoSpacing"/>
        <w:jc w:val="both"/>
      </w:pPr>
      <w:r>
        <w:t>UNDP</w:t>
      </w:r>
      <w:r>
        <w:tab/>
      </w:r>
      <w:r>
        <w:tab/>
        <w:t>United Nations Development Programme</w:t>
      </w:r>
    </w:p>
    <w:p w14:paraId="641FC1DF" w14:textId="77777777" w:rsidR="00F20B31" w:rsidRDefault="00F20B31" w:rsidP="00203F2A">
      <w:pPr>
        <w:pStyle w:val="NoSpacing"/>
        <w:jc w:val="both"/>
      </w:pPr>
      <w:r>
        <w:t>UNESCO</w:t>
      </w:r>
      <w:r>
        <w:tab/>
      </w:r>
      <w:r w:rsidRPr="00F20B31">
        <w:t>United Nations Educational, Scientific and Cultural Organization</w:t>
      </w:r>
    </w:p>
    <w:p w14:paraId="315D7C30" w14:textId="77777777" w:rsidR="00F20B31" w:rsidRDefault="00F20B31" w:rsidP="00203F2A">
      <w:pPr>
        <w:pStyle w:val="NoSpacing"/>
        <w:jc w:val="both"/>
      </w:pPr>
      <w:r>
        <w:t>UNFCCC</w:t>
      </w:r>
      <w:r>
        <w:tab/>
        <w:t>United Nations Framework Convention on Climate Change</w:t>
      </w:r>
    </w:p>
    <w:p w14:paraId="6A721C72" w14:textId="77777777" w:rsidR="0091170D" w:rsidRDefault="0091170D" w:rsidP="00203F2A">
      <w:pPr>
        <w:pStyle w:val="NoSpacing"/>
        <w:jc w:val="both"/>
      </w:pPr>
      <w:r>
        <w:t>USD</w:t>
      </w:r>
      <w:r>
        <w:tab/>
      </w:r>
      <w:r>
        <w:tab/>
        <w:t>United States Dollars</w:t>
      </w:r>
    </w:p>
    <w:p w14:paraId="36BA278B" w14:textId="77777777" w:rsidR="001A58A1" w:rsidRDefault="0091170D" w:rsidP="00203F2A">
      <w:pPr>
        <w:pStyle w:val="NoSpacing"/>
        <w:jc w:val="both"/>
      </w:pPr>
      <w:r>
        <w:t>WB</w:t>
      </w:r>
      <w:r w:rsidR="00285D3E">
        <w:t>(G)</w:t>
      </w:r>
      <w:r>
        <w:tab/>
      </w:r>
      <w:r>
        <w:tab/>
        <w:t>World Bank</w:t>
      </w:r>
      <w:r w:rsidR="00285D3E">
        <w:t xml:space="preserve"> (Group)</w:t>
      </w:r>
    </w:p>
    <w:p w14:paraId="1E8BC914" w14:textId="77777777" w:rsidR="00F33439" w:rsidRDefault="00F33439" w:rsidP="00203F2A">
      <w:pPr>
        <w:pStyle w:val="NoSpacing"/>
        <w:jc w:val="both"/>
      </w:pPr>
      <w:r>
        <w:t>WDI</w:t>
      </w:r>
      <w:r>
        <w:tab/>
      </w:r>
      <w:r>
        <w:tab/>
        <w:t>World Development Indicators</w:t>
      </w:r>
    </w:p>
    <w:p w14:paraId="73ADC5FA" w14:textId="77777777" w:rsidR="00F540C9" w:rsidRDefault="00F540C9" w:rsidP="00203F2A">
      <w:pPr>
        <w:pStyle w:val="NoSpacing"/>
        <w:jc w:val="both"/>
      </w:pPr>
      <w:r>
        <w:t>WHO</w:t>
      </w:r>
      <w:r>
        <w:tab/>
      </w:r>
      <w:r>
        <w:tab/>
        <w:t>World Health Organisation of the United Nations</w:t>
      </w:r>
    </w:p>
    <w:p w14:paraId="6C90ED1F" w14:textId="67E4265F" w:rsidR="001171BC" w:rsidRDefault="00F540C9" w:rsidP="00203F2A">
      <w:pPr>
        <w:pStyle w:val="NoSpacing"/>
        <w:jc w:val="both"/>
      </w:pPr>
      <w:r w:rsidRPr="00F540C9">
        <w:t>WRI</w:t>
      </w:r>
      <w:r w:rsidRPr="00F540C9">
        <w:tab/>
      </w:r>
      <w:r w:rsidRPr="00F540C9">
        <w:tab/>
        <w:t>World Resources Institute</w:t>
      </w:r>
    </w:p>
    <w:p w14:paraId="36A10013" w14:textId="01C92DCA" w:rsidR="00983950" w:rsidRDefault="00983950" w:rsidP="00203F2A">
      <w:pPr>
        <w:pStyle w:val="NoSpacing"/>
        <w:jc w:val="both"/>
      </w:pPr>
      <w:r>
        <w:t>WTO</w:t>
      </w:r>
      <w:r>
        <w:tab/>
      </w:r>
      <w:r>
        <w:tab/>
        <w:t>World Tourism Organisation of the United Nations</w:t>
      </w:r>
    </w:p>
    <w:p w14:paraId="0EE5AE48" w14:textId="77777777" w:rsidR="00F20B31" w:rsidRDefault="00F20B31" w:rsidP="00203F2A">
      <w:pPr>
        <w:pStyle w:val="NoSpacing"/>
        <w:jc w:val="both"/>
      </w:pPr>
      <w:r>
        <w:t>WWF</w:t>
      </w:r>
      <w:r>
        <w:tab/>
      </w:r>
      <w:r>
        <w:tab/>
        <w:t>World Wildlife Fund</w:t>
      </w:r>
    </w:p>
    <w:p w14:paraId="1C5BC8EA" w14:textId="77777777" w:rsidR="001171BC" w:rsidRDefault="001171BC" w:rsidP="00203F2A">
      <w:pPr>
        <w:pStyle w:val="NoSpacing"/>
        <w:jc w:val="both"/>
      </w:pPr>
    </w:p>
    <w:p w14:paraId="08377ACC" w14:textId="77777777" w:rsidR="001A58A1" w:rsidRDefault="001A58A1" w:rsidP="00203F2A">
      <w:pPr>
        <w:pStyle w:val="NoSpacing"/>
        <w:jc w:val="both"/>
      </w:pPr>
      <w:r>
        <w:br w:type="page"/>
      </w:r>
    </w:p>
    <w:p w14:paraId="577D4759" w14:textId="77777777" w:rsidR="001A58A1" w:rsidRPr="009D51D2" w:rsidRDefault="001A58A1" w:rsidP="00203F2A">
      <w:pPr>
        <w:pStyle w:val="Heading1"/>
        <w:jc w:val="both"/>
        <w:rPr>
          <w:b w:val="0"/>
        </w:rPr>
      </w:pPr>
      <w:bookmarkStart w:id="11" w:name="_Toc531965015"/>
      <w:r w:rsidRPr="009D51D2">
        <w:t>Table of Contents</w:t>
      </w:r>
      <w:bookmarkEnd w:id="11"/>
    </w:p>
    <w:p w14:paraId="7C2710BF" w14:textId="28A3A96C" w:rsidR="001A58A1" w:rsidRDefault="001A58A1" w:rsidP="00203F2A">
      <w:pPr>
        <w:pStyle w:val="NoSpacing"/>
        <w:jc w:val="both"/>
      </w:pPr>
    </w:p>
    <w:sdt>
      <w:sdtPr>
        <w:rPr>
          <w:rFonts w:asciiTheme="minorHAnsi" w:eastAsiaTheme="minorHAnsi" w:hAnsiTheme="minorHAnsi" w:cstheme="minorBidi"/>
          <w:b/>
          <w:color w:val="auto"/>
          <w:sz w:val="22"/>
          <w:szCs w:val="22"/>
          <w:lang w:val="en-GB" w:eastAsia="en-US"/>
        </w:rPr>
        <w:id w:val="-735939427"/>
        <w:docPartObj>
          <w:docPartGallery w:val="Table of Contents"/>
          <w:docPartUnique/>
        </w:docPartObj>
      </w:sdtPr>
      <w:sdtEndPr>
        <w:rPr>
          <w:bCs/>
        </w:rPr>
      </w:sdtEndPr>
      <w:sdtContent>
        <w:p w14:paraId="503E4987" w14:textId="0C3D5D2C" w:rsidR="00306F85" w:rsidRPr="008619AD" w:rsidRDefault="00306F85" w:rsidP="00203F2A">
          <w:pPr>
            <w:pStyle w:val="TOCHeading"/>
            <w:jc w:val="both"/>
            <w:rPr>
              <w:b/>
            </w:rPr>
          </w:pPr>
        </w:p>
        <w:p w14:paraId="74CD6EC5" w14:textId="521D711E" w:rsidR="005B2449" w:rsidRPr="005B2449" w:rsidRDefault="00306F85" w:rsidP="00203F2A">
          <w:pPr>
            <w:pStyle w:val="TOC1"/>
            <w:tabs>
              <w:tab w:val="right" w:leader="dot" w:pos="9016"/>
            </w:tabs>
            <w:jc w:val="both"/>
            <w:rPr>
              <w:rFonts w:eastAsiaTheme="minorEastAsia"/>
              <w:b/>
              <w:noProof/>
              <w:lang w:val="nl-NL" w:eastAsia="nl-NL"/>
            </w:rPr>
          </w:pPr>
          <w:r w:rsidRPr="005B2449">
            <w:rPr>
              <w:b/>
              <w:bCs/>
            </w:rPr>
            <w:fldChar w:fldCharType="begin"/>
          </w:r>
          <w:r w:rsidRPr="005B2449">
            <w:rPr>
              <w:b/>
              <w:bCs/>
            </w:rPr>
            <w:instrText xml:space="preserve"> TOC \o "1-3" \h \z \u </w:instrText>
          </w:r>
          <w:r w:rsidRPr="005B2449">
            <w:rPr>
              <w:b/>
              <w:bCs/>
            </w:rPr>
            <w:fldChar w:fldCharType="separate"/>
          </w:r>
          <w:hyperlink w:anchor="_Toc531965012" w:history="1">
            <w:r w:rsidR="005B2449" w:rsidRPr="005B2449">
              <w:rPr>
                <w:rStyle w:val="Hyperlink"/>
                <w:b/>
                <w:noProof/>
              </w:rPr>
              <w:t>Executive Summary</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_Toc531965012 \h </w:instrText>
            </w:r>
            <w:r w:rsidR="005B2449" w:rsidRPr="005B2449">
              <w:rPr>
                <w:b/>
                <w:noProof/>
                <w:webHidden/>
              </w:rPr>
            </w:r>
            <w:r w:rsidR="005B2449" w:rsidRPr="005B2449">
              <w:rPr>
                <w:b/>
                <w:noProof/>
                <w:webHidden/>
              </w:rPr>
              <w:fldChar w:fldCharType="separate"/>
            </w:r>
            <w:r w:rsidR="00141C90">
              <w:rPr>
                <w:b/>
                <w:noProof/>
                <w:webHidden/>
              </w:rPr>
              <w:t>i</w:t>
            </w:r>
            <w:r w:rsidR="005B2449" w:rsidRPr="005B2449">
              <w:rPr>
                <w:b/>
                <w:noProof/>
                <w:webHidden/>
              </w:rPr>
              <w:fldChar w:fldCharType="end"/>
            </w:r>
          </w:hyperlink>
        </w:p>
        <w:p w14:paraId="081F6752" w14:textId="0A9CBE3B" w:rsidR="005B2449" w:rsidRPr="005B2449" w:rsidRDefault="00714288" w:rsidP="00203F2A">
          <w:pPr>
            <w:pStyle w:val="TOC1"/>
            <w:tabs>
              <w:tab w:val="right" w:leader="dot" w:pos="9016"/>
            </w:tabs>
            <w:jc w:val="both"/>
            <w:rPr>
              <w:rFonts w:eastAsiaTheme="minorEastAsia"/>
              <w:b/>
              <w:noProof/>
              <w:lang w:val="nl-NL" w:eastAsia="nl-NL"/>
            </w:rPr>
          </w:pPr>
          <w:hyperlink w:anchor="_Toc531965013" w:history="1">
            <w:r w:rsidR="005B2449" w:rsidRPr="005B2449">
              <w:rPr>
                <w:rStyle w:val="Hyperlink"/>
                <w:b/>
                <w:noProof/>
                <w:lang w:val="nl-NL"/>
              </w:rPr>
              <w:t>Nederlandstalige Samenvatting</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_Toc531965013 \h </w:instrText>
            </w:r>
            <w:r w:rsidR="005B2449" w:rsidRPr="005B2449">
              <w:rPr>
                <w:b/>
                <w:noProof/>
                <w:webHidden/>
              </w:rPr>
            </w:r>
            <w:r w:rsidR="005B2449" w:rsidRPr="005B2449">
              <w:rPr>
                <w:b/>
                <w:noProof/>
                <w:webHidden/>
              </w:rPr>
              <w:fldChar w:fldCharType="separate"/>
            </w:r>
            <w:r w:rsidR="00141C90">
              <w:rPr>
                <w:b/>
                <w:noProof/>
                <w:webHidden/>
              </w:rPr>
              <w:t>iv</w:t>
            </w:r>
            <w:r w:rsidR="005B2449" w:rsidRPr="005B2449">
              <w:rPr>
                <w:b/>
                <w:noProof/>
                <w:webHidden/>
              </w:rPr>
              <w:fldChar w:fldCharType="end"/>
            </w:r>
          </w:hyperlink>
        </w:p>
        <w:p w14:paraId="37CB609F" w14:textId="2D145687" w:rsidR="005B2449" w:rsidRPr="005B2449" w:rsidRDefault="00714288" w:rsidP="00203F2A">
          <w:pPr>
            <w:pStyle w:val="TOC1"/>
            <w:tabs>
              <w:tab w:val="right" w:leader="dot" w:pos="9016"/>
            </w:tabs>
            <w:jc w:val="both"/>
            <w:rPr>
              <w:rFonts w:eastAsiaTheme="minorEastAsia"/>
              <w:b/>
              <w:noProof/>
              <w:lang w:val="nl-NL" w:eastAsia="nl-NL"/>
            </w:rPr>
          </w:pPr>
          <w:hyperlink w:anchor="_Toc531965014" w:history="1">
            <w:r w:rsidR="005B2449" w:rsidRPr="005B2449">
              <w:rPr>
                <w:rStyle w:val="Hyperlink"/>
                <w:b/>
                <w:noProof/>
              </w:rPr>
              <w:t>Abbreviations and Acronyms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_Toc531965014 \h </w:instrText>
            </w:r>
            <w:r w:rsidR="005B2449" w:rsidRPr="005B2449">
              <w:rPr>
                <w:b/>
                <w:noProof/>
                <w:webHidden/>
              </w:rPr>
            </w:r>
            <w:r w:rsidR="005B2449" w:rsidRPr="005B2449">
              <w:rPr>
                <w:b/>
                <w:noProof/>
                <w:webHidden/>
              </w:rPr>
              <w:fldChar w:fldCharType="separate"/>
            </w:r>
            <w:r w:rsidR="00141C90">
              <w:rPr>
                <w:b/>
                <w:noProof/>
                <w:webHidden/>
              </w:rPr>
              <w:t>vii</w:t>
            </w:r>
            <w:r w:rsidR="005B2449" w:rsidRPr="005B2449">
              <w:rPr>
                <w:b/>
                <w:noProof/>
                <w:webHidden/>
              </w:rPr>
              <w:fldChar w:fldCharType="end"/>
            </w:r>
          </w:hyperlink>
        </w:p>
        <w:p w14:paraId="10469792" w14:textId="0CED4BC4" w:rsidR="005B2449" w:rsidRPr="005B2449" w:rsidRDefault="00714288" w:rsidP="00203F2A">
          <w:pPr>
            <w:pStyle w:val="TOC1"/>
            <w:tabs>
              <w:tab w:val="right" w:leader="dot" w:pos="9016"/>
            </w:tabs>
            <w:jc w:val="both"/>
            <w:rPr>
              <w:rFonts w:eastAsiaTheme="minorEastAsia"/>
              <w:b/>
              <w:noProof/>
              <w:lang w:val="nl-NL" w:eastAsia="nl-NL"/>
            </w:rPr>
          </w:pPr>
          <w:hyperlink w:anchor="_Toc531965015" w:history="1">
            <w:r w:rsidR="005B2449" w:rsidRPr="005B2449">
              <w:rPr>
                <w:rStyle w:val="Hyperlink"/>
                <w:b/>
                <w:noProof/>
              </w:rPr>
              <w:t>Table of Contents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_Toc531965015 \h </w:instrText>
            </w:r>
            <w:r w:rsidR="005B2449" w:rsidRPr="005B2449">
              <w:rPr>
                <w:b/>
                <w:noProof/>
                <w:webHidden/>
              </w:rPr>
            </w:r>
            <w:r w:rsidR="005B2449" w:rsidRPr="005B2449">
              <w:rPr>
                <w:b/>
                <w:noProof/>
                <w:webHidden/>
              </w:rPr>
              <w:fldChar w:fldCharType="separate"/>
            </w:r>
            <w:r w:rsidR="00141C90">
              <w:rPr>
                <w:b/>
                <w:noProof/>
                <w:webHidden/>
              </w:rPr>
              <w:t>ix</w:t>
            </w:r>
            <w:r w:rsidR="005B2449" w:rsidRPr="005B2449">
              <w:rPr>
                <w:b/>
                <w:noProof/>
                <w:webHidden/>
              </w:rPr>
              <w:fldChar w:fldCharType="end"/>
            </w:r>
          </w:hyperlink>
        </w:p>
        <w:p w14:paraId="7F316D6A" w14:textId="0FD82B85" w:rsidR="005B2449" w:rsidRPr="005B2449" w:rsidRDefault="00714288" w:rsidP="00203F2A">
          <w:pPr>
            <w:pStyle w:val="TOC1"/>
            <w:tabs>
              <w:tab w:val="left" w:pos="1100"/>
              <w:tab w:val="right" w:leader="dot" w:pos="9016"/>
            </w:tabs>
            <w:jc w:val="both"/>
            <w:rPr>
              <w:rFonts w:eastAsiaTheme="minorEastAsia"/>
              <w:b/>
              <w:noProof/>
              <w:lang w:val="nl-NL" w:eastAsia="nl-NL"/>
            </w:rPr>
          </w:pPr>
          <w:hyperlink w:anchor="_Toc531965016" w:history="1">
            <w:r w:rsidR="005B2449" w:rsidRPr="005B2449">
              <w:rPr>
                <w:rStyle w:val="Hyperlink"/>
                <w:b/>
                <w:noProof/>
              </w:rPr>
              <w:t>Section 1</w:t>
            </w:r>
            <w:r w:rsidR="005B2449" w:rsidRPr="005B2449">
              <w:rPr>
                <w:rFonts w:eastAsiaTheme="minorEastAsia"/>
                <w:b/>
                <w:noProof/>
                <w:lang w:val="nl-NL" w:eastAsia="nl-NL"/>
              </w:rPr>
              <w:tab/>
            </w:r>
            <w:r w:rsidR="005B2449" w:rsidRPr="005B2449">
              <w:rPr>
                <w:rStyle w:val="Hyperlink"/>
                <w:b/>
                <w:noProof/>
              </w:rPr>
              <w:t>Background, Context and Description of the Project</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_Toc531965016 \h </w:instrText>
            </w:r>
            <w:r w:rsidR="005B2449" w:rsidRPr="005B2449">
              <w:rPr>
                <w:b/>
                <w:noProof/>
                <w:webHidden/>
              </w:rPr>
            </w:r>
            <w:r w:rsidR="005B2449" w:rsidRPr="005B2449">
              <w:rPr>
                <w:b/>
                <w:noProof/>
                <w:webHidden/>
              </w:rPr>
              <w:fldChar w:fldCharType="separate"/>
            </w:r>
            <w:r w:rsidR="00141C90">
              <w:rPr>
                <w:b/>
                <w:noProof/>
                <w:webHidden/>
              </w:rPr>
              <w:t>1</w:t>
            </w:r>
            <w:r w:rsidR="005B2449" w:rsidRPr="005B2449">
              <w:rPr>
                <w:b/>
                <w:noProof/>
                <w:webHidden/>
              </w:rPr>
              <w:fldChar w:fldCharType="end"/>
            </w:r>
          </w:hyperlink>
        </w:p>
        <w:p w14:paraId="263F703F" w14:textId="1E5859AB" w:rsidR="005B2449" w:rsidRPr="005B2449" w:rsidRDefault="00714288" w:rsidP="00203F2A">
          <w:pPr>
            <w:pStyle w:val="TOC1"/>
            <w:tabs>
              <w:tab w:val="left" w:pos="1100"/>
              <w:tab w:val="right" w:leader="dot" w:pos="9016"/>
            </w:tabs>
            <w:jc w:val="both"/>
            <w:rPr>
              <w:rFonts w:eastAsiaTheme="minorEastAsia"/>
              <w:b/>
              <w:noProof/>
              <w:lang w:val="nl-NL" w:eastAsia="nl-NL"/>
            </w:rPr>
          </w:pPr>
          <w:hyperlink w:anchor="_Toc531965017" w:history="1">
            <w:r w:rsidR="005B2449" w:rsidRPr="005B2449">
              <w:rPr>
                <w:rStyle w:val="Hyperlink"/>
                <w:b/>
                <w:noProof/>
              </w:rPr>
              <w:t>Section 2</w:t>
            </w:r>
            <w:r w:rsidR="005B2449" w:rsidRPr="005B2449">
              <w:rPr>
                <w:rFonts w:eastAsiaTheme="minorEastAsia"/>
                <w:b/>
                <w:noProof/>
                <w:lang w:val="nl-NL" w:eastAsia="nl-NL"/>
              </w:rPr>
              <w:tab/>
            </w:r>
            <w:r w:rsidR="005B2449" w:rsidRPr="005B2449">
              <w:rPr>
                <w:rStyle w:val="Hyperlink"/>
                <w:b/>
                <w:noProof/>
              </w:rPr>
              <w:t>Social and Environmental Safeguards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_Toc531965017 \h </w:instrText>
            </w:r>
            <w:r w:rsidR="005B2449" w:rsidRPr="005B2449">
              <w:rPr>
                <w:b/>
                <w:noProof/>
                <w:webHidden/>
              </w:rPr>
            </w:r>
            <w:r w:rsidR="005B2449" w:rsidRPr="005B2449">
              <w:rPr>
                <w:b/>
                <w:noProof/>
                <w:webHidden/>
              </w:rPr>
              <w:fldChar w:fldCharType="separate"/>
            </w:r>
            <w:r w:rsidR="00141C90">
              <w:rPr>
                <w:b/>
                <w:noProof/>
                <w:webHidden/>
              </w:rPr>
              <w:t>5</w:t>
            </w:r>
            <w:r w:rsidR="005B2449" w:rsidRPr="005B2449">
              <w:rPr>
                <w:b/>
                <w:noProof/>
                <w:webHidden/>
              </w:rPr>
              <w:fldChar w:fldCharType="end"/>
            </w:r>
          </w:hyperlink>
        </w:p>
        <w:p w14:paraId="6AC1FAB9" w14:textId="132B7235" w:rsidR="005B2449" w:rsidRPr="005B2449" w:rsidRDefault="00714288" w:rsidP="00203F2A">
          <w:pPr>
            <w:pStyle w:val="TOC1"/>
            <w:tabs>
              <w:tab w:val="left" w:pos="1100"/>
              <w:tab w:val="right" w:leader="dot" w:pos="9016"/>
            </w:tabs>
            <w:jc w:val="both"/>
            <w:rPr>
              <w:rFonts w:eastAsiaTheme="minorEastAsia"/>
              <w:b/>
              <w:noProof/>
              <w:lang w:val="nl-NL" w:eastAsia="nl-NL"/>
            </w:rPr>
          </w:pPr>
          <w:hyperlink w:anchor="_Toc531965018" w:history="1">
            <w:r w:rsidR="005B2449" w:rsidRPr="005B2449">
              <w:rPr>
                <w:rStyle w:val="Hyperlink"/>
                <w:b/>
                <w:noProof/>
              </w:rPr>
              <w:t xml:space="preserve">Section 3 </w:t>
            </w:r>
            <w:r w:rsidR="005B2449" w:rsidRPr="005B2449">
              <w:rPr>
                <w:rFonts w:eastAsiaTheme="minorEastAsia"/>
                <w:b/>
                <w:noProof/>
                <w:lang w:val="nl-NL" w:eastAsia="nl-NL"/>
              </w:rPr>
              <w:tab/>
            </w:r>
            <w:r w:rsidR="005B2449" w:rsidRPr="005B2449">
              <w:rPr>
                <w:rStyle w:val="Hyperlink"/>
                <w:b/>
                <w:noProof/>
              </w:rPr>
              <w:t>Legal, Regulatory and Policy Framework</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_Toc531965018 \h </w:instrText>
            </w:r>
            <w:r w:rsidR="005B2449" w:rsidRPr="005B2449">
              <w:rPr>
                <w:b/>
                <w:noProof/>
                <w:webHidden/>
              </w:rPr>
            </w:r>
            <w:r w:rsidR="005B2449" w:rsidRPr="005B2449">
              <w:rPr>
                <w:b/>
                <w:noProof/>
                <w:webHidden/>
              </w:rPr>
              <w:fldChar w:fldCharType="separate"/>
            </w:r>
            <w:r w:rsidR="00141C90">
              <w:rPr>
                <w:b/>
                <w:noProof/>
                <w:webHidden/>
              </w:rPr>
              <w:t>9</w:t>
            </w:r>
            <w:r w:rsidR="005B2449" w:rsidRPr="005B2449">
              <w:rPr>
                <w:b/>
                <w:noProof/>
                <w:webHidden/>
              </w:rPr>
              <w:fldChar w:fldCharType="end"/>
            </w:r>
          </w:hyperlink>
        </w:p>
        <w:p w14:paraId="2EBC833E" w14:textId="3D918898" w:rsidR="005B2449" w:rsidRPr="005B2449" w:rsidRDefault="00714288" w:rsidP="00203F2A">
          <w:pPr>
            <w:pStyle w:val="TOC1"/>
            <w:tabs>
              <w:tab w:val="left" w:pos="1100"/>
              <w:tab w:val="right" w:leader="dot" w:pos="9016"/>
            </w:tabs>
            <w:jc w:val="both"/>
            <w:rPr>
              <w:rFonts w:eastAsiaTheme="minorEastAsia"/>
              <w:b/>
              <w:noProof/>
              <w:lang w:val="nl-NL" w:eastAsia="nl-NL"/>
            </w:rPr>
          </w:pPr>
          <w:hyperlink w:anchor="_Toc531965019" w:history="1">
            <w:r w:rsidR="005B2449" w:rsidRPr="005B2449">
              <w:rPr>
                <w:rStyle w:val="Hyperlink"/>
                <w:b/>
                <w:noProof/>
              </w:rPr>
              <w:t xml:space="preserve">Section 4 </w:t>
            </w:r>
            <w:r w:rsidR="005B2449" w:rsidRPr="005B2449">
              <w:rPr>
                <w:rFonts w:eastAsiaTheme="minorEastAsia"/>
                <w:b/>
                <w:noProof/>
                <w:lang w:val="nl-NL" w:eastAsia="nl-NL"/>
              </w:rPr>
              <w:tab/>
            </w:r>
            <w:r w:rsidR="005B2449" w:rsidRPr="005B2449">
              <w:rPr>
                <w:rStyle w:val="Hyperlink"/>
                <w:b/>
                <w:noProof/>
              </w:rPr>
              <w:t>Environmental and Social Baseline</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_Toc531965019 \h </w:instrText>
            </w:r>
            <w:r w:rsidR="005B2449" w:rsidRPr="005B2449">
              <w:rPr>
                <w:b/>
                <w:noProof/>
                <w:webHidden/>
              </w:rPr>
            </w:r>
            <w:r w:rsidR="005B2449" w:rsidRPr="005B2449">
              <w:rPr>
                <w:b/>
                <w:noProof/>
                <w:webHidden/>
              </w:rPr>
              <w:fldChar w:fldCharType="separate"/>
            </w:r>
            <w:r w:rsidR="00141C90">
              <w:rPr>
                <w:b/>
                <w:noProof/>
                <w:webHidden/>
              </w:rPr>
              <w:t>12</w:t>
            </w:r>
            <w:r w:rsidR="005B2449" w:rsidRPr="005B2449">
              <w:rPr>
                <w:b/>
                <w:noProof/>
                <w:webHidden/>
              </w:rPr>
              <w:fldChar w:fldCharType="end"/>
            </w:r>
          </w:hyperlink>
        </w:p>
        <w:p w14:paraId="1103BAEB" w14:textId="6BF1A30E" w:rsidR="005B2449" w:rsidRPr="005B2449" w:rsidRDefault="00714288" w:rsidP="00203F2A">
          <w:pPr>
            <w:pStyle w:val="TOC1"/>
            <w:tabs>
              <w:tab w:val="left" w:pos="1100"/>
              <w:tab w:val="right" w:leader="dot" w:pos="9016"/>
            </w:tabs>
            <w:jc w:val="both"/>
            <w:rPr>
              <w:rFonts w:eastAsiaTheme="minorEastAsia"/>
              <w:b/>
              <w:noProof/>
              <w:lang w:val="nl-NL" w:eastAsia="nl-NL"/>
            </w:rPr>
          </w:pPr>
          <w:hyperlink w:anchor="_Toc531965020" w:history="1">
            <w:r w:rsidR="005B2449" w:rsidRPr="005B2449">
              <w:rPr>
                <w:rStyle w:val="Hyperlink"/>
                <w:b/>
                <w:noProof/>
              </w:rPr>
              <w:t>Section 5</w:t>
            </w:r>
            <w:r w:rsidR="005B2449" w:rsidRPr="005B2449">
              <w:rPr>
                <w:rFonts w:eastAsiaTheme="minorEastAsia"/>
                <w:b/>
                <w:noProof/>
                <w:lang w:val="nl-NL" w:eastAsia="nl-NL"/>
              </w:rPr>
              <w:tab/>
            </w:r>
            <w:r w:rsidR="005B2449" w:rsidRPr="005B2449">
              <w:rPr>
                <w:rStyle w:val="Hyperlink"/>
                <w:b/>
                <w:noProof/>
              </w:rPr>
              <w:t>Land Use and Ownership</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_Toc531965020 \h </w:instrText>
            </w:r>
            <w:r w:rsidR="005B2449" w:rsidRPr="005B2449">
              <w:rPr>
                <w:b/>
                <w:noProof/>
                <w:webHidden/>
              </w:rPr>
            </w:r>
            <w:r w:rsidR="005B2449" w:rsidRPr="005B2449">
              <w:rPr>
                <w:b/>
                <w:noProof/>
                <w:webHidden/>
              </w:rPr>
              <w:fldChar w:fldCharType="separate"/>
            </w:r>
            <w:r w:rsidR="00141C90">
              <w:rPr>
                <w:b/>
                <w:noProof/>
                <w:webHidden/>
              </w:rPr>
              <w:t>20</w:t>
            </w:r>
            <w:r w:rsidR="005B2449" w:rsidRPr="005B2449">
              <w:rPr>
                <w:b/>
                <w:noProof/>
                <w:webHidden/>
              </w:rPr>
              <w:fldChar w:fldCharType="end"/>
            </w:r>
          </w:hyperlink>
        </w:p>
        <w:p w14:paraId="5726713B" w14:textId="21784809" w:rsidR="005B2449" w:rsidRPr="005B2449" w:rsidRDefault="00714288" w:rsidP="00203F2A">
          <w:pPr>
            <w:pStyle w:val="TOC1"/>
            <w:tabs>
              <w:tab w:val="left" w:pos="1100"/>
              <w:tab w:val="right" w:leader="dot" w:pos="9016"/>
            </w:tabs>
            <w:jc w:val="both"/>
            <w:rPr>
              <w:rFonts w:eastAsiaTheme="minorEastAsia"/>
              <w:b/>
              <w:noProof/>
              <w:lang w:val="nl-NL" w:eastAsia="nl-NL"/>
            </w:rPr>
          </w:pPr>
          <w:hyperlink w:anchor="_Toc531965021" w:history="1">
            <w:r w:rsidR="005B2449" w:rsidRPr="005B2449">
              <w:rPr>
                <w:rStyle w:val="Hyperlink"/>
                <w:b/>
                <w:noProof/>
              </w:rPr>
              <w:t xml:space="preserve">Section 6 </w:t>
            </w:r>
            <w:r w:rsidR="005B2449" w:rsidRPr="005B2449">
              <w:rPr>
                <w:rFonts w:eastAsiaTheme="minorEastAsia"/>
                <w:b/>
                <w:noProof/>
                <w:lang w:val="nl-NL" w:eastAsia="nl-NL"/>
              </w:rPr>
              <w:tab/>
            </w:r>
            <w:r w:rsidR="005B2449" w:rsidRPr="005B2449">
              <w:rPr>
                <w:rStyle w:val="Hyperlink"/>
                <w:b/>
                <w:noProof/>
              </w:rPr>
              <w:t>Assessment of Environmental and Social Risks and Impacts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_Toc531965021 \h </w:instrText>
            </w:r>
            <w:r w:rsidR="005B2449" w:rsidRPr="005B2449">
              <w:rPr>
                <w:b/>
                <w:noProof/>
                <w:webHidden/>
              </w:rPr>
            </w:r>
            <w:r w:rsidR="005B2449" w:rsidRPr="005B2449">
              <w:rPr>
                <w:b/>
                <w:noProof/>
                <w:webHidden/>
              </w:rPr>
              <w:fldChar w:fldCharType="separate"/>
            </w:r>
            <w:r w:rsidR="00141C90">
              <w:rPr>
                <w:b/>
                <w:noProof/>
                <w:webHidden/>
              </w:rPr>
              <w:t>23</w:t>
            </w:r>
            <w:r w:rsidR="005B2449" w:rsidRPr="005B2449">
              <w:rPr>
                <w:b/>
                <w:noProof/>
                <w:webHidden/>
              </w:rPr>
              <w:fldChar w:fldCharType="end"/>
            </w:r>
          </w:hyperlink>
        </w:p>
        <w:p w14:paraId="78D2D68C" w14:textId="70B0C1E9" w:rsidR="005B2449" w:rsidRPr="005B2449" w:rsidRDefault="00714288" w:rsidP="00203F2A">
          <w:pPr>
            <w:pStyle w:val="TOC1"/>
            <w:tabs>
              <w:tab w:val="left" w:pos="1100"/>
              <w:tab w:val="right" w:leader="dot" w:pos="9016"/>
            </w:tabs>
            <w:jc w:val="both"/>
            <w:rPr>
              <w:rFonts w:eastAsiaTheme="minorEastAsia"/>
              <w:b/>
              <w:noProof/>
              <w:lang w:val="nl-NL" w:eastAsia="nl-NL"/>
            </w:rPr>
          </w:pPr>
          <w:hyperlink w:anchor="_Toc531965022" w:history="1">
            <w:r w:rsidR="005B2449" w:rsidRPr="005B2449">
              <w:rPr>
                <w:rStyle w:val="Hyperlink"/>
                <w:b/>
                <w:noProof/>
              </w:rPr>
              <w:t xml:space="preserve">Section 7 </w:t>
            </w:r>
            <w:r w:rsidR="005B2449" w:rsidRPr="005B2449">
              <w:rPr>
                <w:rFonts w:eastAsiaTheme="minorEastAsia"/>
                <w:b/>
                <w:noProof/>
                <w:lang w:val="nl-NL" w:eastAsia="nl-NL"/>
              </w:rPr>
              <w:tab/>
            </w:r>
            <w:r w:rsidR="005B2449" w:rsidRPr="005B2449">
              <w:rPr>
                <w:rStyle w:val="Hyperlink"/>
                <w:b/>
                <w:noProof/>
              </w:rPr>
              <w:t>Environmental and Social Management Plan</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_Toc531965022 \h </w:instrText>
            </w:r>
            <w:r w:rsidR="005B2449" w:rsidRPr="005B2449">
              <w:rPr>
                <w:b/>
                <w:noProof/>
                <w:webHidden/>
              </w:rPr>
            </w:r>
            <w:r w:rsidR="005B2449" w:rsidRPr="005B2449">
              <w:rPr>
                <w:b/>
                <w:noProof/>
                <w:webHidden/>
              </w:rPr>
              <w:fldChar w:fldCharType="separate"/>
            </w:r>
            <w:r w:rsidR="00141C90">
              <w:rPr>
                <w:b/>
                <w:noProof/>
                <w:webHidden/>
              </w:rPr>
              <w:t>28</w:t>
            </w:r>
            <w:r w:rsidR="005B2449" w:rsidRPr="005B2449">
              <w:rPr>
                <w:b/>
                <w:noProof/>
                <w:webHidden/>
              </w:rPr>
              <w:fldChar w:fldCharType="end"/>
            </w:r>
          </w:hyperlink>
        </w:p>
        <w:p w14:paraId="4B7DAB33" w14:textId="5F6F5E82" w:rsidR="005B2449" w:rsidRPr="005B2449" w:rsidRDefault="00714288" w:rsidP="00203F2A">
          <w:pPr>
            <w:pStyle w:val="TOC1"/>
            <w:tabs>
              <w:tab w:val="left" w:pos="1100"/>
              <w:tab w:val="right" w:leader="dot" w:pos="9016"/>
            </w:tabs>
            <w:jc w:val="both"/>
            <w:rPr>
              <w:rFonts w:eastAsiaTheme="minorEastAsia"/>
              <w:b/>
              <w:noProof/>
              <w:lang w:val="nl-NL" w:eastAsia="nl-NL"/>
            </w:rPr>
          </w:pPr>
          <w:hyperlink w:anchor="_Toc531965023" w:history="1">
            <w:r w:rsidR="005B2449" w:rsidRPr="005B2449">
              <w:rPr>
                <w:rStyle w:val="Hyperlink"/>
                <w:b/>
                <w:noProof/>
              </w:rPr>
              <w:t xml:space="preserve">Section 8 </w:t>
            </w:r>
            <w:r w:rsidR="005B2449" w:rsidRPr="005B2449">
              <w:rPr>
                <w:rFonts w:eastAsiaTheme="minorEastAsia"/>
                <w:b/>
                <w:noProof/>
                <w:lang w:val="nl-NL" w:eastAsia="nl-NL"/>
              </w:rPr>
              <w:tab/>
            </w:r>
            <w:r w:rsidR="005B2449" w:rsidRPr="005B2449">
              <w:rPr>
                <w:rStyle w:val="Hyperlink"/>
                <w:b/>
                <w:noProof/>
              </w:rPr>
              <w:t>Agricultural pest management plans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_Toc531965023 \h </w:instrText>
            </w:r>
            <w:r w:rsidR="005B2449" w:rsidRPr="005B2449">
              <w:rPr>
                <w:b/>
                <w:noProof/>
                <w:webHidden/>
              </w:rPr>
            </w:r>
            <w:r w:rsidR="005B2449" w:rsidRPr="005B2449">
              <w:rPr>
                <w:b/>
                <w:noProof/>
                <w:webHidden/>
              </w:rPr>
              <w:fldChar w:fldCharType="separate"/>
            </w:r>
            <w:r w:rsidR="00141C90">
              <w:rPr>
                <w:b/>
                <w:noProof/>
                <w:webHidden/>
              </w:rPr>
              <w:t>39</w:t>
            </w:r>
            <w:r w:rsidR="005B2449" w:rsidRPr="005B2449">
              <w:rPr>
                <w:b/>
                <w:noProof/>
                <w:webHidden/>
              </w:rPr>
              <w:fldChar w:fldCharType="end"/>
            </w:r>
          </w:hyperlink>
        </w:p>
        <w:p w14:paraId="2F1DA490" w14:textId="007A3584" w:rsidR="005B2449" w:rsidRPr="005B2449" w:rsidRDefault="00714288" w:rsidP="00203F2A">
          <w:pPr>
            <w:pStyle w:val="TOC1"/>
            <w:tabs>
              <w:tab w:val="left" w:pos="1100"/>
              <w:tab w:val="right" w:leader="dot" w:pos="9016"/>
            </w:tabs>
            <w:jc w:val="both"/>
            <w:rPr>
              <w:rFonts w:eastAsiaTheme="minorEastAsia"/>
              <w:b/>
              <w:noProof/>
              <w:lang w:val="nl-NL" w:eastAsia="nl-NL"/>
            </w:rPr>
          </w:pPr>
          <w:hyperlink w:anchor="_Toc531965024" w:history="1">
            <w:r w:rsidR="005B2449" w:rsidRPr="005B2449">
              <w:rPr>
                <w:rStyle w:val="Hyperlink"/>
                <w:rFonts w:asciiTheme="majorHAnsi" w:eastAsiaTheme="majorEastAsia" w:hAnsiTheme="majorHAnsi" w:cstheme="majorBidi"/>
                <w:b/>
                <w:noProof/>
              </w:rPr>
              <w:t xml:space="preserve">Section 9 </w:t>
            </w:r>
            <w:r w:rsidR="005B2449" w:rsidRPr="005B2449">
              <w:rPr>
                <w:rFonts w:eastAsiaTheme="minorEastAsia"/>
                <w:b/>
                <w:noProof/>
                <w:lang w:val="nl-NL" w:eastAsia="nl-NL"/>
              </w:rPr>
              <w:tab/>
            </w:r>
            <w:r w:rsidR="005B2449" w:rsidRPr="005B2449">
              <w:rPr>
                <w:rStyle w:val="Hyperlink"/>
                <w:rFonts w:asciiTheme="majorHAnsi" w:eastAsiaTheme="majorEastAsia" w:hAnsiTheme="majorHAnsi" w:cstheme="majorBidi"/>
                <w:b/>
                <w:noProof/>
              </w:rPr>
              <w:t>Capacity Assessment</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_Toc531965024 \h </w:instrText>
            </w:r>
            <w:r w:rsidR="005B2449" w:rsidRPr="005B2449">
              <w:rPr>
                <w:b/>
                <w:noProof/>
                <w:webHidden/>
              </w:rPr>
            </w:r>
            <w:r w:rsidR="005B2449" w:rsidRPr="005B2449">
              <w:rPr>
                <w:b/>
                <w:noProof/>
                <w:webHidden/>
              </w:rPr>
              <w:fldChar w:fldCharType="separate"/>
            </w:r>
            <w:r w:rsidR="00141C90">
              <w:rPr>
                <w:b/>
                <w:noProof/>
                <w:webHidden/>
              </w:rPr>
              <w:t>42</w:t>
            </w:r>
            <w:r w:rsidR="005B2449" w:rsidRPr="005B2449">
              <w:rPr>
                <w:b/>
                <w:noProof/>
                <w:webHidden/>
              </w:rPr>
              <w:fldChar w:fldCharType="end"/>
            </w:r>
          </w:hyperlink>
        </w:p>
        <w:p w14:paraId="1F3EE468" w14:textId="69D87C36" w:rsidR="005B2449" w:rsidRPr="005B2449" w:rsidRDefault="00714288" w:rsidP="00203F2A">
          <w:pPr>
            <w:pStyle w:val="TOC1"/>
            <w:tabs>
              <w:tab w:val="left" w:pos="1320"/>
              <w:tab w:val="right" w:leader="dot" w:pos="9016"/>
            </w:tabs>
            <w:jc w:val="both"/>
            <w:rPr>
              <w:rFonts w:eastAsiaTheme="minorEastAsia"/>
              <w:b/>
              <w:noProof/>
              <w:lang w:val="nl-NL" w:eastAsia="nl-NL"/>
            </w:rPr>
          </w:pPr>
          <w:hyperlink w:anchor="_Toc531965025" w:history="1">
            <w:r w:rsidR="005B2449" w:rsidRPr="005B2449">
              <w:rPr>
                <w:rStyle w:val="Hyperlink"/>
                <w:rFonts w:asciiTheme="majorHAnsi" w:eastAsiaTheme="majorEastAsia" w:hAnsiTheme="majorHAnsi" w:cstheme="majorBidi"/>
                <w:b/>
                <w:noProof/>
              </w:rPr>
              <w:t xml:space="preserve">Section 10 </w:t>
            </w:r>
            <w:r w:rsidR="005B2449" w:rsidRPr="005B2449">
              <w:rPr>
                <w:rFonts w:eastAsiaTheme="minorEastAsia"/>
                <w:b/>
                <w:noProof/>
                <w:lang w:val="nl-NL" w:eastAsia="nl-NL"/>
              </w:rPr>
              <w:tab/>
            </w:r>
            <w:r w:rsidR="005B2449" w:rsidRPr="005B2449">
              <w:rPr>
                <w:rStyle w:val="Hyperlink"/>
                <w:rFonts w:asciiTheme="majorHAnsi" w:eastAsiaTheme="majorEastAsia" w:hAnsiTheme="majorHAnsi" w:cstheme="majorBidi"/>
                <w:b/>
                <w:noProof/>
              </w:rPr>
              <w:t>Stakeholder Consultations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_Toc531965025 \h </w:instrText>
            </w:r>
            <w:r w:rsidR="005B2449" w:rsidRPr="005B2449">
              <w:rPr>
                <w:b/>
                <w:noProof/>
                <w:webHidden/>
              </w:rPr>
            </w:r>
            <w:r w:rsidR="005B2449" w:rsidRPr="005B2449">
              <w:rPr>
                <w:b/>
                <w:noProof/>
                <w:webHidden/>
              </w:rPr>
              <w:fldChar w:fldCharType="separate"/>
            </w:r>
            <w:r w:rsidR="00141C90">
              <w:rPr>
                <w:b/>
                <w:noProof/>
                <w:webHidden/>
              </w:rPr>
              <w:t>44</w:t>
            </w:r>
            <w:r w:rsidR="005B2449" w:rsidRPr="005B2449">
              <w:rPr>
                <w:b/>
                <w:noProof/>
                <w:webHidden/>
              </w:rPr>
              <w:fldChar w:fldCharType="end"/>
            </w:r>
          </w:hyperlink>
        </w:p>
        <w:p w14:paraId="4ACD372F" w14:textId="19BE59BF" w:rsidR="005B2449" w:rsidRPr="005B2449" w:rsidRDefault="00714288" w:rsidP="00203F2A">
          <w:pPr>
            <w:pStyle w:val="TOC1"/>
            <w:tabs>
              <w:tab w:val="right" w:leader="dot" w:pos="9016"/>
            </w:tabs>
            <w:jc w:val="both"/>
            <w:rPr>
              <w:rFonts w:eastAsiaTheme="minorEastAsia"/>
              <w:b/>
              <w:noProof/>
              <w:lang w:val="nl-NL" w:eastAsia="nl-NL"/>
            </w:rPr>
          </w:pPr>
          <w:hyperlink w:anchor="_Toc531965026" w:history="1">
            <w:r w:rsidR="005B2449" w:rsidRPr="005B2449">
              <w:rPr>
                <w:rStyle w:val="Hyperlink"/>
                <w:b/>
                <w:noProof/>
              </w:rPr>
              <w:t>Appendices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_Toc531965026 \h </w:instrText>
            </w:r>
            <w:r w:rsidR="005B2449" w:rsidRPr="005B2449">
              <w:rPr>
                <w:b/>
                <w:noProof/>
                <w:webHidden/>
              </w:rPr>
            </w:r>
            <w:r w:rsidR="005B2449" w:rsidRPr="005B2449">
              <w:rPr>
                <w:b/>
                <w:noProof/>
                <w:webHidden/>
              </w:rPr>
              <w:fldChar w:fldCharType="separate"/>
            </w:r>
            <w:r w:rsidR="00141C90">
              <w:rPr>
                <w:b/>
                <w:noProof/>
                <w:webHidden/>
              </w:rPr>
              <w:t>45</w:t>
            </w:r>
            <w:r w:rsidR="005B2449" w:rsidRPr="005B2449">
              <w:rPr>
                <w:b/>
                <w:noProof/>
                <w:webHidden/>
              </w:rPr>
              <w:fldChar w:fldCharType="end"/>
            </w:r>
          </w:hyperlink>
        </w:p>
        <w:p w14:paraId="3DCAD1E7" w14:textId="1AA02CA8" w:rsidR="005B2449" w:rsidRPr="005B2449" w:rsidRDefault="00714288" w:rsidP="00203F2A">
          <w:pPr>
            <w:pStyle w:val="TOC2"/>
            <w:tabs>
              <w:tab w:val="left" w:pos="1320"/>
              <w:tab w:val="right" w:leader="dot" w:pos="9016"/>
            </w:tabs>
            <w:jc w:val="both"/>
            <w:rPr>
              <w:rFonts w:eastAsiaTheme="minorEastAsia"/>
              <w:b/>
              <w:noProof/>
              <w:lang w:val="nl-NL" w:eastAsia="nl-NL"/>
            </w:rPr>
          </w:pPr>
          <w:hyperlink w:anchor="_Toc531965027" w:history="1">
            <w:r w:rsidR="005B2449" w:rsidRPr="005B2449">
              <w:rPr>
                <w:rStyle w:val="Hyperlink"/>
                <w:b/>
                <w:noProof/>
              </w:rPr>
              <w:t xml:space="preserve">Annex 1: </w:t>
            </w:r>
            <w:r w:rsidR="005B2449" w:rsidRPr="005B2449">
              <w:rPr>
                <w:rFonts w:eastAsiaTheme="minorEastAsia"/>
                <w:b/>
                <w:noProof/>
                <w:lang w:val="nl-NL" w:eastAsia="nl-NL"/>
              </w:rPr>
              <w:tab/>
            </w:r>
            <w:r w:rsidR="005B2449" w:rsidRPr="005B2449">
              <w:rPr>
                <w:rStyle w:val="Hyperlink"/>
                <w:b/>
                <w:noProof/>
              </w:rPr>
              <w:t>Environmental and Social Risk Screening Tool</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_Toc531965027 \h </w:instrText>
            </w:r>
            <w:r w:rsidR="005B2449" w:rsidRPr="005B2449">
              <w:rPr>
                <w:b/>
                <w:noProof/>
                <w:webHidden/>
              </w:rPr>
            </w:r>
            <w:r w:rsidR="005B2449" w:rsidRPr="005B2449">
              <w:rPr>
                <w:b/>
                <w:noProof/>
                <w:webHidden/>
              </w:rPr>
              <w:fldChar w:fldCharType="separate"/>
            </w:r>
            <w:r w:rsidR="00141C90">
              <w:rPr>
                <w:b/>
                <w:noProof/>
                <w:webHidden/>
              </w:rPr>
              <w:t>46</w:t>
            </w:r>
            <w:r w:rsidR="005B2449" w:rsidRPr="005B2449">
              <w:rPr>
                <w:b/>
                <w:noProof/>
                <w:webHidden/>
              </w:rPr>
              <w:fldChar w:fldCharType="end"/>
            </w:r>
          </w:hyperlink>
        </w:p>
        <w:p w14:paraId="28E35DDE" w14:textId="0381827A" w:rsidR="005B2449" w:rsidRPr="005B2449" w:rsidRDefault="00714288" w:rsidP="00203F2A">
          <w:pPr>
            <w:pStyle w:val="TOC2"/>
            <w:tabs>
              <w:tab w:val="left" w:pos="1320"/>
              <w:tab w:val="right" w:leader="dot" w:pos="9016"/>
            </w:tabs>
            <w:jc w:val="both"/>
            <w:rPr>
              <w:rFonts w:eastAsiaTheme="minorEastAsia"/>
              <w:b/>
              <w:noProof/>
              <w:lang w:val="nl-NL" w:eastAsia="nl-NL"/>
            </w:rPr>
          </w:pPr>
          <w:hyperlink w:anchor="_Toc531965028" w:history="1">
            <w:r w:rsidR="005B2449" w:rsidRPr="005B2449">
              <w:rPr>
                <w:rStyle w:val="Hyperlink"/>
                <w:b/>
                <w:noProof/>
              </w:rPr>
              <w:t xml:space="preserve">Annex 2: </w:t>
            </w:r>
            <w:r w:rsidR="005B2449" w:rsidRPr="005B2449">
              <w:rPr>
                <w:rFonts w:eastAsiaTheme="minorEastAsia"/>
                <w:b/>
                <w:noProof/>
                <w:lang w:val="nl-NL" w:eastAsia="nl-NL"/>
              </w:rPr>
              <w:tab/>
            </w:r>
            <w:r w:rsidR="005B2449" w:rsidRPr="005B2449">
              <w:rPr>
                <w:rStyle w:val="Hyperlink"/>
                <w:b/>
                <w:noProof/>
              </w:rPr>
              <w:t>Guidelines for Preparing an Integrated Pest Management Plan</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_Toc531965028 \h </w:instrText>
            </w:r>
            <w:r w:rsidR="005B2449" w:rsidRPr="005B2449">
              <w:rPr>
                <w:b/>
                <w:noProof/>
                <w:webHidden/>
              </w:rPr>
            </w:r>
            <w:r w:rsidR="005B2449" w:rsidRPr="005B2449">
              <w:rPr>
                <w:b/>
                <w:noProof/>
                <w:webHidden/>
              </w:rPr>
              <w:fldChar w:fldCharType="separate"/>
            </w:r>
            <w:r w:rsidR="00141C90">
              <w:rPr>
                <w:b/>
                <w:noProof/>
                <w:webHidden/>
              </w:rPr>
              <w:t>52</w:t>
            </w:r>
            <w:r w:rsidR="005B2449" w:rsidRPr="005B2449">
              <w:rPr>
                <w:b/>
                <w:noProof/>
                <w:webHidden/>
              </w:rPr>
              <w:fldChar w:fldCharType="end"/>
            </w:r>
          </w:hyperlink>
        </w:p>
        <w:p w14:paraId="3594C40C" w14:textId="02B03093" w:rsidR="005B2449" w:rsidRPr="005B2449" w:rsidRDefault="00714288" w:rsidP="00203F2A">
          <w:pPr>
            <w:pStyle w:val="TOC2"/>
            <w:tabs>
              <w:tab w:val="left" w:pos="1320"/>
              <w:tab w:val="right" w:leader="dot" w:pos="9016"/>
            </w:tabs>
            <w:jc w:val="both"/>
            <w:rPr>
              <w:rFonts w:eastAsiaTheme="minorEastAsia"/>
              <w:b/>
              <w:noProof/>
              <w:lang w:val="nl-NL" w:eastAsia="nl-NL"/>
            </w:rPr>
          </w:pPr>
          <w:hyperlink w:anchor="_Toc531965029" w:history="1">
            <w:r w:rsidR="005B2449" w:rsidRPr="005B2449">
              <w:rPr>
                <w:rStyle w:val="Hyperlink"/>
                <w:b/>
                <w:noProof/>
              </w:rPr>
              <w:t>Annex 3:</w:t>
            </w:r>
            <w:r w:rsidR="005B2449" w:rsidRPr="005B2449">
              <w:rPr>
                <w:rFonts w:eastAsiaTheme="minorEastAsia"/>
                <w:b/>
                <w:noProof/>
                <w:lang w:val="nl-NL" w:eastAsia="nl-NL"/>
              </w:rPr>
              <w:tab/>
            </w:r>
            <w:r w:rsidR="005B2449" w:rsidRPr="005B2449">
              <w:rPr>
                <w:rStyle w:val="Hyperlink"/>
                <w:b/>
                <w:noProof/>
              </w:rPr>
              <w:t>Chance Finds Procedure</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_Toc531965029 \h </w:instrText>
            </w:r>
            <w:r w:rsidR="005B2449" w:rsidRPr="005B2449">
              <w:rPr>
                <w:b/>
                <w:noProof/>
                <w:webHidden/>
              </w:rPr>
            </w:r>
            <w:r w:rsidR="005B2449" w:rsidRPr="005B2449">
              <w:rPr>
                <w:b/>
                <w:noProof/>
                <w:webHidden/>
              </w:rPr>
              <w:fldChar w:fldCharType="separate"/>
            </w:r>
            <w:r w:rsidR="00141C90">
              <w:rPr>
                <w:b/>
                <w:noProof/>
                <w:webHidden/>
              </w:rPr>
              <w:t>55</w:t>
            </w:r>
            <w:r w:rsidR="005B2449" w:rsidRPr="005B2449">
              <w:rPr>
                <w:b/>
                <w:noProof/>
                <w:webHidden/>
              </w:rPr>
              <w:fldChar w:fldCharType="end"/>
            </w:r>
          </w:hyperlink>
        </w:p>
        <w:p w14:paraId="2731D541" w14:textId="0398D325" w:rsidR="005B2449" w:rsidRPr="005B2449" w:rsidRDefault="00714288" w:rsidP="00203F2A">
          <w:pPr>
            <w:pStyle w:val="TOC2"/>
            <w:tabs>
              <w:tab w:val="left" w:pos="1320"/>
              <w:tab w:val="right" w:leader="dot" w:pos="9016"/>
            </w:tabs>
            <w:jc w:val="both"/>
            <w:rPr>
              <w:rFonts w:eastAsiaTheme="minorEastAsia"/>
              <w:b/>
              <w:noProof/>
              <w:lang w:val="nl-NL" w:eastAsia="nl-NL"/>
            </w:rPr>
          </w:pPr>
          <w:hyperlink w:anchor="_Toc531965030" w:history="1">
            <w:r w:rsidR="005B2449" w:rsidRPr="005B2449">
              <w:rPr>
                <w:rStyle w:val="Hyperlink"/>
                <w:b/>
                <w:noProof/>
              </w:rPr>
              <w:t>Annex 4:</w:t>
            </w:r>
            <w:r w:rsidR="005B2449" w:rsidRPr="005B2449">
              <w:rPr>
                <w:rFonts w:eastAsiaTheme="minorEastAsia"/>
                <w:b/>
                <w:noProof/>
                <w:lang w:val="nl-NL" w:eastAsia="nl-NL"/>
              </w:rPr>
              <w:tab/>
            </w:r>
            <w:r w:rsidR="005B2449" w:rsidRPr="005B2449">
              <w:rPr>
                <w:rStyle w:val="Hyperlink"/>
                <w:b/>
                <w:noProof/>
              </w:rPr>
              <w:t>Safeguards Documents Consultations: Stakeholder Attendance</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_Toc531965030 \h </w:instrText>
            </w:r>
            <w:r w:rsidR="005B2449" w:rsidRPr="005B2449">
              <w:rPr>
                <w:b/>
                <w:noProof/>
                <w:webHidden/>
              </w:rPr>
            </w:r>
            <w:r w:rsidR="005B2449" w:rsidRPr="005B2449">
              <w:rPr>
                <w:b/>
                <w:noProof/>
                <w:webHidden/>
              </w:rPr>
              <w:fldChar w:fldCharType="separate"/>
            </w:r>
            <w:r w:rsidR="00141C90">
              <w:rPr>
                <w:b/>
                <w:noProof/>
                <w:webHidden/>
              </w:rPr>
              <w:t>57</w:t>
            </w:r>
            <w:r w:rsidR="005B2449" w:rsidRPr="005B2449">
              <w:rPr>
                <w:b/>
                <w:noProof/>
                <w:webHidden/>
              </w:rPr>
              <w:fldChar w:fldCharType="end"/>
            </w:r>
          </w:hyperlink>
        </w:p>
        <w:p w14:paraId="3DCEF0BC" w14:textId="6A16FD9E" w:rsidR="005B2449" w:rsidRPr="005B2449" w:rsidRDefault="00714288" w:rsidP="00203F2A">
          <w:pPr>
            <w:pStyle w:val="TOC2"/>
            <w:tabs>
              <w:tab w:val="left" w:pos="1320"/>
              <w:tab w:val="right" w:leader="dot" w:pos="9016"/>
            </w:tabs>
            <w:jc w:val="both"/>
            <w:rPr>
              <w:rFonts w:eastAsiaTheme="minorEastAsia"/>
              <w:b/>
              <w:noProof/>
              <w:lang w:val="nl-NL" w:eastAsia="nl-NL"/>
            </w:rPr>
          </w:pPr>
          <w:hyperlink w:anchor="_Toc531965031" w:history="1">
            <w:r w:rsidR="005B2449" w:rsidRPr="005B2449">
              <w:rPr>
                <w:rStyle w:val="Hyperlink"/>
                <w:b/>
                <w:noProof/>
              </w:rPr>
              <w:t>Annex 5:</w:t>
            </w:r>
            <w:r w:rsidR="005B2449" w:rsidRPr="005B2449">
              <w:rPr>
                <w:rFonts w:eastAsiaTheme="minorEastAsia"/>
                <w:b/>
                <w:noProof/>
                <w:lang w:val="nl-NL" w:eastAsia="nl-NL"/>
              </w:rPr>
              <w:tab/>
            </w:r>
            <w:r w:rsidR="005B2449" w:rsidRPr="005B2449">
              <w:rPr>
                <w:rStyle w:val="Hyperlink"/>
                <w:b/>
                <w:noProof/>
              </w:rPr>
              <w:t>List of References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_Toc531965031 \h </w:instrText>
            </w:r>
            <w:r w:rsidR="005B2449" w:rsidRPr="005B2449">
              <w:rPr>
                <w:b/>
                <w:noProof/>
                <w:webHidden/>
              </w:rPr>
            </w:r>
            <w:r w:rsidR="005B2449" w:rsidRPr="005B2449">
              <w:rPr>
                <w:b/>
                <w:noProof/>
                <w:webHidden/>
              </w:rPr>
              <w:fldChar w:fldCharType="separate"/>
            </w:r>
            <w:r w:rsidR="00141C90">
              <w:rPr>
                <w:b/>
                <w:noProof/>
                <w:webHidden/>
              </w:rPr>
              <w:t>59</w:t>
            </w:r>
            <w:r w:rsidR="005B2449" w:rsidRPr="005B2449">
              <w:rPr>
                <w:b/>
                <w:noProof/>
                <w:webHidden/>
              </w:rPr>
              <w:fldChar w:fldCharType="end"/>
            </w:r>
          </w:hyperlink>
        </w:p>
        <w:p w14:paraId="3ACF5202" w14:textId="021182A4" w:rsidR="009B4005" w:rsidRPr="005B2449" w:rsidRDefault="00306F85" w:rsidP="00203F2A">
          <w:pPr>
            <w:jc w:val="both"/>
            <w:rPr>
              <w:b/>
              <w:bCs/>
            </w:rPr>
          </w:pPr>
          <w:r w:rsidRPr="005B2449">
            <w:rPr>
              <w:b/>
              <w:bCs/>
            </w:rPr>
            <w:fldChar w:fldCharType="end"/>
          </w:r>
        </w:p>
        <w:p w14:paraId="00979C95" w14:textId="59B61EFA" w:rsidR="00306F85" w:rsidRDefault="00714288" w:rsidP="00203F2A">
          <w:pPr>
            <w:jc w:val="both"/>
          </w:pPr>
        </w:p>
      </w:sdtContent>
    </w:sdt>
    <w:p w14:paraId="0E9648BD" w14:textId="7E354FE0" w:rsidR="001A58A1" w:rsidRDefault="001A58A1" w:rsidP="00203F2A">
      <w:pPr>
        <w:pStyle w:val="NoSpacing"/>
        <w:jc w:val="both"/>
      </w:pPr>
    </w:p>
    <w:p w14:paraId="6AF5C2CC" w14:textId="51C60D1F" w:rsidR="004C75AF" w:rsidRPr="004C75AF" w:rsidRDefault="004C75AF" w:rsidP="00203F2A">
      <w:pPr>
        <w:pStyle w:val="NoSpacing"/>
        <w:spacing w:line="360" w:lineRule="auto"/>
        <w:jc w:val="both"/>
        <w:rPr>
          <w:b/>
        </w:rPr>
      </w:pPr>
      <w:r w:rsidRPr="004C75AF">
        <w:rPr>
          <w:b/>
        </w:rPr>
        <w:t xml:space="preserve">Table 1: </w:t>
      </w:r>
      <w:r w:rsidR="00E9688A">
        <w:rPr>
          <w:b/>
        </w:rPr>
        <w:tab/>
      </w:r>
      <w:r w:rsidRPr="004C75AF">
        <w:rPr>
          <w:b/>
        </w:rPr>
        <w:t xml:space="preserve">WBG Operational Policies triggered by the </w:t>
      </w:r>
      <w:r w:rsidR="00190610">
        <w:rPr>
          <w:b/>
        </w:rPr>
        <w:t>SCSD</w:t>
      </w:r>
      <w:r w:rsidRPr="004C75AF">
        <w:rPr>
          <w:b/>
        </w:rPr>
        <w:t xml:space="preserve"> Project</w:t>
      </w:r>
      <w:r w:rsidR="006D7A90">
        <w:rPr>
          <w:b/>
        </w:rPr>
        <w:tab/>
      </w:r>
      <w:r w:rsidR="006D7A90">
        <w:rPr>
          <w:b/>
        </w:rPr>
        <w:tab/>
        <w:t>page 6</w:t>
      </w:r>
    </w:p>
    <w:p w14:paraId="2FB551CF" w14:textId="6DE4B20F" w:rsidR="004C75AF" w:rsidRPr="00931172" w:rsidRDefault="004C75AF" w:rsidP="00203F2A">
      <w:pPr>
        <w:spacing w:after="0" w:line="360" w:lineRule="auto"/>
        <w:jc w:val="both"/>
        <w:rPr>
          <w:rFonts w:eastAsia="Times New Roman" w:cstheme="minorHAnsi"/>
          <w:b/>
          <w:lang w:val="en-US"/>
        </w:rPr>
      </w:pPr>
      <w:r w:rsidRPr="00931172">
        <w:rPr>
          <w:rFonts w:eastAsia="Times New Roman" w:cstheme="minorHAnsi"/>
          <w:b/>
          <w:lang w:val="en-US"/>
        </w:rPr>
        <w:t>Table</w:t>
      </w:r>
      <w:r>
        <w:rPr>
          <w:rFonts w:eastAsia="Times New Roman" w:cstheme="minorHAnsi"/>
          <w:b/>
          <w:lang w:val="en-US"/>
        </w:rPr>
        <w:t xml:space="preserve"> 2:</w:t>
      </w:r>
      <w:r w:rsidRPr="00931172">
        <w:rPr>
          <w:rFonts w:eastAsia="Times New Roman" w:cstheme="minorHAnsi"/>
          <w:b/>
          <w:lang w:val="en-US"/>
        </w:rPr>
        <w:t xml:space="preserve"> </w:t>
      </w:r>
      <w:r w:rsidR="00E9688A">
        <w:rPr>
          <w:rFonts w:eastAsia="Times New Roman" w:cstheme="minorHAnsi"/>
          <w:b/>
          <w:lang w:val="en-US"/>
        </w:rPr>
        <w:tab/>
      </w:r>
      <w:r w:rsidRPr="00931172">
        <w:rPr>
          <w:rFonts w:eastAsia="Times New Roman" w:cstheme="minorHAnsi"/>
          <w:b/>
          <w:lang w:val="en-US"/>
        </w:rPr>
        <w:t xml:space="preserve">Formally recognized, informal and proposed </w:t>
      </w:r>
      <w:r w:rsidR="008619AD">
        <w:rPr>
          <w:rFonts w:eastAsia="Times New Roman" w:cstheme="minorHAnsi"/>
          <w:b/>
          <w:lang w:val="en-US"/>
        </w:rPr>
        <w:t>P</w:t>
      </w:r>
      <w:r w:rsidRPr="00931172">
        <w:rPr>
          <w:rFonts w:eastAsia="Times New Roman" w:cstheme="minorHAnsi"/>
          <w:b/>
          <w:lang w:val="en-US"/>
        </w:rPr>
        <w:t xml:space="preserve">rotected </w:t>
      </w:r>
      <w:r w:rsidR="008619AD">
        <w:rPr>
          <w:rFonts w:eastAsia="Times New Roman" w:cstheme="minorHAnsi"/>
          <w:b/>
          <w:lang w:val="en-US"/>
        </w:rPr>
        <w:t>A</w:t>
      </w:r>
      <w:r w:rsidRPr="00931172">
        <w:rPr>
          <w:rFonts w:eastAsia="Times New Roman" w:cstheme="minorHAnsi"/>
          <w:b/>
          <w:lang w:val="en-US"/>
        </w:rPr>
        <w:t>reas</w:t>
      </w:r>
      <w:r w:rsidR="006D7A90">
        <w:rPr>
          <w:rFonts w:eastAsia="Times New Roman" w:cstheme="minorHAnsi"/>
          <w:b/>
          <w:lang w:val="en-US"/>
        </w:rPr>
        <w:tab/>
      </w:r>
      <w:r w:rsidR="006D7A90">
        <w:rPr>
          <w:rFonts w:eastAsia="Times New Roman" w:cstheme="minorHAnsi"/>
          <w:b/>
          <w:lang w:val="en-US"/>
        </w:rPr>
        <w:tab/>
        <w:t>page 17</w:t>
      </w:r>
    </w:p>
    <w:p w14:paraId="6CC86AF5" w14:textId="3E50BF12" w:rsidR="004C75AF" w:rsidRPr="004C75AF" w:rsidRDefault="004C75AF" w:rsidP="00203F2A">
      <w:pPr>
        <w:pStyle w:val="NoSpacing"/>
        <w:spacing w:line="360" w:lineRule="auto"/>
        <w:jc w:val="both"/>
        <w:rPr>
          <w:b/>
        </w:rPr>
      </w:pPr>
      <w:r w:rsidRPr="004C75AF">
        <w:rPr>
          <w:b/>
        </w:rPr>
        <w:t xml:space="preserve">Table 3: </w:t>
      </w:r>
      <w:r w:rsidR="00E9688A">
        <w:rPr>
          <w:b/>
        </w:rPr>
        <w:tab/>
      </w:r>
      <w:r w:rsidRPr="004C75AF">
        <w:rPr>
          <w:b/>
        </w:rPr>
        <w:t>Timber Harvesting Titles 2016: numbers and areas</w:t>
      </w:r>
      <w:r w:rsidR="006D7A90">
        <w:rPr>
          <w:b/>
        </w:rPr>
        <w:tab/>
      </w:r>
      <w:r w:rsidR="006D7A90">
        <w:rPr>
          <w:b/>
        </w:rPr>
        <w:tab/>
      </w:r>
      <w:r w:rsidR="006D7A90">
        <w:rPr>
          <w:b/>
        </w:rPr>
        <w:tab/>
        <w:t>page 21</w:t>
      </w:r>
    </w:p>
    <w:p w14:paraId="352EF3C0" w14:textId="58B7CA5D" w:rsidR="004C75AF" w:rsidRPr="00E6405D" w:rsidRDefault="004C75AF" w:rsidP="00203F2A">
      <w:pPr>
        <w:pStyle w:val="NoSpacing"/>
        <w:spacing w:line="360" w:lineRule="auto"/>
        <w:jc w:val="both"/>
        <w:rPr>
          <w:b/>
        </w:rPr>
      </w:pPr>
      <w:r w:rsidRPr="00E6405D">
        <w:rPr>
          <w:b/>
        </w:rPr>
        <w:t>Table</w:t>
      </w:r>
      <w:r>
        <w:rPr>
          <w:b/>
        </w:rPr>
        <w:t xml:space="preserve"> 4</w:t>
      </w:r>
      <w:r w:rsidRPr="00E6405D">
        <w:rPr>
          <w:b/>
        </w:rPr>
        <w:t xml:space="preserve">: </w:t>
      </w:r>
      <w:r w:rsidR="00E9688A">
        <w:rPr>
          <w:b/>
        </w:rPr>
        <w:tab/>
      </w:r>
      <w:r w:rsidRPr="00E6405D">
        <w:rPr>
          <w:b/>
        </w:rPr>
        <w:t>Examples of potential Risks and Impacts</w:t>
      </w:r>
      <w:r w:rsidR="006D7A90">
        <w:rPr>
          <w:b/>
        </w:rPr>
        <w:tab/>
      </w:r>
      <w:r w:rsidR="006D7A90">
        <w:rPr>
          <w:b/>
        </w:rPr>
        <w:tab/>
      </w:r>
      <w:r w:rsidR="006D7A90">
        <w:rPr>
          <w:b/>
        </w:rPr>
        <w:tab/>
      </w:r>
      <w:r w:rsidR="006D7A90">
        <w:rPr>
          <w:b/>
        </w:rPr>
        <w:tab/>
        <w:t>page 27</w:t>
      </w:r>
    </w:p>
    <w:p w14:paraId="105EAF8D" w14:textId="2BED9764" w:rsidR="00BE1A79" w:rsidRPr="00E6405D" w:rsidRDefault="00BE1A79" w:rsidP="00203F2A">
      <w:pPr>
        <w:pStyle w:val="NoSpacing"/>
        <w:spacing w:line="360" w:lineRule="auto"/>
        <w:jc w:val="both"/>
        <w:rPr>
          <w:b/>
        </w:rPr>
      </w:pPr>
      <w:r w:rsidRPr="00E6405D">
        <w:rPr>
          <w:b/>
        </w:rPr>
        <w:t>Table</w:t>
      </w:r>
      <w:r>
        <w:rPr>
          <w:b/>
        </w:rPr>
        <w:t xml:space="preserve"> 5</w:t>
      </w:r>
      <w:r w:rsidRPr="00E6405D">
        <w:rPr>
          <w:b/>
        </w:rPr>
        <w:t xml:space="preserve">: </w:t>
      </w:r>
      <w:r w:rsidR="00E9688A">
        <w:rPr>
          <w:b/>
        </w:rPr>
        <w:tab/>
      </w:r>
      <w:r w:rsidRPr="00E6405D">
        <w:rPr>
          <w:b/>
        </w:rPr>
        <w:t xml:space="preserve">Examples of </w:t>
      </w:r>
      <w:r>
        <w:rPr>
          <w:b/>
        </w:rPr>
        <w:t>M</w:t>
      </w:r>
      <w:r w:rsidRPr="00E6405D">
        <w:rPr>
          <w:b/>
        </w:rPr>
        <w:t xml:space="preserve">itigating </w:t>
      </w:r>
      <w:r>
        <w:rPr>
          <w:b/>
        </w:rPr>
        <w:t>A</w:t>
      </w:r>
      <w:r w:rsidRPr="00E6405D">
        <w:rPr>
          <w:b/>
        </w:rPr>
        <w:t>ctions</w:t>
      </w:r>
      <w:r w:rsidR="006D7A90">
        <w:rPr>
          <w:b/>
        </w:rPr>
        <w:tab/>
      </w:r>
      <w:r w:rsidR="006D7A90">
        <w:rPr>
          <w:b/>
        </w:rPr>
        <w:tab/>
      </w:r>
      <w:r w:rsidR="006D7A90">
        <w:rPr>
          <w:b/>
        </w:rPr>
        <w:tab/>
      </w:r>
      <w:r w:rsidR="006D7A90">
        <w:rPr>
          <w:b/>
        </w:rPr>
        <w:tab/>
      </w:r>
      <w:r w:rsidR="006D7A90">
        <w:rPr>
          <w:b/>
        </w:rPr>
        <w:tab/>
      </w:r>
      <w:r w:rsidR="006D7A90">
        <w:rPr>
          <w:b/>
        </w:rPr>
        <w:tab/>
        <w:t>page 38</w:t>
      </w:r>
    </w:p>
    <w:p w14:paraId="5E463298" w14:textId="460FD28D" w:rsidR="007A3529" w:rsidRPr="004C75AF" w:rsidRDefault="007A3529" w:rsidP="00203F2A">
      <w:pPr>
        <w:pStyle w:val="NoSpacing"/>
        <w:spacing w:line="360" w:lineRule="auto"/>
        <w:jc w:val="both"/>
      </w:pPr>
    </w:p>
    <w:p w14:paraId="680D4330" w14:textId="77777777" w:rsidR="007A3529" w:rsidRDefault="007A3529" w:rsidP="00203F2A">
      <w:pPr>
        <w:pStyle w:val="NoSpacing"/>
        <w:jc w:val="both"/>
      </w:pPr>
    </w:p>
    <w:p w14:paraId="3701C877" w14:textId="40A13D93" w:rsidR="009C17CE" w:rsidRDefault="009C17CE" w:rsidP="00203F2A">
      <w:pPr>
        <w:jc w:val="both"/>
      </w:pPr>
      <w:r>
        <w:br w:type="page"/>
      </w:r>
    </w:p>
    <w:p w14:paraId="72191AA2" w14:textId="77777777" w:rsidR="00E10345" w:rsidRDefault="00E10345" w:rsidP="00203F2A">
      <w:pPr>
        <w:pStyle w:val="Heading1"/>
        <w:jc w:val="both"/>
        <w:sectPr w:rsidR="00E10345" w:rsidSect="00E10345">
          <w:footerReference w:type="default" r:id="rId9"/>
          <w:footerReference w:type="first" r:id="rId10"/>
          <w:pgSz w:w="11906" w:h="16838" w:code="9"/>
          <w:pgMar w:top="851" w:right="1440" w:bottom="1276" w:left="1440" w:header="720" w:footer="720" w:gutter="0"/>
          <w:pgNumType w:fmt="lowerRoman" w:start="1"/>
          <w:cols w:space="720"/>
          <w:docGrid w:linePitch="360"/>
        </w:sectPr>
      </w:pPr>
      <w:bookmarkStart w:id="12" w:name="_Hlk526325193"/>
    </w:p>
    <w:p w14:paraId="06E56318" w14:textId="6D370073" w:rsidR="00327A5B" w:rsidRPr="00E27582" w:rsidRDefault="00327A5B" w:rsidP="00203F2A">
      <w:pPr>
        <w:pStyle w:val="Heading1"/>
        <w:jc w:val="both"/>
        <w:rPr>
          <w:b w:val="0"/>
        </w:rPr>
      </w:pPr>
      <w:bookmarkStart w:id="13" w:name="_Toc531965016"/>
      <w:r w:rsidRPr="00E27582">
        <w:t>Section 1</w:t>
      </w:r>
      <w:r w:rsidRPr="00E27582">
        <w:tab/>
        <w:t xml:space="preserve">Background, </w:t>
      </w:r>
      <w:r>
        <w:t>C</w:t>
      </w:r>
      <w:r w:rsidRPr="00E27582">
        <w:t xml:space="preserve">ontext and </w:t>
      </w:r>
      <w:r>
        <w:t>D</w:t>
      </w:r>
      <w:r w:rsidRPr="00E27582">
        <w:t>escription of the Project</w:t>
      </w:r>
      <w:bookmarkEnd w:id="13"/>
    </w:p>
    <w:p w14:paraId="29174BF6" w14:textId="4DFF9556" w:rsidR="00327A5B" w:rsidRDefault="00327A5B" w:rsidP="00203F2A">
      <w:pPr>
        <w:pStyle w:val="NoSpacing"/>
        <w:jc w:val="both"/>
      </w:pPr>
    </w:p>
    <w:p w14:paraId="050C5FC9" w14:textId="77777777" w:rsidR="001049BA" w:rsidRDefault="001049BA" w:rsidP="00203F2A">
      <w:pPr>
        <w:pStyle w:val="NoSpacing"/>
        <w:jc w:val="both"/>
      </w:pPr>
      <w:r w:rsidRPr="00351D37">
        <w:rPr>
          <w:b/>
        </w:rPr>
        <w:t xml:space="preserve">The World Bank’s program supporting development in Suriname is grounded in the Country Partnership Strategy (CPS) established between the World Bank </w:t>
      </w:r>
      <w:r>
        <w:rPr>
          <w:b/>
        </w:rPr>
        <w:t xml:space="preserve">Group (WBG) </w:t>
      </w:r>
      <w:r w:rsidRPr="00351D37">
        <w:rPr>
          <w:b/>
        </w:rPr>
        <w:t>and the Government of Suriname in 2015.</w:t>
      </w:r>
      <w:r>
        <w:t xml:space="preserve"> This CPS represents the first WBG strategy and engagement with Suriname for nearly 30 years. The strategy has the overarching goal of promoting sustainable, inclusive, and diversified growth in Suriname through two areas of engagement: creating a conducive environment for private sector development and reducing vulnerability to climate change related floods. Underpinning the CPS is a focus on strengthening environmental and social standards and impact management.</w:t>
      </w:r>
    </w:p>
    <w:p w14:paraId="46C3508D" w14:textId="77777777" w:rsidR="001049BA" w:rsidRDefault="001049BA" w:rsidP="00203F2A">
      <w:pPr>
        <w:pStyle w:val="NoSpacing"/>
        <w:jc w:val="both"/>
      </w:pPr>
    </w:p>
    <w:p w14:paraId="4DF60358" w14:textId="77777777" w:rsidR="001049BA" w:rsidRDefault="001049BA" w:rsidP="00203F2A">
      <w:pPr>
        <w:pStyle w:val="NoSpacing"/>
        <w:jc w:val="both"/>
      </w:pPr>
      <w:r w:rsidRPr="00351D37">
        <w:rPr>
          <w:b/>
        </w:rPr>
        <w:t>This CPS is grounded in the economic context of Suriname being a small economy dependent on extractive industries.</w:t>
      </w:r>
      <w:r>
        <w:t xml:space="preserve"> The extraction and processing of gold, oil, and bauxite have historically accounted directly for around 30 percent of the Gross Domestic Product (GDP) and as much as 90 percent of its exports. Agriculture is a historically important sector, but currently only accounts for about 10 percent of GDP, tourism has potential but is currently only a nascent industry. This dependence on commodities and limited diversification of the economy create macro-economic and sustainability risks for Suriname. </w:t>
      </w:r>
    </w:p>
    <w:p w14:paraId="71EB23CD" w14:textId="77777777" w:rsidR="001049BA" w:rsidRDefault="001049BA" w:rsidP="00203F2A">
      <w:pPr>
        <w:pStyle w:val="NoSpacing"/>
        <w:jc w:val="both"/>
      </w:pPr>
    </w:p>
    <w:p w14:paraId="64C971B2" w14:textId="77777777" w:rsidR="001049BA" w:rsidRDefault="001049BA" w:rsidP="00203F2A">
      <w:pPr>
        <w:pStyle w:val="NoSpacing"/>
        <w:jc w:val="both"/>
      </w:pPr>
      <w:r w:rsidRPr="00351D37">
        <w:rPr>
          <w:b/>
        </w:rPr>
        <w:t xml:space="preserve">The reliance on commodity extraction also threatens depletion of Suriname’s natural assets, which include substantial pristine forest coverage and rich reserves of natural </w:t>
      </w:r>
      <w:r>
        <w:rPr>
          <w:b/>
        </w:rPr>
        <w:t xml:space="preserve">fresh </w:t>
      </w:r>
      <w:r w:rsidRPr="00351D37">
        <w:rPr>
          <w:b/>
        </w:rPr>
        <w:t>water.</w:t>
      </w:r>
      <w:r>
        <w:t xml:space="preserve"> Suriname lacks a comprehensive legal framework to manage the environmental and social impacts of its main economic activities, and there are limited plans to mitigate the impact of climate change - such as increased flooding - on economic activities along the coastal plain, creating risks for sustainable growth.</w:t>
      </w:r>
    </w:p>
    <w:p w14:paraId="1F1BAE2E" w14:textId="77777777" w:rsidR="001049BA" w:rsidRDefault="001049BA" w:rsidP="00203F2A">
      <w:pPr>
        <w:pStyle w:val="NoSpacing"/>
        <w:jc w:val="both"/>
      </w:pPr>
    </w:p>
    <w:p w14:paraId="03F5DF80" w14:textId="6002C386" w:rsidR="001049BA" w:rsidRDefault="001049BA" w:rsidP="00203F2A">
      <w:pPr>
        <w:pStyle w:val="NoSpacing"/>
        <w:jc w:val="both"/>
      </w:pPr>
      <w:r w:rsidRPr="00351D37">
        <w:rPr>
          <w:b/>
        </w:rPr>
        <w:t>New private investment is needed to catalyse economic activity and increase resilience to shocks in the future.</w:t>
      </w:r>
      <w:r>
        <w:t xml:space="preserve"> As in other small Caribbean economies, Suriname’s concentrated exports and vulnerability to shocks reflect the need for economic diversification, including within the country’s two leading export-oriented sectors, extractives and agriculture. </w:t>
      </w:r>
      <w:r w:rsidR="00096C13">
        <w:t>Strengthening governance, improving competitiveness, and f</w:t>
      </w:r>
      <w:r>
        <w:t>acilitating new private investment is needed to create private sector job opportunities and strengthen economic resilience in Suriname.</w:t>
      </w:r>
    </w:p>
    <w:p w14:paraId="0A8BDB3D" w14:textId="77777777" w:rsidR="001049BA" w:rsidRDefault="001049BA" w:rsidP="00203F2A">
      <w:pPr>
        <w:pStyle w:val="NoSpacing"/>
        <w:jc w:val="both"/>
      </w:pPr>
    </w:p>
    <w:p w14:paraId="32666D4E" w14:textId="4295F09A" w:rsidR="001049BA" w:rsidRDefault="001049BA" w:rsidP="00203F2A">
      <w:pPr>
        <w:pStyle w:val="NoSpacing"/>
        <w:jc w:val="both"/>
      </w:pPr>
      <w:r w:rsidRPr="000334E5">
        <w:rPr>
          <w:b/>
        </w:rPr>
        <w:t xml:space="preserve">There is significant competitive potential for increased growth and diversification within the established </w:t>
      </w:r>
      <w:r w:rsidR="009162B7">
        <w:rPr>
          <w:b/>
        </w:rPr>
        <w:t>mining</w:t>
      </w:r>
      <w:r w:rsidR="009162B7" w:rsidRPr="000334E5">
        <w:rPr>
          <w:b/>
        </w:rPr>
        <w:t xml:space="preserve"> </w:t>
      </w:r>
      <w:r w:rsidRPr="000334E5">
        <w:rPr>
          <w:b/>
        </w:rPr>
        <w:t>and agriculture sectors</w:t>
      </w:r>
      <w:r>
        <w:rPr>
          <w:b/>
        </w:rPr>
        <w:t>, as well as in emerging sectors such as tourism</w:t>
      </w:r>
      <w:r w:rsidRPr="000334E5">
        <w:rPr>
          <w:b/>
        </w:rPr>
        <w:t>.</w:t>
      </w:r>
      <w:r>
        <w:t xml:space="preserve"> A recent Sector Competitiveness Analysis</w:t>
      </w:r>
      <w:r>
        <w:rPr>
          <w:rStyle w:val="FootnoteReference"/>
        </w:rPr>
        <w:footnoteReference w:id="1"/>
      </w:r>
      <w:r>
        <w:t xml:space="preserve"> identified opportunities for private investment and diversification within these sectors, as well as constraints to such growth. Policy research on diversification in small economies like Suriname’s indicates that diversification over time into new products and markets within established sectors such as </w:t>
      </w:r>
      <w:r w:rsidR="00796664">
        <w:t xml:space="preserve">mining </w:t>
      </w:r>
      <w:r>
        <w:t xml:space="preserve">and agriculture, is likely to be more feasible than targeting new sectors. </w:t>
      </w:r>
    </w:p>
    <w:p w14:paraId="1E7C2161" w14:textId="77777777" w:rsidR="001049BA" w:rsidRDefault="001049BA" w:rsidP="00203F2A">
      <w:pPr>
        <w:pStyle w:val="NoSpacing"/>
        <w:jc w:val="both"/>
      </w:pPr>
    </w:p>
    <w:p w14:paraId="1B194A20" w14:textId="77777777" w:rsidR="001049BA" w:rsidRDefault="001049BA" w:rsidP="00203F2A">
      <w:pPr>
        <w:pStyle w:val="NoSpacing"/>
        <w:jc w:val="both"/>
      </w:pPr>
      <w:r w:rsidRPr="000334E5">
        <w:rPr>
          <w:b/>
        </w:rPr>
        <w:t>With abundant land and water resources, Suriname has a comparative advantage in agricultural production in the Caribbean region.</w:t>
      </w:r>
      <w:r>
        <w:t xml:space="preserve"> Agriculture already accounts for 10 percent of GDP, and Suriname has preferential market access to the Caribbean through CARICOM and historical export connections to Europe through the Netherlands. Rice, bananas, fish and shrimp are important export products, accounting for around 6 percent of total exports. Current export markets for these products are very concentrated however. Fish and shrimp export markets are more diversified, and there is potential for upgrading into higher-value products within these subsectors. There is also significant potential for increased production of new products for export markets.</w:t>
      </w:r>
    </w:p>
    <w:p w14:paraId="343D76D5" w14:textId="77777777" w:rsidR="001049BA" w:rsidRDefault="001049BA" w:rsidP="00203F2A">
      <w:pPr>
        <w:pStyle w:val="NoSpacing"/>
        <w:jc w:val="both"/>
      </w:pPr>
    </w:p>
    <w:p w14:paraId="35048E9D" w14:textId="77777777" w:rsidR="001049BA" w:rsidRDefault="001049BA" w:rsidP="00203F2A">
      <w:pPr>
        <w:pStyle w:val="NoSpacing"/>
        <w:jc w:val="both"/>
      </w:pPr>
      <w:r w:rsidRPr="00026A64">
        <w:rPr>
          <w:b/>
        </w:rPr>
        <w:t>The current amount of land under production is only about 20 percent of the historic maximum.</w:t>
      </w:r>
      <w:r>
        <w:t xml:space="preserve"> Sector analysis identified potential for increased production and export especially of high-value fruit and vegetable products, as well as competitive potential of high-value meat products. In addition to the existing commercial agribusiness operations, both private and publicly owned, there are around 10,000 smallholder farmers, with some examples of out grower schemes around a nucleus farm that link small farmers into export-oriented value chains.</w:t>
      </w:r>
    </w:p>
    <w:p w14:paraId="0ADFF095" w14:textId="77777777" w:rsidR="001049BA" w:rsidRDefault="001049BA" w:rsidP="00203F2A">
      <w:pPr>
        <w:pStyle w:val="NoSpacing"/>
        <w:jc w:val="both"/>
      </w:pPr>
    </w:p>
    <w:p w14:paraId="4C1D4BE9" w14:textId="2694A2B3" w:rsidR="001049BA" w:rsidRDefault="001049BA" w:rsidP="00203F2A">
      <w:pPr>
        <w:pStyle w:val="NoSpacing"/>
        <w:jc w:val="both"/>
      </w:pPr>
      <w:r w:rsidRPr="00026A64">
        <w:rPr>
          <w:b/>
        </w:rPr>
        <w:t xml:space="preserve">Suriname’s mineral potential </w:t>
      </w:r>
      <w:r w:rsidR="009162B7">
        <w:rPr>
          <w:b/>
        </w:rPr>
        <w:t>is</w:t>
      </w:r>
      <w:r w:rsidRPr="00026A64">
        <w:rPr>
          <w:b/>
        </w:rPr>
        <w:t xml:space="preserve"> also underexploited.</w:t>
      </w:r>
      <w:r>
        <w:t xml:space="preserve"> Suriname is located on the Guiana Shield geological formation that has similar high mineral potential as Guyana and French Guiana. One main bauxite extraction operation has dominated the sector for the past 100 years, but operations ended in 2015 after accessible reserves were exhausted. Two new gold mine operations were established in the past decade. Previous geological studies have shown evidence of high potential for a range of minerals, including additional gold extraction, diamonds, and other minerals such as kaolin and rare earth elements. In addition to existing large-scale commercial extractive operations, there are significant informal artisanal and small-scale mining operations in Suriname as well as domestic enterprises supplying goods and services to these operations. </w:t>
      </w:r>
    </w:p>
    <w:p w14:paraId="1AF603F0" w14:textId="77777777" w:rsidR="001049BA" w:rsidRDefault="001049BA" w:rsidP="00203F2A">
      <w:pPr>
        <w:pStyle w:val="NoSpacing"/>
        <w:jc w:val="both"/>
      </w:pPr>
    </w:p>
    <w:p w14:paraId="6B01BCF1" w14:textId="3E9CFED0" w:rsidR="001049BA" w:rsidRDefault="00E94B6F" w:rsidP="00203F2A">
      <w:pPr>
        <w:pStyle w:val="NoSpacing"/>
        <w:jc w:val="both"/>
      </w:pPr>
      <w:r w:rsidRPr="002671FE">
        <w:rPr>
          <w:b/>
        </w:rPr>
        <w:t>Suriname</w:t>
      </w:r>
      <w:r w:rsidR="00847FC5">
        <w:rPr>
          <w:b/>
        </w:rPr>
        <w:t xml:space="preserve"> has</w:t>
      </w:r>
      <w:r w:rsidRPr="002671FE">
        <w:rPr>
          <w:b/>
        </w:rPr>
        <w:t xml:space="preserve"> immense natural beauty and rich cultural heritage, </w:t>
      </w:r>
      <w:r w:rsidR="00847FC5">
        <w:rPr>
          <w:b/>
        </w:rPr>
        <w:t xml:space="preserve">but </w:t>
      </w:r>
      <w:r w:rsidRPr="002671FE">
        <w:rPr>
          <w:b/>
        </w:rPr>
        <w:t>its tourism potential is underdeveloped.</w:t>
      </w:r>
      <w:r>
        <w:t xml:space="preserve"> </w:t>
      </w:r>
      <w:r w:rsidR="00847FC5">
        <w:t xml:space="preserve">Suriname offers a unique eco- and heritage tourism product. </w:t>
      </w:r>
      <w:r w:rsidR="00847FC5" w:rsidRPr="00C43B67">
        <w:rPr>
          <w:bCs/>
        </w:rPr>
        <w:t>Total international tourist arrivals are small, at 278,000 in 2017; but that led to tourism directly contributing $49 million to GDP, and arrivals have grown an average of 8 percent per year over the past ten years.</w:t>
      </w:r>
      <w:r w:rsidR="00847FC5">
        <w:rPr>
          <w:bCs/>
        </w:rPr>
        <w:t xml:space="preserve"> Sector development has been largely led by small and medium private enterprises, with little coordination or investment from the public sector, and the government seeks to increase tourism development as a source of diversified export revenue</w:t>
      </w:r>
      <w:r>
        <w:t>.</w:t>
      </w:r>
    </w:p>
    <w:p w14:paraId="3CBA5094" w14:textId="77777777" w:rsidR="001049BA" w:rsidRDefault="001049BA" w:rsidP="00203F2A">
      <w:pPr>
        <w:pStyle w:val="NoSpacing"/>
        <w:jc w:val="both"/>
      </w:pPr>
    </w:p>
    <w:p w14:paraId="52B20E50" w14:textId="2F327316" w:rsidR="001049BA" w:rsidRDefault="001049BA" w:rsidP="00203F2A">
      <w:pPr>
        <w:pStyle w:val="NoSpacing"/>
        <w:jc w:val="both"/>
      </w:pPr>
      <w:proofErr w:type="gramStart"/>
      <w:r w:rsidRPr="00026A64">
        <w:rPr>
          <w:b/>
        </w:rPr>
        <w:t>In an effort to</w:t>
      </w:r>
      <w:proofErr w:type="gramEnd"/>
      <w:r w:rsidRPr="00026A64">
        <w:rPr>
          <w:b/>
        </w:rPr>
        <w:t xml:space="preserve"> further harness its natural </w:t>
      </w:r>
      <w:r>
        <w:rPr>
          <w:b/>
        </w:rPr>
        <w:t xml:space="preserve">and cultural </w:t>
      </w:r>
      <w:r w:rsidRPr="00026A64">
        <w:rPr>
          <w:b/>
        </w:rPr>
        <w:t>capital to generate economic opportunities, the G</w:t>
      </w:r>
      <w:r>
        <w:rPr>
          <w:b/>
        </w:rPr>
        <w:t xml:space="preserve">overnment of </w:t>
      </w:r>
      <w:r w:rsidRPr="00026A64">
        <w:rPr>
          <w:b/>
        </w:rPr>
        <w:t>S</w:t>
      </w:r>
      <w:r>
        <w:rPr>
          <w:b/>
        </w:rPr>
        <w:t>uriname (GOS)</w:t>
      </w:r>
      <w:r w:rsidRPr="00026A64">
        <w:rPr>
          <w:b/>
        </w:rPr>
        <w:t xml:space="preserve"> plans to diversify economic activity through an increase in private investment.</w:t>
      </w:r>
      <w:r>
        <w:t xml:space="preserve"> The government’s 2012-16 and 2017-21 National Development Plans as well as the 2016-18 Stabilization and Recovery Plan following the economic crisis, all highlight the need to diversify economic activity, including through an increase in private investment. The GOS has taken important steps to improve its ability to facilitate private sector growth and investment, such as the establishment of a Competitiveness Unit Suriname (CUS) in 2014 that is now integrated into the Ministry of Trade, Industry &amp; Tourism (MTIT) and the recent </w:t>
      </w:r>
      <w:r w:rsidR="00B22C55">
        <w:t xml:space="preserve">operationalization </w:t>
      </w:r>
      <w:r>
        <w:t xml:space="preserve">of InvestSur as the national investment promotion agency. Additional plans include promoting investments, privatizing State-Owned Enterprises (SOEs) and developing mining, agroindustry, and tourism as priority sectors. </w:t>
      </w:r>
    </w:p>
    <w:p w14:paraId="13DBF705" w14:textId="77777777" w:rsidR="001049BA" w:rsidRDefault="001049BA" w:rsidP="00203F2A">
      <w:pPr>
        <w:pStyle w:val="NoSpacing"/>
        <w:jc w:val="both"/>
      </w:pPr>
    </w:p>
    <w:p w14:paraId="78A03A21" w14:textId="3C92D5B1" w:rsidR="001049BA" w:rsidRDefault="001049BA" w:rsidP="00203F2A">
      <w:pPr>
        <w:pStyle w:val="NoSpacing"/>
        <w:jc w:val="both"/>
      </w:pPr>
      <w:bookmarkStart w:id="15" w:name="_Hlk527454239"/>
      <w:r w:rsidRPr="00351D37">
        <w:rPr>
          <w:b/>
        </w:rPr>
        <w:t xml:space="preserve">The Suriname </w:t>
      </w:r>
      <w:r>
        <w:rPr>
          <w:b/>
        </w:rPr>
        <w:t>Competitiveness</w:t>
      </w:r>
      <w:r w:rsidRPr="00351D37">
        <w:rPr>
          <w:b/>
        </w:rPr>
        <w:t xml:space="preserve"> and Sector Diversification (</w:t>
      </w:r>
      <w:r w:rsidR="00190610">
        <w:rPr>
          <w:b/>
        </w:rPr>
        <w:t>S</w:t>
      </w:r>
      <w:r>
        <w:rPr>
          <w:b/>
        </w:rPr>
        <w:t>C</w:t>
      </w:r>
      <w:r w:rsidRPr="00351D37">
        <w:rPr>
          <w:b/>
        </w:rPr>
        <w:t>SD)</w:t>
      </w:r>
      <w:r>
        <w:rPr>
          <w:b/>
        </w:rPr>
        <w:t xml:space="preserve"> Project</w:t>
      </w:r>
      <w:r w:rsidRPr="00351D37">
        <w:rPr>
          <w:b/>
        </w:rPr>
        <w:t xml:space="preserve"> is a specific lending operation being prepared under th</w:t>
      </w:r>
      <w:r>
        <w:rPr>
          <w:b/>
        </w:rPr>
        <w:t>e Bank’s</w:t>
      </w:r>
      <w:r w:rsidRPr="00351D37">
        <w:rPr>
          <w:b/>
        </w:rPr>
        <w:t xml:space="preserve"> CPS to address these challenges</w:t>
      </w:r>
      <w:r>
        <w:rPr>
          <w:b/>
        </w:rPr>
        <w:t xml:space="preserve"> and contribute to National Development Plans</w:t>
      </w:r>
      <w:r w:rsidRPr="00351D37">
        <w:rPr>
          <w:b/>
        </w:rPr>
        <w:t>.</w:t>
      </w:r>
      <w:r>
        <w:t xml:space="preserve"> The development objective of </w:t>
      </w:r>
      <w:r w:rsidR="00190610">
        <w:t>SCSD</w:t>
      </w:r>
      <w:r>
        <w:t xml:space="preserve"> is to facilitate private investment and strengthen value chains in targeted industries in Suriname, through three project components:</w:t>
      </w:r>
    </w:p>
    <w:bookmarkEnd w:id="15"/>
    <w:p w14:paraId="35E2F07C" w14:textId="77777777" w:rsidR="001049BA" w:rsidRDefault="001049BA" w:rsidP="00203F2A">
      <w:pPr>
        <w:pStyle w:val="NoSpacing"/>
        <w:jc w:val="both"/>
      </w:pPr>
    </w:p>
    <w:p w14:paraId="5E309F7C" w14:textId="65896BEA" w:rsidR="001049BA" w:rsidRDefault="001049BA" w:rsidP="00203F2A">
      <w:pPr>
        <w:pStyle w:val="NoSpacing"/>
        <w:ind w:left="1410" w:hanging="1410"/>
        <w:jc w:val="both"/>
      </w:pPr>
      <w:bookmarkStart w:id="16" w:name="_Hlk527454188"/>
      <w:r>
        <w:t>Component 1:</w:t>
      </w:r>
      <w:r>
        <w:tab/>
      </w:r>
      <w:r w:rsidR="00B75703" w:rsidRPr="00B75703">
        <w:rPr>
          <w:b/>
          <w:bCs/>
          <w:lang w:val="en-US"/>
        </w:rPr>
        <w:t>Strengthening the mining sector governance, transparency, accountability, and administration</w:t>
      </w:r>
      <w:r>
        <w:t xml:space="preserve">, financing </w:t>
      </w:r>
      <w:r w:rsidR="00D63421">
        <w:t>technical assistance to</w:t>
      </w:r>
      <w:r w:rsidR="00CB44AE">
        <w:t xml:space="preserve"> </w:t>
      </w:r>
      <w:r w:rsidR="00CB44AE" w:rsidRPr="00CB44AE">
        <w:t>improve</w:t>
      </w:r>
      <w:r w:rsidR="00CB44AE">
        <w:t xml:space="preserve"> </w:t>
      </w:r>
      <w:r w:rsidR="00CB44AE" w:rsidRPr="00CB44AE">
        <w:t>the legal, regulatory, and institutional framework governing mining in Suriname</w:t>
      </w:r>
      <w:r>
        <w:t xml:space="preserve">. This will </w:t>
      </w:r>
      <w:proofErr w:type="gramStart"/>
      <w:r w:rsidR="00FE26E3">
        <w:t>including</w:t>
      </w:r>
      <w:proofErr w:type="gramEnd"/>
      <w:r w:rsidR="00FE26E3">
        <w:t xml:space="preserve"> </w:t>
      </w:r>
      <w:r>
        <w:t>financ</w:t>
      </w:r>
      <w:r w:rsidR="00FE26E3">
        <w:t>ing</w:t>
      </w:r>
      <w:r>
        <w:t xml:space="preserve"> a Strategic Environmental and Social Assessment (SESA) to </w:t>
      </w:r>
      <w:r w:rsidR="002753C9" w:rsidRPr="002753C9">
        <w:t>inform future decision-making around investments (</w:t>
      </w:r>
      <w:r w:rsidR="00E53F82">
        <w:t xml:space="preserve">including </w:t>
      </w:r>
      <w:r w:rsidR="002753C9" w:rsidRPr="002753C9">
        <w:t xml:space="preserve">mapping of risk areas, </w:t>
      </w:r>
      <w:r w:rsidR="00E53F82">
        <w:t xml:space="preserve">identification of </w:t>
      </w:r>
      <w:r w:rsidR="002753C9" w:rsidRPr="002753C9">
        <w:t>issues</w:t>
      </w:r>
      <w:r w:rsidR="00E53F82">
        <w:t xml:space="preserve"> and</w:t>
      </w:r>
      <w:r w:rsidR="002753C9" w:rsidRPr="002753C9">
        <w:t xml:space="preserve"> corresponding strategies</w:t>
      </w:r>
      <w:r w:rsidR="00E53F82">
        <w:t>, etc</w:t>
      </w:r>
      <w:r w:rsidR="002753C9" w:rsidRPr="002753C9">
        <w:t>).</w:t>
      </w:r>
    </w:p>
    <w:p w14:paraId="0A633B1B" w14:textId="77777777" w:rsidR="001049BA" w:rsidRDefault="001049BA" w:rsidP="00203F2A">
      <w:pPr>
        <w:pStyle w:val="NoSpacing"/>
        <w:ind w:left="1410" w:hanging="1410"/>
        <w:jc w:val="both"/>
      </w:pPr>
    </w:p>
    <w:p w14:paraId="1BDF333B" w14:textId="6B929E1F" w:rsidR="001049BA" w:rsidRDefault="001049BA" w:rsidP="00203F2A">
      <w:pPr>
        <w:pStyle w:val="NoSpacing"/>
        <w:ind w:left="1410" w:hanging="1410"/>
        <w:jc w:val="both"/>
      </w:pPr>
      <w:r>
        <w:t>Component 2:</w:t>
      </w:r>
      <w:r>
        <w:tab/>
      </w:r>
      <w:r w:rsidRPr="000334E5">
        <w:rPr>
          <w:b/>
        </w:rPr>
        <w:t xml:space="preserve">Supporting value chains </w:t>
      </w:r>
      <w:r>
        <w:rPr>
          <w:b/>
        </w:rPr>
        <w:t xml:space="preserve">and SMEs </w:t>
      </w:r>
      <w:r w:rsidRPr="000334E5">
        <w:rPr>
          <w:b/>
        </w:rPr>
        <w:t>especially in agribusiness</w:t>
      </w:r>
      <w:r>
        <w:rPr>
          <w:b/>
        </w:rPr>
        <w:t xml:space="preserve"> </w:t>
      </w:r>
      <w:r w:rsidRPr="006C3EF1">
        <w:rPr>
          <w:b/>
        </w:rPr>
        <w:t>and tourism.</w:t>
      </w:r>
      <w:r w:rsidRPr="006C3EF1">
        <w:t xml:space="preserve"> </w:t>
      </w:r>
      <w:r w:rsidRPr="006B1CC3">
        <w:t>This Project Component will address constraints and strengthen targeted value chains, with a specific focus on promoting growth and diversification within agribusiness, tourism and other emerging sectors in Suriname. Foreseen activities under Component include</w:t>
      </w:r>
      <w:r>
        <w:t xml:space="preserve">: </w:t>
      </w:r>
    </w:p>
    <w:p w14:paraId="5CBD2FA8" w14:textId="77777777" w:rsidR="001049BA" w:rsidRDefault="001049BA" w:rsidP="00203F2A">
      <w:pPr>
        <w:pStyle w:val="NoSpacing"/>
        <w:ind w:left="1410" w:hanging="1410"/>
        <w:jc w:val="both"/>
      </w:pPr>
    </w:p>
    <w:p w14:paraId="283FFDA7" w14:textId="1F3D2191" w:rsidR="001049BA" w:rsidRPr="006B1CC3" w:rsidRDefault="001049BA" w:rsidP="00203F2A">
      <w:pPr>
        <w:pStyle w:val="NoSpacing"/>
        <w:numPr>
          <w:ilvl w:val="0"/>
          <w:numId w:val="23"/>
        </w:numPr>
        <w:jc w:val="both"/>
      </w:pPr>
      <w:r w:rsidRPr="006B1CC3">
        <w:rPr>
          <w:lang w:val="en-US"/>
        </w:rPr>
        <w:t>SME support fund, financing business development services and matching grants for equipment or other firm-level investments</w:t>
      </w:r>
      <w:r w:rsidRPr="006B1CC3">
        <w:t xml:space="preserve">. </w:t>
      </w:r>
      <w:r w:rsidRPr="006B1CC3">
        <w:rPr>
          <w:lang w:val="en-US"/>
        </w:rPr>
        <w:t xml:space="preserve">This fund would provide direct support to SMEs that apply and are competitively selected. SMEs engaged in agribusiness or tourism activities will be targeted, but those engaged in other sectors would not be excluded for technical </w:t>
      </w:r>
      <w:r>
        <w:rPr>
          <w:lang w:val="en-US"/>
        </w:rPr>
        <w:t>d</w:t>
      </w:r>
      <w:r w:rsidRPr="006B1CC3">
        <w:rPr>
          <w:lang w:val="en-US"/>
        </w:rPr>
        <w:t xml:space="preserve">esign reasons. The support would include business development services, to help firms improve their business plans and identify constraints in their operations; as well as co-financing for firm-level investments. </w:t>
      </w:r>
      <w:r w:rsidR="003D18B0">
        <w:rPr>
          <w:lang w:val="en-US"/>
        </w:rPr>
        <w:t xml:space="preserve">Funds will also be available to groups of firms that apply as a value chain group, for shared assets to increase value chain competitiveness. </w:t>
      </w:r>
      <w:r w:rsidRPr="006B1CC3">
        <w:rPr>
          <w:lang w:val="en-US"/>
        </w:rPr>
        <w:t xml:space="preserve">These investments could illustratively include equipment for quality upgrading; small-scale on-site storage facility to enable increased purchases from farmers/suppliers; upgrades to fishing vessels to improve quality storage capacity; website upgrades to improve marketing; upgrades to boat vessels for river cruises; etc. Support is expected to average $50k per SME, </w:t>
      </w:r>
      <w:r w:rsidR="007252A5">
        <w:rPr>
          <w:lang w:val="en-US"/>
        </w:rPr>
        <w:t xml:space="preserve">through business development services or matching grant co-investments </w:t>
      </w:r>
      <w:r w:rsidRPr="006B1CC3">
        <w:rPr>
          <w:lang w:val="en-US"/>
        </w:rPr>
        <w:t xml:space="preserve">targeting about </w:t>
      </w:r>
      <w:r w:rsidR="00C6180B">
        <w:rPr>
          <w:lang w:val="en-US"/>
        </w:rPr>
        <w:t>160</w:t>
      </w:r>
      <w:r w:rsidRPr="006B1CC3">
        <w:rPr>
          <w:lang w:val="en-US"/>
        </w:rPr>
        <w:t xml:space="preserve"> benef</w:t>
      </w:r>
      <w:r w:rsidR="00C6180B">
        <w:rPr>
          <w:lang w:val="en-US"/>
        </w:rPr>
        <w:t xml:space="preserve">iciaries, and average $250k for group projects, targeting </w:t>
      </w:r>
      <w:r w:rsidR="0069214C">
        <w:rPr>
          <w:lang w:val="en-US"/>
        </w:rPr>
        <w:t>ten to twelve</w:t>
      </w:r>
      <w:r w:rsidR="00C6180B">
        <w:rPr>
          <w:lang w:val="en-US"/>
        </w:rPr>
        <w:t xml:space="preserve"> value chain groups.</w:t>
      </w:r>
    </w:p>
    <w:p w14:paraId="39F2AA6A" w14:textId="77777777" w:rsidR="001049BA" w:rsidRPr="006B1CC3" w:rsidRDefault="001049BA" w:rsidP="00203F2A">
      <w:pPr>
        <w:pStyle w:val="NoSpacing"/>
        <w:ind w:left="1410" w:hanging="1410"/>
        <w:jc w:val="both"/>
      </w:pPr>
    </w:p>
    <w:p w14:paraId="2D806792" w14:textId="0256B41B" w:rsidR="001049BA" w:rsidRPr="006B1CC3" w:rsidRDefault="00317453" w:rsidP="00203F2A">
      <w:pPr>
        <w:pStyle w:val="NoSpacing"/>
        <w:numPr>
          <w:ilvl w:val="0"/>
          <w:numId w:val="23"/>
        </w:numPr>
        <w:jc w:val="both"/>
        <w:rPr>
          <w:lang w:val="en-US"/>
        </w:rPr>
      </w:pPr>
      <w:r>
        <w:rPr>
          <w:lang w:val="en-US"/>
        </w:rPr>
        <w:t xml:space="preserve">Support for </w:t>
      </w:r>
      <w:r w:rsidR="001049BA" w:rsidRPr="006B1CC3">
        <w:rPr>
          <w:lang w:val="en-US"/>
        </w:rPr>
        <w:t xml:space="preserve">investment climate </w:t>
      </w:r>
      <w:r>
        <w:rPr>
          <w:lang w:val="en-US"/>
        </w:rPr>
        <w:t xml:space="preserve">and </w:t>
      </w:r>
      <w:r w:rsidR="001049BA" w:rsidRPr="006B1CC3">
        <w:rPr>
          <w:lang w:val="en-US"/>
        </w:rPr>
        <w:t>institutional reforms</w:t>
      </w:r>
      <w:r w:rsidR="001049BA" w:rsidRPr="006B1CC3">
        <w:t>.</w:t>
      </w:r>
      <w:r w:rsidR="001049BA">
        <w:t xml:space="preserve"> </w:t>
      </w:r>
      <w:r w:rsidR="001049BA" w:rsidRPr="006B1CC3">
        <w:rPr>
          <w:lang w:val="en-US"/>
        </w:rPr>
        <w:t xml:space="preserve">This activity would finance </w:t>
      </w:r>
      <w:r>
        <w:rPr>
          <w:lang w:val="en-US"/>
        </w:rPr>
        <w:t>technical assistance and capacity support for regulatory and institutional reforms to improve the business environment for tourism, agribusiness, and private sector growth across sectors of the economy.</w:t>
      </w:r>
    </w:p>
    <w:p w14:paraId="32121552" w14:textId="77777777" w:rsidR="001049BA" w:rsidRDefault="001049BA" w:rsidP="00203F2A">
      <w:pPr>
        <w:pStyle w:val="NoSpacing"/>
        <w:ind w:left="1410" w:hanging="1410"/>
        <w:jc w:val="both"/>
      </w:pPr>
    </w:p>
    <w:p w14:paraId="7AC8B6FD" w14:textId="77777777" w:rsidR="001049BA" w:rsidRDefault="001049BA" w:rsidP="00203F2A">
      <w:pPr>
        <w:pStyle w:val="NoSpacing"/>
        <w:ind w:left="1410" w:hanging="1410"/>
        <w:jc w:val="both"/>
      </w:pPr>
      <w:r w:rsidRPr="0094310F">
        <w:t xml:space="preserve">Component 3: </w:t>
      </w:r>
      <w:r>
        <w:tab/>
      </w:r>
      <w:r w:rsidRPr="0094310F">
        <w:rPr>
          <w:b/>
        </w:rPr>
        <w:t>Project management and evaluation.</w:t>
      </w:r>
      <w:r w:rsidRPr="0094310F">
        <w:t xml:space="preserve"> This component will fund all </w:t>
      </w:r>
      <w:r>
        <w:t>P</w:t>
      </w:r>
      <w:r w:rsidRPr="0094310F">
        <w:t xml:space="preserve">roject </w:t>
      </w:r>
      <w:r>
        <w:t>m</w:t>
      </w:r>
      <w:r w:rsidRPr="0094310F">
        <w:t xml:space="preserve">anagement, operational, monitoring and evaluation, and communication costs. This will include support to strengthen GOS capacity in the </w:t>
      </w:r>
      <w:r>
        <w:t xml:space="preserve">design and </w:t>
      </w:r>
      <w:r w:rsidRPr="0094310F">
        <w:t xml:space="preserve">implementation </w:t>
      </w:r>
      <w:r>
        <w:t>of</w:t>
      </w:r>
      <w:r w:rsidRPr="0094310F">
        <w:t xml:space="preserve"> environmental and social safeguards policies under the proposed </w:t>
      </w:r>
      <w:r>
        <w:t>P</w:t>
      </w:r>
      <w:r w:rsidRPr="0094310F">
        <w:t>roject.</w:t>
      </w:r>
    </w:p>
    <w:bookmarkEnd w:id="16"/>
    <w:p w14:paraId="0120FDB4" w14:textId="77777777" w:rsidR="001049BA" w:rsidRDefault="001049BA" w:rsidP="00203F2A">
      <w:pPr>
        <w:pStyle w:val="NoSpacing"/>
        <w:jc w:val="both"/>
      </w:pPr>
    </w:p>
    <w:p w14:paraId="69B1842E" w14:textId="073D8C46" w:rsidR="001049BA" w:rsidRDefault="001049BA" w:rsidP="00203F2A">
      <w:pPr>
        <w:pStyle w:val="NoSpacing"/>
        <w:jc w:val="both"/>
      </w:pPr>
      <w:r w:rsidRPr="00392C52">
        <w:rPr>
          <w:b/>
        </w:rPr>
        <w:t xml:space="preserve">Targeted </w:t>
      </w:r>
      <w:r>
        <w:rPr>
          <w:b/>
        </w:rPr>
        <w:t>P</w:t>
      </w:r>
      <w:r w:rsidRPr="00392C52">
        <w:rPr>
          <w:b/>
        </w:rPr>
        <w:t>roject beneficiaries include SMEs and workers that take advantage of new employment opportunities in Suriname’s private sector.</w:t>
      </w:r>
      <w:r>
        <w:t xml:space="preserve"> Including the informal sector, mining and agriculture together already account for an estimated 40 percent of total employment in Suriname, and new private investment in these sectors will create new private sector jobs. New investment and strengthened value chains will also create opportunities for linkages to small-scale agricultural producers, tourism operators</w:t>
      </w:r>
      <w:r w:rsidR="00D1755C">
        <w:t>,</w:t>
      </w:r>
      <w:r>
        <w:t xml:space="preserve"> and other SMEs that operate in these value chains. SMEs in these and other sectors will also benefit from increased access to finance, facilitating enterprise growth and job creation.</w:t>
      </w:r>
    </w:p>
    <w:p w14:paraId="5A28D5D7" w14:textId="77777777" w:rsidR="001049BA" w:rsidRDefault="001049BA" w:rsidP="00203F2A">
      <w:pPr>
        <w:pStyle w:val="NoSpacing"/>
        <w:jc w:val="both"/>
      </w:pPr>
    </w:p>
    <w:p w14:paraId="6BA08B72" w14:textId="77D54D2A" w:rsidR="001049BA" w:rsidRDefault="001049BA" w:rsidP="00203F2A">
      <w:pPr>
        <w:pStyle w:val="NoSpacing"/>
        <w:jc w:val="both"/>
      </w:pPr>
      <w:bookmarkStart w:id="17" w:name="_Hlk527448684"/>
      <w:r>
        <w:rPr>
          <w:b/>
        </w:rPr>
        <w:t xml:space="preserve">As specific investments </w:t>
      </w:r>
      <w:r w:rsidR="0051222C">
        <w:rPr>
          <w:b/>
        </w:rPr>
        <w:t xml:space="preserve">in </w:t>
      </w:r>
      <w:r w:rsidRPr="00502945">
        <w:rPr>
          <w:b/>
        </w:rPr>
        <w:t>SME</w:t>
      </w:r>
      <w:r w:rsidR="0051222C">
        <w:rPr>
          <w:b/>
        </w:rPr>
        <w:t>s and value chains</w:t>
      </w:r>
      <w:r>
        <w:rPr>
          <w:b/>
        </w:rPr>
        <w:t xml:space="preserve"> will be selected and financed as sub-projects during implementation, exact locations of project activities are </w:t>
      </w:r>
      <w:r w:rsidRPr="00502945">
        <w:rPr>
          <w:b/>
        </w:rPr>
        <w:t xml:space="preserve">not </w:t>
      </w:r>
      <w:r>
        <w:rPr>
          <w:b/>
        </w:rPr>
        <w:t xml:space="preserve">currently </w:t>
      </w:r>
      <w:r w:rsidRPr="00502945">
        <w:rPr>
          <w:b/>
        </w:rPr>
        <w:t xml:space="preserve">known, </w:t>
      </w:r>
      <w:bookmarkStart w:id="18" w:name="_Hlk526332450"/>
      <w:r>
        <w:rPr>
          <w:b/>
        </w:rPr>
        <w:t xml:space="preserve">but </w:t>
      </w:r>
      <w:r w:rsidRPr="00502945">
        <w:rPr>
          <w:b/>
        </w:rPr>
        <w:t>the general expected locations will be in the coastal zone</w:t>
      </w:r>
      <w:r>
        <w:t xml:space="preserve"> </w:t>
      </w:r>
      <w:bookmarkEnd w:id="17"/>
      <w:r>
        <w:t xml:space="preserve">where most of the country’s population lives. </w:t>
      </w:r>
      <w:r w:rsidR="00566987">
        <w:t>B</w:t>
      </w:r>
      <w:r>
        <w:t xml:space="preserve">usiness opportunities in tourism and sustainable harvesting and processing of non-timber forest products (NTFP) may as well </w:t>
      </w:r>
      <w:proofErr w:type="gramStart"/>
      <w:r>
        <w:t>be located in</w:t>
      </w:r>
      <w:proofErr w:type="gramEnd"/>
      <w:r>
        <w:t xml:space="preserve"> the country’s interior. </w:t>
      </w:r>
      <w:bookmarkEnd w:id="18"/>
    </w:p>
    <w:p w14:paraId="6110F143" w14:textId="62047C31" w:rsidR="001049BA" w:rsidRDefault="001049BA" w:rsidP="00203F2A">
      <w:pPr>
        <w:pStyle w:val="NoSpacing"/>
        <w:jc w:val="both"/>
      </w:pPr>
    </w:p>
    <w:p w14:paraId="611D505F" w14:textId="77777777" w:rsidR="001049BA" w:rsidRDefault="001049BA" w:rsidP="00203F2A">
      <w:pPr>
        <w:pStyle w:val="NoSpacing"/>
        <w:jc w:val="both"/>
      </w:pPr>
    </w:p>
    <w:p w14:paraId="05F85804" w14:textId="77777777" w:rsidR="00327A5B" w:rsidRDefault="00327A5B" w:rsidP="00203F2A">
      <w:pPr>
        <w:jc w:val="both"/>
      </w:pPr>
      <w:r>
        <w:br w:type="page"/>
      </w:r>
    </w:p>
    <w:p w14:paraId="196A6E53" w14:textId="77777777" w:rsidR="00327A5B" w:rsidRPr="00446FBE" w:rsidRDefault="00327A5B" w:rsidP="00203F2A">
      <w:pPr>
        <w:pStyle w:val="Heading1"/>
        <w:jc w:val="both"/>
      </w:pPr>
      <w:bookmarkStart w:id="19" w:name="_Toc531965017"/>
      <w:r w:rsidRPr="00446FBE">
        <w:t>Section 2</w:t>
      </w:r>
      <w:r w:rsidRPr="00446FBE">
        <w:tab/>
        <w:t>Social and Environmental Safeguards</w:t>
      </w:r>
      <w:bookmarkEnd w:id="19"/>
    </w:p>
    <w:p w14:paraId="23172C36" w14:textId="0C1DA35C" w:rsidR="00327A5B" w:rsidRDefault="00327A5B" w:rsidP="00203F2A">
      <w:pPr>
        <w:pStyle w:val="NoSpacing"/>
        <w:jc w:val="both"/>
      </w:pPr>
    </w:p>
    <w:p w14:paraId="2EB75A37" w14:textId="6FEC88A4" w:rsidR="00AB234C" w:rsidRDefault="00AB234C" w:rsidP="00203F2A">
      <w:pPr>
        <w:pStyle w:val="NoSpacing"/>
        <w:jc w:val="both"/>
      </w:pPr>
      <w:r>
        <w:rPr>
          <w:b/>
        </w:rPr>
        <w:t>P</w:t>
      </w:r>
      <w:r w:rsidRPr="00632391">
        <w:rPr>
          <w:b/>
        </w:rPr>
        <w:t>roposed Project activities could imply potential medium to high level risks and impacts to environment and social settings in the future.</w:t>
      </w:r>
      <w:r w:rsidRPr="0061368E">
        <w:t xml:space="preserve"> </w:t>
      </w:r>
      <w:r>
        <w:t>As t</w:t>
      </w:r>
      <w:r w:rsidRPr="001C6410">
        <w:t xml:space="preserve">he environmental and social legal framework in Suriname </w:t>
      </w:r>
      <w:r>
        <w:t xml:space="preserve">has few legal requirements, </w:t>
      </w:r>
      <w:r w:rsidRPr="001C6410">
        <w:t xml:space="preserve">including </w:t>
      </w:r>
      <w:r>
        <w:t xml:space="preserve">due to </w:t>
      </w:r>
      <w:r w:rsidRPr="001C6410">
        <w:t>an absence of a comprehensive environmental law</w:t>
      </w:r>
      <w:r>
        <w:t>,</w:t>
      </w:r>
      <w:r w:rsidRPr="001C6410">
        <w:t xml:space="preserve"> </w:t>
      </w:r>
      <w:r>
        <w:t>t</w:t>
      </w:r>
      <w:r w:rsidRPr="001C6410">
        <w:t xml:space="preserve">his limits the </w:t>
      </w:r>
      <w:r>
        <w:t xml:space="preserve">legal </w:t>
      </w:r>
      <w:r w:rsidRPr="001C6410">
        <w:t xml:space="preserve">obligation for compliance with </w:t>
      </w:r>
      <w:r>
        <w:t xml:space="preserve">national </w:t>
      </w:r>
      <w:r w:rsidRPr="001C6410">
        <w:t>environmental and social frameworks</w:t>
      </w:r>
      <w:r>
        <w:t xml:space="preserve"> and standards</w:t>
      </w:r>
      <w:r w:rsidRPr="001C6410">
        <w:t xml:space="preserve"> by the beneficiaries of this </w:t>
      </w:r>
      <w:r>
        <w:t>P</w:t>
      </w:r>
      <w:r w:rsidRPr="001C6410">
        <w:t>roject</w:t>
      </w:r>
      <w:r>
        <w:t>. This reality</w:t>
      </w:r>
      <w:r w:rsidRPr="001C6410">
        <w:t xml:space="preserve"> classifies this </w:t>
      </w:r>
      <w:r>
        <w:t>P</w:t>
      </w:r>
      <w:r w:rsidRPr="001C6410">
        <w:t xml:space="preserve">roject with a </w:t>
      </w:r>
      <w:r>
        <w:t xml:space="preserve">substantial social and </w:t>
      </w:r>
      <w:r w:rsidRPr="001C6410">
        <w:t xml:space="preserve">environmental risk </w:t>
      </w:r>
      <w:proofErr w:type="gramStart"/>
      <w:r w:rsidRPr="001C6410">
        <w:t>level</w:t>
      </w:r>
      <w:r>
        <w:t>, and</w:t>
      </w:r>
      <w:proofErr w:type="gramEnd"/>
      <w:r>
        <w:t xml:space="preserve"> justifies the preparation and implementation of an environmental and social managerial framework by the Government of Suriname for the purposes of this project. This ESMF also further aligns the </w:t>
      </w:r>
      <w:r w:rsidR="00190610">
        <w:t>SCSD</w:t>
      </w:r>
      <w:r>
        <w:t xml:space="preserve"> project to the National Development Plan, </w:t>
      </w:r>
      <w:proofErr w:type="gramStart"/>
      <w:r>
        <w:t>with regard to</w:t>
      </w:r>
      <w:proofErr w:type="gramEnd"/>
      <w:r>
        <w:t xml:space="preserve"> Pillar 4, Utilization and Protection of the Environment, ensuring that project activities also contribute to environmental sustainability development goals.</w:t>
      </w:r>
    </w:p>
    <w:p w14:paraId="4B0CC267" w14:textId="77777777" w:rsidR="00AB234C" w:rsidRDefault="00AB234C" w:rsidP="00203F2A">
      <w:pPr>
        <w:pStyle w:val="NoSpacing"/>
        <w:jc w:val="both"/>
      </w:pPr>
    </w:p>
    <w:p w14:paraId="438ABBC4" w14:textId="4CB027D8" w:rsidR="00AB234C" w:rsidRDefault="00AB234C" w:rsidP="00203F2A">
      <w:pPr>
        <w:pStyle w:val="NoSpacing"/>
        <w:jc w:val="both"/>
      </w:pPr>
      <w:r w:rsidRPr="0019685D">
        <w:rPr>
          <w:b/>
        </w:rPr>
        <w:t xml:space="preserve">Decision-making on </w:t>
      </w:r>
      <w:r w:rsidR="00190610">
        <w:rPr>
          <w:b/>
        </w:rPr>
        <w:t>SCSD</w:t>
      </w:r>
      <w:r>
        <w:rPr>
          <w:b/>
        </w:rPr>
        <w:t xml:space="preserve"> </w:t>
      </w:r>
      <w:r w:rsidRPr="0019685D">
        <w:rPr>
          <w:b/>
        </w:rPr>
        <w:t xml:space="preserve">Project support </w:t>
      </w:r>
      <w:r>
        <w:rPr>
          <w:b/>
        </w:rPr>
        <w:t xml:space="preserve">activities </w:t>
      </w:r>
      <w:r w:rsidRPr="0019685D">
        <w:rPr>
          <w:b/>
        </w:rPr>
        <w:t>to SME</w:t>
      </w:r>
      <w:r>
        <w:rPr>
          <w:b/>
        </w:rPr>
        <w:t xml:space="preserve"> development</w:t>
      </w:r>
      <w:r w:rsidRPr="0019685D">
        <w:rPr>
          <w:b/>
        </w:rPr>
        <w:t xml:space="preserve"> will be based on the degree of compliance with the </w:t>
      </w:r>
      <w:r>
        <w:rPr>
          <w:b/>
        </w:rPr>
        <w:t xml:space="preserve">social and environmental </w:t>
      </w:r>
      <w:r w:rsidRPr="0019685D">
        <w:rPr>
          <w:b/>
        </w:rPr>
        <w:t>safeguards.</w:t>
      </w:r>
      <w:r>
        <w:t xml:space="preserve"> The Project has designed safeguard frameworks for environmental protection and social rights to which all activities and (new) business development under the </w:t>
      </w:r>
      <w:r w:rsidR="00190610">
        <w:t>SCSD</w:t>
      </w:r>
      <w:r>
        <w:t xml:space="preserve"> Project must comply. These frameworks will assess, expose and analyse the potential environmental and social impacts of all </w:t>
      </w:r>
      <w:bookmarkStart w:id="20" w:name="_Hlk526249877"/>
      <w:r>
        <w:t>activities (including possible land acquisition and/or involuntary resettlement) of the Project. In view that the locations o</w:t>
      </w:r>
      <w:bookmarkEnd w:id="20"/>
      <w:r>
        <w:t>f specific investments and developments are not known in advance, the Project has developed two primary safeguard instruments: this Environmental and Social Management Framework (ESMF),</w:t>
      </w:r>
      <w:r w:rsidR="00C31613">
        <w:t xml:space="preserve"> including a Resettlement Policy Framework, as well as</w:t>
      </w:r>
      <w:r>
        <w:t xml:space="preserve"> an </w:t>
      </w:r>
      <w:bookmarkStart w:id="21" w:name="_Hlk528604030"/>
      <w:r>
        <w:t>Indigenous and Tribal Peoples Planning Framework (ITPPF)</w:t>
      </w:r>
      <w:r w:rsidR="00C31613">
        <w:t xml:space="preserve"> presented in a separate document</w:t>
      </w:r>
      <w:r>
        <w:t>.</w:t>
      </w:r>
      <w:bookmarkEnd w:id="21"/>
    </w:p>
    <w:p w14:paraId="3C521995" w14:textId="77777777" w:rsidR="00AB234C" w:rsidRDefault="00AB234C" w:rsidP="00203F2A">
      <w:pPr>
        <w:pStyle w:val="NoSpacing"/>
        <w:jc w:val="both"/>
      </w:pPr>
    </w:p>
    <w:p w14:paraId="34AC38A1" w14:textId="3B670511" w:rsidR="00AB234C" w:rsidRDefault="00AB234C" w:rsidP="00203F2A">
      <w:pPr>
        <w:pStyle w:val="NoSpacing"/>
        <w:jc w:val="both"/>
      </w:pPr>
      <w:r w:rsidRPr="009E4253">
        <w:rPr>
          <w:b/>
        </w:rPr>
        <w:t xml:space="preserve">Component 1 of the Project will focus on </w:t>
      </w:r>
      <w:r w:rsidR="002A49E5">
        <w:rPr>
          <w:b/>
        </w:rPr>
        <w:t>mining</w:t>
      </w:r>
      <w:r w:rsidRPr="009E4253">
        <w:rPr>
          <w:b/>
        </w:rPr>
        <w:t xml:space="preserve">, seeking to </w:t>
      </w:r>
      <w:r w:rsidR="002A49E5">
        <w:rPr>
          <w:b/>
        </w:rPr>
        <w:t>s</w:t>
      </w:r>
      <w:r w:rsidR="002A49E5" w:rsidRPr="002A49E5">
        <w:rPr>
          <w:b/>
        </w:rPr>
        <w:t>trengthe</w:t>
      </w:r>
      <w:r w:rsidR="002A49E5">
        <w:rPr>
          <w:b/>
        </w:rPr>
        <w:t>n</w:t>
      </w:r>
      <w:r w:rsidR="002A49E5" w:rsidRPr="002A49E5">
        <w:rPr>
          <w:b/>
        </w:rPr>
        <w:t xml:space="preserve"> mining sector governance, transparency, accountability, and administration</w:t>
      </w:r>
      <w:r w:rsidRPr="009E4253">
        <w:rPr>
          <w:b/>
        </w:rPr>
        <w:t>.</w:t>
      </w:r>
      <w:r>
        <w:t xml:space="preserve"> </w:t>
      </w:r>
      <w:r w:rsidR="006859E2">
        <w:t>A</w:t>
      </w:r>
      <w:r>
        <w:t xml:space="preserve">ctivities under this Component </w:t>
      </w:r>
      <w:r w:rsidR="006859E2">
        <w:t xml:space="preserve">are purely technical assistance and </w:t>
      </w:r>
      <w:r>
        <w:t>will not directly impact the social and natural environment</w:t>
      </w:r>
      <w:r w:rsidR="009E055D">
        <w:t>.</w:t>
      </w:r>
      <w:r>
        <w:t xml:space="preserve"> </w:t>
      </w:r>
      <w:r w:rsidR="009E055D">
        <w:t xml:space="preserve">As </w:t>
      </w:r>
      <w:r>
        <w:t>future private investments could have consequences for Suriname</w:t>
      </w:r>
      <w:r w:rsidR="009E055D">
        <w:t xml:space="preserve">, the project will finance </w:t>
      </w:r>
      <w:r>
        <w:t>a Strategic Environmental and Social Assessment (SESA) under this Component</w:t>
      </w:r>
      <w:r w:rsidR="009E055D">
        <w:t xml:space="preserve"> to strengthen government capacity specifically in this area</w:t>
      </w:r>
      <w:r>
        <w:t>. Activities under this Component thus fall outside the scope of the ESMF.</w:t>
      </w:r>
    </w:p>
    <w:p w14:paraId="4E05479D" w14:textId="77777777" w:rsidR="00AB234C" w:rsidRDefault="00AB234C" w:rsidP="00203F2A">
      <w:pPr>
        <w:pStyle w:val="NoSpacing"/>
        <w:jc w:val="both"/>
      </w:pPr>
    </w:p>
    <w:p w14:paraId="3B9924AF" w14:textId="699A3F92" w:rsidR="00AB234C" w:rsidRDefault="00AB234C" w:rsidP="00203F2A">
      <w:pPr>
        <w:pStyle w:val="NoSpacing"/>
        <w:jc w:val="both"/>
      </w:pPr>
      <w:r w:rsidRPr="00FC701E">
        <w:rPr>
          <w:b/>
        </w:rPr>
        <w:t xml:space="preserve">Component 2 financing will result in some physical developments through </w:t>
      </w:r>
      <w:r w:rsidR="00243EFF">
        <w:rPr>
          <w:b/>
        </w:rPr>
        <w:t>co-investment in SME upgrading</w:t>
      </w:r>
      <w:r w:rsidR="00243EFF" w:rsidRPr="00FC701E">
        <w:rPr>
          <w:b/>
        </w:rPr>
        <w:t xml:space="preserve"> </w:t>
      </w:r>
      <w:r w:rsidR="00243EFF">
        <w:rPr>
          <w:b/>
        </w:rPr>
        <w:t>and shared value chain assets</w:t>
      </w:r>
      <w:r w:rsidRPr="00FC701E">
        <w:rPr>
          <w:b/>
        </w:rPr>
        <w:t>.</w:t>
      </w:r>
      <w:r>
        <w:t xml:space="preserve"> The public investments in high-potential value chains will seek to increase the export competitiveness of current and future investments in the targeted industries. In addition to the matching grant support for SME co-financing, project interventions will also seek to stimulate longer-term SME access to finance for agribusinesses and others. While the potential social and environmental impacts of such activities (and the potential risk of involuntary resettlement) are expected to be minor and reversible, appropriate safeguard instruments must be applied to ensure that all activities under this Component meet the requirements of all relevant national legislation and international conventions to which Suriname is signatory, as well as the World Bank environmental and social safeguard policies.</w:t>
      </w:r>
    </w:p>
    <w:p w14:paraId="0275A8BF" w14:textId="77777777" w:rsidR="00327A5B" w:rsidRDefault="00327A5B" w:rsidP="00203F2A">
      <w:pPr>
        <w:pStyle w:val="NoSpacing"/>
        <w:jc w:val="both"/>
      </w:pPr>
    </w:p>
    <w:p w14:paraId="76D75D8F" w14:textId="77777777" w:rsidR="00327A5B" w:rsidRDefault="00327A5B" w:rsidP="00203F2A">
      <w:pPr>
        <w:pStyle w:val="NoSpacing"/>
        <w:jc w:val="both"/>
      </w:pPr>
      <w:r w:rsidRPr="00EA3819">
        <w:rPr>
          <w:b/>
        </w:rPr>
        <w:t xml:space="preserve">All work undertaken under the Project must comply with applicable Suriname’s laws and regulations (both national </w:t>
      </w:r>
      <w:r>
        <w:rPr>
          <w:b/>
        </w:rPr>
        <w:t xml:space="preserve">legislation </w:t>
      </w:r>
      <w:r w:rsidRPr="00EA3819">
        <w:rPr>
          <w:b/>
        </w:rPr>
        <w:t>and international</w:t>
      </w:r>
      <w:r>
        <w:rPr>
          <w:b/>
        </w:rPr>
        <w:t xml:space="preserve"> conventions</w:t>
      </w:r>
      <w:r w:rsidRPr="00EA3819">
        <w:rPr>
          <w:b/>
        </w:rPr>
        <w:t>) and consider the</w:t>
      </w:r>
      <w:r>
        <w:rPr>
          <w:b/>
        </w:rPr>
        <w:t xml:space="preserve"> World Bank</w:t>
      </w:r>
      <w:r w:rsidRPr="00EA3819">
        <w:rPr>
          <w:b/>
        </w:rPr>
        <w:t xml:space="preserve"> environmental and social </w:t>
      </w:r>
      <w:r>
        <w:rPr>
          <w:b/>
        </w:rPr>
        <w:t xml:space="preserve">operational </w:t>
      </w:r>
      <w:r w:rsidRPr="00EA3819">
        <w:rPr>
          <w:b/>
        </w:rPr>
        <w:t>procedures</w:t>
      </w:r>
      <w:r>
        <w:rPr>
          <w:b/>
        </w:rPr>
        <w:t>:</w:t>
      </w:r>
    </w:p>
    <w:p w14:paraId="3F2D1D4E" w14:textId="3D13A4CA" w:rsidR="00327A5B" w:rsidRDefault="00327A5B" w:rsidP="00203F2A">
      <w:pPr>
        <w:pStyle w:val="NoSpacing"/>
        <w:numPr>
          <w:ilvl w:val="0"/>
          <w:numId w:val="5"/>
        </w:numPr>
        <w:jc w:val="both"/>
      </w:pPr>
      <w:r>
        <w:t>World Bank (WB) social and environmental safeguard policies</w:t>
      </w:r>
      <w:r w:rsidR="00AA3F08">
        <w:t>, as enumerated in Table 1 below</w:t>
      </w:r>
      <w:r>
        <w:t>;</w:t>
      </w:r>
    </w:p>
    <w:p w14:paraId="6DC02A93" w14:textId="48F8CE13" w:rsidR="00D35E2C" w:rsidRDefault="00AA3F08" w:rsidP="00203F2A">
      <w:pPr>
        <w:pStyle w:val="NoSpacing"/>
        <w:numPr>
          <w:ilvl w:val="0"/>
          <w:numId w:val="5"/>
        </w:numPr>
        <w:jc w:val="both"/>
      </w:pPr>
      <w:r w:rsidRPr="00D35E2C">
        <w:t>WBG Environmental Health and Safety Guidelines on agribusiness relevant to the project</w:t>
      </w:r>
      <w:r>
        <w:t xml:space="preserve"> (such as </w:t>
      </w:r>
      <w:r w:rsidRPr="00D35E2C">
        <w:t>Annual Crop Productio</w:t>
      </w:r>
      <w:r>
        <w:t>n; Aquaculture; Fish Processing; Food and Beverage Processing; Perennial Crop Production;</w:t>
      </w:r>
      <w:r w:rsidRPr="00D35E2C">
        <w:t xml:space="preserve"> Ports and Harbours (</w:t>
      </w:r>
      <w:r>
        <w:t xml:space="preserve">as may be relevant </w:t>
      </w:r>
      <w:r w:rsidRPr="00D35E2C">
        <w:t>for boat landings)</w:t>
      </w:r>
      <w:r>
        <w:t>;</w:t>
      </w:r>
      <w:r w:rsidRPr="00D35E2C">
        <w:t xml:space="preserve"> etc.</w:t>
      </w:r>
      <w:r>
        <w:rPr>
          <w:rStyle w:val="FootnoteReference"/>
        </w:rPr>
        <w:footnoteReference w:id="2"/>
      </w:r>
    </w:p>
    <w:p w14:paraId="40CA0889" w14:textId="77777777" w:rsidR="00327A5B" w:rsidRDefault="00327A5B" w:rsidP="00203F2A">
      <w:pPr>
        <w:pStyle w:val="NoSpacing"/>
        <w:numPr>
          <w:ilvl w:val="0"/>
          <w:numId w:val="5"/>
        </w:numPr>
        <w:jc w:val="both"/>
      </w:pPr>
      <w:r>
        <w:t>WB guidance on the conduct of public consultations with Project Affected Peoples (PAPs);</w:t>
      </w:r>
    </w:p>
    <w:p w14:paraId="21B64963" w14:textId="77777777" w:rsidR="00327A5B" w:rsidRDefault="00327A5B" w:rsidP="00203F2A">
      <w:pPr>
        <w:pStyle w:val="NoSpacing"/>
        <w:numPr>
          <w:ilvl w:val="0"/>
          <w:numId w:val="5"/>
        </w:numPr>
        <w:jc w:val="both"/>
      </w:pPr>
      <w:r>
        <w:t>Additional WB guidance provided for Consultation, Social Assessments, ESIAs and other topics as determined during the design and preparation phase of the Project.</w:t>
      </w:r>
    </w:p>
    <w:p w14:paraId="692A17BB" w14:textId="77777777" w:rsidR="00327A5B" w:rsidRDefault="00327A5B" w:rsidP="00203F2A">
      <w:pPr>
        <w:pStyle w:val="NoSpacing"/>
        <w:jc w:val="both"/>
      </w:pPr>
    </w:p>
    <w:p w14:paraId="724E715E" w14:textId="77777777" w:rsidR="00862F4E" w:rsidRDefault="00327A5B" w:rsidP="00203F2A">
      <w:pPr>
        <w:pStyle w:val="NoSpacing"/>
        <w:jc w:val="both"/>
      </w:pPr>
      <w:r w:rsidRPr="00F305F6">
        <w:rPr>
          <w:b/>
        </w:rPr>
        <w:t>Word Bank Safeguard Operational Policies</w:t>
      </w:r>
      <w:r>
        <w:rPr>
          <w:rStyle w:val="FootnoteReference"/>
          <w:b/>
        </w:rPr>
        <w:footnoteReference w:id="3"/>
      </w:r>
      <w:r>
        <w:rPr>
          <w:b/>
        </w:rPr>
        <w:t xml:space="preserve"> (OPs)</w:t>
      </w:r>
      <w:r>
        <w:t xml:space="preserve"> that are triggered by the potential project activities under Component 2 are</w:t>
      </w:r>
      <w:r w:rsidR="00862F4E">
        <w:t xml:space="preserve"> presented in table 1.</w:t>
      </w:r>
    </w:p>
    <w:p w14:paraId="0EDD46B1" w14:textId="2E89AA13" w:rsidR="00327A5B" w:rsidRDefault="00327A5B" w:rsidP="00203F2A">
      <w:pPr>
        <w:pStyle w:val="NoSpacing"/>
        <w:jc w:val="both"/>
      </w:pPr>
      <w:r>
        <w:t xml:space="preserve"> </w:t>
      </w:r>
    </w:p>
    <w:p w14:paraId="59ED9B0A" w14:textId="1064F78B" w:rsidR="00327A5B" w:rsidRDefault="00862F4E" w:rsidP="00203F2A">
      <w:pPr>
        <w:pStyle w:val="NoSpacing"/>
        <w:jc w:val="both"/>
        <w:rPr>
          <w:b/>
        </w:rPr>
      </w:pPr>
      <w:bookmarkStart w:id="22" w:name="_Hlk531768638"/>
      <w:r w:rsidRPr="004C75AF">
        <w:rPr>
          <w:b/>
        </w:rPr>
        <w:t xml:space="preserve">Table 1: </w:t>
      </w:r>
      <w:r w:rsidR="004C75AF" w:rsidRPr="004C75AF">
        <w:rPr>
          <w:b/>
        </w:rPr>
        <w:t xml:space="preserve">WBG Operational Policies triggered by the </w:t>
      </w:r>
      <w:r w:rsidR="00190610">
        <w:rPr>
          <w:b/>
        </w:rPr>
        <w:t>SCSD</w:t>
      </w:r>
      <w:r w:rsidR="004C75AF" w:rsidRPr="004C75AF">
        <w:rPr>
          <w:b/>
        </w:rPr>
        <w:t xml:space="preserve"> Project</w:t>
      </w:r>
    </w:p>
    <w:p w14:paraId="17FC6B17" w14:textId="77777777" w:rsidR="004C75AF" w:rsidRPr="004C75AF" w:rsidRDefault="004C75AF" w:rsidP="00203F2A">
      <w:pPr>
        <w:pStyle w:val="NoSpacing"/>
        <w:jc w:val="both"/>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3544"/>
        <w:gridCol w:w="3680"/>
      </w:tblGrid>
      <w:tr w:rsidR="00327A5B" w:rsidRPr="00E85E8B" w14:paraId="21EFFE24" w14:textId="77777777" w:rsidTr="009E00C5">
        <w:tc>
          <w:tcPr>
            <w:tcW w:w="1838" w:type="dxa"/>
          </w:tcPr>
          <w:bookmarkEnd w:id="22"/>
          <w:p w14:paraId="0B61A4F4" w14:textId="77777777" w:rsidR="00327A5B" w:rsidRPr="00E85E8B" w:rsidRDefault="00327A5B" w:rsidP="00203F2A">
            <w:pPr>
              <w:pStyle w:val="NoSpacing"/>
              <w:jc w:val="both"/>
              <w:rPr>
                <w:sz w:val="20"/>
                <w:szCs w:val="20"/>
              </w:rPr>
            </w:pPr>
            <w:r w:rsidRPr="00E85E8B">
              <w:rPr>
                <w:sz w:val="20"/>
                <w:szCs w:val="20"/>
              </w:rPr>
              <w:t>OP 4.01</w:t>
            </w:r>
          </w:p>
          <w:p w14:paraId="3C01E1B5" w14:textId="77777777" w:rsidR="00327A5B" w:rsidRPr="00E85E8B" w:rsidRDefault="00327A5B" w:rsidP="00203F2A">
            <w:pPr>
              <w:pStyle w:val="NoSpacing"/>
              <w:jc w:val="both"/>
              <w:rPr>
                <w:sz w:val="20"/>
                <w:szCs w:val="20"/>
              </w:rPr>
            </w:pPr>
            <w:r w:rsidRPr="00E85E8B">
              <w:rPr>
                <w:sz w:val="20"/>
                <w:szCs w:val="20"/>
              </w:rPr>
              <w:t>Environmental Assessment</w:t>
            </w:r>
          </w:p>
        </w:tc>
        <w:tc>
          <w:tcPr>
            <w:tcW w:w="3544" w:type="dxa"/>
          </w:tcPr>
          <w:p w14:paraId="2F3CB805" w14:textId="77777777" w:rsidR="00327A5B" w:rsidRPr="00E85E8B" w:rsidRDefault="00327A5B" w:rsidP="00203F2A">
            <w:pPr>
              <w:pStyle w:val="NoSpacing"/>
              <w:jc w:val="both"/>
              <w:rPr>
                <w:sz w:val="20"/>
                <w:szCs w:val="20"/>
              </w:rPr>
            </w:pPr>
            <w:r w:rsidRPr="00E85E8B">
              <w:rPr>
                <w:sz w:val="20"/>
                <w:szCs w:val="20"/>
              </w:rPr>
              <w:t>OP 4.01 covers impacts on the natural environment (air, water and land); human health and safety; physical cultural resources</w:t>
            </w:r>
            <w:r>
              <w:rPr>
                <w:sz w:val="20"/>
                <w:szCs w:val="20"/>
              </w:rPr>
              <w:t>. S</w:t>
            </w:r>
            <w:r w:rsidRPr="00E85E8B">
              <w:rPr>
                <w:sz w:val="20"/>
                <w:szCs w:val="20"/>
              </w:rPr>
              <w:t xml:space="preserve">ocial aspects (involuntary resettlement, indigenous peoples) as well as natural habitats, </w:t>
            </w:r>
            <w:r>
              <w:rPr>
                <w:sz w:val="20"/>
                <w:szCs w:val="20"/>
              </w:rPr>
              <w:t xml:space="preserve">forests and </w:t>
            </w:r>
            <w:r w:rsidRPr="00E85E8B">
              <w:rPr>
                <w:sz w:val="20"/>
                <w:szCs w:val="20"/>
              </w:rPr>
              <w:t>pest management are covered by separate policies with their own requirements and procedures.</w:t>
            </w:r>
          </w:p>
        </w:tc>
        <w:tc>
          <w:tcPr>
            <w:tcW w:w="3680" w:type="dxa"/>
          </w:tcPr>
          <w:p w14:paraId="476C546F" w14:textId="05435F75" w:rsidR="00327A5B" w:rsidRPr="00E85E8B" w:rsidRDefault="00327A5B" w:rsidP="00203F2A">
            <w:pPr>
              <w:pStyle w:val="NoSpacing"/>
              <w:jc w:val="both"/>
              <w:rPr>
                <w:sz w:val="20"/>
                <w:szCs w:val="20"/>
              </w:rPr>
            </w:pPr>
            <w:r>
              <w:rPr>
                <w:sz w:val="20"/>
                <w:szCs w:val="20"/>
              </w:rPr>
              <w:t xml:space="preserve">Considering the nature of potential activities under Component 2 OP 4.01 is triggered. </w:t>
            </w:r>
            <w:r w:rsidRPr="00E85E8B">
              <w:rPr>
                <w:sz w:val="20"/>
                <w:szCs w:val="20"/>
              </w:rPr>
              <w:t xml:space="preserve">To inform activities, an Environmental and Social Management Framework (ESMF) </w:t>
            </w:r>
            <w:r>
              <w:rPr>
                <w:sz w:val="20"/>
                <w:szCs w:val="20"/>
              </w:rPr>
              <w:t>will be</w:t>
            </w:r>
            <w:r w:rsidRPr="00E85E8B">
              <w:rPr>
                <w:sz w:val="20"/>
                <w:szCs w:val="20"/>
              </w:rPr>
              <w:t xml:space="preserve"> prepared. This also includes an Indigenous </w:t>
            </w:r>
            <w:r w:rsidR="001457CD">
              <w:rPr>
                <w:sz w:val="20"/>
                <w:szCs w:val="20"/>
              </w:rPr>
              <w:t xml:space="preserve">and Tribal </w:t>
            </w:r>
            <w:r w:rsidRPr="00E85E8B">
              <w:rPr>
                <w:sz w:val="20"/>
                <w:szCs w:val="20"/>
              </w:rPr>
              <w:t>People Planning Framework (I</w:t>
            </w:r>
            <w:r w:rsidR="001457CD">
              <w:rPr>
                <w:sz w:val="20"/>
                <w:szCs w:val="20"/>
              </w:rPr>
              <w:t>T</w:t>
            </w:r>
            <w:r w:rsidRPr="00E85E8B">
              <w:rPr>
                <w:sz w:val="20"/>
                <w:szCs w:val="20"/>
              </w:rPr>
              <w:t xml:space="preserve">PPF), as there </w:t>
            </w:r>
            <w:r>
              <w:rPr>
                <w:sz w:val="20"/>
                <w:szCs w:val="20"/>
              </w:rPr>
              <w:t>might be</w:t>
            </w:r>
            <w:r w:rsidRPr="00E85E8B">
              <w:rPr>
                <w:sz w:val="20"/>
                <w:szCs w:val="20"/>
              </w:rPr>
              <w:t xml:space="preserve"> indigenous communities </w:t>
            </w:r>
            <w:proofErr w:type="gramStart"/>
            <w:r w:rsidRPr="00E85E8B">
              <w:rPr>
                <w:sz w:val="20"/>
                <w:szCs w:val="20"/>
              </w:rPr>
              <w:t>in the vicinity of</w:t>
            </w:r>
            <w:proofErr w:type="gramEnd"/>
            <w:r w:rsidRPr="00E85E8B">
              <w:rPr>
                <w:sz w:val="20"/>
                <w:szCs w:val="20"/>
              </w:rPr>
              <w:t xml:space="preserve"> sites that may be supported by value chain interventions</w:t>
            </w:r>
            <w:r w:rsidRPr="00E85E8B">
              <w:rPr>
                <w:rStyle w:val="FootnoteReference"/>
                <w:sz w:val="20"/>
                <w:szCs w:val="20"/>
              </w:rPr>
              <w:footnoteReference w:id="4"/>
            </w:r>
            <w:r w:rsidRPr="00E85E8B">
              <w:rPr>
                <w:sz w:val="20"/>
                <w:szCs w:val="20"/>
              </w:rPr>
              <w:t>.</w:t>
            </w:r>
          </w:p>
        </w:tc>
      </w:tr>
      <w:tr w:rsidR="00327A5B" w:rsidRPr="00E85E8B" w14:paraId="2C70C549" w14:textId="77777777" w:rsidTr="009E00C5">
        <w:tc>
          <w:tcPr>
            <w:tcW w:w="1838" w:type="dxa"/>
          </w:tcPr>
          <w:p w14:paraId="0EF5806D" w14:textId="77777777" w:rsidR="00327A5B" w:rsidRPr="00E85E8B" w:rsidRDefault="00327A5B" w:rsidP="00203F2A">
            <w:pPr>
              <w:pStyle w:val="NoSpacing"/>
              <w:jc w:val="both"/>
              <w:rPr>
                <w:sz w:val="20"/>
                <w:szCs w:val="20"/>
              </w:rPr>
            </w:pPr>
            <w:r w:rsidRPr="00E85E8B">
              <w:rPr>
                <w:sz w:val="20"/>
                <w:szCs w:val="20"/>
              </w:rPr>
              <w:t>OP 4.04</w:t>
            </w:r>
          </w:p>
          <w:p w14:paraId="7B4C84CD" w14:textId="77777777" w:rsidR="00327A5B" w:rsidRPr="00E85E8B" w:rsidRDefault="00327A5B" w:rsidP="00203F2A">
            <w:pPr>
              <w:pStyle w:val="NoSpacing"/>
              <w:jc w:val="both"/>
              <w:rPr>
                <w:sz w:val="20"/>
                <w:szCs w:val="20"/>
              </w:rPr>
            </w:pPr>
            <w:r w:rsidRPr="00E85E8B">
              <w:rPr>
                <w:sz w:val="20"/>
                <w:szCs w:val="20"/>
              </w:rPr>
              <w:t>Natural Habitats</w:t>
            </w:r>
          </w:p>
        </w:tc>
        <w:tc>
          <w:tcPr>
            <w:tcW w:w="3544" w:type="dxa"/>
          </w:tcPr>
          <w:p w14:paraId="418F96F2" w14:textId="77777777" w:rsidR="00327A5B" w:rsidRPr="00E85E8B" w:rsidRDefault="00327A5B" w:rsidP="00203F2A">
            <w:pPr>
              <w:pStyle w:val="NoSpacing"/>
              <w:jc w:val="both"/>
              <w:rPr>
                <w:sz w:val="20"/>
                <w:szCs w:val="20"/>
              </w:rPr>
            </w:pPr>
            <w:r w:rsidRPr="00E85E8B">
              <w:rPr>
                <w:sz w:val="20"/>
                <w:szCs w:val="20"/>
              </w:rPr>
              <w:t xml:space="preserve">The </w:t>
            </w:r>
            <w:r>
              <w:rPr>
                <w:sz w:val="20"/>
                <w:szCs w:val="20"/>
              </w:rPr>
              <w:t>WB</w:t>
            </w:r>
            <w:r w:rsidRPr="00E85E8B">
              <w:rPr>
                <w:sz w:val="20"/>
                <w:szCs w:val="20"/>
              </w:rPr>
              <w:t xml:space="preserve"> supports the protection, maintenance, and rehabilitation of natural habitats and their functions. The conservation of natural habitats is essential for long term sustainable development. Natural habitats are land and water areas where (i) the ecosystems' bio</w:t>
            </w:r>
            <w:r>
              <w:rPr>
                <w:sz w:val="20"/>
                <w:szCs w:val="20"/>
              </w:rPr>
              <w:t>diversity is</w:t>
            </w:r>
            <w:r w:rsidRPr="00E85E8B">
              <w:rPr>
                <w:sz w:val="20"/>
                <w:szCs w:val="20"/>
              </w:rPr>
              <w:t xml:space="preserve"> formed largely by native plant and animal species, and (ii) human activity has not essentially modified the area's primary ecological functions.</w:t>
            </w:r>
          </w:p>
        </w:tc>
        <w:tc>
          <w:tcPr>
            <w:tcW w:w="3680" w:type="dxa"/>
          </w:tcPr>
          <w:p w14:paraId="3C9EA019" w14:textId="77777777" w:rsidR="00327A5B" w:rsidRPr="00E85E8B" w:rsidRDefault="00327A5B" w:rsidP="00203F2A">
            <w:pPr>
              <w:pStyle w:val="NoSpacing"/>
              <w:jc w:val="both"/>
              <w:rPr>
                <w:sz w:val="20"/>
                <w:szCs w:val="20"/>
              </w:rPr>
            </w:pPr>
            <w:r w:rsidRPr="00E85E8B">
              <w:rPr>
                <w:sz w:val="20"/>
                <w:szCs w:val="20"/>
              </w:rPr>
              <w:t>Considering the characteristics of the natural setting in Suriname, based on policy 4.04, the ESMF integrates natural habitats considerations in exclusion criteria, as appropriate for the selection of specific sites for interventions.</w:t>
            </w:r>
          </w:p>
        </w:tc>
      </w:tr>
      <w:tr w:rsidR="00327A5B" w:rsidRPr="00E85E8B" w14:paraId="6C626AD5" w14:textId="77777777" w:rsidTr="009E00C5">
        <w:tc>
          <w:tcPr>
            <w:tcW w:w="1838" w:type="dxa"/>
          </w:tcPr>
          <w:p w14:paraId="7D4D5210" w14:textId="77777777" w:rsidR="00327A5B" w:rsidRPr="00E85E8B" w:rsidRDefault="00327A5B" w:rsidP="00203F2A">
            <w:pPr>
              <w:pStyle w:val="NoSpacing"/>
              <w:jc w:val="both"/>
              <w:rPr>
                <w:sz w:val="20"/>
                <w:szCs w:val="20"/>
              </w:rPr>
            </w:pPr>
            <w:r w:rsidRPr="00E85E8B">
              <w:rPr>
                <w:sz w:val="20"/>
                <w:szCs w:val="20"/>
              </w:rPr>
              <w:t>OP 4.36</w:t>
            </w:r>
          </w:p>
          <w:p w14:paraId="1A523A22" w14:textId="77777777" w:rsidR="00327A5B" w:rsidRPr="00E85E8B" w:rsidRDefault="00327A5B" w:rsidP="00203F2A">
            <w:pPr>
              <w:pStyle w:val="NoSpacing"/>
              <w:jc w:val="both"/>
              <w:rPr>
                <w:sz w:val="20"/>
                <w:szCs w:val="20"/>
              </w:rPr>
            </w:pPr>
            <w:r w:rsidRPr="00E85E8B">
              <w:rPr>
                <w:sz w:val="20"/>
                <w:szCs w:val="20"/>
              </w:rPr>
              <w:t>Forests</w:t>
            </w:r>
          </w:p>
        </w:tc>
        <w:tc>
          <w:tcPr>
            <w:tcW w:w="3544" w:type="dxa"/>
          </w:tcPr>
          <w:p w14:paraId="5F8CE9D0" w14:textId="77777777" w:rsidR="00327A5B" w:rsidRPr="00E85E8B" w:rsidRDefault="00327A5B" w:rsidP="00203F2A">
            <w:pPr>
              <w:pStyle w:val="NoSpacing"/>
              <w:jc w:val="both"/>
              <w:rPr>
                <w:sz w:val="20"/>
                <w:szCs w:val="20"/>
              </w:rPr>
            </w:pPr>
            <w:r w:rsidRPr="00E85E8B">
              <w:rPr>
                <w:sz w:val="20"/>
                <w:szCs w:val="20"/>
              </w:rPr>
              <w:t>The objective of this policy is to assist borrowers to harness the potential of forests in a sustainable manner, integrate forests effectively into sustainable economic development, and protect the vital local and global environmental services of forests.</w:t>
            </w:r>
          </w:p>
        </w:tc>
        <w:tc>
          <w:tcPr>
            <w:tcW w:w="3680" w:type="dxa"/>
          </w:tcPr>
          <w:p w14:paraId="3BF2CAFF" w14:textId="7A3A3537" w:rsidR="00327A5B" w:rsidRPr="00E85E8B" w:rsidRDefault="00327A5B" w:rsidP="00203F2A">
            <w:pPr>
              <w:pStyle w:val="NoSpacing"/>
              <w:jc w:val="both"/>
              <w:rPr>
                <w:sz w:val="20"/>
                <w:szCs w:val="20"/>
              </w:rPr>
            </w:pPr>
            <w:r w:rsidRPr="00E85E8B">
              <w:rPr>
                <w:sz w:val="20"/>
                <w:szCs w:val="20"/>
              </w:rPr>
              <w:t>This policy is triggered given the potential to support investments that may impact forests negatively such as support to NTFP business development and agribusiness. The ESMF considers the potential impacts on forests and mangroves.</w:t>
            </w:r>
          </w:p>
        </w:tc>
      </w:tr>
      <w:tr w:rsidR="00327A5B" w:rsidRPr="00E85E8B" w14:paraId="70C49F3B" w14:textId="77777777" w:rsidTr="009E00C5">
        <w:tc>
          <w:tcPr>
            <w:tcW w:w="1838" w:type="dxa"/>
          </w:tcPr>
          <w:p w14:paraId="16A95130" w14:textId="77777777" w:rsidR="00327A5B" w:rsidRPr="00E85E8B" w:rsidRDefault="00327A5B" w:rsidP="00203F2A">
            <w:pPr>
              <w:pStyle w:val="NoSpacing"/>
              <w:jc w:val="both"/>
              <w:rPr>
                <w:sz w:val="20"/>
                <w:szCs w:val="20"/>
              </w:rPr>
            </w:pPr>
            <w:r w:rsidRPr="00E85E8B">
              <w:rPr>
                <w:sz w:val="20"/>
                <w:szCs w:val="20"/>
              </w:rPr>
              <w:t>OP 4.09</w:t>
            </w:r>
          </w:p>
          <w:p w14:paraId="789C4FD0" w14:textId="77777777" w:rsidR="00327A5B" w:rsidRPr="00E85E8B" w:rsidRDefault="00327A5B" w:rsidP="00203F2A">
            <w:pPr>
              <w:pStyle w:val="NoSpacing"/>
              <w:jc w:val="both"/>
              <w:rPr>
                <w:sz w:val="20"/>
                <w:szCs w:val="20"/>
              </w:rPr>
            </w:pPr>
            <w:r w:rsidRPr="00E85E8B">
              <w:rPr>
                <w:sz w:val="20"/>
                <w:szCs w:val="20"/>
              </w:rPr>
              <w:t>Pest Management</w:t>
            </w:r>
          </w:p>
        </w:tc>
        <w:tc>
          <w:tcPr>
            <w:tcW w:w="3544" w:type="dxa"/>
          </w:tcPr>
          <w:p w14:paraId="1FAED34E" w14:textId="77777777" w:rsidR="00327A5B" w:rsidRPr="00E85E8B" w:rsidRDefault="00327A5B" w:rsidP="00203F2A">
            <w:pPr>
              <w:pStyle w:val="NoSpacing"/>
              <w:jc w:val="both"/>
              <w:rPr>
                <w:sz w:val="20"/>
                <w:szCs w:val="20"/>
              </w:rPr>
            </w:pPr>
            <w:r w:rsidRPr="00E85E8B">
              <w:rPr>
                <w:sz w:val="20"/>
                <w:szCs w:val="20"/>
              </w:rPr>
              <w:t xml:space="preserve">For agricultural projects that will involve pest management, the </w:t>
            </w:r>
            <w:r>
              <w:rPr>
                <w:sz w:val="20"/>
                <w:szCs w:val="20"/>
              </w:rPr>
              <w:t>W</w:t>
            </w:r>
            <w:r w:rsidRPr="00E85E8B">
              <w:rPr>
                <w:sz w:val="20"/>
                <w:szCs w:val="20"/>
              </w:rPr>
              <w:t xml:space="preserve">B assesses the capacity of the country's regulatory framework and institutions to promote and support safe, effective, and environmentally sound pest management strategies that promote use of biological or environmental control methods and reduce reliance to synthetic chemical pesticides. </w:t>
            </w:r>
          </w:p>
        </w:tc>
        <w:tc>
          <w:tcPr>
            <w:tcW w:w="3680" w:type="dxa"/>
          </w:tcPr>
          <w:p w14:paraId="10ED0AD1" w14:textId="18B2CE85" w:rsidR="00327A5B" w:rsidRPr="00E85E8B" w:rsidRDefault="00327A5B" w:rsidP="00203F2A">
            <w:pPr>
              <w:pStyle w:val="NoSpacing"/>
              <w:jc w:val="both"/>
              <w:rPr>
                <w:sz w:val="20"/>
                <w:szCs w:val="20"/>
              </w:rPr>
            </w:pPr>
            <w:bookmarkStart w:id="23" w:name="_Hlk529642794"/>
            <w:r w:rsidRPr="00E85E8B">
              <w:rPr>
                <w:sz w:val="20"/>
                <w:szCs w:val="20"/>
              </w:rPr>
              <w:t>Policy 4.09 is triggered given the focus on agribusiness value chains. Activities financed by the project will consider</w:t>
            </w:r>
            <w:r>
              <w:rPr>
                <w:sz w:val="20"/>
                <w:szCs w:val="20"/>
              </w:rPr>
              <w:t xml:space="preserve"> approved</w:t>
            </w:r>
            <w:r w:rsidRPr="00E85E8B">
              <w:rPr>
                <w:sz w:val="20"/>
                <w:szCs w:val="20"/>
              </w:rPr>
              <w:t xml:space="preserve"> pest management policy provisions, which are incorporated into the ESMF</w:t>
            </w:r>
            <w:bookmarkEnd w:id="23"/>
          </w:p>
        </w:tc>
      </w:tr>
      <w:tr w:rsidR="00327A5B" w:rsidRPr="00E85E8B" w14:paraId="4D1E66C3" w14:textId="77777777" w:rsidTr="009E00C5">
        <w:tc>
          <w:tcPr>
            <w:tcW w:w="1838" w:type="dxa"/>
          </w:tcPr>
          <w:p w14:paraId="421D9A30" w14:textId="77777777" w:rsidR="00327A5B" w:rsidRPr="00E85E8B" w:rsidRDefault="00327A5B" w:rsidP="00203F2A">
            <w:pPr>
              <w:pStyle w:val="NoSpacing"/>
              <w:jc w:val="both"/>
              <w:rPr>
                <w:sz w:val="20"/>
                <w:szCs w:val="20"/>
              </w:rPr>
            </w:pPr>
            <w:bookmarkStart w:id="24" w:name="_Hlk529800310"/>
            <w:r w:rsidRPr="00E85E8B">
              <w:rPr>
                <w:sz w:val="20"/>
                <w:szCs w:val="20"/>
              </w:rPr>
              <w:t>OP 4.11</w:t>
            </w:r>
          </w:p>
          <w:p w14:paraId="04B0F1BE" w14:textId="77777777" w:rsidR="00327A5B" w:rsidRPr="00E85E8B" w:rsidRDefault="00327A5B" w:rsidP="00203F2A">
            <w:pPr>
              <w:pStyle w:val="NoSpacing"/>
              <w:jc w:val="both"/>
              <w:rPr>
                <w:sz w:val="20"/>
                <w:szCs w:val="20"/>
              </w:rPr>
            </w:pPr>
            <w:r w:rsidRPr="00E85E8B">
              <w:rPr>
                <w:sz w:val="20"/>
                <w:szCs w:val="20"/>
              </w:rPr>
              <w:t>Physical Cultural Resources</w:t>
            </w:r>
          </w:p>
        </w:tc>
        <w:tc>
          <w:tcPr>
            <w:tcW w:w="3544" w:type="dxa"/>
          </w:tcPr>
          <w:p w14:paraId="1336B262" w14:textId="77777777" w:rsidR="00327A5B" w:rsidRPr="00E85E8B" w:rsidRDefault="00327A5B" w:rsidP="00203F2A">
            <w:pPr>
              <w:pStyle w:val="NoSpacing"/>
              <w:jc w:val="both"/>
              <w:rPr>
                <w:sz w:val="20"/>
                <w:szCs w:val="20"/>
              </w:rPr>
            </w:pPr>
            <w:r w:rsidRPr="00E85E8B">
              <w:rPr>
                <w:sz w:val="20"/>
                <w:szCs w:val="20"/>
              </w:rPr>
              <w:t>This policy addresses physical cultural resources, which are defined as movable or immovable objects, sites, structures, groups of structures, and natural features and landscapes that have archaeological, paleontological, historical, architectural, religious, aesthetic, or other cultural significance.</w:t>
            </w:r>
          </w:p>
        </w:tc>
        <w:tc>
          <w:tcPr>
            <w:tcW w:w="3680" w:type="dxa"/>
          </w:tcPr>
          <w:p w14:paraId="34662175" w14:textId="2618693B" w:rsidR="00327A5B" w:rsidRPr="00E85E8B" w:rsidRDefault="00327A5B" w:rsidP="00203F2A">
            <w:pPr>
              <w:pStyle w:val="NoSpacing"/>
              <w:jc w:val="both"/>
              <w:rPr>
                <w:sz w:val="20"/>
                <w:szCs w:val="20"/>
              </w:rPr>
            </w:pPr>
            <w:r w:rsidRPr="00E85E8B">
              <w:rPr>
                <w:sz w:val="20"/>
                <w:szCs w:val="20"/>
              </w:rPr>
              <w:t xml:space="preserve">Although the project is not expected to have direct negative impacts on cultural property, ‘chance finds’ during implementation of activities could be possible. ‘Chance finds’ procedures are incorporated into the ESMF, including procedures to identify PCRs and address potential impacts. </w:t>
            </w:r>
          </w:p>
        </w:tc>
      </w:tr>
      <w:bookmarkEnd w:id="24"/>
      <w:tr w:rsidR="00327A5B" w:rsidRPr="00E85E8B" w14:paraId="35DAB936" w14:textId="77777777" w:rsidTr="009E00C5">
        <w:tc>
          <w:tcPr>
            <w:tcW w:w="1838" w:type="dxa"/>
          </w:tcPr>
          <w:p w14:paraId="225917D7" w14:textId="77777777" w:rsidR="00327A5B" w:rsidRPr="00E85E8B" w:rsidRDefault="00327A5B" w:rsidP="00203F2A">
            <w:pPr>
              <w:pStyle w:val="NoSpacing"/>
              <w:jc w:val="both"/>
              <w:rPr>
                <w:sz w:val="20"/>
                <w:szCs w:val="20"/>
              </w:rPr>
            </w:pPr>
            <w:r w:rsidRPr="00E85E8B">
              <w:rPr>
                <w:sz w:val="20"/>
                <w:szCs w:val="20"/>
              </w:rPr>
              <w:t>OP 4.10</w:t>
            </w:r>
          </w:p>
          <w:p w14:paraId="4EF45425" w14:textId="77777777" w:rsidR="00327A5B" w:rsidRPr="00E85E8B" w:rsidRDefault="00327A5B" w:rsidP="00203F2A">
            <w:pPr>
              <w:pStyle w:val="NoSpacing"/>
              <w:jc w:val="both"/>
              <w:rPr>
                <w:sz w:val="20"/>
                <w:szCs w:val="20"/>
              </w:rPr>
            </w:pPr>
            <w:r w:rsidRPr="00E85E8B">
              <w:rPr>
                <w:sz w:val="20"/>
                <w:szCs w:val="20"/>
              </w:rPr>
              <w:t>Indigenous Peoples</w:t>
            </w:r>
          </w:p>
        </w:tc>
        <w:tc>
          <w:tcPr>
            <w:tcW w:w="3544" w:type="dxa"/>
          </w:tcPr>
          <w:p w14:paraId="0E4CDC65" w14:textId="77777777" w:rsidR="00327A5B" w:rsidRPr="00E85E8B" w:rsidRDefault="00327A5B" w:rsidP="00203F2A">
            <w:pPr>
              <w:pStyle w:val="NoSpacing"/>
              <w:jc w:val="both"/>
              <w:rPr>
                <w:sz w:val="20"/>
                <w:szCs w:val="20"/>
              </w:rPr>
            </w:pPr>
            <w:r w:rsidRPr="00E85E8B">
              <w:rPr>
                <w:sz w:val="20"/>
                <w:szCs w:val="20"/>
              </w:rPr>
              <w:t xml:space="preserve">These are defined to be a distinct, vulnerable, social and cultural group possessing </w:t>
            </w:r>
            <w:proofErr w:type="gramStart"/>
            <w:r w:rsidRPr="00E85E8B">
              <w:rPr>
                <w:sz w:val="20"/>
                <w:szCs w:val="20"/>
              </w:rPr>
              <w:t>a number of</w:t>
            </w:r>
            <w:proofErr w:type="gramEnd"/>
            <w:r w:rsidRPr="00E85E8B">
              <w:rPr>
                <w:sz w:val="20"/>
                <w:szCs w:val="20"/>
              </w:rPr>
              <w:t xml:space="preserve"> characteristics including collective attachment to geographically distinct habitats or ancestral territories in the project area and to the natural resources in these habitats and territories.</w:t>
            </w:r>
          </w:p>
        </w:tc>
        <w:tc>
          <w:tcPr>
            <w:tcW w:w="3680" w:type="dxa"/>
          </w:tcPr>
          <w:p w14:paraId="35AFD713" w14:textId="1189C5CB" w:rsidR="00327A5B" w:rsidRPr="00E85E8B" w:rsidRDefault="00327A5B" w:rsidP="00203F2A">
            <w:pPr>
              <w:pStyle w:val="NoSpacing"/>
              <w:jc w:val="both"/>
              <w:rPr>
                <w:sz w:val="20"/>
                <w:szCs w:val="20"/>
              </w:rPr>
            </w:pPr>
            <w:r w:rsidRPr="00E85E8B">
              <w:rPr>
                <w:sz w:val="20"/>
                <w:szCs w:val="20"/>
              </w:rPr>
              <w:t xml:space="preserve">This policy is triggered given the </w:t>
            </w:r>
            <w:r>
              <w:rPr>
                <w:sz w:val="20"/>
                <w:szCs w:val="20"/>
              </w:rPr>
              <w:t xml:space="preserve">potential </w:t>
            </w:r>
            <w:r w:rsidRPr="00E85E8B">
              <w:rPr>
                <w:sz w:val="20"/>
                <w:szCs w:val="20"/>
              </w:rPr>
              <w:t xml:space="preserve">presence of indigenous people (IP) near areas where </w:t>
            </w:r>
            <w:r>
              <w:rPr>
                <w:sz w:val="20"/>
                <w:szCs w:val="20"/>
              </w:rPr>
              <w:t xml:space="preserve">economical, </w:t>
            </w:r>
            <w:r w:rsidRPr="00E85E8B">
              <w:rPr>
                <w:sz w:val="20"/>
                <w:szCs w:val="20"/>
              </w:rPr>
              <w:t xml:space="preserve">agribusiness and </w:t>
            </w:r>
            <w:r w:rsidR="001426FB">
              <w:rPr>
                <w:sz w:val="20"/>
                <w:szCs w:val="20"/>
              </w:rPr>
              <w:t>mining</w:t>
            </w:r>
            <w:r w:rsidR="001426FB" w:rsidRPr="00E85E8B">
              <w:rPr>
                <w:sz w:val="20"/>
                <w:szCs w:val="20"/>
              </w:rPr>
              <w:t xml:space="preserve"> </w:t>
            </w:r>
            <w:r w:rsidRPr="00E85E8B">
              <w:rPr>
                <w:sz w:val="20"/>
                <w:szCs w:val="20"/>
              </w:rPr>
              <w:t>activities occur in Suriname. Additional to, but not within the scope of the ESMF, a Social Assessment will be conducted, including consultation with IP representatives to inform the preparation of the SESA and the IPPF as part of the ESMF</w:t>
            </w:r>
            <w:r w:rsidRPr="00E85E8B">
              <w:rPr>
                <w:rStyle w:val="FootnoteReference"/>
                <w:sz w:val="20"/>
                <w:szCs w:val="20"/>
              </w:rPr>
              <w:footnoteReference w:id="5"/>
            </w:r>
            <w:r w:rsidRPr="00E85E8B">
              <w:rPr>
                <w:sz w:val="20"/>
                <w:szCs w:val="20"/>
              </w:rPr>
              <w:t>.</w:t>
            </w:r>
            <w:r w:rsidR="000918C8">
              <w:rPr>
                <w:sz w:val="20"/>
                <w:szCs w:val="20"/>
              </w:rPr>
              <w:t xml:space="preserve"> (See also the ITPPF safeguard Document)</w:t>
            </w:r>
          </w:p>
        </w:tc>
      </w:tr>
      <w:tr w:rsidR="00327A5B" w:rsidRPr="00E85E8B" w14:paraId="44DBD57B" w14:textId="77777777" w:rsidTr="009E00C5">
        <w:tc>
          <w:tcPr>
            <w:tcW w:w="1838" w:type="dxa"/>
          </w:tcPr>
          <w:p w14:paraId="23002722" w14:textId="77777777" w:rsidR="00327A5B" w:rsidRPr="00E85E8B" w:rsidRDefault="00327A5B" w:rsidP="00203F2A">
            <w:pPr>
              <w:pStyle w:val="NoSpacing"/>
              <w:jc w:val="both"/>
              <w:rPr>
                <w:sz w:val="20"/>
                <w:szCs w:val="20"/>
              </w:rPr>
            </w:pPr>
            <w:r w:rsidRPr="00E85E8B">
              <w:rPr>
                <w:sz w:val="20"/>
                <w:szCs w:val="20"/>
              </w:rPr>
              <w:t>OP 4.12</w:t>
            </w:r>
          </w:p>
          <w:p w14:paraId="57EA0703" w14:textId="77777777" w:rsidR="00327A5B" w:rsidRPr="00E85E8B" w:rsidRDefault="00327A5B" w:rsidP="00203F2A">
            <w:pPr>
              <w:pStyle w:val="NoSpacing"/>
              <w:jc w:val="both"/>
              <w:rPr>
                <w:sz w:val="20"/>
                <w:szCs w:val="20"/>
              </w:rPr>
            </w:pPr>
            <w:r w:rsidRPr="00E85E8B">
              <w:rPr>
                <w:sz w:val="20"/>
                <w:szCs w:val="20"/>
              </w:rPr>
              <w:t>Involuntary Resettlement</w:t>
            </w:r>
          </w:p>
        </w:tc>
        <w:tc>
          <w:tcPr>
            <w:tcW w:w="3544" w:type="dxa"/>
          </w:tcPr>
          <w:p w14:paraId="481BD8C1" w14:textId="77777777" w:rsidR="00327A5B" w:rsidRPr="00E85E8B" w:rsidRDefault="00327A5B" w:rsidP="00203F2A">
            <w:pPr>
              <w:pStyle w:val="NoSpacing"/>
              <w:jc w:val="both"/>
              <w:rPr>
                <w:sz w:val="20"/>
                <w:szCs w:val="20"/>
              </w:rPr>
            </w:pPr>
            <w:r w:rsidRPr="00E85E8B">
              <w:rPr>
                <w:sz w:val="20"/>
                <w:szCs w:val="20"/>
              </w:rPr>
              <w:t>This policy aims to address and mitigate risks of physical relocation, loss of land and other assets, sources of incomes and means of livelihood by local people due to proposed projects. The policy also applies to the involuntary restriction of access to legally designated parks and protected areas resulting in adverse impacts on the livelihoods of the displaced persons.</w:t>
            </w:r>
          </w:p>
        </w:tc>
        <w:tc>
          <w:tcPr>
            <w:tcW w:w="3680" w:type="dxa"/>
          </w:tcPr>
          <w:p w14:paraId="6F5735B5" w14:textId="57CFCA4D" w:rsidR="00327A5B" w:rsidRPr="00E85E8B" w:rsidRDefault="00327A5B" w:rsidP="00203F2A">
            <w:pPr>
              <w:pStyle w:val="NoSpacing"/>
              <w:jc w:val="both"/>
              <w:rPr>
                <w:sz w:val="20"/>
                <w:szCs w:val="20"/>
              </w:rPr>
            </w:pPr>
            <w:r w:rsidRPr="00E85E8B">
              <w:rPr>
                <w:sz w:val="20"/>
                <w:szCs w:val="20"/>
              </w:rPr>
              <w:t xml:space="preserve">This policy is triggered, </w:t>
            </w:r>
            <w:r w:rsidR="00AB234C">
              <w:rPr>
                <w:sz w:val="20"/>
                <w:szCs w:val="20"/>
              </w:rPr>
              <w:t xml:space="preserve">as </w:t>
            </w:r>
            <w:r w:rsidRPr="00E85E8B">
              <w:rPr>
                <w:sz w:val="20"/>
                <w:szCs w:val="20"/>
              </w:rPr>
              <w:t xml:space="preserve">social issues related to involuntary resettlement are essentially covered by the SESA. </w:t>
            </w:r>
          </w:p>
          <w:p w14:paraId="7FB45989" w14:textId="2B2548EC" w:rsidR="00327A5B" w:rsidRPr="00E85E8B" w:rsidRDefault="00327A5B" w:rsidP="00203F2A">
            <w:pPr>
              <w:pStyle w:val="NoSpacing"/>
              <w:jc w:val="both"/>
              <w:rPr>
                <w:sz w:val="20"/>
                <w:szCs w:val="20"/>
              </w:rPr>
            </w:pPr>
            <w:r w:rsidRPr="00E85E8B">
              <w:rPr>
                <w:sz w:val="20"/>
                <w:szCs w:val="20"/>
              </w:rPr>
              <w:t>Reg</w:t>
            </w:r>
            <w:r>
              <w:rPr>
                <w:sz w:val="20"/>
                <w:szCs w:val="20"/>
              </w:rPr>
              <w:t>ar</w:t>
            </w:r>
            <w:r w:rsidRPr="00E85E8B">
              <w:rPr>
                <w:sz w:val="20"/>
                <w:szCs w:val="20"/>
              </w:rPr>
              <w:t>ding project investments in value chains, it is not expected that there will be any involuntary resettlement. However, as potential impacts such as small-scale land acquisition cannot be ruled out</w:t>
            </w:r>
            <w:r w:rsidR="00AB234C">
              <w:rPr>
                <w:sz w:val="20"/>
                <w:szCs w:val="20"/>
              </w:rPr>
              <w:t>, a Resettlement Policy Framework is also developed.</w:t>
            </w:r>
            <w:r w:rsidR="000918C8">
              <w:rPr>
                <w:sz w:val="20"/>
                <w:szCs w:val="20"/>
              </w:rPr>
              <w:t xml:space="preserve"> (See RPF safeguard Document)</w:t>
            </w:r>
          </w:p>
        </w:tc>
      </w:tr>
    </w:tbl>
    <w:p w14:paraId="40999B23" w14:textId="77777777" w:rsidR="00327A5B" w:rsidRDefault="00327A5B" w:rsidP="00203F2A">
      <w:pPr>
        <w:pStyle w:val="NoSpacing"/>
        <w:jc w:val="both"/>
      </w:pPr>
    </w:p>
    <w:p w14:paraId="5FE1642E" w14:textId="227B6299" w:rsidR="00327A5B" w:rsidRDefault="00327A5B" w:rsidP="00203F2A">
      <w:pPr>
        <w:pStyle w:val="NoSpacing"/>
        <w:jc w:val="both"/>
      </w:pPr>
      <w:r>
        <w:t xml:space="preserve">As mentioned, the OP 4.01 is triggered by the potential project’s activities. In this case, the World Bank system classifies Projects into one of four categories, depending on the type, location, sensitivity, and scale of the Project and the nature and magnitude of its potential social and environmental impacts. </w:t>
      </w:r>
      <w:r w:rsidRPr="00F60C65">
        <w:rPr>
          <w:b/>
        </w:rPr>
        <w:t>Th</w:t>
      </w:r>
      <w:r>
        <w:rPr>
          <w:b/>
        </w:rPr>
        <w:t>is</w:t>
      </w:r>
      <w:r w:rsidRPr="00F60C65">
        <w:rPr>
          <w:b/>
        </w:rPr>
        <w:t xml:space="preserve"> </w:t>
      </w:r>
      <w:r w:rsidR="00190610">
        <w:rPr>
          <w:b/>
        </w:rPr>
        <w:t>SCSD</w:t>
      </w:r>
      <w:r w:rsidRPr="00F60C65">
        <w:rPr>
          <w:b/>
        </w:rPr>
        <w:t xml:space="preserve"> Project is classified as Category B.</w:t>
      </w:r>
    </w:p>
    <w:p w14:paraId="64CD2A13" w14:textId="77777777" w:rsidR="00327A5B" w:rsidRDefault="00327A5B" w:rsidP="00203F2A">
      <w:pPr>
        <w:pStyle w:val="NoSpacing"/>
        <w:jc w:val="both"/>
      </w:pPr>
    </w:p>
    <w:p w14:paraId="767E2005" w14:textId="0B316854" w:rsidR="00327A5B" w:rsidRDefault="00327A5B" w:rsidP="00203F2A">
      <w:pPr>
        <w:pStyle w:val="NoSpacing"/>
        <w:jc w:val="both"/>
      </w:pPr>
      <w:r w:rsidRPr="00F60C65">
        <w:rPr>
          <w:b/>
        </w:rPr>
        <w:t xml:space="preserve">A proposed </w:t>
      </w:r>
      <w:r>
        <w:rPr>
          <w:b/>
        </w:rPr>
        <w:t>P</w:t>
      </w:r>
      <w:r w:rsidRPr="00F60C65">
        <w:rPr>
          <w:b/>
        </w:rPr>
        <w:t xml:space="preserve">roject is classified as Category B if the potential adverse environmental impacts on </w:t>
      </w:r>
      <w:r w:rsidR="002A36B9">
        <w:rPr>
          <w:b/>
        </w:rPr>
        <w:t>h</w:t>
      </w:r>
      <w:r w:rsidRPr="00F60C65">
        <w:rPr>
          <w:b/>
        </w:rPr>
        <w:t>uman populations or environmentally important areas are site-specific; few if any of them are irreversible; and in most cases mitigation measures can be designed.</w:t>
      </w:r>
      <w:r>
        <w:t xml:space="preserve"> Considering the nature and magnitude of potential sub-project activities under the </w:t>
      </w:r>
      <w:r w:rsidR="00190610">
        <w:t>SCSD</w:t>
      </w:r>
      <w:r>
        <w:t xml:space="preserve"> Project, the Project is classified as </w:t>
      </w:r>
      <w:r w:rsidR="002A36B9">
        <w:t>such.</w:t>
      </w:r>
    </w:p>
    <w:p w14:paraId="5F9F58AD" w14:textId="77777777" w:rsidR="00327A5B" w:rsidRDefault="00327A5B" w:rsidP="00203F2A">
      <w:pPr>
        <w:pStyle w:val="NoSpacing"/>
        <w:jc w:val="both"/>
      </w:pPr>
    </w:p>
    <w:p w14:paraId="464CC02C" w14:textId="77777777" w:rsidR="00327A5B" w:rsidRDefault="00327A5B" w:rsidP="00203F2A">
      <w:pPr>
        <w:pStyle w:val="NoSpacing"/>
        <w:jc w:val="both"/>
      </w:pPr>
      <w:r>
        <w:t xml:space="preserve">As it is anticipated that the sub-projects under Component 2 - of which exact locations and impacts are not yet known - trigger the Environmental Assessment Policy (OP.4.01), this justified the development of an </w:t>
      </w:r>
      <w:r w:rsidRPr="00F80777">
        <w:rPr>
          <w:b/>
        </w:rPr>
        <w:t>Environmental and Social Management Framework (ESMF)</w:t>
      </w:r>
      <w:r>
        <w:t xml:space="preserve"> as the most appropriate management instrument.</w:t>
      </w:r>
    </w:p>
    <w:p w14:paraId="09752C82" w14:textId="77777777" w:rsidR="00327A5B" w:rsidRDefault="00327A5B" w:rsidP="00203F2A">
      <w:pPr>
        <w:pStyle w:val="NoSpacing"/>
        <w:jc w:val="both"/>
      </w:pPr>
    </w:p>
    <w:p w14:paraId="6F392681" w14:textId="11187FF2" w:rsidR="00327A5B" w:rsidRDefault="00327A5B" w:rsidP="00203F2A">
      <w:pPr>
        <w:pStyle w:val="NoSpacing"/>
        <w:jc w:val="both"/>
      </w:pPr>
      <w:r w:rsidRPr="00F60C65">
        <w:rPr>
          <w:b/>
        </w:rPr>
        <w:t>The ESMF will be applicable throughout the duration of th</w:t>
      </w:r>
      <w:r>
        <w:rPr>
          <w:b/>
        </w:rPr>
        <w:t>is</w:t>
      </w:r>
      <w:r w:rsidRPr="00F60C65">
        <w:rPr>
          <w:b/>
        </w:rPr>
        <w:t xml:space="preserve"> </w:t>
      </w:r>
      <w:r w:rsidR="00190610">
        <w:rPr>
          <w:b/>
        </w:rPr>
        <w:t>SCSD</w:t>
      </w:r>
      <w:r w:rsidRPr="00F60C65">
        <w:rPr>
          <w:b/>
        </w:rPr>
        <w:t xml:space="preserve"> Project. Special attention will be given to the </w:t>
      </w:r>
      <w:r>
        <w:rPr>
          <w:b/>
        </w:rPr>
        <w:t>sub-projects and activities</w:t>
      </w:r>
      <w:r w:rsidRPr="00F60C65">
        <w:rPr>
          <w:b/>
        </w:rPr>
        <w:t xml:space="preserve"> under Component 2</w:t>
      </w:r>
      <w:r>
        <w:t xml:space="preserve"> for which appropriate safeguards instruments have been prepared, taking into consideration the type of activities and their potential impacts. </w:t>
      </w:r>
      <w:r w:rsidR="00587640">
        <w:t>Amongst other safeguard instruments, the</w:t>
      </w:r>
      <w:r>
        <w:t xml:space="preserve"> ESMF of this Project has been prepared to:</w:t>
      </w:r>
    </w:p>
    <w:p w14:paraId="7E87144D" w14:textId="77777777" w:rsidR="00327A5B" w:rsidRDefault="00327A5B" w:rsidP="00203F2A">
      <w:pPr>
        <w:pStyle w:val="NoSpacing"/>
        <w:numPr>
          <w:ilvl w:val="0"/>
          <w:numId w:val="7"/>
        </w:numPr>
        <w:jc w:val="both"/>
      </w:pPr>
      <w:r>
        <w:t>integrate environmental and social aspects into the pre-feasibility and feasibility analysis of potential sub-projects under Component 2 at the preparation and planning stages;</w:t>
      </w:r>
    </w:p>
    <w:p w14:paraId="1F22CE7A" w14:textId="77777777" w:rsidR="00327A5B" w:rsidRDefault="00327A5B" w:rsidP="00203F2A">
      <w:pPr>
        <w:pStyle w:val="NoSpacing"/>
        <w:numPr>
          <w:ilvl w:val="0"/>
          <w:numId w:val="7"/>
        </w:numPr>
        <w:jc w:val="both"/>
      </w:pPr>
      <w:r>
        <w:t xml:space="preserve">promote transparency </w:t>
      </w:r>
      <w:proofErr w:type="gramStart"/>
      <w:r>
        <w:t>through the use of</w:t>
      </w:r>
      <w:proofErr w:type="gramEnd"/>
      <w:r>
        <w:t xml:space="preserve"> stakeholder consultations and disclosure procedures;</w:t>
      </w:r>
    </w:p>
    <w:p w14:paraId="1557E594" w14:textId="50DBC83B" w:rsidR="00327A5B" w:rsidRDefault="002A36B9" w:rsidP="00203F2A">
      <w:pPr>
        <w:pStyle w:val="NoSpacing"/>
        <w:numPr>
          <w:ilvl w:val="0"/>
          <w:numId w:val="7"/>
        </w:numPr>
        <w:jc w:val="both"/>
      </w:pPr>
      <w:r>
        <w:t>consider</w:t>
      </w:r>
      <w:r w:rsidR="00327A5B">
        <w:t xml:space="preserve"> possible uses of strategic environmental and social analyses;</w:t>
      </w:r>
    </w:p>
    <w:p w14:paraId="680F2EA3" w14:textId="77777777" w:rsidR="00327A5B" w:rsidRDefault="00327A5B" w:rsidP="00203F2A">
      <w:pPr>
        <w:pStyle w:val="NoSpacing"/>
        <w:numPr>
          <w:ilvl w:val="0"/>
          <w:numId w:val="7"/>
        </w:numPr>
        <w:jc w:val="both"/>
      </w:pPr>
      <w:r>
        <w:t>encourage consideration of technical alternatives based on possible environmental and social impacts; and</w:t>
      </w:r>
    </w:p>
    <w:p w14:paraId="297D152F" w14:textId="77777777" w:rsidR="00327A5B" w:rsidRDefault="00327A5B" w:rsidP="00203F2A">
      <w:pPr>
        <w:pStyle w:val="NoSpacing"/>
        <w:numPr>
          <w:ilvl w:val="0"/>
          <w:numId w:val="7"/>
        </w:numPr>
        <w:jc w:val="both"/>
      </w:pPr>
      <w:r>
        <w:t>strengthen environmental and social management capacities within the national institutions and the project stakeholders.</w:t>
      </w:r>
    </w:p>
    <w:p w14:paraId="3EA26A1E" w14:textId="77777777" w:rsidR="00327A5B" w:rsidRDefault="00327A5B" w:rsidP="00203F2A">
      <w:pPr>
        <w:pStyle w:val="NoSpacing"/>
        <w:jc w:val="both"/>
      </w:pPr>
    </w:p>
    <w:p w14:paraId="77CDC3A8" w14:textId="00A36475" w:rsidR="00327A5B" w:rsidRDefault="00327A5B" w:rsidP="00203F2A">
      <w:pPr>
        <w:pStyle w:val="NoSpacing"/>
        <w:jc w:val="both"/>
      </w:pPr>
      <w:r w:rsidRPr="00B92FBC">
        <w:rPr>
          <w:b/>
        </w:rPr>
        <w:t>The ESMF will assist the project staff, in-country counterparts, and other stakeholders in identifying and mitigating the potential negative environmental and social impacts of sub-projects during the pre-feasibility, feasibility and design studies.</w:t>
      </w:r>
      <w:r>
        <w:t xml:space="preserve"> It also includes provisions for training existing staff with the aim to strengthen the environmental management capacity of Suriname. This ESMF has been prepared as a reference manual for use by key stakeholders to be involved in the implementation of the </w:t>
      </w:r>
      <w:r w:rsidR="00190610">
        <w:t>SCSD</w:t>
      </w:r>
      <w:r>
        <w:t xml:space="preserve"> Project. As a reference material, the ESMF will be useful to the following partners and stakeholders: the </w:t>
      </w:r>
      <w:r w:rsidR="00190610">
        <w:t>SCSD</w:t>
      </w:r>
      <w:r>
        <w:t xml:space="preserve"> project staff; line ministries; NIMOS; </w:t>
      </w:r>
      <w:r w:rsidR="00587640">
        <w:t xml:space="preserve">SMEs, </w:t>
      </w:r>
      <w:r>
        <w:t>NGOs and Community Based Organizations (CBOs), and contractors.</w:t>
      </w:r>
    </w:p>
    <w:p w14:paraId="2BD7FE2A" w14:textId="77777777" w:rsidR="00327A5B" w:rsidRDefault="00327A5B" w:rsidP="00203F2A">
      <w:pPr>
        <w:pStyle w:val="NoSpacing"/>
        <w:jc w:val="both"/>
      </w:pPr>
    </w:p>
    <w:p w14:paraId="68DE1F0F" w14:textId="77777777" w:rsidR="00327A5B" w:rsidRDefault="00327A5B" w:rsidP="00203F2A">
      <w:pPr>
        <w:pStyle w:val="NoSpacing"/>
        <w:jc w:val="both"/>
        <w:rPr>
          <w:highlight w:val="yellow"/>
        </w:rPr>
      </w:pPr>
    </w:p>
    <w:p w14:paraId="2C5A6AE7" w14:textId="77777777" w:rsidR="00327A5B" w:rsidRPr="00EA3819" w:rsidRDefault="00327A5B" w:rsidP="00203F2A">
      <w:pPr>
        <w:pStyle w:val="NoSpacing"/>
        <w:jc w:val="both"/>
        <w:rPr>
          <w:highlight w:val="yellow"/>
        </w:rPr>
      </w:pPr>
    </w:p>
    <w:bookmarkEnd w:id="12"/>
    <w:p w14:paraId="4FC7CA43" w14:textId="77777777" w:rsidR="00EA3819" w:rsidRDefault="00EA3819" w:rsidP="00203F2A">
      <w:pPr>
        <w:jc w:val="both"/>
      </w:pPr>
      <w:r>
        <w:br w:type="page"/>
      </w:r>
    </w:p>
    <w:p w14:paraId="272E32C8" w14:textId="77777777" w:rsidR="003E5D48" w:rsidRPr="00E27582" w:rsidRDefault="003E5D48" w:rsidP="00203F2A">
      <w:pPr>
        <w:pStyle w:val="Heading1"/>
        <w:jc w:val="both"/>
      </w:pPr>
      <w:bookmarkStart w:id="25" w:name="_Toc531965018"/>
      <w:r w:rsidRPr="00E27582">
        <w:t xml:space="preserve">Section </w:t>
      </w:r>
      <w:r>
        <w:t>3</w:t>
      </w:r>
      <w:r w:rsidRPr="00E27582">
        <w:t xml:space="preserve"> </w:t>
      </w:r>
      <w:r w:rsidRPr="00E27582">
        <w:tab/>
        <w:t>Legal, Regulatory and Policy Framework</w:t>
      </w:r>
      <w:bookmarkEnd w:id="25"/>
    </w:p>
    <w:p w14:paraId="325EF0BC" w14:textId="77777777" w:rsidR="003E5D48" w:rsidRDefault="003E5D48" w:rsidP="00203F2A">
      <w:pPr>
        <w:pStyle w:val="NoSpacing"/>
        <w:jc w:val="both"/>
      </w:pPr>
    </w:p>
    <w:p w14:paraId="7F461A1C" w14:textId="77777777" w:rsidR="003E5D48" w:rsidRPr="003B58F6" w:rsidRDefault="003E5D48" w:rsidP="00203F2A">
      <w:pPr>
        <w:pStyle w:val="NoSpacing"/>
        <w:jc w:val="both"/>
      </w:pPr>
      <w:r w:rsidRPr="0058197F">
        <w:rPr>
          <w:b/>
        </w:rPr>
        <w:t xml:space="preserve">The Constitution of the Republic of Suriname (1987) supports the creation and improvement of “conditions necessary for the protection of nature and for the preservation of the ecological balance.” As such, it provides </w:t>
      </w:r>
      <w:r>
        <w:rPr>
          <w:b/>
        </w:rPr>
        <w:t>the</w:t>
      </w:r>
      <w:r w:rsidRPr="0058197F">
        <w:rPr>
          <w:b/>
        </w:rPr>
        <w:t xml:space="preserve"> legal </w:t>
      </w:r>
      <w:r>
        <w:rPr>
          <w:b/>
        </w:rPr>
        <w:t>foundation</w:t>
      </w:r>
      <w:r w:rsidRPr="0058197F">
        <w:rPr>
          <w:b/>
        </w:rPr>
        <w:t xml:space="preserve"> for a national environmental policy.</w:t>
      </w:r>
      <w:r w:rsidRPr="0058197F">
        <w:t xml:space="preserve"> Legislation</w:t>
      </w:r>
      <w:r w:rsidRPr="003B58F6">
        <w:t xml:space="preserve"> at the national level is exercised through Laws or Acts of Parliament (</w:t>
      </w:r>
      <w:r w:rsidRPr="003A5B46">
        <w:rPr>
          <w:i/>
        </w:rPr>
        <w:t>Wet</w:t>
      </w:r>
      <w:r w:rsidRPr="003B58F6">
        <w:t xml:space="preserve">, also called </w:t>
      </w:r>
      <w:proofErr w:type="spellStart"/>
      <w:r w:rsidRPr="003A5B46">
        <w:rPr>
          <w:i/>
        </w:rPr>
        <w:t>Verordening</w:t>
      </w:r>
      <w:proofErr w:type="spellEnd"/>
      <w:r w:rsidRPr="003B58F6">
        <w:t xml:space="preserve"> and </w:t>
      </w:r>
      <w:proofErr w:type="spellStart"/>
      <w:r w:rsidRPr="003A5B46">
        <w:rPr>
          <w:i/>
        </w:rPr>
        <w:t>Landsverordening</w:t>
      </w:r>
      <w:proofErr w:type="spellEnd"/>
      <w:r w:rsidRPr="003B58F6">
        <w:t xml:space="preserve"> prior to 1975), Decrees (</w:t>
      </w:r>
      <w:proofErr w:type="spellStart"/>
      <w:r w:rsidRPr="003A5B46">
        <w:rPr>
          <w:i/>
        </w:rPr>
        <w:t>Decreet</w:t>
      </w:r>
      <w:proofErr w:type="spellEnd"/>
      <w:r w:rsidRPr="003B58F6">
        <w:t>), Government Decree</w:t>
      </w:r>
      <w:r>
        <w:t>s</w:t>
      </w:r>
      <w:r w:rsidRPr="003B58F6">
        <w:t xml:space="preserve"> (</w:t>
      </w:r>
      <w:proofErr w:type="spellStart"/>
      <w:r w:rsidRPr="003A5B46">
        <w:rPr>
          <w:i/>
        </w:rPr>
        <w:t>Staatsbesluit</w:t>
      </w:r>
      <w:proofErr w:type="spellEnd"/>
      <w:r w:rsidRPr="003B58F6">
        <w:t>), Presidential Decree</w:t>
      </w:r>
      <w:r>
        <w:t>s</w:t>
      </w:r>
      <w:r w:rsidRPr="003B58F6">
        <w:t xml:space="preserve"> (</w:t>
      </w:r>
      <w:proofErr w:type="spellStart"/>
      <w:r w:rsidRPr="003A5B46">
        <w:rPr>
          <w:i/>
        </w:rPr>
        <w:t>Resolutie</w:t>
      </w:r>
      <w:proofErr w:type="spellEnd"/>
      <w:r w:rsidRPr="003B58F6">
        <w:t>), Presidential Orders (</w:t>
      </w:r>
      <w:proofErr w:type="spellStart"/>
      <w:r w:rsidRPr="003A5B46">
        <w:rPr>
          <w:i/>
        </w:rPr>
        <w:t>Presidentieel</w:t>
      </w:r>
      <w:proofErr w:type="spellEnd"/>
      <w:r w:rsidRPr="003A5B46">
        <w:rPr>
          <w:i/>
        </w:rPr>
        <w:t xml:space="preserve"> </w:t>
      </w:r>
      <w:proofErr w:type="spellStart"/>
      <w:r w:rsidRPr="003A5B46">
        <w:rPr>
          <w:i/>
        </w:rPr>
        <w:t>Besluit</w:t>
      </w:r>
      <w:proofErr w:type="spellEnd"/>
      <w:r w:rsidRPr="003B58F6">
        <w:t>) or Ministerial Orders (</w:t>
      </w:r>
      <w:proofErr w:type="spellStart"/>
      <w:r w:rsidRPr="003A5B46">
        <w:rPr>
          <w:i/>
        </w:rPr>
        <w:t>Ministeriële</w:t>
      </w:r>
      <w:proofErr w:type="spellEnd"/>
      <w:r w:rsidRPr="003A5B46">
        <w:rPr>
          <w:i/>
        </w:rPr>
        <w:t xml:space="preserve"> </w:t>
      </w:r>
      <w:proofErr w:type="spellStart"/>
      <w:r w:rsidRPr="003A5B46">
        <w:rPr>
          <w:i/>
        </w:rPr>
        <w:t>Beschikking</w:t>
      </w:r>
      <w:proofErr w:type="spellEnd"/>
      <w:r w:rsidRPr="003B58F6">
        <w:t>) targeting various sectors</w:t>
      </w:r>
      <w:r>
        <w:t>,</w:t>
      </w:r>
      <w:r w:rsidRPr="003B58F6">
        <w:t xml:space="preserve"> including industry, mining, agriculture, tourism and nature conservation.</w:t>
      </w:r>
    </w:p>
    <w:p w14:paraId="3F649EC1" w14:textId="77777777" w:rsidR="003E5D48" w:rsidRPr="003B58F6" w:rsidRDefault="003E5D48" w:rsidP="00203F2A">
      <w:pPr>
        <w:pStyle w:val="NoSpacing"/>
        <w:jc w:val="both"/>
      </w:pPr>
    </w:p>
    <w:p w14:paraId="122B3240" w14:textId="77777777" w:rsidR="003E5D48" w:rsidRDefault="003E5D48" w:rsidP="00203F2A">
      <w:pPr>
        <w:pStyle w:val="NoSpacing"/>
        <w:jc w:val="both"/>
      </w:pPr>
      <w:r w:rsidRPr="005E196C">
        <w:rPr>
          <w:b/>
        </w:rPr>
        <w:t xml:space="preserve">Suriname has several </w:t>
      </w:r>
      <w:r>
        <w:rPr>
          <w:b/>
        </w:rPr>
        <w:t xml:space="preserve">legal instruments </w:t>
      </w:r>
      <w:r w:rsidRPr="005E196C">
        <w:rPr>
          <w:b/>
        </w:rPr>
        <w:t xml:space="preserve">dealing with </w:t>
      </w:r>
      <w:r>
        <w:rPr>
          <w:b/>
        </w:rPr>
        <w:t xml:space="preserve">(often very specific) aspects of </w:t>
      </w:r>
      <w:r w:rsidRPr="005E196C">
        <w:rPr>
          <w:b/>
        </w:rPr>
        <w:t>environmental and/or natural resource management, however, the</w:t>
      </w:r>
      <w:r>
        <w:rPr>
          <w:b/>
        </w:rPr>
        <w:t xml:space="preserve">se are often outdated, and </w:t>
      </w:r>
      <w:r w:rsidRPr="005E196C">
        <w:rPr>
          <w:b/>
        </w:rPr>
        <w:t xml:space="preserve">no national </w:t>
      </w:r>
      <w:r>
        <w:rPr>
          <w:b/>
        </w:rPr>
        <w:t xml:space="preserve">framework </w:t>
      </w:r>
      <w:r w:rsidRPr="005E196C">
        <w:rPr>
          <w:b/>
        </w:rPr>
        <w:t>law on environmental management</w:t>
      </w:r>
      <w:r>
        <w:rPr>
          <w:b/>
        </w:rPr>
        <w:t xml:space="preserve"> and protection exists</w:t>
      </w:r>
      <w:r w:rsidRPr="005E196C">
        <w:rPr>
          <w:b/>
        </w:rPr>
        <w:t>.</w:t>
      </w:r>
      <w:r>
        <w:t xml:space="preserve"> There is a substantial body of laws dating back to the pre-independence (1975) period and is focused on nature conservation rather than environmental management. This regards amongst others the Nature Conservation Act (1954), Game Law (1954) and Fisheries Act (1961). After independence in 1975, </w:t>
      </w:r>
      <w:proofErr w:type="gramStart"/>
      <w:r>
        <w:t>a number of</w:t>
      </w:r>
      <w:proofErr w:type="gramEnd"/>
      <w:r>
        <w:t xml:space="preserve"> new laws were promulgated with the aim to regulate exploitation of the country’s natural resources. Examples are the Mining Act of 1986 and the Forest Management Act of 1992. However, till present, the legislation regarding environmental and natural resource management is fragmented and dispersed over different pieces of legislation and institutions, resulting in weak coordination and enforcement.</w:t>
      </w:r>
    </w:p>
    <w:p w14:paraId="1E337674" w14:textId="77777777" w:rsidR="003E5D48" w:rsidRDefault="003E5D48" w:rsidP="00203F2A">
      <w:pPr>
        <w:pStyle w:val="NoSpacing"/>
        <w:jc w:val="both"/>
      </w:pPr>
    </w:p>
    <w:p w14:paraId="3753F245" w14:textId="49E28D5E" w:rsidR="003E5D48" w:rsidRDefault="003E5D48" w:rsidP="00203F2A">
      <w:pPr>
        <w:pStyle w:val="NoSpacing"/>
        <w:jc w:val="both"/>
      </w:pPr>
      <w:r w:rsidRPr="00A44999">
        <w:rPr>
          <w:b/>
        </w:rPr>
        <w:t>There are several recent government policies that concern sustainable development and environmental governance</w:t>
      </w:r>
      <w:r w:rsidRPr="00A44999">
        <w:t>, including the Government Declaration 201</w:t>
      </w:r>
      <w:r>
        <w:t>5</w:t>
      </w:r>
      <w:r w:rsidRPr="00A44999">
        <w:t>-20</w:t>
      </w:r>
      <w:r>
        <w:t>2</w:t>
      </w:r>
      <w:r w:rsidRPr="00A44999">
        <w:t>0 (G</w:t>
      </w:r>
      <w:r>
        <w:t>O</w:t>
      </w:r>
      <w:r w:rsidRPr="00A44999">
        <w:t>S 2015) and the Multi-annual Development Plan 2017-2021 (G</w:t>
      </w:r>
      <w:r>
        <w:t>O</w:t>
      </w:r>
      <w:r w:rsidRPr="00A44999">
        <w:t>S 2017). Goals of the Government Declaration include establishing sustainable development practices through the development of a national environmental policy and integrating the environmental policy into sectoral development polic</w:t>
      </w:r>
      <w:r>
        <w:t>ies</w:t>
      </w:r>
      <w:r w:rsidRPr="00A44999">
        <w:t xml:space="preserve">. It also advocates the promotion of environmental awareness and sustainable production. However, in the absence of </w:t>
      </w:r>
      <w:r>
        <w:t xml:space="preserve">comprehensive </w:t>
      </w:r>
      <w:r w:rsidRPr="00A44999">
        <w:t xml:space="preserve">national environmental legislation, the responsibility for environmental and social issues remains widely spread </w:t>
      </w:r>
      <w:r w:rsidR="00475B88">
        <w:t>-</w:t>
      </w:r>
      <w:r w:rsidR="00475B88" w:rsidRPr="00475B88">
        <w:t xml:space="preserve"> </w:t>
      </w:r>
      <w:r w:rsidR="00475B88">
        <w:t>and</w:t>
      </w:r>
      <w:r w:rsidR="00475B88" w:rsidRPr="00475B88">
        <w:t xml:space="preserve"> poorly enforced</w:t>
      </w:r>
      <w:r w:rsidR="00475B88">
        <w:t xml:space="preserve"> </w:t>
      </w:r>
      <w:r w:rsidR="00DC4A16">
        <w:t>- between</w:t>
      </w:r>
      <w:r w:rsidRPr="00A44999">
        <w:t xml:space="preserve"> </w:t>
      </w:r>
      <w:proofErr w:type="gramStart"/>
      <w:r w:rsidRPr="00A44999">
        <w:t>a number of</w:t>
      </w:r>
      <w:proofErr w:type="gramEnd"/>
      <w:r w:rsidRPr="00A44999">
        <w:t xml:space="preserve"> agencies and departments in various </w:t>
      </w:r>
      <w:r w:rsidR="00DC4A16" w:rsidRPr="00A44999">
        <w:t>ministries</w:t>
      </w:r>
      <w:r w:rsidR="00DC4A16">
        <w:t>.</w:t>
      </w:r>
    </w:p>
    <w:p w14:paraId="2A820866" w14:textId="77777777" w:rsidR="003E5D48" w:rsidRDefault="003E5D48" w:rsidP="00203F2A">
      <w:pPr>
        <w:pStyle w:val="NoSpacing"/>
        <w:jc w:val="both"/>
      </w:pPr>
    </w:p>
    <w:p w14:paraId="598907E5" w14:textId="2CB48328" w:rsidR="003E5D48" w:rsidRDefault="003E5D48" w:rsidP="00203F2A">
      <w:pPr>
        <w:pStyle w:val="NoSpacing"/>
        <w:jc w:val="both"/>
      </w:pPr>
      <w:r w:rsidRPr="00A648E1">
        <w:rPr>
          <w:b/>
        </w:rPr>
        <w:t xml:space="preserve">The National Council for the Environment (NMR - </w:t>
      </w:r>
      <w:proofErr w:type="spellStart"/>
      <w:r w:rsidRPr="00A648E1">
        <w:rPr>
          <w:b/>
        </w:rPr>
        <w:t>Nationale</w:t>
      </w:r>
      <w:proofErr w:type="spellEnd"/>
      <w:r w:rsidRPr="00A648E1">
        <w:rPr>
          <w:b/>
        </w:rPr>
        <w:t xml:space="preserve"> </w:t>
      </w:r>
      <w:proofErr w:type="spellStart"/>
      <w:r w:rsidRPr="00A648E1">
        <w:rPr>
          <w:b/>
        </w:rPr>
        <w:t>Mil</w:t>
      </w:r>
      <w:r w:rsidR="002A36B9">
        <w:rPr>
          <w:b/>
        </w:rPr>
        <w:t>i</w:t>
      </w:r>
      <w:r w:rsidRPr="00A648E1">
        <w:rPr>
          <w:b/>
        </w:rPr>
        <w:t>euraad</w:t>
      </w:r>
      <w:proofErr w:type="spellEnd"/>
      <w:r w:rsidRPr="00A648E1">
        <w:rPr>
          <w:b/>
        </w:rPr>
        <w:t>) was established in 1997 with a mandate to advise the G</w:t>
      </w:r>
      <w:r>
        <w:rPr>
          <w:b/>
        </w:rPr>
        <w:t>O</w:t>
      </w:r>
      <w:r w:rsidRPr="00A648E1">
        <w:rPr>
          <w:b/>
        </w:rPr>
        <w:t xml:space="preserve">S on the development and implementation of national environmental policies. </w:t>
      </w:r>
      <w:r>
        <w:t xml:space="preserve">The NMR consists of a chairperson and 5-10 members representing government, private sector, Amerindian and Maroon communities, labour unions, consumer rights, and other Non-Governmental Organizations (NGOs). The </w:t>
      </w:r>
      <w:r w:rsidRPr="00144C72">
        <w:t xml:space="preserve">NMR is currently not operational, its tasks have essentially been </w:t>
      </w:r>
      <w:r w:rsidR="002A36B9">
        <w:t xml:space="preserve">adopted </w:t>
      </w:r>
      <w:r w:rsidRPr="00144C72">
        <w:t>by the Environmental Coordination Unit in the President’s Cabinet</w:t>
      </w:r>
      <w:r w:rsidR="00475B88">
        <w:rPr>
          <w:rStyle w:val="FootnoteReference"/>
        </w:rPr>
        <w:footnoteReference w:id="6"/>
      </w:r>
      <w:r w:rsidRPr="00144C72">
        <w:t>.</w:t>
      </w:r>
    </w:p>
    <w:p w14:paraId="7900CA08" w14:textId="77777777" w:rsidR="003E5D48" w:rsidRDefault="003E5D48" w:rsidP="00203F2A">
      <w:pPr>
        <w:pStyle w:val="NoSpacing"/>
        <w:jc w:val="both"/>
      </w:pPr>
    </w:p>
    <w:p w14:paraId="2E53A00D" w14:textId="77777777" w:rsidR="003E5D48" w:rsidRDefault="003E5D48" w:rsidP="00203F2A">
      <w:pPr>
        <w:pStyle w:val="NoSpacing"/>
        <w:jc w:val="both"/>
      </w:pPr>
      <w:r w:rsidRPr="00A648E1">
        <w:rPr>
          <w:b/>
        </w:rPr>
        <w:t xml:space="preserve">Development and implementation of Suriname’s environmental regulations is executed by the National Institute for Environment and Development in Suriname (NIMOS - </w:t>
      </w:r>
      <w:proofErr w:type="spellStart"/>
      <w:r w:rsidRPr="00A648E1">
        <w:rPr>
          <w:b/>
        </w:rPr>
        <w:t>Nationaal</w:t>
      </w:r>
      <w:proofErr w:type="spellEnd"/>
      <w:r w:rsidRPr="00A648E1">
        <w:rPr>
          <w:b/>
        </w:rPr>
        <w:t xml:space="preserve"> </w:t>
      </w:r>
      <w:proofErr w:type="spellStart"/>
      <w:r w:rsidRPr="00A648E1">
        <w:rPr>
          <w:b/>
        </w:rPr>
        <w:t>Instituut</w:t>
      </w:r>
      <w:proofErr w:type="spellEnd"/>
      <w:r w:rsidRPr="00A648E1">
        <w:rPr>
          <w:b/>
        </w:rPr>
        <w:t xml:space="preserve"> </w:t>
      </w:r>
      <w:proofErr w:type="spellStart"/>
      <w:r w:rsidRPr="00A648E1">
        <w:rPr>
          <w:b/>
        </w:rPr>
        <w:t>voor</w:t>
      </w:r>
      <w:proofErr w:type="spellEnd"/>
      <w:r w:rsidRPr="00A648E1">
        <w:rPr>
          <w:b/>
        </w:rPr>
        <w:t xml:space="preserve"> Milieu </w:t>
      </w:r>
      <w:proofErr w:type="spellStart"/>
      <w:r w:rsidRPr="00A648E1">
        <w:rPr>
          <w:b/>
        </w:rPr>
        <w:t>en</w:t>
      </w:r>
      <w:proofErr w:type="spellEnd"/>
      <w:r w:rsidRPr="00A648E1">
        <w:rPr>
          <w:b/>
        </w:rPr>
        <w:t xml:space="preserve"> </w:t>
      </w:r>
      <w:proofErr w:type="spellStart"/>
      <w:r w:rsidRPr="00A648E1">
        <w:rPr>
          <w:b/>
        </w:rPr>
        <w:t>Ontwikkeling</w:t>
      </w:r>
      <w:proofErr w:type="spellEnd"/>
      <w:r w:rsidRPr="00A648E1">
        <w:rPr>
          <w:b/>
        </w:rPr>
        <w:t xml:space="preserve"> in Suriname).</w:t>
      </w:r>
      <w:r>
        <w:t xml:space="preserve"> NIMOS was established in 1998 by Presidential Decree as an entity subordinate to the President’s office, and formally reports to the NMR. Current practice is that NIMOS acts as the executive body for the Environmental Coordination Unit. </w:t>
      </w:r>
    </w:p>
    <w:p w14:paraId="592FD209" w14:textId="77777777" w:rsidR="003E5D48" w:rsidRDefault="003E5D48" w:rsidP="00203F2A">
      <w:pPr>
        <w:pStyle w:val="NoSpacing"/>
        <w:jc w:val="both"/>
      </w:pPr>
    </w:p>
    <w:p w14:paraId="1A998FC5" w14:textId="77777777" w:rsidR="003E5D48" w:rsidRDefault="003E5D48" w:rsidP="00203F2A">
      <w:pPr>
        <w:pStyle w:val="NoSpacing"/>
        <w:jc w:val="both"/>
      </w:pPr>
      <w:r w:rsidRPr="00787E04">
        <w:rPr>
          <w:b/>
        </w:rPr>
        <w:t>In 2002</w:t>
      </w:r>
      <w:r>
        <w:rPr>
          <w:b/>
        </w:rPr>
        <w:t>,</w:t>
      </w:r>
      <w:r w:rsidRPr="00787E04">
        <w:rPr>
          <w:b/>
        </w:rPr>
        <w:t xml:space="preserve"> NIMOS proposed the Environmental </w:t>
      </w:r>
      <w:r>
        <w:rPr>
          <w:b/>
        </w:rPr>
        <w:t>F</w:t>
      </w:r>
      <w:r w:rsidRPr="00787E04">
        <w:rPr>
          <w:b/>
        </w:rPr>
        <w:t>ramework Act</w:t>
      </w:r>
      <w:r>
        <w:t xml:space="preserve">, defining the rules for environmental conservation, management, and protection while promoting sustainable development. The provisions of the Act include guidance for Environmental and Social Impact Assessments (ESIAs) </w:t>
      </w:r>
      <w:r w:rsidRPr="003E4C8B">
        <w:t xml:space="preserve">and </w:t>
      </w:r>
      <w:r>
        <w:t>p</w:t>
      </w:r>
      <w:r w:rsidRPr="003E4C8B">
        <w:t xml:space="preserve">ollution </w:t>
      </w:r>
      <w:r>
        <w:t>c</w:t>
      </w:r>
      <w:r w:rsidRPr="003E4C8B">
        <w:t>ontrol regulations. However, these were never promulgated</w:t>
      </w:r>
      <w:r>
        <w:rPr>
          <w:rStyle w:val="FootnoteReference"/>
        </w:rPr>
        <w:footnoteReference w:id="7"/>
      </w:r>
      <w:r w:rsidRPr="003E4C8B">
        <w:t>.</w:t>
      </w:r>
    </w:p>
    <w:p w14:paraId="102D2CA5" w14:textId="77777777" w:rsidR="003E5D48" w:rsidRDefault="003E5D48" w:rsidP="00203F2A">
      <w:pPr>
        <w:pStyle w:val="NoSpacing"/>
        <w:jc w:val="both"/>
      </w:pPr>
    </w:p>
    <w:p w14:paraId="301672A2" w14:textId="77777777" w:rsidR="003E5D48" w:rsidRDefault="003E5D48" w:rsidP="00203F2A">
      <w:pPr>
        <w:pStyle w:val="NoSpacing"/>
        <w:jc w:val="both"/>
      </w:pPr>
      <w:r w:rsidRPr="00787E04">
        <w:rPr>
          <w:b/>
        </w:rPr>
        <w:t>Since 20</w:t>
      </w:r>
      <w:r>
        <w:rPr>
          <w:b/>
        </w:rPr>
        <w:t>0</w:t>
      </w:r>
      <w:r w:rsidRPr="00787E04">
        <w:rPr>
          <w:b/>
        </w:rPr>
        <w:t xml:space="preserve">5, NIMOS publishes </w:t>
      </w:r>
      <w:r>
        <w:rPr>
          <w:b/>
        </w:rPr>
        <w:t>several</w:t>
      </w:r>
      <w:r w:rsidRPr="00787E04">
        <w:rPr>
          <w:b/>
        </w:rPr>
        <w:t xml:space="preserve"> Guidelines for </w:t>
      </w:r>
      <w:r>
        <w:rPr>
          <w:b/>
        </w:rPr>
        <w:t xml:space="preserve">(voluntary) </w:t>
      </w:r>
      <w:r w:rsidRPr="00787E04">
        <w:rPr>
          <w:b/>
        </w:rPr>
        <w:t xml:space="preserve">Environmental </w:t>
      </w:r>
      <w:r>
        <w:rPr>
          <w:b/>
        </w:rPr>
        <w:t xml:space="preserve">Impact </w:t>
      </w:r>
      <w:r w:rsidRPr="00787E04">
        <w:rPr>
          <w:b/>
        </w:rPr>
        <w:t>Assessment</w:t>
      </w:r>
      <w:r w:rsidRPr="003214B1">
        <w:t xml:space="preserve"> (including social aspects) in Suriname</w:t>
      </w:r>
      <w:r>
        <w:t>,</w:t>
      </w:r>
      <w:r w:rsidRPr="003214B1">
        <w:t xml:space="preserve"> and project developers are expected to comply with the spirit of the</w:t>
      </w:r>
      <w:r>
        <w:t>se</w:t>
      </w:r>
      <w:r w:rsidRPr="003214B1">
        <w:t xml:space="preserve"> guidelines. </w:t>
      </w:r>
      <w:r>
        <w:t>Guidelines cover generic issues (Volume I) and social impact assessments (Volume IV), specific guidelines are available for proposed developments in mining (Volume II), agriculture (Volume VII</w:t>
      </w:r>
      <w:r w:rsidRPr="00AB151B">
        <w:t>) and roads (Volume VIII).</w:t>
      </w:r>
      <w:r>
        <w:t xml:space="preserve"> </w:t>
      </w:r>
    </w:p>
    <w:p w14:paraId="68388FA2" w14:textId="77777777" w:rsidR="003E5D48" w:rsidRDefault="003E5D48" w:rsidP="00203F2A">
      <w:pPr>
        <w:pStyle w:val="NoSpacing"/>
        <w:jc w:val="both"/>
      </w:pPr>
    </w:p>
    <w:p w14:paraId="5CEB3170" w14:textId="77777777" w:rsidR="003E5D48" w:rsidRDefault="003E5D48" w:rsidP="00203F2A">
      <w:pPr>
        <w:pStyle w:val="NoSpacing"/>
        <w:jc w:val="both"/>
      </w:pPr>
      <w:r w:rsidRPr="005D4FB2">
        <w:rPr>
          <w:b/>
        </w:rPr>
        <w:t xml:space="preserve">Over recent years, several documents have been compiled and released by NIMOS, providing accurate overviews of </w:t>
      </w:r>
      <w:r>
        <w:rPr>
          <w:b/>
        </w:rPr>
        <w:t xml:space="preserve">existing national </w:t>
      </w:r>
      <w:r w:rsidRPr="005D4FB2">
        <w:rPr>
          <w:b/>
        </w:rPr>
        <w:t>environmental laws and regulations.</w:t>
      </w:r>
      <w:r>
        <w:t xml:space="preserve"> In 2004, with the support of World Wildlife Fund (WWF) Guianas, the publication “Environment Related Legislation in Suriname</w:t>
      </w:r>
      <w:r>
        <w:rPr>
          <w:rStyle w:val="FootnoteReference"/>
        </w:rPr>
        <w:footnoteReference w:id="8"/>
      </w:r>
      <w:r>
        <w:t>” became available; in 2013, supported by the Suriname Conservation Foundation (SCF), the “Framework National Environmental Legislation</w:t>
      </w:r>
      <w:r>
        <w:rPr>
          <w:rStyle w:val="FootnoteReference"/>
        </w:rPr>
        <w:footnoteReference w:id="9"/>
      </w:r>
      <w:r>
        <w:t xml:space="preserve">” was published. </w:t>
      </w:r>
    </w:p>
    <w:p w14:paraId="45D46BA1" w14:textId="77777777" w:rsidR="003E5D48" w:rsidRDefault="003E5D48" w:rsidP="00203F2A">
      <w:pPr>
        <w:pStyle w:val="NoSpacing"/>
        <w:jc w:val="both"/>
      </w:pPr>
    </w:p>
    <w:p w14:paraId="0131E672" w14:textId="364532FD" w:rsidR="003E5D48" w:rsidRDefault="003E5D48" w:rsidP="00203F2A">
      <w:pPr>
        <w:pStyle w:val="NoSpacing"/>
        <w:jc w:val="both"/>
      </w:pPr>
      <w:r w:rsidRPr="009B4FD3">
        <w:rPr>
          <w:b/>
        </w:rPr>
        <w:t xml:space="preserve">The </w:t>
      </w:r>
      <w:r>
        <w:rPr>
          <w:b/>
        </w:rPr>
        <w:t xml:space="preserve">abovementioned </w:t>
      </w:r>
      <w:r w:rsidRPr="009B4FD3">
        <w:rPr>
          <w:b/>
        </w:rPr>
        <w:t xml:space="preserve">NIMOS publication “Environment Related Legislation in Suriname” provides a clear and easy to access </w:t>
      </w:r>
      <w:r>
        <w:rPr>
          <w:b/>
        </w:rPr>
        <w:t>summary</w:t>
      </w:r>
      <w:r w:rsidRPr="009B4FD3">
        <w:rPr>
          <w:b/>
        </w:rPr>
        <w:t xml:space="preserve"> of national legislation that contain environmental measures.</w:t>
      </w:r>
      <w:r>
        <w:t xml:space="preserve"> Part 2 of this document is structured by addressing the following thematic areas:</w:t>
      </w:r>
    </w:p>
    <w:p w14:paraId="7262468D" w14:textId="77777777" w:rsidR="003E5D48" w:rsidRDefault="003E5D48" w:rsidP="00203F2A">
      <w:pPr>
        <w:pStyle w:val="NoSpacing"/>
        <w:numPr>
          <w:ilvl w:val="0"/>
          <w:numId w:val="4"/>
        </w:numPr>
        <w:jc w:val="both"/>
      </w:pPr>
      <w:r>
        <w:t>Soil</w:t>
      </w:r>
    </w:p>
    <w:p w14:paraId="3F3996B2" w14:textId="77777777" w:rsidR="003E5D48" w:rsidRDefault="003E5D48" w:rsidP="00203F2A">
      <w:pPr>
        <w:pStyle w:val="NoSpacing"/>
        <w:numPr>
          <w:ilvl w:val="0"/>
          <w:numId w:val="4"/>
        </w:numPr>
        <w:jc w:val="both"/>
      </w:pPr>
      <w:r>
        <w:t>Water</w:t>
      </w:r>
    </w:p>
    <w:p w14:paraId="1F56F944" w14:textId="77777777" w:rsidR="003E5D48" w:rsidRDefault="003E5D48" w:rsidP="00203F2A">
      <w:pPr>
        <w:pStyle w:val="NoSpacing"/>
        <w:numPr>
          <w:ilvl w:val="0"/>
          <w:numId w:val="4"/>
        </w:numPr>
        <w:jc w:val="both"/>
      </w:pPr>
      <w:r>
        <w:t>Air</w:t>
      </w:r>
    </w:p>
    <w:p w14:paraId="66A56DEF" w14:textId="77777777" w:rsidR="003E5D48" w:rsidRDefault="003E5D48" w:rsidP="00203F2A">
      <w:pPr>
        <w:pStyle w:val="NoSpacing"/>
        <w:numPr>
          <w:ilvl w:val="0"/>
          <w:numId w:val="4"/>
        </w:numPr>
        <w:jc w:val="both"/>
      </w:pPr>
      <w:r>
        <w:t>Natural Resources</w:t>
      </w:r>
    </w:p>
    <w:p w14:paraId="7377478F" w14:textId="77777777" w:rsidR="003E5D48" w:rsidRDefault="003E5D48" w:rsidP="00203F2A">
      <w:pPr>
        <w:pStyle w:val="NoSpacing"/>
        <w:numPr>
          <w:ilvl w:val="0"/>
          <w:numId w:val="4"/>
        </w:numPr>
        <w:jc w:val="both"/>
      </w:pPr>
      <w:r>
        <w:t>Nature Conservation</w:t>
      </w:r>
    </w:p>
    <w:p w14:paraId="42011BB4" w14:textId="77777777" w:rsidR="003E5D48" w:rsidRDefault="003E5D48" w:rsidP="00203F2A">
      <w:pPr>
        <w:pStyle w:val="NoSpacing"/>
        <w:numPr>
          <w:ilvl w:val="0"/>
          <w:numId w:val="4"/>
        </w:numPr>
        <w:jc w:val="both"/>
      </w:pPr>
      <w:r>
        <w:t>Physical Planning / Land Use Planning</w:t>
      </w:r>
    </w:p>
    <w:p w14:paraId="3F90B1D1" w14:textId="77777777" w:rsidR="003E5D48" w:rsidRDefault="003E5D48" w:rsidP="00203F2A">
      <w:pPr>
        <w:pStyle w:val="NoSpacing"/>
        <w:numPr>
          <w:ilvl w:val="0"/>
          <w:numId w:val="4"/>
        </w:numPr>
        <w:jc w:val="both"/>
      </w:pPr>
      <w:r>
        <w:t>Working conditions (including (OSH) Occupational Safety and Health)</w:t>
      </w:r>
    </w:p>
    <w:p w14:paraId="2D026835" w14:textId="77777777" w:rsidR="003E5D48" w:rsidRDefault="003E5D48" w:rsidP="00203F2A">
      <w:pPr>
        <w:pStyle w:val="NoSpacing"/>
        <w:numPr>
          <w:ilvl w:val="0"/>
          <w:numId w:val="4"/>
        </w:numPr>
        <w:jc w:val="both"/>
      </w:pPr>
      <w:r>
        <w:t>Health (including OSH)</w:t>
      </w:r>
    </w:p>
    <w:p w14:paraId="50648575" w14:textId="77777777" w:rsidR="003E5D48" w:rsidRDefault="003E5D48" w:rsidP="00203F2A">
      <w:pPr>
        <w:pStyle w:val="NoSpacing"/>
        <w:numPr>
          <w:ilvl w:val="0"/>
          <w:numId w:val="4"/>
        </w:numPr>
        <w:jc w:val="both"/>
      </w:pPr>
      <w:r>
        <w:t>Culture</w:t>
      </w:r>
    </w:p>
    <w:p w14:paraId="3B60A8EE" w14:textId="77777777" w:rsidR="003E5D48" w:rsidRDefault="003E5D48" w:rsidP="00203F2A">
      <w:pPr>
        <w:pStyle w:val="NoSpacing"/>
        <w:numPr>
          <w:ilvl w:val="0"/>
          <w:numId w:val="4"/>
        </w:numPr>
        <w:jc w:val="both"/>
      </w:pPr>
      <w:r>
        <w:t>Noise</w:t>
      </w:r>
    </w:p>
    <w:p w14:paraId="063D7A9F" w14:textId="77777777" w:rsidR="003E5D48" w:rsidRDefault="003E5D48" w:rsidP="00203F2A">
      <w:pPr>
        <w:pStyle w:val="NoSpacing"/>
        <w:numPr>
          <w:ilvl w:val="0"/>
          <w:numId w:val="4"/>
        </w:numPr>
        <w:jc w:val="both"/>
      </w:pPr>
      <w:r>
        <w:t>Waste</w:t>
      </w:r>
    </w:p>
    <w:p w14:paraId="7F95D629" w14:textId="77777777" w:rsidR="003E5D48" w:rsidRDefault="003E5D48" w:rsidP="00203F2A">
      <w:pPr>
        <w:pStyle w:val="NoSpacing"/>
        <w:jc w:val="both"/>
        <w:rPr>
          <w:lang w:val="nl-NL"/>
        </w:rPr>
      </w:pPr>
    </w:p>
    <w:p w14:paraId="3245F023" w14:textId="7FDD39B6" w:rsidR="003E5D48" w:rsidRPr="007D4867" w:rsidRDefault="003E5D48" w:rsidP="00203F2A">
      <w:pPr>
        <w:pStyle w:val="NoSpacing"/>
        <w:jc w:val="both"/>
      </w:pPr>
      <w:r w:rsidRPr="009B4FD3">
        <w:rPr>
          <w:b/>
        </w:rPr>
        <w:t>Both the thematic areas and the related national laws frequently overlap and/or refer to the same legislation.</w:t>
      </w:r>
      <w:r>
        <w:t xml:space="preserve"> E.g. issues related to the (potential) pollution of land, water and air all refer to the Nuisance </w:t>
      </w:r>
      <w:r w:rsidR="009C17CE">
        <w:t>A</w:t>
      </w:r>
      <w:r>
        <w:t>ct</w:t>
      </w:r>
      <w:r>
        <w:rPr>
          <w:rStyle w:val="FootnoteReference"/>
        </w:rPr>
        <w:footnoteReference w:id="10"/>
      </w:r>
      <w:r>
        <w:t>. However, when enforced in combination with the Law on the Authorisation of Business Establishment</w:t>
      </w:r>
      <w:r>
        <w:rPr>
          <w:rStyle w:val="FootnoteReference"/>
        </w:rPr>
        <w:footnoteReference w:id="11"/>
      </w:r>
      <w:r>
        <w:t xml:space="preserve"> potential sources of environmental pollution can be prevented.</w:t>
      </w:r>
    </w:p>
    <w:p w14:paraId="401A3154" w14:textId="77777777" w:rsidR="003E5D48" w:rsidRDefault="003E5D48" w:rsidP="00203F2A">
      <w:pPr>
        <w:pStyle w:val="NoSpacing"/>
        <w:jc w:val="both"/>
      </w:pPr>
    </w:p>
    <w:p w14:paraId="47E32959" w14:textId="77777777" w:rsidR="003E5D48" w:rsidRDefault="003E5D48" w:rsidP="00203F2A">
      <w:pPr>
        <w:pStyle w:val="NoSpacing"/>
        <w:jc w:val="both"/>
      </w:pPr>
      <w:r>
        <w:t xml:space="preserve">An overview of all national (environmental) legislation can also be found on the website </w:t>
      </w:r>
      <w:hyperlink r:id="rId11" w:history="1">
        <w:r w:rsidRPr="00CD35D5">
          <w:rPr>
            <w:rStyle w:val="Hyperlink"/>
          </w:rPr>
          <w:t>http://www.milieuwetten.com</w:t>
        </w:r>
      </w:hyperlink>
      <w:r>
        <w:t xml:space="preserve"> and the official Suriname government website: </w:t>
      </w:r>
      <w:hyperlink r:id="rId12" w:history="1">
        <w:r w:rsidRPr="00CD35D5">
          <w:rPr>
            <w:rStyle w:val="Hyperlink"/>
          </w:rPr>
          <w:t>http://dna.sr/wetgeving</w:t>
        </w:r>
      </w:hyperlink>
      <w:r>
        <w:t xml:space="preserve">. </w:t>
      </w:r>
    </w:p>
    <w:p w14:paraId="70B62042" w14:textId="77777777" w:rsidR="003E5D48" w:rsidRDefault="003E5D48" w:rsidP="00203F2A">
      <w:pPr>
        <w:pStyle w:val="NoSpacing"/>
        <w:jc w:val="both"/>
      </w:pPr>
    </w:p>
    <w:p w14:paraId="16007785" w14:textId="77777777" w:rsidR="003E5D48" w:rsidRDefault="003E5D48" w:rsidP="00203F2A">
      <w:pPr>
        <w:pStyle w:val="NoSpacing"/>
        <w:jc w:val="both"/>
      </w:pPr>
      <w:r w:rsidRPr="00FF24B9">
        <w:rPr>
          <w:b/>
        </w:rPr>
        <w:t xml:space="preserve">Suriname is signatory to a wide range of </w:t>
      </w:r>
      <w:r>
        <w:rPr>
          <w:b/>
        </w:rPr>
        <w:t>i</w:t>
      </w:r>
      <w:r w:rsidRPr="00FF24B9">
        <w:rPr>
          <w:b/>
        </w:rPr>
        <w:t>nternational environmental conventions.</w:t>
      </w:r>
      <w:r>
        <w:t xml:space="preserve"> Concerning the preservation of the country’s impressive richness of biodiversity, the UN Convention on Biological Diversity (CBD), ratified in 1996, is of paramount importance. </w:t>
      </w:r>
      <w:r w:rsidRPr="00C94204">
        <w:t>Much of the country’s national policies and action plans have emerged from this partnership.</w:t>
      </w:r>
      <w:r>
        <w:t xml:space="preserve"> Under the UN Framework Convention on Climate Change (FCCC), Suriname ratified the Kyoto Protocol in 2006, the GOS committed to maintain its status as a ‘carbon negative country’ and maintain a forest cover of 93%.</w:t>
      </w:r>
    </w:p>
    <w:p w14:paraId="2AF5E064" w14:textId="77777777" w:rsidR="003E5D48" w:rsidRDefault="003E5D48" w:rsidP="00203F2A">
      <w:pPr>
        <w:pStyle w:val="NoSpacing"/>
        <w:jc w:val="both"/>
      </w:pPr>
    </w:p>
    <w:p w14:paraId="35AE2336" w14:textId="77777777" w:rsidR="003E5D48" w:rsidRDefault="003E5D48" w:rsidP="00203F2A">
      <w:pPr>
        <w:pStyle w:val="NoSpacing"/>
        <w:jc w:val="both"/>
      </w:pPr>
      <w:bookmarkStart w:id="26" w:name="_Hlk529644409"/>
      <w:r w:rsidRPr="00277B5D">
        <w:rPr>
          <w:b/>
        </w:rPr>
        <w:t>In 2011 Suriname ratified the Stockholm Convention on Persistent Organic Pollutants</w:t>
      </w:r>
      <w:r>
        <w:t xml:space="preserve"> (POPs), aiming at the elimination of production and use of a selected list of POPs and the controlled disposal of related waste. POPs include pesticides / insecticides that are widely used in agriculture.</w:t>
      </w:r>
    </w:p>
    <w:bookmarkEnd w:id="26"/>
    <w:p w14:paraId="7489A202" w14:textId="77777777" w:rsidR="003E5D48" w:rsidRDefault="003E5D48" w:rsidP="00203F2A">
      <w:pPr>
        <w:pStyle w:val="NoSpacing"/>
        <w:jc w:val="both"/>
      </w:pPr>
    </w:p>
    <w:p w14:paraId="5F192D4C" w14:textId="77777777" w:rsidR="003E5D48" w:rsidRDefault="003E5D48" w:rsidP="00203F2A">
      <w:pPr>
        <w:pStyle w:val="NoSpacing"/>
        <w:jc w:val="both"/>
      </w:pPr>
      <w:r w:rsidRPr="00452E5D">
        <w:rPr>
          <w:b/>
        </w:rPr>
        <w:t>On 2 August 2018, Suriname became the 95</w:t>
      </w:r>
      <w:r w:rsidRPr="00452E5D">
        <w:rPr>
          <w:b/>
          <w:vertAlign w:val="superscript"/>
        </w:rPr>
        <w:t>th</w:t>
      </w:r>
      <w:r w:rsidRPr="00452E5D">
        <w:rPr>
          <w:b/>
        </w:rPr>
        <w:t xml:space="preserve"> Party to the Minamata Convention.</w:t>
      </w:r>
      <w:r>
        <w:t xml:space="preserve"> The Minamata Convention on Mercury is a global treaty to protect human health and the environment from the adverse effects of mercury. The Convention draws attention to a metal that, while naturally occurring, has broad uses in everyday objects and is released to the atmosphere, soil and water from a variety of sources. Controlling the anthropogenic releases of mercury throughout its lifecycle has been a key factor in shaping the obligations under the Convention. In Suriname, mercury is still widely used in small-scale artisanal gold mining practices. </w:t>
      </w:r>
    </w:p>
    <w:p w14:paraId="63EB9F23" w14:textId="77777777" w:rsidR="003E5D48" w:rsidRDefault="003E5D48" w:rsidP="00203F2A">
      <w:pPr>
        <w:pStyle w:val="NoSpacing"/>
        <w:jc w:val="both"/>
      </w:pPr>
    </w:p>
    <w:p w14:paraId="6144FC72" w14:textId="77777777" w:rsidR="003E5D48" w:rsidRDefault="003E5D48" w:rsidP="00203F2A">
      <w:pPr>
        <w:pStyle w:val="NoSpacing"/>
        <w:jc w:val="both"/>
      </w:pPr>
      <w:r>
        <w:t xml:space="preserve">An overview of all international treaties and conventions to which Suriname is signatory can be found </w:t>
      </w:r>
      <w:r w:rsidRPr="00452E5D">
        <w:t>on the website</w:t>
      </w:r>
      <w:r>
        <w:t xml:space="preserve"> of NIMOS </w:t>
      </w:r>
      <w:hyperlink r:id="rId13" w:history="1">
        <w:r w:rsidRPr="00DC79AB">
          <w:rPr>
            <w:rStyle w:val="Hyperlink"/>
          </w:rPr>
          <w:t>http://www.nimos.org</w:t>
        </w:r>
      </w:hyperlink>
      <w:r>
        <w:t xml:space="preserve"> or at </w:t>
      </w:r>
      <w:hyperlink r:id="rId14" w:history="1">
        <w:r w:rsidRPr="00CD35D5">
          <w:rPr>
            <w:rStyle w:val="Hyperlink"/>
          </w:rPr>
          <w:t>http://www.milieuwetten.com</w:t>
        </w:r>
      </w:hyperlink>
      <w:r>
        <w:t xml:space="preserve"> </w:t>
      </w:r>
      <w:r w:rsidRPr="00452E5D">
        <w:t xml:space="preserve">and on the official Suriname government website:  </w:t>
      </w:r>
      <w:hyperlink r:id="rId15" w:history="1">
        <w:r w:rsidRPr="00CD35D5">
          <w:rPr>
            <w:rStyle w:val="Hyperlink"/>
          </w:rPr>
          <w:t>http://dna.sr/wetgeving</w:t>
        </w:r>
      </w:hyperlink>
      <w:r w:rsidRPr="00452E5D">
        <w:t>.</w:t>
      </w:r>
    </w:p>
    <w:p w14:paraId="2E958F7C" w14:textId="77777777" w:rsidR="003E5D48" w:rsidRDefault="003E5D48" w:rsidP="00203F2A">
      <w:pPr>
        <w:pStyle w:val="NoSpacing"/>
        <w:jc w:val="both"/>
      </w:pPr>
    </w:p>
    <w:p w14:paraId="3AAE5B5E" w14:textId="77777777" w:rsidR="003E5D48" w:rsidRDefault="003E5D48" w:rsidP="00203F2A">
      <w:pPr>
        <w:jc w:val="both"/>
      </w:pPr>
      <w:r>
        <w:br w:type="page"/>
      </w:r>
    </w:p>
    <w:p w14:paraId="2473029E" w14:textId="39880758" w:rsidR="003E5D48" w:rsidRPr="00E40B69" w:rsidRDefault="003E5D48" w:rsidP="00203F2A">
      <w:pPr>
        <w:pStyle w:val="Heading1"/>
        <w:jc w:val="both"/>
      </w:pPr>
      <w:bookmarkStart w:id="27" w:name="_Toc531965019"/>
      <w:r w:rsidRPr="00E40B69">
        <w:t xml:space="preserve">Section </w:t>
      </w:r>
      <w:r>
        <w:t>4</w:t>
      </w:r>
      <w:r w:rsidRPr="00E40B69">
        <w:t xml:space="preserve"> </w:t>
      </w:r>
      <w:r w:rsidRPr="00E40B69">
        <w:tab/>
        <w:t>Environmental and Social Baseline</w:t>
      </w:r>
      <w:bookmarkEnd w:id="27"/>
    </w:p>
    <w:p w14:paraId="6B383B64" w14:textId="77777777" w:rsidR="003E5D48" w:rsidRDefault="003E5D48" w:rsidP="00203F2A">
      <w:pPr>
        <w:pStyle w:val="NoSpacing"/>
        <w:jc w:val="both"/>
      </w:pPr>
    </w:p>
    <w:p w14:paraId="674B5CEB" w14:textId="77777777" w:rsidR="003E5D48" w:rsidRDefault="003E5D48" w:rsidP="00203F2A">
      <w:pPr>
        <w:pStyle w:val="NoSpacing"/>
        <w:jc w:val="both"/>
      </w:pPr>
      <w:r w:rsidRPr="00D652EB">
        <w:rPr>
          <w:b/>
        </w:rPr>
        <w:t>The Republic of Suriname is located on the north-eastern coast of the South American continent between 2° and 6° north latitude and 54° and 58° west longitude.</w:t>
      </w:r>
      <w:r>
        <w:t xml:space="preserve"> A coastline with a length of about 370 km forms the northern border with the Atlantic Ocean. Suriname borders the Republic of Guyana in the west, the Federative Republic of Brazil in the south, and the French </w:t>
      </w:r>
      <w:proofErr w:type="spellStart"/>
      <w:r>
        <w:t>Département</w:t>
      </w:r>
      <w:proofErr w:type="spellEnd"/>
      <w:r>
        <w:t xml:space="preserve"> </w:t>
      </w:r>
      <w:proofErr w:type="spellStart"/>
      <w:r>
        <w:t>Guyane</w:t>
      </w:r>
      <w:proofErr w:type="spellEnd"/>
      <w:r>
        <w:t xml:space="preserve"> in the east. These borders are historically established in the east and the west by the </w:t>
      </w:r>
      <w:proofErr w:type="spellStart"/>
      <w:r>
        <w:t>Marowijne</w:t>
      </w:r>
      <w:proofErr w:type="spellEnd"/>
      <w:r>
        <w:t xml:space="preserve"> and Corantijn Rivers, respectively, and in the south by the mountain ridge formed by the </w:t>
      </w:r>
      <w:proofErr w:type="spellStart"/>
      <w:r>
        <w:t>Acarai</w:t>
      </w:r>
      <w:proofErr w:type="spellEnd"/>
      <w:r>
        <w:t xml:space="preserve">, </w:t>
      </w:r>
      <w:proofErr w:type="spellStart"/>
      <w:r>
        <w:t>Tumukhumak</w:t>
      </w:r>
      <w:proofErr w:type="spellEnd"/>
      <w:r>
        <w:t xml:space="preserve"> and the </w:t>
      </w:r>
      <w:proofErr w:type="spellStart"/>
      <w:r>
        <w:t>Grens</w:t>
      </w:r>
      <w:proofErr w:type="spellEnd"/>
      <w:r>
        <w:t xml:space="preserve"> </w:t>
      </w:r>
      <w:proofErr w:type="spellStart"/>
      <w:r>
        <w:t>Gebergte</w:t>
      </w:r>
      <w:proofErr w:type="spellEnd"/>
      <w:r>
        <w:t>. The land area of Suriname is about 166,000 km</w:t>
      </w:r>
      <w:r w:rsidRPr="00D652EB">
        <w:rPr>
          <w:vertAlign w:val="superscript"/>
        </w:rPr>
        <w:t>2</w:t>
      </w:r>
      <w:r>
        <w:t>.</w:t>
      </w:r>
    </w:p>
    <w:p w14:paraId="51388B4C" w14:textId="77777777" w:rsidR="003E5D48" w:rsidRDefault="003E5D48" w:rsidP="00203F2A">
      <w:pPr>
        <w:pStyle w:val="NoSpacing"/>
        <w:jc w:val="both"/>
      </w:pPr>
    </w:p>
    <w:p w14:paraId="0144B9FB" w14:textId="0C4D6B08" w:rsidR="003E5D48" w:rsidRDefault="003E5D48" w:rsidP="00203F2A">
      <w:pPr>
        <w:pStyle w:val="NoSpacing"/>
        <w:jc w:val="both"/>
      </w:pPr>
      <w:r w:rsidRPr="00273F5B">
        <w:rPr>
          <w:b/>
        </w:rPr>
        <w:t xml:space="preserve">Suriname has a tropical climate with abundant </w:t>
      </w:r>
      <w:r>
        <w:rPr>
          <w:b/>
        </w:rPr>
        <w:t xml:space="preserve">but seasonal </w:t>
      </w:r>
      <w:r w:rsidRPr="00273F5B">
        <w:rPr>
          <w:b/>
        </w:rPr>
        <w:t xml:space="preserve">rainfall, </w:t>
      </w:r>
      <w:r>
        <w:rPr>
          <w:b/>
        </w:rPr>
        <w:t xml:space="preserve">and </w:t>
      </w:r>
      <w:proofErr w:type="gramStart"/>
      <w:r>
        <w:rPr>
          <w:b/>
        </w:rPr>
        <w:t>fairly constant</w:t>
      </w:r>
      <w:proofErr w:type="gramEnd"/>
      <w:r>
        <w:rPr>
          <w:b/>
        </w:rPr>
        <w:t xml:space="preserve"> high </w:t>
      </w:r>
      <w:r w:rsidRPr="00273F5B">
        <w:rPr>
          <w:b/>
        </w:rPr>
        <w:t>temperature and high humidity</w:t>
      </w:r>
      <w:r>
        <w:t xml:space="preserve">. The amount of precipitation varies across the country. On average, Paramaribo receives 2,210 mm rainfall annually, </w:t>
      </w:r>
      <w:proofErr w:type="spellStart"/>
      <w:r>
        <w:t>Coronie</w:t>
      </w:r>
      <w:proofErr w:type="spellEnd"/>
      <w:r>
        <w:t xml:space="preserve"> and </w:t>
      </w:r>
      <w:proofErr w:type="spellStart"/>
      <w:r>
        <w:t>Nieuw</w:t>
      </w:r>
      <w:proofErr w:type="spellEnd"/>
      <w:r>
        <w:t xml:space="preserve"> </w:t>
      </w:r>
      <w:proofErr w:type="spellStart"/>
      <w:r>
        <w:t>Nickerie</w:t>
      </w:r>
      <w:proofErr w:type="spellEnd"/>
      <w:r>
        <w:t xml:space="preserve"> (north-western coast) respectively 1,561 mm/year and 1808 mm/year, </w:t>
      </w:r>
      <w:proofErr w:type="spellStart"/>
      <w:r>
        <w:t>Kwamalasamutu</w:t>
      </w:r>
      <w:proofErr w:type="spellEnd"/>
      <w:r>
        <w:t xml:space="preserve"> (south Suriname) 2,109 mm/year and </w:t>
      </w:r>
      <w:proofErr w:type="spellStart"/>
      <w:r>
        <w:t>Stoelmanseiland</w:t>
      </w:r>
      <w:proofErr w:type="spellEnd"/>
      <w:r>
        <w:t xml:space="preserve"> (central east Suriname) 2,445 mm/year. Variation in monthly rainfall results in two wet and two dry seasons for the northern and central part of Suriname. In the southern part only one wet and one dry season is </w:t>
      </w:r>
      <w:r w:rsidRPr="00A03038">
        <w:t>distinguished. The average daily temperature in the coastal region is 27.4</w:t>
      </w:r>
      <w:r w:rsidRPr="00A03038">
        <w:rPr>
          <w:rFonts w:cstheme="minorHAnsi"/>
        </w:rPr>
        <w:t>°</w:t>
      </w:r>
      <w:r w:rsidRPr="00A03038">
        <w:t xml:space="preserve"> Celsius (</w:t>
      </w:r>
      <w:r w:rsidRPr="00A03038">
        <w:rPr>
          <w:rFonts w:cstheme="minorHAnsi"/>
        </w:rPr>
        <w:t>°</w:t>
      </w:r>
      <w:r w:rsidRPr="00A03038">
        <w:t>C), with a daily variation of 5°C. The difference between day and night temperatures in the coastal region can be on average 6-7°C. There is relatively little variation in temperature between the seasons. January is the</w:t>
      </w:r>
      <w:r>
        <w:t xml:space="preserve"> coldest month (average 26.6</w:t>
      </w:r>
      <w:r>
        <w:rPr>
          <w:rFonts w:cstheme="minorHAnsi"/>
        </w:rPr>
        <w:t>°</w:t>
      </w:r>
      <w:r>
        <w:t>C) and October the warmest (average 28.5</w:t>
      </w:r>
      <w:r>
        <w:rPr>
          <w:rFonts w:cstheme="minorHAnsi"/>
        </w:rPr>
        <w:t>°</w:t>
      </w:r>
      <w:r>
        <w:t>C). Annual variation of the average temperature is 2-3°C. The Interior has relatively similar figures, although variation of daily temperature can be larger (10-12°C).</w:t>
      </w:r>
      <w:r w:rsidR="00CB3D56" w:rsidRPr="00CB3D56">
        <w:rPr>
          <w:rStyle w:val="FootnoteReference"/>
          <w:sz w:val="28"/>
          <w:szCs w:val="28"/>
        </w:rPr>
        <w:footnoteReference w:id="12"/>
      </w:r>
    </w:p>
    <w:p w14:paraId="449F7DB8" w14:textId="77777777" w:rsidR="003E5D48" w:rsidRDefault="003E5D48" w:rsidP="00203F2A">
      <w:pPr>
        <w:pStyle w:val="NoSpacing"/>
        <w:jc w:val="both"/>
      </w:pPr>
    </w:p>
    <w:p w14:paraId="35A6C3C7" w14:textId="77777777" w:rsidR="003E5D48" w:rsidRPr="008B64DF" w:rsidRDefault="003E5D48" w:rsidP="00203F2A">
      <w:pPr>
        <w:pStyle w:val="NoSpacing"/>
        <w:jc w:val="both"/>
        <w:rPr>
          <w:b/>
          <w:u w:val="single"/>
        </w:rPr>
      </w:pPr>
      <w:r w:rsidRPr="008B64DF">
        <w:rPr>
          <w:b/>
          <w:u w:val="single"/>
        </w:rPr>
        <w:t>LAND and WATER; Suriname’s Physical Environment</w:t>
      </w:r>
    </w:p>
    <w:p w14:paraId="59B1769E" w14:textId="77777777" w:rsidR="003E5D48" w:rsidRDefault="003E5D48" w:rsidP="00203F2A">
      <w:pPr>
        <w:pStyle w:val="NoSpacing"/>
        <w:jc w:val="both"/>
        <w:rPr>
          <w:b/>
        </w:rPr>
      </w:pPr>
    </w:p>
    <w:p w14:paraId="082076A0" w14:textId="289F34CE" w:rsidR="003E5D48" w:rsidRDefault="003E5D48" w:rsidP="00203F2A">
      <w:pPr>
        <w:pStyle w:val="NoSpacing"/>
        <w:jc w:val="both"/>
      </w:pPr>
      <w:r w:rsidRPr="00C55AC0">
        <w:rPr>
          <w:b/>
        </w:rPr>
        <w:t xml:space="preserve">Over 80 </w:t>
      </w:r>
      <w:r>
        <w:rPr>
          <w:b/>
        </w:rPr>
        <w:t>percent</w:t>
      </w:r>
      <w:r w:rsidRPr="00C55AC0">
        <w:rPr>
          <w:b/>
        </w:rPr>
        <w:t xml:space="preserve"> of Suriname consists of the Precambrian Guiana Shield, the deeply weathered, rainforest-covered hill and mountain land stretching east and south to the Amazon River in Brazil and west to the Orinoco River in Venezuela.</w:t>
      </w:r>
      <w:r>
        <w:t xml:space="preserve"> Eroded material from the Guiana Shield and the Amazon basin, transported by rivers and the sea, is deposited in the subsiding coastal area at the northern margin of the Guiana Shield, at the </w:t>
      </w:r>
      <w:r w:rsidR="002B67AE">
        <w:t>centre</w:t>
      </w:r>
      <w:r>
        <w:t xml:space="preserve"> of which Suriname is located. </w:t>
      </w:r>
    </w:p>
    <w:p w14:paraId="607388D4" w14:textId="77777777" w:rsidR="003E5D48" w:rsidRDefault="003E5D48" w:rsidP="00203F2A">
      <w:pPr>
        <w:pStyle w:val="NoSpacing"/>
        <w:jc w:val="both"/>
      </w:pPr>
    </w:p>
    <w:p w14:paraId="4B550967" w14:textId="77777777" w:rsidR="003E5D48" w:rsidRDefault="003E5D48" w:rsidP="00203F2A">
      <w:pPr>
        <w:pStyle w:val="NoSpacing"/>
        <w:jc w:val="both"/>
      </w:pPr>
      <w:r>
        <w:t>The oldest outcropping sediments in Suriname’s coastal area have been deposited during three distinct periods, resulting in what is considered three different formations (from older to younger):</w:t>
      </w:r>
    </w:p>
    <w:p w14:paraId="18568CD6" w14:textId="77777777" w:rsidR="003E5D48" w:rsidRDefault="003E5D48" w:rsidP="00203F2A">
      <w:pPr>
        <w:pStyle w:val="NoSpacing"/>
        <w:jc w:val="both"/>
      </w:pPr>
    </w:p>
    <w:p w14:paraId="4B65AE1B" w14:textId="77777777" w:rsidR="003E5D48" w:rsidRDefault="003E5D48" w:rsidP="00203F2A">
      <w:pPr>
        <w:pStyle w:val="NoSpacing"/>
        <w:numPr>
          <w:ilvl w:val="0"/>
          <w:numId w:val="1"/>
        </w:numPr>
        <w:jc w:val="both"/>
      </w:pPr>
      <w:r>
        <w:t xml:space="preserve">The </w:t>
      </w:r>
      <w:proofErr w:type="spellStart"/>
      <w:r>
        <w:t>Zanderij</w:t>
      </w:r>
      <w:proofErr w:type="spellEnd"/>
      <w:r>
        <w:t xml:space="preserve"> Formation, consisting of medium to coarse sands to sandy clays, which have been deposited by braided rivers at the foot of the Guiana Shield in the form of alluvial fans;</w:t>
      </w:r>
    </w:p>
    <w:p w14:paraId="16D51CC6" w14:textId="77777777" w:rsidR="003E5D48" w:rsidRDefault="003E5D48" w:rsidP="00203F2A">
      <w:pPr>
        <w:pStyle w:val="NoSpacing"/>
        <w:numPr>
          <w:ilvl w:val="0"/>
          <w:numId w:val="1"/>
        </w:numPr>
        <w:jc w:val="both"/>
      </w:pPr>
      <w:r>
        <w:t xml:space="preserve">The </w:t>
      </w:r>
      <w:proofErr w:type="spellStart"/>
      <w:r>
        <w:t>Coropina</w:t>
      </w:r>
      <w:proofErr w:type="spellEnd"/>
      <w:r>
        <w:t xml:space="preserve"> Formation, consisting of fine sandy to clayey marine sediments, which have been deposited north of (and on top of) the sediments of the </w:t>
      </w:r>
      <w:proofErr w:type="spellStart"/>
      <w:r>
        <w:t>Zanderij</w:t>
      </w:r>
      <w:proofErr w:type="spellEnd"/>
      <w:r>
        <w:t xml:space="preserve"> Formation. The marine clays were deposited as extensive clay flats and the marine sands as ridges, which were later severely eroded. The remaining surface deposits of this formation are found as ‘islands’ surrounded by the sediments of the Mara Formation (see next);</w:t>
      </w:r>
    </w:p>
    <w:p w14:paraId="08BD9F0A" w14:textId="77777777" w:rsidR="003E5D48" w:rsidRDefault="003E5D48" w:rsidP="00203F2A">
      <w:pPr>
        <w:pStyle w:val="NoSpacing"/>
        <w:numPr>
          <w:ilvl w:val="0"/>
          <w:numId w:val="1"/>
        </w:numPr>
        <w:jc w:val="both"/>
      </w:pPr>
      <w:r>
        <w:t xml:space="preserve">The Mara and </w:t>
      </w:r>
      <w:proofErr w:type="spellStart"/>
      <w:r>
        <w:t>Coronie</w:t>
      </w:r>
      <w:proofErr w:type="spellEnd"/>
      <w:r>
        <w:t xml:space="preserve"> Formations. The Mara Formation consists of marine clays and peat that were deposited in the eroded areas in between the remnants of the </w:t>
      </w:r>
      <w:proofErr w:type="spellStart"/>
      <w:r>
        <w:t>Coropina</w:t>
      </w:r>
      <w:proofErr w:type="spellEnd"/>
      <w:r>
        <w:t xml:space="preserve"> Formation, and in gullies that had been cut into the former Old Coastal Plain. The </w:t>
      </w:r>
      <w:proofErr w:type="spellStart"/>
      <w:r>
        <w:t>Coronie</w:t>
      </w:r>
      <w:proofErr w:type="spellEnd"/>
      <w:r>
        <w:t xml:space="preserve"> Formation in the coastal plain is predominantly of marine origin, but along the main river’s sediments have been deposited in fluviatile and estuarine environments. The deposits consist of mudflats of marine clays and ridges (“</w:t>
      </w:r>
      <w:proofErr w:type="spellStart"/>
      <w:r>
        <w:t>cheniers</w:t>
      </w:r>
      <w:proofErr w:type="spellEnd"/>
      <w:r>
        <w:t>”) of sands and shells.</w:t>
      </w:r>
    </w:p>
    <w:p w14:paraId="6D8B0491" w14:textId="77777777" w:rsidR="003E5D48" w:rsidRDefault="003E5D48" w:rsidP="00203F2A">
      <w:pPr>
        <w:pStyle w:val="NoSpacing"/>
        <w:jc w:val="both"/>
      </w:pPr>
    </w:p>
    <w:p w14:paraId="093B28E3" w14:textId="135618A8" w:rsidR="003E5D48" w:rsidRDefault="003E5D48" w:rsidP="00203F2A">
      <w:pPr>
        <w:pStyle w:val="NoSpacing"/>
        <w:jc w:val="both"/>
      </w:pPr>
      <w:r>
        <w:t xml:space="preserve">The </w:t>
      </w:r>
      <w:r w:rsidR="00510B32">
        <w:t>above-mentioned</w:t>
      </w:r>
      <w:r>
        <w:t xml:space="preserve"> formations resulted in the division of Suriname in four or five main geographic regions which can be identified from north to south as follows</w:t>
      </w:r>
      <w:r w:rsidR="002B67AE">
        <w:rPr>
          <w:rStyle w:val="FootnoteReference"/>
        </w:rPr>
        <w:footnoteReference w:id="13"/>
      </w:r>
      <w:r>
        <w:t>:</w:t>
      </w:r>
    </w:p>
    <w:p w14:paraId="63401895" w14:textId="77777777" w:rsidR="002B67AE" w:rsidRDefault="002B67AE" w:rsidP="00203F2A">
      <w:pPr>
        <w:pStyle w:val="NoSpacing"/>
        <w:jc w:val="both"/>
      </w:pPr>
    </w:p>
    <w:p w14:paraId="3D9C49D5" w14:textId="68FC9FC6" w:rsidR="003E5D48" w:rsidRDefault="002B67AE" w:rsidP="00203F2A">
      <w:pPr>
        <w:pStyle w:val="NoSpacing"/>
        <w:numPr>
          <w:ilvl w:val="0"/>
          <w:numId w:val="2"/>
        </w:numPr>
        <w:jc w:val="both"/>
      </w:pPr>
      <w:r>
        <w:rPr>
          <w:noProof/>
          <w:lang w:val="en-US"/>
        </w:rPr>
        <w:drawing>
          <wp:anchor distT="0" distB="0" distL="114300" distR="114300" simplePos="0" relativeHeight="251670528" behindDoc="0" locked="0" layoutInCell="1" allowOverlap="1" wp14:anchorId="7FB181A0" wp14:editId="112E11E8">
            <wp:simplePos x="0" y="0"/>
            <wp:positionH relativeFrom="margin">
              <wp:align>right</wp:align>
            </wp:positionH>
            <wp:positionV relativeFrom="paragraph">
              <wp:posOffset>59690</wp:posOffset>
            </wp:positionV>
            <wp:extent cx="3075940" cy="2914650"/>
            <wp:effectExtent l="19050" t="19050" r="10160" b="190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5940" cy="2914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E5D48">
        <w:t xml:space="preserve">the Near-coastal zone and the Coastline, formed by extensive marine mud flats and sandy shell beaches, which are exposed at least during low tide; when they become more stable and </w:t>
      </w:r>
      <w:r w:rsidR="00510B32">
        <w:t>vegetated,</w:t>
      </w:r>
      <w:r w:rsidR="003E5D48">
        <w:t xml:space="preserve"> they are in fact considered part of the Young Coastal Plain); </w:t>
      </w:r>
    </w:p>
    <w:p w14:paraId="2FC94127" w14:textId="374A18EA" w:rsidR="003E5D48" w:rsidRDefault="003E5D48" w:rsidP="00203F2A">
      <w:pPr>
        <w:pStyle w:val="NoSpacing"/>
        <w:numPr>
          <w:ilvl w:val="0"/>
          <w:numId w:val="2"/>
        </w:numPr>
        <w:jc w:val="both"/>
      </w:pPr>
      <w:r>
        <w:t>the Young Coastal Plain, ranging in width from about 20 km in the east to about 100 km in the west with variations in height of 0-4 m above mean sea level (MSL);</w:t>
      </w:r>
    </w:p>
    <w:p w14:paraId="56D547AA" w14:textId="190AD8C1" w:rsidR="003E5D48" w:rsidRDefault="003E5D48" w:rsidP="00203F2A">
      <w:pPr>
        <w:pStyle w:val="NoSpacing"/>
        <w:numPr>
          <w:ilvl w:val="0"/>
          <w:numId w:val="2"/>
        </w:numPr>
        <w:jc w:val="both"/>
      </w:pPr>
      <w:r>
        <w:t>the Old Coastal Plain, formed on remnants of ridges, gullies and mud flats, with variations in heights of 4-10 m above MSL;</w:t>
      </w:r>
    </w:p>
    <w:p w14:paraId="4F2B1E12" w14:textId="2ACA8DA9" w:rsidR="003E5D48" w:rsidRDefault="003E5D48" w:rsidP="00203F2A">
      <w:pPr>
        <w:pStyle w:val="NoSpacing"/>
        <w:numPr>
          <w:ilvl w:val="0"/>
          <w:numId w:val="2"/>
        </w:numPr>
        <w:jc w:val="both"/>
      </w:pPr>
      <w:r>
        <w:t xml:space="preserve">the Savanna Belt (Cover Landscape, </w:t>
      </w:r>
      <w:proofErr w:type="spellStart"/>
      <w:r>
        <w:t>Zanderij</w:t>
      </w:r>
      <w:proofErr w:type="spellEnd"/>
      <w:r>
        <w:t xml:space="preserve"> Belt), consisting of coarse bleached white sand and yellowish-brown sands to clay loams, ranging from 10-100 m above MSL;</w:t>
      </w:r>
    </w:p>
    <w:p w14:paraId="442D8629" w14:textId="0F2DA4A0" w:rsidR="003E5D48" w:rsidRDefault="003E5D48" w:rsidP="00203F2A">
      <w:pPr>
        <w:pStyle w:val="NoSpacing"/>
        <w:numPr>
          <w:ilvl w:val="0"/>
          <w:numId w:val="2"/>
        </w:numPr>
        <w:jc w:val="both"/>
      </w:pPr>
      <w:r>
        <w:t>and the Crystalline Shield or Interior, which includes lowland and upland regions (in Suriname mostly 20 m above MSL or higher), with highly weathered Precambrian formations.</w:t>
      </w:r>
    </w:p>
    <w:p w14:paraId="2180A2C5" w14:textId="38681E18" w:rsidR="003E5D48" w:rsidRDefault="003E5D48" w:rsidP="00203F2A">
      <w:pPr>
        <w:pStyle w:val="NoSpacing"/>
        <w:jc w:val="both"/>
      </w:pPr>
    </w:p>
    <w:p w14:paraId="5EF12B2B" w14:textId="77777777" w:rsidR="003E5D48" w:rsidRDefault="003E5D48" w:rsidP="00203F2A">
      <w:pPr>
        <w:pStyle w:val="NoSpacing"/>
        <w:jc w:val="both"/>
      </w:pPr>
      <w:r>
        <w:t>The highest mountain of Suriname reaches a height of about 1,250 m. Most of the country consists of a hilly landscape types, reaching heights of 50-500 meters above MSL. The coastal zone however is a very low-lying flat area, with many swamps of which some form open waters. All local rivers flow in a general south-north direction, ultimately discharging their water into the Atlantic Ocean; natural creeks and smaller rivers deflect to the west in the coastal zone to join larger rivers.</w:t>
      </w:r>
    </w:p>
    <w:p w14:paraId="6511F506" w14:textId="77777777" w:rsidR="003E5D48" w:rsidRDefault="003E5D48" w:rsidP="00203F2A">
      <w:pPr>
        <w:pStyle w:val="NoSpacing"/>
        <w:jc w:val="both"/>
      </w:pPr>
    </w:p>
    <w:p w14:paraId="7CF1D04D" w14:textId="77777777" w:rsidR="003E5D48" w:rsidRDefault="003E5D48" w:rsidP="00203F2A">
      <w:pPr>
        <w:pStyle w:val="NoSpacing"/>
        <w:jc w:val="both"/>
      </w:pPr>
      <w:r w:rsidRPr="00273F5B">
        <w:rPr>
          <w:b/>
        </w:rPr>
        <w:t>The country is endowed with many natural resources including soil, water, forests and minerals</w:t>
      </w:r>
      <w:r>
        <w:t xml:space="preserve">. The fertile soil of the Young Coastal Plain, combined with the large freshwater swamps and rivers in the north are favourable for large scale agriculture. However, the largest part of the country (88 percent of total land area) still consists of tropical rainforest that is only marginally used by local people for non-timber forest products. Only 8 percent of the total land area is cultivated, whilst the remaining 4 percent consists of other non-forested natural areas (savannas, swamps and wetlands). </w:t>
      </w:r>
    </w:p>
    <w:p w14:paraId="63D1141B" w14:textId="77777777" w:rsidR="003E5D48" w:rsidRDefault="003E5D48" w:rsidP="00203F2A">
      <w:pPr>
        <w:pStyle w:val="NoSpacing"/>
        <w:jc w:val="both"/>
      </w:pPr>
    </w:p>
    <w:p w14:paraId="66FD2CA5" w14:textId="77777777" w:rsidR="003E5D48" w:rsidRDefault="003E5D48" w:rsidP="00203F2A">
      <w:pPr>
        <w:pStyle w:val="NoSpacing"/>
        <w:jc w:val="both"/>
      </w:pPr>
      <w:r w:rsidRPr="00694172">
        <w:rPr>
          <w:b/>
        </w:rPr>
        <w:t xml:space="preserve">Suriname is identified as a country with a High Forest </w:t>
      </w:r>
      <w:r>
        <w:rPr>
          <w:b/>
        </w:rPr>
        <w:t>c</w:t>
      </w:r>
      <w:r w:rsidRPr="00694172">
        <w:rPr>
          <w:b/>
        </w:rPr>
        <w:t>over, and Low Deforestation rate (HFLD).</w:t>
      </w:r>
      <w:r>
        <w:rPr>
          <w:b/>
        </w:rPr>
        <w:t xml:space="preserve"> </w:t>
      </w:r>
      <w:r>
        <w:t>T</w:t>
      </w:r>
      <w:r w:rsidRPr="00694172">
        <w:t>he total deforestation in Suriname between 2000 and 2015 amounted to 85,147 ha or an average of 5,676 ha/y</w:t>
      </w:r>
      <w:r>
        <w:t>ea</w:t>
      </w:r>
      <w:r w:rsidRPr="00694172">
        <w:t>r, which is equivalent to an annual deforestation rate of 0.04</w:t>
      </w:r>
      <w:r>
        <w:t xml:space="preserve"> percent.</w:t>
      </w:r>
      <w:r w:rsidRPr="00694172">
        <w:t xml:space="preserve"> Between 2000 and 2009, the annual deforestation rate was estimated at 0.02</w:t>
      </w:r>
      <w:r>
        <w:t xml:space="preserve"> percent</w:t>
      </w:r>
      <w:r w:rsidRPr="00694172">
        <w:t>, equivalent to an average 2,754 ha/yr. Between 2009 and 2015, the deforestation rate more than tripled to 0.07</w:t>
      </w:r>
      <w:r>
        <w:t xml:space="preserve"> percent</w:t>
      </w:r>
      <w:r w:rsidRPr="00694172">
        <w:t xml:space="preserve"> average annual deforestation rate o</w:t>
      </w:r>
      <w:r>
        <w:t>f</w:t>
      </w:r>
      <w:r w:rsidRPr="00694172">
        <w:t xml:space="preserve"> 10,060 ha/year</w:t>
      </w:r>
      <w:r>
        <w:rPr>
          <w:rStyle w:val="FootnoteReference"/>
        </w:rPr>
        <w:footnoteReference w:id="14"/>
      </w:r>
      <w:r w:rsidRPr="00694172">
        <w:t>.</w:t>
      </w:r>
    </w:p>
    <w:p w14:paraId="19A691CE" w14:textId="77777777" w:rsidR="003E5D48" w:rsidRDefault="003E5D48" w:rsidP="00203F2A">
      <w:pPr>
        <w:pStyle w:val="NoSpacing"/>
        <w:jc w:val="both"/>
      </w:pPr>
    </w:p>
    <w:p w14:paraId="263459D7" w14:textId="6BBF03EA" w:rsidR="003E5D48" w:rsidRDefault="003E5D48" w:rsidP="00203F2A">
      <w:pPr>
        <w:pStyle w:val="NoSpacing"/>
        <w:jc w:val="both"/>
      </w:pPr>
      <w:r w:rsidRPr="00135B84">
        <w:rPr>
          <w:b/>
        </w:rPr>
        <w:t xml:space="preserve">The Young Coastal Plain (consisting of marine clays, peat, sands and shells) is the most fertile zone of </w:t>
      </w:r>
      <w:proofErr w:type="gramStart"/>
      <w:r w:rsidRPr="00135B84">
        <w:rPr>
          <w:b/>
        </w:rPr>
        <w:t>Suriname, and</w:t>
      </w:r>
      <w:proofErr w:type="gramEnd"/>
      <w:r w:rsidRPr="00135B84">
        <w:rPr>
          <w:b/>
        </w:rPr>
        <w:t xml:space="preserve"> has served the development of large-scale agricultural activities. The soils of the Old Coastal Plain (composed of clay, sandy-clay or clayey-sand) offer good opportunities for agricultural development.</w:t>
      </w:r>
      <w:r>
        <w:t xml:space="preserve"> The Savanna Belt consists of non-bleached sands to clay loams and bleached coarse sand, which have high infiltration and percolation rates and are less fertile. Agricultural activities are therefore limited to the cultivation of some small-scale dry crops</w:t>
      </w:r>
      <w:r w:rsidR="00D20F50">
        <w:t xml:space="preserve"> </w:t>
      </w:r>
      <w:r w:rsidR="00D759B2">
        <w:t>and a</w:t>
      </w:r>
      <w:r w:rsidR="00D20F50">
        <w:t xml:space="preserve">n - over recent years </w:t>
      </w:r>
      <w:r w:rsidR="00510B32">
        <w:t>- increasing</w:t>
      </w:r>
      <w:r w:rsidR="00D759B2">
        <w:t xml:space="preserve"> c</w:t>
      </w:r>
      <w:r w:rsidR="00D20F50">
        <w:t xml:space="preserve">ultivation of pineapple. </w:t>
      </w:r>
      <w:r>
        <w:t>However, this area plays an important role in the maintenance of drinking water reserves, because the greatest proportion of rainfall percolates into the ground here, recharging the freshwater aquifers. These aquifers are the main resource for potable water in the coastal areas.</w:t>
      </w:r>
    </w:p>
    <w:p w14:paraId="416743F4" w14:textId="77777777" w:rsidR="003E5D48" w:rsidRDefault="003E5D48" w:rsidP="00203F2A">
      <w:pPr>
        <w:pStyle w:val="NoSpacing"/>
        <w:jc w:val="both"/>
      </w:pPr>
    </w:p>
    <w:p w14:paraId="31A6BFFB" w14:textId="77777777" w:rsidR="003E5D48" w:rsidRDefault="003E5D48" w:rsidP="00203F2A">
      <w:pPr>
        <w:pStyle w:val="NoSpacing"/>
        <w:jc w:val="both"/>
      </w:pPr>
      <w:r w:rsidRPr="00135B84">
        <w:rPr>
          <w:b/>
        </w:rPr>
        <w:t xml:space="preserve">The Interior is more mountainous, mainly composed of weathered and eroded Precambrian rocks with a generally moderately thick </w:t>
      </w:r>
      <w:proofErr w:type="spellStart"/>
      <w:r w:rsidRPr="00135B84">
        <w:rPr>
          <w:b/>
        </w:rPr>
        <w:t>regolith</w:t>
      </w:r>
      <w:proofErr w:type="spellEnd"/>
      <w:r w:rsidRPr="00135B84">
        <w:rPr>
          <w:b/>
        </w:rPr>
        <w:t xml:space="preserve"> </w:t>
      </w:r>
      <w:r>
        <w:rPr>
          <w:b/>
        </w:rPr>
        <w:t>layer (‘soft’, chemically eroded rock)</w:t>
      </w:r>
      <w:r w:rsidRPr="00135B84">
        <w:rPr>
          <w:b/>
        </w:rPr>
        <w:t xml:space="preserve">. </w:t>
      </w:r>
      <w:r w:rsidRPr="00FA2E86">
        <w:t>Agriculture in this area is mainly limited to shifting cultivation. Human activities, suc</w:t>
      </w:r>
      <w:r>
        <w:t>h as selective logging, shifting cultivation, exploitation of other natural resources easily leads to the degradation of the relatively poor and vulnerable soils.</w:t>
      </w:r>
      <w:r w:rsidRPr="00C64C71">
        <w:t xml:space="preserve"> </w:t>
      </w:r>
    </w:p>
    <w:p w14:paraId="651FDFF1" w14:textId="77777777" w:rsidR="003E5D48" w:rsidRDefault="003E5D48" w:rsidP="00203F2A">
      <w:pPr>
        <w:pStyle w:val="NoSpacing"/>
        <w:jc w:val="both"/>
      </w:pPr>
    </w:p>
    <w:p w14:paraId="12DEFFA3" w14:textId="77777777" w:rsidR="003E5D48" w:rsidRDefault="003E5D48" w:rsidP="00203F2A">
      <w:pPr>
        <w:pStyle w:val="NoSpacing"/>
        <w:jc w:val="both"/>
      </w:pPr>
      <w:r w:rsidRPr="00135B84">
        <w:rPr>
          <w:b/>
        </w:rPr>
        <w:t xml:space="preserve">Exploitation of crude oil, sand and shells is taking place in the northern part of the </w:t>
      </w:r>
      <w:r>
        <w:rPr>
          <w:b/>
        </w:rPr>
        <w:t>Y</w:t>
      </w:r>
      <w:r w:rsidRPr="00135B84">
        <w:rPr>
          <w:b/>
        </w:rPr>
        <w:t xml:space="preserve">oung </w:t>
      </w:r>
      <w:r>
        <w:rPr>
          <w:b/>
        </w:rPr>
        <w:t>C</w:t>
      </w:r>
      <w:r w:rsidRPr="00135B84">
        <w:rPr>
          <w:b/>
        </w:rPr>
        <w:t xml:space="preserve">oastal </w:t>
      </w:r>
      <w:r>
        <w:rPr>
          <w:b/>
        </w:rPr>
        <w:t>Plain</w:t>
      </w:r>
      <w:r w:rsidRPr="00135B84">
        <w:rPr>
          <w:b/>
        </w:rPr>
        <w:t>.</w:t>
      </w:r>
      <w:r>
        <w:t xml:space="preserve"> Although the Interior of the country is mineral-rich containing </w:t>
      </w:r>
      <w:proofErr w:type="gramStart"/>
      <w:r>
        <w:t>a number of</w:t>
      </w:r>
      <w:proofErr w:type="gramEnd"/>
      <w:r>
        <w:t xml:space="preserve"> important deposits of bauxite, beryl, copper, diamond, gold, platinum, iron ore, manganese, pegmatite and tin, exploitation of minerals mainly concentrates on bauxite and gold. Historically, extraction activities of mineral ores mainly occurred in the northern parts of the </w:t>
      </w:r>
      <w:proofErr w:type="gramStart"/>
      <w:r>
        <w:t>Interior</w:t>
      </w:r>
      <w:proofErr w:type="gramEnd"/>
      <w:r>
        <w:t xml:space="preserve"> but mining activities have increasingly been moving further south over the last decennia.</w:t>
      </w:r>
    </w:p>
    <w:p w14:paraId="1001D6F3" w14:textId="77777777" w:rsidR="003E5D48" w:rsidRDefault="003E5D48" w:rsidP="00203F2A">
      <w:pPr>
        <w:pStyle w:val="NoSpacing"/>
        <w:jc w:val="both"/>
      </w:pPr>
    </w:p>
    <w:p w14:paraId="319FEDBD" w14:textId="77777777" w:rsidR="003E5D48" w:rsidRPr="008B64DF" w:rsidRDefault="003E5D48" w:rsidP="00203F2A">
      <w:pPr>
        <w:pStyle w:val="NoSpacing"/>
        <w:jc w:val="both"/>
        <w:rPr>
          <w:b/>
          <w:u w:val="single"/>
        </w:rPr>
      </w:pPr>
      <w:r w:rsidRPr="008B64DF">
        <w:rPr>
          <w:b/>
          <w:u w:val="single"/>
        </w:rPr>
        <w:t>NATURE; Suriname’s Natural Environment</w:t>
      </w:r>
    </w:p>
    <w:p w14:paraId="5F702DBF" w14:textId="77777777" w:rsidR="003E5D48" w:rsidRDefault="003E5D48" w:rsidP="00203F2A">
      <w:pPr>
        <w:pStyle w:val="NoSpacing"/>
        <w:jc w:val="both"/>
      </w:pPr>
    </w:p>
    <w:p w14:paraId="6D97DA2A" w14:textId="77777777" w:rsidR="003E5D48" w:rsidRDefault="003E5D48" w:rsidP="00203F2A">
      <w:pPr>
        <w:pStyle w:val="NoSpacing"/>
        <w:jc w:val="both"/>
      </w:pPr>
      <w:r w:rsidRPr="00135B84">
        <w:rPr>
          <w:b/>
        </w:rPr>
        <w:t>The main fresh water source is the abundant annual rainfall, which, together with the topography, soil types and land cover has resulted in many streams and large wetlands</w:t>
      </w:r>
      <w:r>
        <w:t>. Seven main rivers, originating in the Interior of the country, annually discharge about 4,800 m</w:t>
      </w:r>
      <w:r w:rsidRPr="00135B84">
        <w:rPr>
          <w:vertAlign w:val="superscript"/>
        </w:rPr>
        <w:t>3</w:t>
      </w:r>
      <w:r>
        <w:t xml:space="preserve"> per second of fresh water into the Atlantic Ocean, which is about 30 percent of the annual rainfall. The </w:t>
      </w:r>
      <w:proofErr w:type="spellStart"/>
      <w:r>
        <w:t>Marowijne</w:t>
      </w:r>
      <w:proofErr w:type="spellEnd"/>
      <w:r>
        <w:t xml:space="preserve"> and the Corantijn Rivers contribute 70 percent to the total discharge. Of the remaining rainfall, the largest part evaporates and only a small part percolates to the aquifers, recharging ground water reserves.</w:t>
      </w:r>
    </w:p>
    <w:p w14:paraId="75997F08" w14:textId="77777777" w:rsidR="003E5D48" w:rsidRDefault="003E5D48" w:rsidP="00203F2A">
      <w:pPr>
        <w:pStyle w:val="NoSpacing"/>
        <w:jc w:val="both"/>
      </w:pPr>
    </w:p>
    <w:p w14:paraId="1CAB46D3" w14:textId="77777777" w:rsidR="003E5D48" w:rsidRDefault="003E5D48" w:rsidP="00203F2A">
      <w:pPr>
        <w:pStyle w:val="NoSpacing"/>
        <w:jc w:val="both"/>
      </w:pPr>
      <w:r w:rsidRPr="00135B84">
        <w:rPr>
          <w:b/>
        </w:rPr>
        <w:t>The terrestrial ecosystems of Suriname</w:t>
      </w:r>
      <w:r>
        <w:rPr>
          <w:rStyle w:val="FootnoteReference"/>
          <w:b/>
        </w:rPr>
        <w:footnoteReference w:id="15"/>
      </w:r>
      <w:r>
        <w:t xml:space="preserve"> can be characterized as follows:</w:t>
      </w:r>
    </w:p>
    <w:p w14:paraId="71C8DC4C" w14:textId="77777777" w:rsidR="003E5D48" w:rsidRDefault="003E5D48" w:rsidP="00203F2A">
      <w:pPr>
        <w:pStyle w:val="NoSpacing"/>
        <w:jc w:val="both"/>
      </w:pPr>
    </w:p>
    <w:p w14:paraId="41B85309" w14:textId="75E8D7E6" w:rsidR="003E5D48" w:rsidRDefault="003E5D48" w:rsidP="00203F2A">
      <w:pPr>
        <w:pStyle w:val="NoSpacing"/>
        <w:numPr>
          <w:ilvl w:val="0"/>
          <w:numId w:val="22"/>
        </w:numPr>
        <w:jc w:val="both"/>
      </w:pPr>
      <w:r>
        <w:t xml:space="preserve">In the north, from the coastline till some 5-20 km south of it, lies a very dynamic area where ecosystems are impacted by the sea; it is ecologically very productive and diverse, and is known as the </w:t>
      </w:r>
      <w:r w:rsidRPr="008A2368">
        <w:rPr>
          <w:b/>
        </w:rPr>
        <w:t>Estuarine Zone</w:t>
      </w:r>
      <w:r w:rsidRPr="00AD39F8">
        <w:t>.</w:t>
      </w:r>
      <w:r>
        <w:t xml:space="preserve"> In the northernmost part and along the main rivers, it </w:t>
      </w:r>
      <w:r w:rsidR="00510B32">
        <w:t>consists</w:t>
      </w:r>
      <w:r>
        <w:t xml:space="preserve"> of extensive </w:t>
      </w:r>
      <w:r w:rsidRPr="00AD39F8">
        <w:rPr>
          <w:b/>
        </w:rPr>
        <w:t>mangrove forests</w:t>
      </w:r>
      <w:r>
        <w:t xml:space="preserve"> on clay soil; these depend on tidal flooding with brackish water. At the coastline, there are extensive shell and sand </w:t>
      </w:r>
      <w:r w:rsidRPr="00AD39F8">
        <w:rPr>
          <w:b/>
        </w:rPr>
        <w:t>beaches</w:t>
      </w:r>
      <w:r>
        <w:t xml:space="preserve"> with typical sparse or at least low vegetation. Further inland - because the Suriname coast is a long-term accreting coast (‘growing’ towards the north) - there are scattered “</w:t>
      </w:r>
      <w:proofErr w:type="spellStart"/>
      <w:r w:rsidRPr="00AD39F8">
        <w:rPr>
          <w:b/>
        </w:rPr>
        <w:t>cheniers</w:t>
      </w:r>
      <w:proofErr w:type="spellEnd"/>
      <w:r>
        <w:t>”, remnants of old sand and shell beach ridges on which mixed marsh or dryland forest has developed. Locally there are open water “</w:t>
      </w:r>
      <w:r w:rsidRPr="00AD39F8">
        <w:rPr>
          <w:b/>
        </w:rPr>
        <w:t>lagoons</w:t>
      </w:r>
      <w:r>
        <w:t>” behind the coastline in depressions with brackish water (may become very salty in the dry season); shallower parts where salt is strongly concentrated have a low vegetation of salt-loving succulent plants (</w:t>
      </w:r>
      <w:r w:rsidRPr="00AD39F8">
        <w:rPr>
          <w:b/>
        </w:rPr>
        <w:t>hypersaline marshes</w:t>
      </w:r>
      <w:r>
        <w:t xml:space="preserve">). Extensive </w:t>
      </w:r>
      <w:r w:rsidRPr="00AD39F8">
        <w:rPr>
          <w:b/>
        </w:rPr>
        <w:t>brackish herbaceous swamps</w:t>
      </w:r>
      <w:r>
        <w:t xml:space="preserve"> in the southernmost part of the estuarine zone mark the transition from mangroves to the more extensive freshwater areas further to the south (see below). The mangrove forests offer considerable protection to the coastline and riverbanks from the erosive force of the sea, and in combination with </w:t>
      </w:r>
      <w:proofErr w:type="spellStart"/>
      <w:r>
        <w:t>cheniers</w:t>
      </w:r>
      <w:proofErr w:type="spellEnd"/>
      <w:r w:rsidR="00510B32">
        <w:t xml:space="preserve"> </w:t>
      </w:r>
      <w:r>
        <w:t xml:space="preserve">are considered natural coastal </w:t>
      </w:r>
      <w:r w:rsidR="00510B32">
        <w:t>defences</w:t>
      </w:r>
      <w:r>
        <w:t xml:space="preserve">. The mangroves are nursery grounds for many species of marine fish and </w:t>
      </w:r>
      <w:proofErr w:type="gramStart"/>
      <w:r>
        <w:t>shrimp, and</w:t>
      </w:r>
      <w:proofErr w:type="gramEnd"/>
      <w:r>
        <w:t xml:space="preserve"> have an abundant flora and fauna that is very different from that in other parts of Suriname. The estuarine zone of Suriname is a wetland of international importance, as it contains the feeding and nesting sites for Caribbean coastal birds and feeding grounds for migratory shorebirds (the bulk are migrants from Canada). Along the eastern coastline, the current sand and shell beaches are nesting places of international importance for four species of marine turtles, including the globally endangered Leatherback.</w:t>
      </w:r>
    </w:p>
    <w:p w14:paraId="57564AD2" w14:textId="77777777" w:rsidR="003E5D48" w:rsidRDefault="003E5D48" w:rsidP="00203F2A">
      <w:pPr>
        <w:pStyle w:val="NoSpacing"/>
        <w:jc w:val="both"/>
      </w:pPr>
    </w:p>
    <w:p w14:paraId="2481503A" w14:textId="6BA9421E" w:rsidR="003E5D48" w:rsidRDefault="003E5D48" w:rsidP="00203F2A">
      <w:pPr>
        <w:pStyle w:val="NoSpacing"/>
        <w:numPr>
          <w:ilvl w:val="0"/>
          <w:numId w:val="22"/>
        </w:numPr>
        <w:jc w:val="both"/>
      </w:pPr>
      <w:r>
        <w:t xml:space="preserve">To the south of the Estuarine Zone, </w:t>
      </w:r>
      <w:r w:rsidRPr="00607D30">
        <w:rPr>
          <w:b/>
        </w:rPr>
        <w:t>herbaceous freshwater swamps</w:t>
      </w:r>
      <w:r>
        <w:t xml:space="preserve"> and </w:t>
      </w:r>
      <w:r w:rsidRPr="00607D30">
        <w:rPr>
          <w:b/>
        </w:rPr>
        <w:t>swamp forests</w:t>
      </w:r>
      <w:r>
        <w:t xml:space="preserve"> (perennially flooded forest) dominate the Young Coastal Plain and the low-lying part of the Old Coastal Plain. These wetlands play an important role in supplying freshwater to the estuarine zone, thus contributing to the maintenance of brackish conditions there. They are inundated or at least waterlogged throughout the year, which allows for a peat layer to accumulate on top of the mineral soil. The swamp forests </w:t>
      </w:r>
      <w:r w:rsidR="00510B32">
        <w:t>include</w:t>
      </w:r>
      <w:r>
        <w:t xml:space="preserve"> </w:t>
      </w:r>
      <w:r w:rsidRPr="00607D30">
        <w:t>low swamp forest</w:t>
      </w:r>
      <w:r>
        <w:t xml:space="preserve"> a.k.a. swamp wood (“low” refers to tree stature and canopy height), which is quite varied and includes palm swamp forest. If no forest fires occur, most of it develops into high swamp forest, but if peat fires destroy the forest during extremely dry years, herbaceous swamp develops that gradually develop further into swamp forest. Swamp forest is thus climax vegetation, the end-point of ecological succession in wet areas with fresh water </w:t>
      </w:r>
      <w:r w:rsidR="00510B32">
        <w:t>year-round</w:t>
      </w:r>
      <w:r>
        <w:t xml:space="preserve">. </w:t>
      </w:r>
      <w:r w:rsidRPr="00C64C71">
        <w:t xml:space="preserve"> </w:t>
      </w:r>
    </w:p>
    <w:p w14:paraId="0FEF972B" w14:textId="77777777" w:rsidR="003E5D48" w:rsidRPr="009B4B8F" w:rsidRDefault="003E5D48" w:rsidP="00203F2A">
      <w:pPr>
        <w:pStyle w:val="NoSpacing"/>
        <w:jc w:val="both"/>
      </w:pPr>
    </w:p>
    <w:p w14:paraId="7586F4C8" w14:textId="77777777" w:rsidR="003E5D48" w:rsidRDefault="003E5D48" w:rsidP="00203F2A">
      <w:pPr>
        <w:pStyle w:val="NoSpacing"/>
        <w:numPr>
          <w:ilvl w:val="0"/>
          <w:numId w:val="22"/>
        </w:numPr>
        <w:jc w:val="both"/>
      </w:pPr>
      <w:r>
        <w:rPr>
          <w:b/>
        </w:rPr>
        <w:t>M</w:t>
      </w:r>
      <w:r w:rsidRPr="00477E54">
        <w:rPr>
          <w:b/>
        </w:rPr>
        <w:t>arsh forest</w:t>
      </w:r>
      <w:r>
        <w:rPr>
          <w:b/>
        </w:rPr>
        <w:t>s</w:t>
      </w:r>
      <w:r>
        <w:t xml:space="preserve"> (seasonally flooded forest), is found on poorly drained soils that nevertheless dry out superficially during the dry season. During part of the rainy season, the soil is typically inundated. No peat layer or thick dry litter layer is formed, which means that these forests are stable since they do not burn easily. Species diversity is intermediate between that of the high swamp forests, and the high dryland forests (see below). Marsh forests are usually rich in palms.</w:t>
      </w:r>
    </w:p>
    <w:p w14:paraId="55698448" w14:textId="77777777" w:rsidR="003E5D48" w:rsidRDefault="003E5D48" w:rsidP="00203F2A">
      <w:pPr>
        <w:pStyle w:val="NoSpacing"/>
        <w:jc w:val="both"/>
      </w:pPr>
    </w:p>
    <w:p w14:paraId="4C04A016" w14:textId="77777777" w:rsidR="003E5D48" w:rsidRDefault="003E5D48" w:rsidP="00203F2A">
      <w:pPr>
        <w:pStyle w:val="NoSpacing"/>
        <w:numPr>
          <w:ilvl w:val="0"/>
          <w:numId w:val="22"/>
        </w:numPr>
        <w:jc w:val="both"/>
      </w:pPr>
      <w:r w:rsidRPr="00B847D5">
        <w:t xml:space="preserve">Forests </w:t>
      </w:r>
      <w:proofErr w:type="gramStart"/>
      <w:r w:rsidRPr="00B847D5">
        <w:t>similar</w:t>
      </w:r>
      <w:r>
        <w:t xml:space="preserve"> to</w:t>
      </w:r>
      <w:proofErr w:type="gramEnd"/>
      <w:r>
        <w:t xml:space="preserve"> swamp and marsh forest, known as </w:t>
      </w:r>
      <w:r w:rsidRPr="00B847D5">
        <w:rPr>
          <w:b/>
        </w:rPr>
        <w:t>riparian forest</w:t>
      </w:r>
      <w:r>
        <w:t xml:space="preserve"> and </w:t>
      </w:r>
      <w:r w:rsidRPr="00607D30">
        <w:rPr>
          <w:b/>
        </w:rPr>
        <w:t>creek forests</w:t>
      </w:r>
      <w:r>
        <w:t>, are found along rivers and creeks throughout most of Suriname, they are typically enriched by a large number of tree species from the surrounding high dryland forest, and by tree species that disperse their seeds via flowing water or the fishes that live in it.</w:t>
      </w:r>
    </w:p>
    <w:p w14:paraId="687E5557" w14:textId="77777777" w:rsidR="003E5D48" w:rsidRDefault="003E5D48" w:rsidP="00203F2A">
      <w:pPr>
        <w:pStyle w:val="NoSpacing"/>
        <w:ind w:left="360"/>
        <w:jc w:val="both"/>
      </w:pPr>
    </w:p>
    <w:p w14:paraId="519CD348" w14:textId="77777777" w:rsidR="003E5D48" w:rsidRDefault="003E5D48" w:rsidP="00203F2A">
      <w:pPr>
        <w:pStyle w:val="NoSpacing"/>
        <w:numPr>
          <w:ilvl w:val="0"/>
          <w:numId w:val="22"/>
        </w:numPr>
        <w:jc w:val="both"/>
      </w:pPr>
      <w:r>
        <w:t xml:space="preserve">The largest part of Suriname, about 80 percent, is covered by </w:t>
      </w:r>
      <w:r w:rsidRPr="00477E54">
        <w:rPr>
          <w:b/>
        </w:rPr>
        <w:t>high dryland forest</w:t>
      </w:r>
      <w:r>
        <w:t xml:space="preserve"> a.k.a. </w:t>
      </w:r>
      <w:r w:rsidRPr="00B847D5">
        <w:rPr>
          <w:b/>
          <w:i/>
        </w:rPr>
        <w:t xml:space="preserve">terra </w:t>
      </w:r>
      <w:proofErr w:type="spellStart"/>
      <w:r w:rsidRPr="00B847D5">
        <w:rPr>
          <w:b/>
          <w:i/>
        </w:rPr>
        <w:t>firme</w:t>
      </w:r>
      <w:proofErr w:type="spellEnd"/>
      <w:r w:rsidRPr="00B847D5">
        <w:rPr>
          <w:b/>
        </w:rPr>
        <w:t xml:space="preserve"> forest</w:t>
      </w:r>
      <w:r>
        <w:t xml:space="preserve"> which is found from sea level up to 400-600 m. These are forests that occur on soils that are neither flooded, nor suffer from severe seasonal water depletion.  They have a high and dense canopy at 25-45 m, and emergent trees up to 50-60 m. Tree species diversity is very high (typically between 50-150 species per hectare), as is plant diversity in general. High dryland forest is very stable since it does not easily burn (no thick peat or litter layer). It is a key habitat for an extremely diverse set of rainforest mammal, bird, amphibian and reptile species, as well as insects and other invertebrate animal species.</w:t>
      </w:r>
      <w:r w:rsidRPr="009637C0">
        <w:t xml:space="preserve"> </w:t>
      </w:r>
      <w:r>
        <w:t xml:space="preserve">Most of the terrestrial species of Suriname reside in and depend on this </w:t>
      </w:r>
      <w:r w:rsidRPr="00467DBB">
        <w:rPr>
          <w:i/>
        </w:rPr>
        <w:t xml:space="preserve">terra </w:t>
      </w:r>
      <w:proofErr w:type="spellStart"/>
      <w:r w:rsidRPr="00467DBB">
        <w:rPr>
          <w:i/>
        </w:rPr>
        <w:t>firme</w:t>
      </w:r>
      <w:proofErr w:type="spellEnd"/>
      <w:r>
        <w:t xml:space="preserve"> forest. High dryland forest if often mapped as a single unit on maps of Suriname; this may be considered an artefact, a reflection of the very limited exploration of Suriname’s </w:t>
      </w:r>
      <w:r w:rsidRPr="007C7F28">
        <w:rPr>
          <w:i/>
        </w:rPr>
        <w:t xml:space="preserve">terra </w:t>
      </w:r>
      <w:proofErr w:type="spellStart"/>
      <w:r w:rsidRPr="007C7F28">
        <w:rPr>
          <w:i/>
        </w:rPr>
        <w:t>firme</w:t>
      </w:r>
      <w:proofErr w:type="spellEnd"/>
      <w:r>
        <w:t xml:space="preserve"> and limited data on differences in forest composition and factors determining it and allowing it to be mapped properly.</w:t>
      </w:r>
    </w:p>
    <w:p w14:paraId="0862417C" w14:textId="77777777" w:rsidR="003E5D48" w:rsidRDefault="003E5D48" w:rsidP="00203F2A">
      <w:pPr>
        <w:pStyle w:val="NoSpacing"/>
        <w:ind w:left="360"/>
        <w:jc w:val="both"/>
      </w:pPr>
    </w:p>
    <w:p w14:paraId="3C76DABC" w14:textId="112C2F23" w:rsidR="003E5D48" w:rsidRDefault="003E5D48" w:rsidP="00203F2A">
      <w:pPr>
        <w:pStyle w:val="NoSpacing"/>
        <w:numPr>
          <w:ilvl w:val="0"/>
          <w:numId w:val="22"/>
        </w:numPr>
        <w:jc w:val="both"/>
      </w:pPr>
      <w:r>
        <w:t xml:space="preserve">In areas where water availability in the soil is (seasonally) more limited, </w:t>
      </w:r>
      <w:r w:rsidRPr="00477E54">
        <w:rPr>
          <w:b/>
        </w:rPr>
        <w:t>savanna forests</w:t>
      </w:r>
      <w:r>
        <w:rPr>
          <w:b/>
        </w:rPr>
        <w:t xml:space="preserve"> </w:t>
      </w:r>
      <w:r w:rsidRPr="00D734AD">
        <w:t>a</w:t>
      </w:r>
      <w:r>
        <w:t>.</w:t>
      </w:r>
      <w:r w:rsidRPr="00D734AD">
        <w:t>k</w:t>
      </w:r>
      <w:r>
        <w:t>.</w:t>
      </w:r>
      <w:r w:rsidRPr="00D734AD">
        <w:t>a</w:t>
      </w:r>
      <w:r>
        <w:t>.</w:t>
      </w:r>
      <w:r w:rsidRPr="00D734AD">
        <w:t xml:space="preserve"> </w:t>
      </w:r>
      <w:r>
        <w:rPr>
          <w:b/>
        </w:rPr>
        <w:t xml:space="preserve">dry forests </w:t>
      </w:r>
      <w:r w:rsidRPr="00D734AD">
        <w:t>occur</w:t>
      </w:r>
      <w:r>
        <w:t xml:space="preserve">. This type of forest commonly grows on excessively drained soils and on shallow, permeable soils resting on impermeable subsoils, hard pans and rocks. As a result, there are intermittent water shortages, or at least a prolonged water shortage in the soil during the dry season. Some savanna forests develop a thick litter layer over </w:t>
      </w:r>
      <w:proofErr w:type="gramStart"/>
      <w:r>
        <w:t>time, and</w:t>
      </w:r>
      <w:proofErr w:type="gramEnd"/>
      <w:r>
        <w:t xml:space="preserve"> are fire prone in the dry season. Savanna forests occur throughout Suriname, mostly the Savanna Belt and Interior, but are patchy and variable in stature and composition. A typical feature is the dominance of plants with tough, often small leaves in the understory.</w:t>
      </w:r>
    </w:p>
    <w:p w14:paraId="36B229FA" w14:textId="77777777" w:rsidR="003E5D48" w:rsidRDefault="003E5D48" w:rsidP="00203F2A">
      <w:pPr>
        <w:pStyle w:val="NoSpacing"/>
        <w:ind w:left="360"/>
        <w:jc w:val="both"/>
      </w:pPr>
    </w:p>
    <w:p w14:paraId="6C0120D4" w14:textId="77777777" w:rsidR="003E5D48" w:rsidRDefault="003E5D48" w:rsidP="00203F2A">
      <w:pPr>
        <w:pStyle w:val="NoSpacing"/>
        <w:numPr>
          <w:ilvl w:val="0"/>
          <w:numId w:val="22"/>
        </w:numPr>
        <w:jc w:val="both"/>
      </w:pPr>
      <w:r>
        <w:t xml:space="preserve">Open </w:t>
      </w:r>
      <w:r w:rsidRPr="00477E54">
        <w:rPr>
          <w:b/>
        </w:rPr>
        <w:t>savanna</w:t>
      </w:r>
      <w:r>
        <w:t xml:space="preserve"> is a typically grass (and sedge) dominated vegetation that occurs in areas where the soil alternates between extreme saturation with fresh water (up to shallow flooding) and severe water deficiency. This alternation is at the very least </w:t>
      </w:r>
      <w:proofErr w:type="gramStart"/>
      <w:r>
        <w:t>seasonal, and</w:t>
      </w:r>
      <w:proofErr w:type="gramEnd"/>
      <w:r>
        <w:t xml:space="preserve"> determined by climate and local soil conditions. Conditions resulting in savanna are </w:t>
      </w:r>
      <w:proofErr w:type="gramStart"/>
      <w:r>
        <w:t>similar to</w:t>
      </w:r>
      <w:proofErr w:type="gramEnd"/>
      <w:r>
        <w:t xml:space="preserve"> those resulting in savanna forest, i.e. “bad soil” conditions, but more extreme or with the added disturbance by fire. Savanna vegetation is fire prone in the dry season because of the fuel provided by dry litter and by the dying </w:t>
      </w:r>
      <w:proofErr w:type="gramStart"/>
      <w:r>
        <w:t>off of</w:t>
      </w:r>
      <w:proofErr w:type="gramEnd"/>
      <w:r>
        <w:t xml:space="preserve"> the above-ground parts of grasses during prolonged dry periods. Fire in the modern Suriname context almost invariably means burning by people. Savanna also seems to develop in areas with better soil conditions, where one would expect </w:t>
      </w:r>
      <w:r w:rsidRPr="00467DBB">
        <w:rPr>
          <w:i/>
        </w:rPr>
        <w:t xml:space="preserve">terra </w:t>
      </w:r>
      <w:proofErr w:type="spellStart"/>
      <w:r w:rsidRPr="00467DBB">
        <w:rPr>
          <w:i/>
        </w:rPr>
        <w:t>firme</w:t>
      </w:r>
      <w:proofErr w:type="spellEnd"/>
      <w:r>
        <w:t xml:space="preserve"> or marsh forest, when these areas are repeatedly burnt over long periods of time. Many savannas in Suriname are considered remnants, presently maintained by fire, of more extensive Pleistocene savanna that originally developed under a dryer, more seasonal climate. Suriname’s largest savanna, the </w:t>
      </w:r>
      <w:proofErr w:type="spellStart"/>
      <w:r>
        <w:t>Sipaliwini</w:t>
      </w:r>
      <w:proofErr w:type="spellEnd"/>
      <w:r>
        <w:t xml:space="preserve"> savanna at the border with Brazil is an example. Savannas may have been the dominant type of vegetation in Suriname during parts of the Pleistocene (also early Holocene).  At least ten different types of savanna are distinguished in Suriname, ranging from dense grassy savanna, with or without scattered shrubs or trees, to sparse or dense shrubby savanna. Savannas occur throughout Suriname in a very patchy manner; most of the patches occur in the Savanna Belt, but the largest one in the Interior. So-called “</w:t>
      </w:r>
      <w:r w:rsidRPr="004467DC">
        <w:rPr>
          <w:b/>
        </w:rPr>
        <w:t>rock savanna</w:t>
      </w:r>
      <w:r>
        <w:t>” vegetation (</w:t>
      </w:r>
      <w:r w:rsidRPr="004467DC">
        <w:rPr>
          <w:i/>
        </w:rPr>
        <w:t xml:space="preserve">campo </w:t>
      </w:r>
      <w:proofErr w:type="spellStart"/>
      <w:r w:rsidRPr="004467DC">
        <w:rPr>
          <w:i/>
        </w:rPr>
        <w:t>rupestre</w:t>
      </w:r>
      <w:proofErr w:type="spellEnd"/>
      <w:r>
        <w:t xml:space="preserve">) and vegetation at or near </w:t>
      </w:r>
      <w:r w:rsidRPr="004467DC">
        <w:rPr>
          <w:b/>
        </w:rPr>
        <w:t>rapids</w:t>
      </w:r>
      <w:r>
        <w:t xml:space="preserve">, largely on exposed rocks (superficially weathered) or duricrust, is </w:t>
      </w:r>
      <w:proofErr w:type="gramStart"/>
      <w:r>
        <w:t>similar to</w:t>
      </w:r>
      <w:proofErr w:type="gramEnd"/>
      <w:r>
        <w:t xml:space="preserve"> savanna vegetation. Ecosystems of rocky substrates away from rapids, at Inselbergs or residual plateaus, and at/near rapids are however distinct in terms of physical conditions and many flora and fauna elements. </w:t>
      </w:r>
    </w:p>
    <w:p w14:paraId="02554A06" w14:textId="77777777" w:rsidR="003E5D48" w:rsidRDefault="003E5D48" w:rsidP="00203F2A">
      <w:pPr>
        <w:pStyle w:val="NoSpacing"/>
        <w:ind w:left="360"/>
        <w:jc w:val="both"/>
      </w:pPr>
    </w:p>
    <w:p w14:paraId="1D0575F7" w14:textId="4177FF67" w:rsidR="003E5D48" w:rsidRDefault="003E5D48" w:rsidP="00203F2A">
      <w:pPr>
        <w:pStyle w:val="NoSpacing"/>
        <w:numPr>
          <w:ilvl w:val="0"/>
          <w:numId w:val="22"/>
        </w:numPr>
        <w:jc w:val="both"/>
      </w:pPr>
      <w:r>
        <w:t xml:space="preserve">Above 400-600 m elevation, </w:t>
      </w:r>
      <w:r w:rsidRPr="004467DC">
        <w:rPr>
          <w:b/>
        </w:rPr>
        <w:t>upland</w:t>
      </w:r>
      <w:r>
        <w:t xml:space="preserve"> a.k.a. </w:t>
      </w:r>
      <w:r w:rsidRPr="005F2108">
        <w:rPr>
          <w:b/>
        </w:rPr>
        <w:t>montane ecosystems</w:t>
      </w:r>
      <w:r>
        <w:t xml:space="preserve"> occur. These are as varied in soil composition, hydrology and vegetation as the lowland ecosystems described above (of course excluding those of the Estuarine Zone) and are often referred to with the same names with the prefix “mountain”. They are poorly known and either subtly or very obviously different in composition from their lowland counterparts. At higher elevations climatic conditions differ from those in the lowlands: it is colder and more humid, mainly due to clouds forming or lingering at hills and plateaus (“mountains”).  </w:t>
      </w:r>
      <w:proofErr w:type="gramStart"/>
      <w:r>
        <w:t xml:space="preserve">As a </w:t>
      </w:r>
      <w:r w:rsidR="00510B32">
        <w:t>consequence</w:t>
      </w:r>
      <w:proofErr w:type="gramEnd"/>
      <w:r w:rsidR="00510B32">
        <w:t>,</w:t>
      </w:r>
      <w:r>
        <w:t xml:space="preserve"> epiphytes are typically very abundant and diverse. One of the </w:t>
      </w:r>
      <w:r w:rsidR="00510B32">
        <w:t>better-known</w:t>
      </w:r>
      <w:r>
        <w:t xml:space="preserve"> types of montane ecosystems in Suriname is </w:t>
      </w:r>
      <w:r w:rsidRPr="004467DC">
        <w:rPr>
          <w:b/>
        </w:rPr>
        <w:t>mountain savanna forest</w:t>
      </w:r>
      <w:r>
        <w:t xml:space="preserve">, </w:t>
      </w:r>
      <w:proofErr w:type="gramStart"/>
      <w:r>
        <w:t>similar to</w:t>
      </w:r>
      <w:proofErr w:type="gramEnd"/>
      <w:r>
        <w:t xml:space="preserve"> savanna forest in the lowlands, but with an often very distinct composition, locally with high species diversity and/or very rare species. Some extremely restricted range endemic species are associated with montane ecosystems in Suriname.  </w:t>
      </w:r>
    </w:p>
    <w:p w14:paraId="758B3788" w14:textId="77777777" w:rsidR="003E5D48" w:rsidRDefault="003E5D48" w:rsidP="00203F2A">
      <w:pPr>
        <w:pStyle w:val="NoSpacing"/>
        <w:jc w:val="both"/>
      </w:pPr>
    </w:p>
    <w:p w14:paraId="78DE5317" w14:textId="77777777" w:rsidR="003E5D48" w:rsidRDefault="003E5D48" w:rsidP="00203F2A">
      <w:pPr>
        <w:pStyle w:val="NoSpacing"/>
        <w:jc w:val="both"/>
      </w:pPr>
      <w:r w:rsidRPr="00477E54">
        <w:rPr>
          <w:b/>
        </w:rPr>
        <w:t>The diversity of biological species in Suriname is high.</w:t>
      </w:r>
      <w:r>
        <w:t xml:space="preserve"> The number of species which have been recorded as occurring in Suriname, or estimated to occur there, are:</w:t>
      </w:r>
    </w:p>
    <w:p w14:paraId="04268EC6" w14:textId="77777777" w:rsidR="003E5D48" w:rsidRDefault="003E5D48" w:rsidP="00203F2A">
      <w:pPr>
        <w:pStyle w:val="NoSpacing"/>
        <w:numPr>
          <w:ilvl w:val="0"/>
          <w:numId w:val="3"/>
        </w:numPr>
        <w:jc w:val="both"/>
      </w:pPr>
      <w:r>
        <w:t>Approximately 5,100 plant species;</w:t>
      </w:r>
    </w:p>
    <w:p w14:paraId="563FE751" w14:textId="77777777" w:rsidR="003E5D48" w:rsidRDefault="003E5D48" w:rsidP="00203F2A">
      <w:pPr>
        <w:pStyle w:val="NoSpacing"/>
        <w:numPr>
          <w:ilvl w:val="0"/>
          <w:numId w:val="3"/>
        </w:numPr>
        <w:jc w:val="both"/>
      </w:pPr>
      <w:r>
        <w:t>Several 10,000 species of insects (an estimate; maybe an order of magnitude more);</w:t>
      </w:r>
    </w:p>
    <w:p w14:paraId="6C9A00C4" w14:textId="77777777" w:rsidR="003E5D48" w:rsidRDefault="003E5D48" w:rsidP="00203F2A">
      <w:pPr>
        <w:pStyle w:val="NoSpacing"/>
        <w:numPr>
          <w:ilvl w:val="0"/>
          <w:numId w:val="3"/>
        </w:numPr>
        <w:jc w:val="both"/>
      </w:pPr>
      <w:r>
        <w:t>Some 400 freshwater fish species, and approximately as many marine fish species;</w:t>
      </w:r>
    </w:p>
    <w:p w14:paraId="6B1C4015" w14:textId="77777777" w:rsidR="003E5D48" w:rsidRDefault="003E5D48" w:rsidP="00203F2A">
      <w:pPr>
        <w:pStyle w:val="NoSpacing"/>
        <w:numPr>
          <w:ilvl w:val="0"/>
          <w:numId w:val="3"/>
        </w:numPr>
        <w:jc w:val="both"/>
      </w:pPr>
      <w:r>
        <w:t>123 amphibian species (mainly frogs and toads);</w:t>
      </w:r>
    </w:p>
    <w:p w14:paraId="35D36096" w14:textId="77777777" w:rsidR="003E5D48" w:rsidRDefault="003E5D48" w:rsidP="00203F2A">
      <w:pPr>
        <w:pStyle w:val="NoSpacing"/>
        <w:numPr>
          <w:ilvl w:val="0"/>
          <w:numId w:val="3"/>
        </w:numPr>
        <w:jc w:val="both"/>
      </w:pPr>
      <w:r>
        <w:t>180 reptile species (lizards, snakes, turtles and caimans);</w:t>
      </w:r>
    </w:p>
    <w:p w14:paraId="092D372F" w14:textId="77777777" w:rsidR="003E5D48" w:rsidRDefault="003E5D48" w:rsidP="00203F2A">
      <w:pPr>
        <w:pStyle w:val="NoSpacing"/>
        <w:numPr>
          <w:ilvl w:val="0"/>
          <w:numId w:val="3"/>
        </w:numPr>
        <w:jc w:val="both"/>
      </w:pPr>
      <w:r>
        <w:t>726 bird species from the coast, the savannas and closed rainforests;</w:t>
      </w:r>
    </w:p>
    <w:p w14:paraId="26AAADA3" w14:textId="77777777" w:rsidR="003E5D48" w:rsidRDefault="003E5D48" w:rsidP="00203F2A">
      <w:pPr>
        <w:pStyle w:val="NoSpacing"/>
        <w:numPr>
          <w:ilvl w:val="0"/>
          <w:numId w:val="3"/>
        </w:numPr>
        <w:jc w:val="both"/>
      </w:pPr>
      <w:r>
        <w:t>196 mammal species in the sea (dolphins and whales), in freshwater (manatee, otters) and</w:t>
      </w:r>
    </w:p>
    <w:p w14:paraId="7CD41C74" w14:textId="77777777" w:rsidR="003E5D48" w:rsidRDefault="003E5D48" w:rsidP="00203F2A">
      <w:pPr>
        <w:pStyle w:val="NoSpacing"/>
        <w:ind w:firstLine="708"/>
        <w:jc w:val="both"/>
      </w:pPr>
      <w:r>
        <w:t>terrestrial (deer, cats, monkeys, bats, etc.).</w:t>
      </w:r>
      <w:r w:rsidRPr="00392106">
        <w:t xml:space="preserve"> </w:t>
      </w:r>
    </w:p>
    <w:p w14:paraId="705490F6" w14:textId="77777777" w:rsidR="003E5D48" w:rsidRDefault="003E5D48" w:rsidP="00203F2A">
      <w:pPr>
        <w:pStyle w:val="NoSpacing"/>
        <w:jc w:val="both"/>
      </w:pPr>
    </w:p>
    <w:p w14:paraId="774A3343" w14:textId="77777777" w:rsidR="003E5D48" w:rsidRPr="00931172" w:rsidRDefault="003E5D48" w:rsidP="00203F2A">
      <w:pPr>
        <w:pStyle w:val="NoSpacing"/>
        <w:jc w:val="both"/>
        <w:rPr>
          <w:rFonts w:cstheme="minorHAnsi"/>
        </w:rPr>
      </w:pPr>
      <w:r w:rsidRPr="00931172">
        <w:rPr>
          <w:rFonts w:cstheme="minorHAnsi"/>
          <w:b/>
        </w:rPr>
        <w:t>Suriname has three types of Protected Areas (PAs)</w:t>
      </w:r>
      <w:r w:rsidRPr="00931172">
        <w:rPr>
          <w:rFonts w:cstheme="minorHAnsi"/>
        </w:rPr>
        <w:t>: i) Multiple Use Management Areas (MUMA’s), in which economic activities are allowed as long specific protection goals are not threatened, ii) Nature Parks</w:t>
      </w:r>
      <w:r>
        <w:rPr>
          <w:rFonts w:cstheme="minorHAnsi"/>
        </w:rPr>
        <w:t xml:space="preserve"> (NP)</w:t>
      </w:r>
      <w:r w:rsidRPr="00931172">
        <w:rPr>
          <w:rFonts w:cstheme="minorHAnsi"/>
        </w:rPr>
        <w:t>, in which light forms of exploitation (mainly recreation) are allowed, and iii) Nature Reserves</w:t>
      </w:r>
      <w:r>
        <w:rPr>
          <w:rFonts w:cstheme="minorHAnsi"/>
        </w:rPr>
        <w:t xml:space="preserve"> (NR)</w:t>
      </w:r>
      <w:r w:rsidRPr="00931172">
        <w:rPr>
          <w:rFonts w:cstheme="minorHAnsi"/>
        </w:rPr>
        <w:t>, in which specific species or ecosystems are protected, and human activities are only allowed</w:t>
      </w:r>
      <w:r>
        <w:rPr>
          <w:rFonts w:cstheme="minorHAnsi"/>
        </w:rPr>
        <w:t xml:space="preserve"> to a limited extent</w:t>
      </w:r>
      <w:r w:rsidRPr="00931172">
        <w:rPr>
          <w:rFonts w:cstheme="minorHAnsi"/>
        </w:rPr>
        <w:t xml:space="preserve">. </w:t>
      </w:r>
    </w:p>
    <w:p w14:paraId="749D81F4" w14:textId="671917D8" w:rsidR="003E5D48" w:rsidRDefault="003E5D48" w:rsidP="00203F2A">
      <w:pPr>
        <w:spacing w:after="0" w:line="240" w:lineRule="auto"/>
        <w:jc w:val="both"/>
        <w:rPr>
          <w:rFonts w:eastAsia="Times New Roman" w:cstheme="minorHAnsi"/>
          <w:b/>
          <w:lang w:val="en-US"/>
        </w:rPr>
      </w:pPr>
    </w:p>
    <w:p w14:paraId="598F6E24" w14:textId="4D397155" w:rsidR="003E5D48" w:rsidRPr="00931172" w:rsidRDefault="003E5D48" w:rsidP="00203F2A">
      <w:pPr>
        <w:spacing w:after="0" w:line="240" w:lineRule="auto"/>
        <w:jc w:val="both"/>
        <w:rPr>
          <w:rFonts w:eastAsia="Times New Roman" w:cstheme="minorHAnsi"/>
          <w:b/>
          <w:lang w:val="en-US"/>
        </w:rPr>
      </w:pPr>
      <w:bookmarkStart w:id="31" w:name="_Hlk531768732"/>
      <w:r w:rsidRPr="00931172">
        <w:rPr>
          <w:rFonts w:eastAsia="Times New Roman" w:cstheme="minorHAnsi"/>
          <w:b/>
          <w:lang w:val="en-US"/>
        </w:rPr>
        <w:t>Table</w:t>
      </w:r>
      <w:r w:rsidR="00862F4E">
        <w:rPr>
          <w:rFonts w:eastAsia="Times New Roman" w:cstheme="minorHAnsi"/>
          <w:b/>
          <w:lang w:val="en-US"/>
        </w:rPr>
        <w:t xml:space="preserve"> </w:t>
      </w:r>
      <w:r w:rsidR="004C75AF">
        <w:rPr>
          <w:rFonts w:eastAsia="Times New Roman" w:cstheme="minorHAnsi"/>
          <w:b/>
          <w:lang w:val="en-US"/>
        </w:rPr>
        <w:t>2</w:t>
      </w:r>
      <w:r>
        <w:rPr>
          <w:rFonts w:eastAsia="Times New Roman" w:cstheme="minorHAnsi"/>
          <w:b/>
          <w:lang w:val="en-US"/>
        </w:rPr>
        <w:t>:</w:t>
      </w:r>
      <w:r w:rsidRPr="00931172">
        <w:rPr>
          <w:rFonts w:eastAsia="Times New Roman" w:cstheme="minorHAnsi"/>
          <w:b/>
          <w:lang w:val="en-US"/>
        </w:rPr>
        <w:t xml:space="preserve"> Formally recognized, informal and proposed protected areas (PAs) in Suriname</w:t>
      </w:r>
    </w:p>
    <w:bookmarkEnd w:id="31"/>
    <w:p w14:paraId="6E8148B2" w14:textId="77777777" w:rsidR="003E5D48" w:rsidRPr="00931172" w:rsidRDefault="003E5D48" w:rsidP="00203F2A">
      <w:pPr>
        <w:spacing w:after="0" w:line="240" w:lineRule="auto"/>
        <w:jc w:val="both"/>
        <w:rPr>
          <w:rFonts w:eastAsia="Times New Roman" w:cstheme="minorHAnsi"/>
          <w:b/>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559"/>
        <w:gridCol w:w="1559"/>
      </w:tblGrid>
      <w:tr w:rsidR="003E5D48" w:rsidRPr="006425A7" w14:paraId="4EE4904F" w14:textId="77777777" w:rsidTr="009E00C5">
        <w:tc>
          <w:tcPr>
            <w:tcW w:w="704" w:type="dxa"/>
            <w:tcBorders>
              <w:right w:val="single" w:sz="4" w:space="0" w:color="FFFFFF" w:themeColor="background1"/>
            </w:tcBorders>
            <w:shd w:val="clear" w:color="auto" w:fill="000000"/>
          </w:tcPr>
          <w:p w14:paraId="70CECAE6" w14:textId="77777777" w:rsidR="003E5D48" w:rsidRPr="006425A7" w:rsidRDefault="003E5D48" w:rsidP="00203F2A">
            <w:pPr>
              <w:spacing w:after="0" w:line="240" w:lineRule="auto"/>
              <w:jc w:val="both"/>
              <w:rPr>
                <w:rFonts w:eastAsia="Times New Roman" w:cstheme="minorHAnsi"/>
                <w:b/>
                <w:color w:val="FFFFFF"/>
                <w:sz w:val="20"/>
                <w:szCs w:val="20"/>
                <w:lang w:val="en-US"/>
              </w:rPr>
            </w:pPr>
            <w:r w:rsidRPr="006425A7">
              <w:rPr>
                <w:rFonts w:eastAsia="Times New Roman" w:cstheme="minorHAnsi"/>
                <w:b/>
                <w:color w:val="FFFFFF"/>
                <w:sz w:val="20"/>
                <w:szCs w:val="20"/>
                <w:lang w:val="en-US"/>
              </w:rPr>
              <w:t>#</w:t>
            </w:r>
          </w:p>
        </w:tc>
        <w:tc>
          <w:tcPr>
            <w:tcW w:w="5245" w:type="dxa"/>
            <w:tcBorders>
              <w:left w:val="single" w:sz="4" w:space="0" w:color="FFFFFF" w:themeColor="background1"/>
              <w:right w:val="single" w:sz="4" w:space="0" w:color="FFFFFF" w:themeColor="background1"/>
            </w:tcBorders>
            <w:shd w:val="clear" w:color="auto" w:fill="000000"/>
          </w:tcPr>
          <w:p w14:paraId="484ACBAC"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Name</w:t>
            </w:r>
          </w:p>
        </w:tc>
        <w:tc>
          <w:tcPr>
            <w:tcW w:w="1559" w:type="dxa"/>
            <w:tcBorders>
              <w:left w:val="single" w:sz="4" w:space="0" w:color="FFFFFF" w:themeColor="background1"/>
              <w:right w:val="single" w:sz="4" w:space="0" w:color="FFFFFF" w:themeColor="background1"/>
            </w:tcBorders>
            <w:shd w:val="clear" w:color="auto" w:fill="000000"/>
          </w:tcPr>
          <w:p w14:paraId="78745189" w14:textId="77777777" w:rsidR="003E5D48" w:rsidRPr="006425A7" w:rsidRDefault="003E5D48" w:rsidP="00203F2A">
            <w:pPr>
              <w:spacing w:after="0" w:line="240" w:lineRule="auto"/>
              <w:jc w:val="both"/>
              <w:rPr>
                <w:rFonts w:eastAsia="Times New Roman" w:cstheme="minorHAnsi"/>
                <w:b/>
                <w:color w:val="FFFFFF"/>
                <w:sz w:val="20"/>
                <w:szCs w:val="20"/>
                <w:lang w:val="en-US"/>
              </w:rPr>
            </w:pPr>
            <w:r>
              <w:rPr>
                <w:rFonts w:eastAsia="Times New Roman" w:cstheme="minorHAnsi"/>
                <w:b/>
                <w:color w:val="FFFFFF"/>
                <w:sz w:val="20"/>
                <w:szCs w:val="20"/>
                <w:lang w:val="en-US"/>
              </w:rPr>
              <w:t>Type</w:t>
            </w:r>
          </w:p>
        </w:tc>
        <w:tc>
          <w:tcPr>
            <w:tcW w:w="1559" w:type="dxa"/>
            <w:tcBorders>
              <w:left w:val="single" w:sz="4" w:space="0" w:color="FFFFFF" w:themeColor="background1"/>
            </w:tcBorders>
            <w:shd w:val="clear" w:color="auto" w:fill="000000"/>
          </w:tcPr>
          <w:p w14:paraId="2168DC9F" w14:textId="77777777" w:rsidR="003E5D48" w:rsidRPr="006425A7" w:rsidRDefault="003E5D48" w:rsidP="00203F2A">
            <w:pPr>
              <w:spacing w:after="0" w:line="240" w:lineRule="auto"/>
              <w:jc w:val="both"/>
              <w:rPr>
                <w:rFonts w:eastAsia="Times New Roman" w:cstheme="minorHAnsi"/>
                <w:b/>
                <w:color w:val="FFFFFF"/>
                <w:sz w:val="20"/>
                <w:szCs w:val="20"/>
                <w:lang w:val="en-US"/>
              </w:rPr>
            </w:pPr>
            <w:r w:rsidRPr="006425A7">
              <w:rPr>
                <w:rFonts w:eastAsia="Times New Roman" w:cstheme="minorHAnsi"/>
                <w:b/>
                <w:color w:val="FFFFFF"/>
                <w:sz w:val="20"/>
                <w:szCs w:val="20"/>
                <w:lang w:val="en-US"/>
              </w:rPr>
              <w:t>Area in km</w:t>
            </w:r>
            <w:r w:rsidRPr="006425A7">
              <w:rPr>
                <w:rFonts w:eastAsia="Times New Roman" w:cstheme="minorHAnsi"/>
                <w:b/>
                <w:color w:val="FFFFFF"/>
                <w:sz w:val="20"/>
                <w:szCs w:val="20"/>
                <w:vertAlign w:val="superscript"/>
                <w:lang w:val="en-US"/>
              </w:rPr>
              <w:t>2</w:t>
            </w:r>
          </w:p>
        </w:tc>
      </w:tr>
      <w:tr w:rsidR="003E5D48" w:rsidRPr="006425A7" w14:paraId="319BB277" w14:textId="77777777" w:rsidTr="009E00C5">
        <w:tc>
          <w:tcPr>
            <w:tcW w:w="704" w:type="dxa"/>
            <w:shd w:val="clear" w:color="auto" w:fill="D9D9D9"/>
          </w:tcPr>
          <w:p w14:paraId="31810AA8"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3E828E59"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Formal PAs in brackish-freshwater part Coastal Zone</w:t>
            </w:r>
          </w:p>
        </w:tc>
      </w:tr>
      <w:tr w:rsidR="003E5D48" w:rsidRPr="006425A7" w14:paraId="2CF3FF59" w14:textId="77777777" w:rsidTr="009E00C5">
        <w:tc>
          <w:tcPr>
            <w:tcW w:w="704" w:type="dxa"/>
            <w:shd w:val="clear" w:color="auto" w:fill="auto"/>
          </w:tcPr>
          <w:p w14:paraId="3D1A59A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w:t>
            </w:r>
          </w:p>
        </w:tc>
        <w:tc>
          <w:tcPr>
            <w:tcW w:w="5245" w:type="dxa"/>
            <w:shd w:val="clear" w:color="auto" w:fill="auto"/>
          </w:tcPr>
          <w:p w14:paraId="36EED82D"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Hertenrits</w:t>
            </w:r>
            <w:proofErr w:type="spellEnd"/>
          </w:p>
        </w:tc>
        <w:tc>
          <w:tcPr>
            <w:tcW w:w="1559" w:type="dxa"/>
          </w:tcPr>
          <w:p w14:paraId="03E8152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797F8A9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w:t>
            </w:r>
          </w:p>
        </w:tc>
      </w:tr>
      <w:tr w:rsidR="003E5D48" w:rsidRPr="006425A7" w14:paraId="71A3D4A3" w14:textId="77777777" w:rsidTr="009E00C5">
        <w:tc>
          <w:tcPr>
            <w:tcW w:w="704" w:type="dxa"/>
            <w:shd w:val="clear" w:color="auto" w:fill="auto"/>
          </w:tcPr>
          <w:p w14:paraId="2797B9F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w:t>
            </w:r>
          </w:p>
        </w:tc>
        <w:tc>
          <w:tcPr>
            <w:tcW w:w="5245" w:type="dxa"/>
            <w:shd w:val="clear" w:color="auto" w:fill="auto"/>
          </w:tcPr>
          <w:p w14:paraId="02C73C1D"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Bigi</w:t>
            </w:r>
            <w:proofErr w:type="spellEnd"/>
            <w:r w:rsidRPr="006425A7">
              <w:rPr>
                <w:rFonts w:eastAsia="Times New Roman" w:cstheme="minorHAnsi"/>
                <w:sz w:val="20"/>
                <w:szCs w:val="20"/>
                <w:lang w:val="en-US"/>
              </w:rPr>
              <w:t xml:space="preserve"> Pan</w:t>
            </w:r>
          </w:p>
        </w:tc>
        <w:tc>
          <w:tcPr>
            <w:tcW w:w="1559" w:type="dxa"/>
          </w:tcPr>
          <w:p w14:paraId="3059DB29"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MUMA</w:t>
            </w:r>
          </w:p>
        </w:tc>
        <w:tc>
          <w:tcPr>
            <w:tcW w:w="1559" w:type="dxa"/>
            <w:shd w:val="clear" w:color="auto" w:fill="auto"/>
          </w:tcPr>
          <w:p w14:paraId="02397756"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679</w:t>
            </w:r>
          </w:p>
        </w:tc>
      </w:tr>
      <w:tr w:rsidR="003E5D48" w:rsidRPr="006425A7" w14:paraId="1F309BF4" w14:textId="77777777" w:rsidTr="009E00C5">
        <w:tc>
          <w:tcPr>
            <w:tcW w:w="704" w:type="dxa"/>
            <w:shd w:val="clear" w:color="auto" w:fill="auto"/>
          </w:tcPr>
          <w:p w14:paraId="35216C7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3</w:t>
            </w:r>
          </w:p>
        </w:tc>
        <w:tc>
          <w:tcPr>
            <w:tcW w:w="5245" w:type="dxa"/>
            <w:shd w:val="clear" w:color="auto" w:fill="auto"/>
          </w:tcPr>
          <w:p w14:paraId="5E4B471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 xml:space="preserve">North </w:t>
            </w:r>
            <w:proofErr w:type="spellStart"/>
            <w:r w:rsidRPr="006425A7">
              <w:rPr>
                <w:rFonts w:eastAsia="Times New Roman" w:cstheme="minorHAnsi"/>
                <w:sz w:val="20"/>
                <w:szCs w:val="20"/>
                <w:lang w:val="en-US"/>
              </w:rPr>
              <w:t>Coronie</w:t>
            </w:r>
            <w:proofErr w:type="spellEnd"/>
          </w:p>
        </w:tc>
        <w:tc>
          <w:tcPr>
            <w:tcW w:w="1559" w:type="dxa"/>
          </w:tcPr>
          <w:p w14:paraId="08F2C467"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MUMA</w:t>
            </w:r>
          </w:p>
        </w:tc>
        <w:tc>
          <w:tcPr>
            <w:tcW w:w="1559" w:type="dxa"/>
            <w:shd w:val="clear" w:color="auto" w:fill="auto"/>
          </w:tcPr>
          <w:p w14:paraId="646559B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272</w:t>
            </w:r>
          </w:p>
        </w:tc>
      </w:tr>
      <w:tr w:rsidR="003E5D48" w:rsidRPr="006425A7" w14:paraId="36601A7B" w14:textId="77777777" w:rsidTr="009E00C5">
        <w:tc>
          <w:tcPr>
            <w:tcW w:w="704" w:type="dxa"/>
            <w:shd w:val="clear" w:color="auto" w:fill="auto"/>
          </w:tcPr>
          <w:p w14:paraId="26DB8F86"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4</w:t>
            </w:r>
          </w:p>
        </w:tc>
        <w:tc>
          <w:tcPr>
            <w:tcW w:w="5245" w:type="dxa"/>
            <w:shd w:val="clear" w:color="auto" w:fill="auto"/>
          </w:tcPr>
          <w:p w14:paraId="501DBDC7"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Coppename-monding</w:t>
            </w:r>
            <w:proofErr w:type="spellEnd"/>
          </w:p>
        </w:tc>
        <w:tc>
          <w:tcPr>
            <w:tcW w:w="1559" w:type="dxa"/>
          </w:tcPr>
          <w:p w14:paraId="20065AA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2ED1817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120</w:t>
            </w:r>
          </w:p>
        </w:tc>
      </w:tr>
      <w:tr w:rsidR="003E5D48" w:rsidRPr="006425A7" w14:paraId="2442A382" w14:textId="77777777" w:rsidTr="009E00C5">
        <w:tc>
          <w:tcPr>
            <w:tcW w:w="704" w:type="dxa"/>
            <w:shd w:val="clear" w:color="auto" w:fill="auto"/>
          </w:tcPr>
          <w:p w14:paraId="1FE4A445"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5</w:t>
            </w:r>
          </w:p>
        </w:tc>
        <w:tc>
          <w:tcPr>
            <w:tcW w:w="5245" w:type="dxa"/>
            <w:shd w:val="clear" w:color="auto" w:fill="auto"/>
          </w:tcPr>
          <w:p w14:paraId="217EBEC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North Saramacca</w:t>
            </w:r>
          </w:p>
        </w:tc>
        <w:tc>
          <w:tcPr>
            <w:tcW w:w="1559" w:type="dxa"/>
          </w:tcPr>
          <w:p w14:paraId="16691490"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MUMA</w:t>
            </w:r>
          </w:p>
        </w:tc>
        <w:tc>
          <w:tcPr>
            <w:tcW w:w="1559" w:type="dxa"/>
            <w:shd w:val="clear" w:color="auto" w:fill="auto"/>
          </w:tcPr>
          <w:p w14:paraId="584683F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884</w:t>
            </w:r>
          </w:p>
        </w:tc>
      </w:tr>
      <w:tr w:rsidR="003E5D48" w:rsidRPr="006425A7" w14:paraId="33CEBEE9" w14:textId="77777777" w:rsidTr="009E00C5">
        <w:tc>
          <w:tcPr>
            <w:tcW w:w="704" w:type="dxa"/>
            <w:shd w:val="clear" w:color="auto" w:fill="auto"/>
          </w:tcPr>
          <w:p w14:paraId="2B876BD9"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w:t>
            </w:r>
          </w:p>
        </w:tc>
        <w:tc>
          <w:tcPr>
            <w:tcW w:w="5245" w:type="dxa"/>
            <w:shd w:val="clear" w:color="auto" w:fill="auto"/>
          </w:tcPr>
          <w:p w14:paraId="05413176"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Wia-Wia</w:t>
            </w:r>
            <w:proofErr w:type="spellEnd"/>
          </w:p>
        </w:tc>
        <w:tc>
          <w:tcPr>
            <w:tcW w:w="1559" w:type="dxa"/>
          </w:tcPr>
          <w:p w14:paraId="3113363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491488B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360</w:t>
            </w:r>
          </w:p>
        </w:tc>
      </w:tr>
      <w:tr w:rsidR="003E5D48" w:rsidRPr="006425A7" w14:paraId="09C15CA1" w14:textId="77777777" w:rsidTr="009E00C5">
        <w:tc>
          <w:tcPr>
            <w:tcW w:w="704" w:type="dxa"/>
            <w:shd w:val="clear" w:color="auto" w:fill="auto"/>
          </w:tcPr>
          <w:p w14:paraId="1D7EBAF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7</w:t>
            </w:r>
          </w:p>
        </w:tc>
        <w:tc>
          <w:tcPr>
            <w:tcW w:w="5245" w:type="dxa"/>
            <w:shd w:val="clear" w:color="auto" w:fill="auto"/>
          </w:tcPr>
          <w:p w14:paraId="21D7C37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 xml:space="preserve">North </w:t>
            </w:r>
            <w:proofErr w:type="spellStart"/>
            <w:r w:rsidRPr="006425A7">
              <w:rPr>
                <w:rFonts w:eastAsia="Times New Roman" w:cstheme="minorHAnsi"/>
                <w:sz w:val="20"/>
                <w:szCs w:val="20"/>
                <w:lang w:val="en-US"/>
              </w:rPr>
              <w:t>Commewijne-Marowijne</w:t>
            </w:r>
            <w:proofErr w:type="spellEnd"/>
          </w:p>
        </w:tc>
        <w:tc>
          <w:tcPr>
            <w:tcW w:w="1559" w:type="dxa"/>
          </w:tcPr>
          <w:p w14:paraId="6D7374D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MUMA</w:t>
            </w:r>
          </w:p>
        </w:tc>
        <w:tc>
          <w:tcPr>
            <w:tcW w:w="1559" w:type="dxa"/>
            <w:shd w:val="clear" w:color="auto" w:fill="auto"/>
          </w:tcPr>
          <w:p w14:paraId="0157360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615</w:t>
            </w:r>
          </w:p>
        </w:tc>
      </w:tr>
      <w:tr w:rsidR="003E5D48" w:rsidRPr="006425A7" w14:paraId="44ABCB88" w14:textId="77777777" w:rsidTr="009E00C5">
        <w:tc>
          <w:tcPr>
            <w:tcW w:w="704" w:type="dxa"/>
            <w:shd w:val="clear" w:color="auto" w:fill="auto"/>
          </w:tcPr>
          <w:p w14:paraId="5A0B400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8</w:t>
            </w:r>
          </w:p>
        </w:tc>
        <w:tc>
          <w:tcPr>
            <w:tcW w:w="5245" w:type="dxa"/>
            <w:shd w:val="clear" w:color="auto" w:fill="auto"/>
          </w:tcPr>
          <w:p w14:paraId="7CA4A3C5"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Galibi</w:t>
            </w:r>
            <w:proofErr w:type="spellEnd"/>
          </w:p>
        </w:tc>
        <w:tc>
          <w:tcPr>
            <w:tcW w:w="1559" w:type="dxa"/>
          </w:tcPr>
          <w:p w14:paraId="532BC6E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5179B1E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40</w:t>
            </w:r>
          </w:p>
        </w:tc>
      </w:tr>
      <w:tr w:rsidR="003E5D48" w:rsidRPr="006425A7" w14:paraId="098F5A7F" w14:textId="77777777" w:rsidTr="009E00C5">
        <w:tc>
          <w:tcPr>
            <w:tcW w:w="704" w:type="dxa"/>
            <w:shd w:val="clear" w:color="auto" w:fill="D9D9D9"/>
          </w:tcPr>
          <w:p w14:paraId="0DABF29B"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1886E1C1"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Formal PAs in strictly freshwater part Coastal Zone</w:t>
            </w:r>
          </w:p>
        </w:tc>
      </w:tr>
      <w:tr w:rsidR="003E5D48" w:rsidRPr="006425A7" w14:paraId="59863F6B" w14:textId="77777777" w:rsidTr="009E00C5">
        <w:tc>
          <w:tcPr>
            <w:tcW w:w="704" w:type="dxa"/>
            <w:shd w:val="clear" w:color="auto" w:fill="auto"/>
          </w:tcPr>
          <w:p w14:paraId="5B8F6226"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9</w:t>
            </w:r>
          </w:p>
        </w:tc>
        <w:tc>
          <w:tcPr>
            <w:tcW w:w="5245" w:type="dxa"/>
            <w:shd w:val="clear" w:color="auto" w:fill="auto"/>
          </w:tcPr>
          <w:p w14:paraId="26B5257F"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Peruvia</w:t>
            </w:r>
            <w:proofErr w:type="spellEnd"/>
          </w:p>
        </w:tc>
        <w:tc>
          <w:tcPr>
            <w:tcW w:w="1559" w:type="dxa"/>
          </w:tcPr>
          <w:p w14:paraId="0E6C3CE0"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696818A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310</w:t>
            </w:r>
          </w:p>
        </w:tc>
      </w:tr>
      <w:tr w:rsidR="003E5D48" w:rsidRPr="006425A7" w14:paraId="7E5DDD98" w14:textId="77777777" w:rsidTr="009E00C5">
        <w:tc>
          <w:tcPr>
            <w:tcW w:w="704" w:type="dxa"/>
            <w:shd w:val="clear" w:color="auto" w:fill="auto"/>
          </w:tcPr>
          <w:p w14:paraId="0E3BBEAC"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10</w:t>
            </w:r>
          </w:p>
        </w:tc>
        <w:tc>
          <w:tcPr>
            <w:tcW w:w="5245" w:type="dxa"/>
            <w:shd w:val="clear" w:color="auto" w:fill="auto"/>
          </w:tcPr>
          <w:p w14:paraId="250E74F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 xml:space="preserve">Boven </w:t>
            </w:r>
            <w:proofErr w:type="spellStart"/>
            <w:r w:rsidRPr="006425A7">
              <w:rPr>
                <w:rFonts w:eastAsia="Times New Roman" w:cstheme="minorHAnsi"/>
                <w:sz w:val="20"/>
                <w:szCs w:val="20"/>
                <w:lang w:val="en-US"/>
              </w:rPr>
              <w:t>Coesewijne</w:t>
            </w:r>
            <w:proofErr w:type="spellEnd"/>
          </w:p>
        </w:tc>
        <w:tc>
          <w:tcPr>
            <w:tcW w:w="1559" w:type="dxa"/>
          </w:tcPr>
          <w:p w14:paraId="36A9450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16CAD519"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270</w:t>
            </w:r>
          </w:p>
        </w:tc>
      </w:tr>
      <w:tr w:rsidR="003E5D48" w:rsidRPr="006425A7" w14:paraId="2F9543BF" w14:textId="77777777" w:rsidTr="009E00C5">
        <w:tc>
          <w:tcPr>
            <w:tcW w:w="704" w:type="dxa"/>
            <w:shd w:val="clear" w:color="auto" w:fill="auto"/>
          </w:tcPr>
          <w:p w14:paraId="720B154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11</w:t>
            </w:r>
          </w:p>
        </w:tc>
        <w:tc>
          <w:tcPr>
            <w:tcW w:w="5245" w:type="dxa"/>
            <w:shd w:val="clear" w:color="auto" w:fill="auto"/>
          </w:tcPr>
          <w:p w14:paraId="2E3CA880"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Copi</w:t>
            </w:r>
            <w:proofErr w:type="spellEnd"/>
          </w:p>
        </w:tc>
        <w:tc>
          <w:tcPr>
            <w:tcW w:w="1559" w:type="dxa"/>
          </w:tcPr>
          <w:p w14:paraId="681910A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24A02AC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280</w:t>
            </w:r>
          </w:p>
        </w:tc>
      </w:tr>
      <w:tr w:rsidR="003E5D48" w:rsidRPr="006425A7" w14:paraId="66C8114F" w14:textId="77777777" w:rsidTr="009E00C5">
        <w:tc>
          <w:tcPr>
            <w:tcW w:w="704" w:type="dxa"/>
            <w:shd w:val="clear" w:color="auto" w:fill="auto"/>
          </w:tcPr>
          <w:p w14:paraId="0C54C61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12</w:t>
            </w:r>
          </w:p>
        </w:tc>
        <w:tc>
          <w:tcPr>
            <w:tcW w:w="5245" w:type="dxa"/>
            <w:shd w:val="clear" w:color="auto" w:fill="auto"/>
          </w:tcPr>
          <w:p w14:paraId="2B41043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Wane Creek</w:t>
            </w:r>
          </w:p>
        </w:tc>
        <w:tc>
          <w:tcPr>
            <w:tcW w:w="1559" w:type="dxa"/>
          </w:tcPr>
          <w:p w14:paraId="784B052C"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7112515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450</w:t>
            </w:r>
          </w:p>
        </w:tc>
      </w:tr>
      <w:tr w:rsidR="003E5D48" w:rsidRPr="006425A7" w14:paraId="4C75B1A3" w14:textId="77777777" w:rsidTr="009E00C5">
        <w:tc>
          <w:tcPr>
            <w:tcW w:w="704" w:type="dxa"/>
            <w:shd w:val="clear" w:color="auto" w:fill="D9D9D9"/>
          </w:tcPr>
          <w:p w14:paraId="244CEA47"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35C472D2"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Formal PAs in Interior (Precambrian basement)</w:t>
            </w:r>
          </w:p>
        </w:tc>
      </w:tr>
      <w:tr w:rsidR="003E5D48" w:rsidRPr="006425A7" w14:paraId="4404C4A7" w14:textId="77777777" w:rsidTr="009E00C5">
        <w:tc>
          <w:tcPr>
            <w:tcW w:w="704" w:type="dxa"/>
            <w:shd w:val="clear" w:color="auto" w:fill="auto"/>
          </w:tcPr>
          <w:p w14:paraId="5A2CA1C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13</w:t>
            </w:r>
          </w:p>
        </w:tc>
        <w:tc>
          <w:tcPr>
            <w:tcW w:w="5245" w:type="dxa"/>
            <w:shd w:val="clear" w:color="auto" w:fill="auto"/>
          </w:tcPr>
          <w:p w14:paraId="7D46B716"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Brinckheuvel</w:t>
            </w:r>
            <w:proofErr w:type="spellEnd"/>
          </w:p>
        </w:tc>
        <w:tc>
          <w:tcPr>
            <w:tcW w:w="1559" w:type="dxa"/>
          </w:tcPr>
          <w:p w14:paraId="1CEAD3DC"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77CE64F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60</w:t>
            </w:r>
          </w:p>
        </w:tc>
      </w:tr>
      <w:tr w:rsidR="003E5D48" w:rsidRPr="006425A7" w14:paraId="6245C940" w14:textId="77777777" w:rsidTr="009E00C5">
        <w:tc>
          <w:tcPr>
            <w:tcW w:w="704" w:type="dxa"/>
            <w:shd w:val="clear" w:color="auto" w:fill="auto"/>
          </w:tcPr>
          <w:p w14:paraId="05F921F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14</w:t>
            </w:r>
          </w:p>
        </w:tc>
        <w:tc>
          <w:tcPr>
            <w:tcW w:w="5245" w:type="dxa"/>
            <w:shd w:val="clear" w:color="auto" w:fill="auto"/>
          </w:tcPr>
          <w:p w14:paraId="4199F99F"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Brownsberg</w:t>
            </w:r>
            <w:proofErr w:type="spellEnd"/>
          </w:p>
        </w:tc>
        <w:tc>
          <w:tcPr>
            <w:tcW w:w="1559" w:type="dxa"/>
          </w:tcPr>
          <w:p w14:paraId="4B0A154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NP</w:t>
            </w:r>
          </w:p>
        </w:tc>
        <w:tc>
          <w:tcPr>
            <w:tcW w:w="1559" w:type="dxa"/>
            <w:shd w:val="clear" w:color="auto" w:fill="auto"/>
          </w:tcPr>
          <w:p w14:paraId="5CDE96A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120</w:t>
            </w:r>
          </w:p>
        </w:tc>
      </w:tr>
      <w:tr w:rsidR="003E5D48" w:rsidRPr="006425A7" w14:paraId="688C4DB9" w14:textId="77777777" w:rsidTr="009E00C5">
        <w:tc>
          <w:tcPr>
            <w:tcW w:w="704" w:type="dxa"/>
            <w:shd w:val="clear" w:color="auto" w:fill="auto"/>
          </w:tcPr>
          <w:p w14:paraId="2A46748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15</w:t>
            </w:r>
          </w:p>
        </w:tc>
        <w:tc>
          <w:tcPr>
            <w:tcW w:w="5245" w:type="dxa"/>
            <w:shd w:val="clear" w:color="auto" w:fill="auto"/>
          </w:tcPr>
          <w:p w14:paraId="6BF0C4BE"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Centraal</w:t>
            </w:r>
            <w:proofErr w:type="spellEnd"/>
            <w:r w:rsidRPr="006425A7">
              <w:rPr>
                <w:rFonts w:eastAsia="Times New Roman" w:cstheme="minorHAnsi"/>
                <w:sz w:val="20"/>
                <w:szCs w:val="20"/>
                <w:lang w:val="en-US"/>
              </w:rPr>
              <w:t xml:space="preserve"> Suriname</w:t>
            </w:r>
          </w:p>
        </w:tc>
        <w:tc>
          <w:tcPr>
            <w:tcW w:w="1559" w:type="dxa"/>
          </w:tcPr>
          <w:p w14:paraId="0EB8903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5981EDC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15920</w:t>
            </w:r>
          </w:p>
        </w:tc>
      </w:tr>
      <w:tr w:rsidR="003E5D48" w:rsidRPr="006425A7" w14:paraId="7AD8DFEB" w14:textId="77777777" w:rsidTr="009E00C5">
        <w:tc>
          <w:tcPr>
            <w:tcW w:w="704" w:type="dxa"/>
            <w:shd w:val="clear" w:color="auto" w:fill="auto"/>
          </w:tcPr>
          <w:p w14:paraId="698EAF4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16</w:t>
            </w:r>
          </w:p>
        </w:tc>
        <w:tc>
          <w:tcPr>
            <w:tcW w:w="5245" w:type="dxa"/>
            <w:shd w:val="clear" w:color="auto" w:fill="auto"/>
          </w:tcPr>
          <w:p w14:paraId="21E67D40"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Sipaliwini</w:t>
            </w:r>
            <w:proofErr w:type="spellEnd"/>
          </w:p>
        </w:tc>
        <w:tc>
          <w:tcPr>
            <w:tcW w:w="1559" w:type="dxa"/>
          </w:tcPr>
          <w:p w14:paraId="225FC6E9"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4F5E972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1000</w:t>
            </w:r>
          </w:p>
        </w:tc>
      </w:tr>
      <w:tr w:rsidR="003E5D48" w:rsidRPr="006425A7" w14:paraId="40A0D853" w14:textId="77777777" w:rsidTr="009E00C5">
        <w:tc>
          <w:tcPr>
            <w:tcW w:w="704" w:type="dxa"/>
            <w:shd w:val="clear" w:color="auto" w:fill="D9D9D9"/>
          </w:tcPr>
          <w:p w14:paraId="6D134224"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16DD3E04"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Previously proposed protected areas (not effective)</w:t>
            </w:r>
          </w:p>
        </w:tc>
      </w:tr>
      <w:tr w:rsidR="003E5D48" w:rsidRPr="006425A7" w14:paraId="63F33E7E" w14:textId="77777777" w:rsidTr="009E00C5">
        <w:tc>
          <w:tcPr>
            <w:tcW w:w="704" w:type="dxa"/>
            <w:shd w:val="clear" w:color="auto" w:fill="auto"/>
          </w:tcPr>
          <w:p w14:paraId="7597BCD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17</w:t>
            </w:r>
          </w:p>
        </w:tc>
        <w:tc>
          <w:tcPr>
            <w:tcW w:w="5245" w:type="dxa"/>
            <w:shd w:val="clear" w:color="auto" w:fill="auto"/>
          </w:tcPr>
          <w:p w14:paraId="5933A7D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Nani</w:t>
            </w:r>
          </w:p>
        </w:tc>
        <w:tc>
          <w:tcPr>
            <w:tcW w:w="1559" w:type="dxa"/>
          </w:tcPr>
          <w:p w14:paraId="2DBBD8E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1A7DB77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540</w:t>
            </w:r>
          </w:p>
        </w:tc>
      </w:tr>
      <w:tr w:rsidR="003E5D48" w:rsidRPr="006425A7" w14:paraId="37A27C30" w14:textId="77777777" w:rsidTr="009E00C5">
        <w:tc>
          <w:tcPr>
            <w:tcW w:w="704" w:type="dxa"/>
            <w:shd w:val="clear" w:color="auto" w:fill="auto"/>
          </w:tcPr>
          <w:p w14:paraId="05B15CD1"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18</w:t>
            </w:r>
          </w:p>
        </w:tc>
        <w:tc>
          <w:tcPr>
            <w:tcW w:w="5245" w:type="dxa"/>
            <w:shd w:val="clear" w:color="auto" w:fill="auto"/>
          </w:tcPr>
          <w:p w14:paraId="004266C4"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Kaburi</w:t>
            </w:r>
            <w:proofErr w:type="spellEnd"/>
            <w:r w:rsidRPr="006425A7">
              <w:rPr>
                <w:rFonts w:eastAsia="Times New Roman" w:cstheme="minorHAnsi"/>
                <w:sz w:val="20"/>
                <w:szCs w:val="20"/>
                <w:lang w:val="en-US"/>
              </w:rPr>
              <w:t xml:space="preserve"> Creek</w:t>
            </w:r>
          </w:p>
        </w:tc>
        <w:tc>
          <w:tcPr>
            <w:tcW w:w="1559" w:type="dxa"/>
          </w:tcPr>
          <w:p w14:paraId="0E6D2075"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0B82E547"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680</w:t>
            </w:r>
          </w:p>
        </w:tc>
      </w:tr>
      <w:tr w:rsidR="003E5D48" w:rsidRPr="006425A7" w14:paraId="01C30C0E" w14:textId="77777777" w:rsidTr="009E00C5">
        <w:tc>
          <w:tcPr>
            <w:tcW w:w="704" w:type="dxa"/>
            <w:shd w:val="clear" w:color="auto" w:fill="auto"/>
          </w:tcPr>
          <w:p w14:paraId="6F830D97"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19</w:t>
            </w:r>
          </w:p>
        </w:tc>
        <w:tc>
          <w:tcPr>
            <w:tcW w:w="5245" w:type="dxa"/>
            <w:shd w:val="clear" w:color="auto" w:fill="auto"/>
          </w:tcPr>
          <w:p w14:paraId="11AD493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 xml:space="preserve">Mac </w:t>
            </w:r>
            <w:proofErr w:type="spellStart"/>
            <w:r w:rsidRPr="006425A7">
              <w:rPr>
                <w:rFonts w:eastAsia="Times New Roman" w:cstheme="minorHAnsi"/>
                <w:sz w:val="20"/>
                <w:szCs w:val="20"/>
                <w:lang w:val="en-US"/>
              </w:rPr>
              <w:t>Clemen</w:t>
            </w:r>
            <w:proofErr w:type="spellEnd"/>
          </w:p>
        </w:tc>
        <w:tc>
          <w:tcPr>
            <w:tcW w:w="1559" w:type="dxa"/>
          </w:tcPr>
          <w:p w14:paraId="3FDE005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42C103F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60</w:t>
            </w:r>
          </w:p>
        </w:tc>
      </w:tr>
      <w:tr w:rsidR="003E5D48" w:rsidRPr="006425A7" w14:paraId="5B314D7F" w14:textId="77777777" w:rsidTr="009E00C5">
        <w:tc>
          <w:tcPr>
            <w:tcW w:w="704" w:type="dxa"/>
            <w:shd w:val="clear" w:color="auto" w:fill="auto"/>
          </w:tcPr>
          <w:p w14:paraId="32B2345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20</w:t>
            </w:r>
          </w:p>
        </w:tc>
        <w:tc>
          <w:tcPr>
            <w:tcW w:w="5245" w:type="dxa"/>
            <w:shd w:val="clear" w:color="auto" w:fill="auto"/>
          </w:tcPr>
          <w:p w14:paraId="798E39A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Snake Creek</w:t>
            </w:r>
          </w:p>
        </w:tc>
        <w:tc>
          <w:tcPr>
            <w:tcW w:w="1559" w:type="dxa"/>
          </w:tcPr>
          <w:p w14:paraId="6047BDC6"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3B482E9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40</w:t>
            </w:r>
          </w:p>
        </w:tc>
      </w:tr>
      <w:tr w:rsidR="003E5D48" w:rsidRPr="006425A7" w14:paraId="36F211CB" w14:textId="77777777" w:rsidTr="009E00C5">
        <w:tc>
          <w:tcPr>
            <w:tcW w:w="704" w:type="dxa"/>
            <w:shd w:val="clear" w:color="auto" w:fill="D9D9D9"/>
          </w:tcPr>
          <w:p w14:paraId="0D76E2C6"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24E66D0B"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Private protected areas (informal)</w:t>
            </w:r>
          </w:p>
        </w:tc>
      </w:tr>
      <w:tr w:rsidR="003E5D48" w:rsidRPr="006425A7" w14:paraId="15EAD3AE" w14:textId="77777777" w:rsidTr="009E00C5">
        <w:tc>
          <w:tcPr>
            <w:tcW w:w="704" w:type="dxa"/>
            <w:shd w:val="clear" w:color="auto" w:fill="auto"/>
          </w:tcPr>
          <w:p w14:paraId="7FA16791"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21</w:t>
            </w:r>
          </w:p>
        </w:tc>
        <w:tc>
          <w:tcPr>
            <w:tcW w:w="5245" w:type="dxa"/>
            <w:shd w:val="clear" w:color="auto" w:fill="auto"/>
          </w:tcPr>
          <w:p w14:paraId="6E0F292C"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Peperpot</w:t>
            </w:r>
            <w:proofErr w:type="spellEnd"/>
          </w:p>
        </w:tc>
        <w:tc>
          <w:tcPr>
            <w:tcW w:w="1559" w:type="dxa"/>
          </w:tcPr>
          <w:p w14:paraId="56AB74C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NP</w:t>
            </w:r>
          </w:p>
        </w:tc>
        <w:tc>
          <w:tcPr>
            <w:tcW w:w="1559" w:type="dxa"/>
            <w:shd w:val="clear" w:color="auto" w:fill="auto"/>
          </w:tcPr>
          <w:p w14:paraId="0AAC7AAC"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26</w:t>
            </w:r>
          </w:p>
        </w:tc>
      </w:tr>
      <w:tr w:rsidR="003E5D48" w:rsidRPr="006425A7" w14:paraId="2A91AC4B" w14:textId="77777777" w:rsidTr="009E00C5">
        <w:tc>
          <w:tcPr>
            <w:tcW w:w="704" w:type="dxa"/>
            <w:shd w:val="clear" w:color="auto" w:fill="D9D9D9"/>
          </w:tcPr>
          <w:p w14:paraId="6CC780B7"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3CA1E9C3"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Areas recently proposed for protection (not effective)</w:t>
            </w:r>
          </w:p>
        </w:tc>
      </w:tr>
      <w:tr w:rsidR="003E5D48" w:rsidRPr="006425A7" w14:paraId="52B30F50" w14:textId="77777777" w:rsidTr="009E00C5">
        <w:tc>
          <w:tcPr>
            <w:tcW w:w="704" w:type="dxa"/>
            <w:shd w:val="clear" w:color="auto" w:fill="auto"/>
          </w:tcPr>
          <w:p w14:paraId="318B738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22</w:t>
            </w:r>
          </w:p>
        </w:tc>
        <w:tc>
          <w:tcPr>
            <w:tcW w:w="5245" w:type="dxa"/>
            <w:shd w:val="clear" w:color="auto" w:fill="auto"/>
          </w:tcPr>
          <w:p w14:paraId="4DDC5B1C"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Coronie</w:t>
            </w:r>
            <w:proofErr w:type="spellEnd"/>
            <w:r w:rsidRPr="006425A7">
              <w:rPr>
                <w:rFonts w:eastAsia="Times New Roman" w:cstheme="minorHAnsi"/>
                <w:sz w:val="20"/>
                <w:szCs w:val="20"/>
                <w:lang w:val="en-US"/>
              </w:rPr>
              <w:t xml:space="preserve"> Swamp</w:t>
            </w:r>
          </w:p>
        </w:tc>
        <w:tc>
          <w:tcPr>
            <w:tcW w:w="1559" w:type="dxa"/>
          </w:tcPr>
          <w:p w14:paraId="19A0232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2F7265A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Unknown</w:t>
            </w:r>
          </w:p>
        </w:tc>
      </w:tr>
      <w:tr w:rsidR="003E5D48" w:rsidRPr="006425A7" w14:paraId="4E97D224" w14:textId="77777777" w:rsidTr="009E00C5">
        <w:tc>
          <w:tcPr>
            <w:tcW w:w="704" w:type="dxa"/>
            <w:shd w:val="clear" w:color="auto" w:fill="auto"/>
          </w:tcPr>
          <w:p w14:paraId="3A5F40C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23</w:t>
            </w:r>
          </w:p>
        </w:tc>
        <w:tc>
          <w:tcPr>
            <w:tcW w:w="5245" w:type="dxa"/>
            <w:shd w:val="clear" w:color="auto" w:fill="auto"/>
          </w:tcPr>
          <w:p w14:paraId="7344445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South Suriname Conservation Corridor</w:t>
            </w:r>
          </w:p>
        </w:tc>
        <w:tc>
          <w:tcPr>
            <w:tcW w:w="1559" w:type="dxa"/>
          </w:tcPr>
          <w:p w14:paraId="1CFFA796" w14:textId="77777777" w:rsidR="003E5D48" w:rsidRPr="006425A7" w:rsidRDefault="003E5D48" w:rsidP="00203F2A">
            <w:pPr>
              <w:spacing w:after="0" w:line="240" w:lineRule="auto"/>
              <w:jc w:val="both"/>
              <w:rPr>
                <w:rFonts w:eastAsia="Times New Roman" w:cstheme="minorHAnsi"/>
                <w:sz w:val="20"/>
                <w:szCs w:val="20"/>
                <w:lang w:val="en-US"/>
              </w:rPr>
            </w:pPr>
            <w:r>
              <w:rPr>
                <w:rFonts w:eastAsia="Times New Roman" w:cstheme="minorHAnsi"/>
                <w:sz w:val="20"/>
                <w:szCs w:val="20"/>
                <w:lang w:val="en-US"/>
              </w:rPr>
              <w:t>?</w:t>
            </w:r>
          </w:p>
        </w:tc>
        <w:tc>
          <w:tcPr>
            <w:tcW w:w="1559" w:type="dxa"/>
            <w:shd w:val="clear" w:color="auto" w:fill="auto"/>
          </w:tcPr>
          <w:p w14:paraId="16CCEC7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Unknown</w:t>
            </w:r>
          </w:p>
        </w:tc>
      </w:tr>
    </w:tbl>
    <w:p w14:paraId="31658B2B" w14:textId="77777777" w:rsidR="003E5D48" w:rsidRPr="006425A7" w:rsidRDefault="003E5D48" w:rsidP="00203F2A">
      <w:pPr>
        <w:spacing w:after="0" w:line="240" w:lineRule="auto"/>
        <w:jc w:val="both"/>
        <w:rPr>
          <w:rFonts w:eastAsia="Times New Roman" w:cstheme="minorHAnsi"/>
          <w:b/>
          <w:sz w:val="18"/>
          <w:szCs w:val="18"/>
          <w:lang w:val="en-US"/>
        </w:rPr>
      </w:pPr>
      <w:r w:rsidRPr="006425A7">
        <w:rPr>
          <w:rFonts w:eastAsia="Times New Roman" w:cstheme="minorHAnsi"/>
          <w:b/>
          <w:sz w:val="18"/>
          <w:szCs w:val="18"/>
          <w:lang w:val="en-US"/>
        </w:rPr>
        <w:t>MUMA = multiple-use management area, NP = nature park, NR = nature reserve, PP = proposed PA.</w:t>
      </w:r>
    </w:p>
    <w:p w14:paraId="3F37F51B" w14:textId="5A103842" w:rsidR="003E5D48" w:rsidRPr="00931172" w:rsidRDefault="003E5D48" w:rsidP="00203F2A">
      <w:pPr>
        <w:pStyle w:val="NoSpacing"/>
        <w:jc w:val="both"/>
        <w:rPr>
          <w:rFonts w:cstheme="minorHAnsi"/>
        </w:rPr>
      </w:pPr>
      <w:r>
        <w:rPr>
          <w:noProof/>
          <w:lang w:val="en-US"/>
        </w:rPr>
        <w:drawing>
          <wp:anchor distT="0" distB="0" distL="114300" distR="114300" simplePos="0" relativeHeight="251668480" behindDoc="0" locked="0" layoutInCell="1" allowOverlap="1" wp14:anchorId="3AC947D8" wp14:editId="626F8B69">
            <wp:simplePos x="0" y="0"/>
            <wp:positionH relativeFrom="margin">
              <wp:posOffset>2228850</wp:posOffset>
            </wp:positionH>
            <wp:positionV relativeFrom="paragraph">
              <wp:posOffset>635</wp:posOffset>
            </wp:positionV>
            <wp:extent cx="3677285" cy="49149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7285" cy="491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172">
        <w:rPr>
          <w:rFonts w:cstheme="minorHAnsi"/>
          <w:b/>
        </w:rPr>
        <w:t xml:space="preserve">The currently established Protected Areas cover approximately 13 percent of the land surface of </w:t>
      </w:r>
      <w:r w:rsidRPr="006425A7">
        <w:rPr>
          <w:rFonts w:cstheme="minorHAnsi"/>
          <w:b/>
        </w:rPr>
        <w:t xml:space="preserve">Suriname </w:t>
      </w:r>
      <w:r w:rsidRPr="006425A7">
        <w:rPr>
          <w:rFonts w:cstheme="minorHAnsi"/>
        </w:rPr>
        <w:t>(excluding “not effective” and “informal”; cf. Table above).</w:t>
      </w:r>
      <w:r w:rsidRPr="00931172">
        <w:rPr>
          <w:rFonts w:cstheme="minorHAnsi"/>
        </w:rPr>
        <w:t xml:space="preserve"> Almost the entire coastal area is protected by means of MUMA’s for the protection of e.g. endangered shore birds and sea turtles. Furthermore, representative terrestrial and aquatic (fresh water) ecosystems including the endangered species that live in these areas are protected in Nature Reserves (NRs) and Nature Parks (NPs) across the country. The Central Suriname Nature Reserve (CSNR), a near 1.6 million ha of pristine rainforest in the centre of Suriname, is preserved and listed as a World Heritage site by UNESCO. Despite the considerable extent of established protected area, establishing additional protected areas has been and in being considered (cf. “not effective” in Table above), e.g. to protect freshwater and native biological resources. Establishing strict protected areas in the Greenstone Belt, which is increasingly impacted by mining, is additionally proposed by academic experts, given high biodiversity in general in this area (ecosystems and species) and </w:t>
      </w:r>
      <w:proofErr w:type="gramStart"/>
      <w:r w:rsidRPr="00931172">
        <w:rPr>
          <w:rFonts w:cstheme="minorHAnsi"/>
        </w:rPr>
        <w:t>in particular high</w:t>
      </w:r>
      <w:proofErr w:type="gramEnd"/>
      <w:r w:rsidRPr="00931172">
        <w:rPr>
          <w:rFonts w:cstheme="minorHAnsi"/>
        </w:rPr>
        <w:t xml:space="preserve"> numbers of rare and restricted range endemic species; this is given very little serious consideration outside academia given the economic and management issues at play.</w:t>
      </w:r>
    </w:p>
    <w:p w14:paraId="60C2E645" w14:textId="77777777" w:rsidR="003E5D48" w:rsidRPr="00931172" w:rsidRDefault="003E5D48" w:rsidP="00203F2A">
      <w:pPr>
        <w:pStyle w:val="NoSpacing"/>
        <w:jc w:val="both"/>
        <w:rPr>
          <w:rFonts w:eastAsia="Times New Roman" w:cstheme="minorHAnsi"/>
          <w:highlight w:val="yellow"/>
        </w:rPr>
      </w:pPr>
    </w:p>
    <w:p w14:paraId="3008E0A0" w14:textId="77777777" w:rsidR="003E5D48" w:rsidRPr="00481598" w:rsidRDefault="003E5D48" w:rsidP="00203F2A">
      <w:pPr>
        <w:pStyle w:val="NoSpacing"/>
        <w:jc w:val="both"/>
        <w:rPr>
          <w:b/>
        </w:rPr>
      </w:pPr>
      <w:r w:rsidRPr="00481598">
        <w:rPr>
          <w:b/>
        </w:rPr>
        <w:t>PEOPLE</w:t>
      </w:r>
      <w:r>
        <w:rPr>
          <w:b/>
        </w:rPr>
        <w:t>;</w:t>
      </w:r>
      <w:r w:rsidRPr="00481598">
        <w:rPr>
          <w:b/>
        </w:rPr>
        <w:t xml:space="preserve"> Suriname’s Social </w:t>
      </w:r>
      <w:r>
        <w:rPr>
          <w:b/>
        </w:rPr>
        <w:t xml:space="preserve">and Cultural </w:t>
      </w:r>
      <w:r w:rsidRPr="00481598">
        <w:rPr>
          <w:b/>
        </w:rPr>
        <w:t>Environment</w:t>
      </w:r>
    </w:p>
    <w:p w14:paraId="5F9E21C1" w14:textId="77777777" w:rsidR="003E5D48" w:rsidRDefault="003E5D48" w:rsidP="00203F2A">
      <w:pPr>
        <w:pStyle w:val="NoSpacing"/>
        <w:jc w:val="both"/>
      </w:pPr>
    </w:p>
    <w:p w14:paraId="5081DBD4" w14:textId="77777777" w:rsidR="003E5D48" w:rsidRDefault="003E5D48" w:rsidP="00203F2A">
      <w:pPr>
        <w:pStyle w:val="NoSpacing"/>
        <w:jc w:val="both"/>
      </w:pPr>
      <w:r w:rsidRPr="00645FC0">
        <w:rPr>
          <w:b/>
        </w:rPr>
        <w:t>In 2017, Suriname had a total population of 591,919 (2017 est.), largely concentrated in Paramaribo (2014: 234,000), the capital of the country.</w:t>
      </w:r>
      <w:r w:rsidRPr="00A510F8">
        <w:t xml:space="preserve"> </w:t>
      </w:r>
      <w:r>
        <w:t xml:space="preserve">Population growth rate is estimated at 1.02 percent. </w:t>
      </w:r>
      <w:r w:rsidRPr="00050798">
        <w:t>Life expectancy at birth for the overall population is 72.5 years</w:t>
      </w:r>
      <w:r>
        <w:t>:</w:t>
      </w:r>
      <w:r w:rsidRPr="00050798">
        <w:t xml:space="preserve"> for males 70.1 years and for females 75.1 years</w:t>
      </w:r>
      <w:r>
        <w:t>. The urban population accounts for 67 percent of total population (2017), the annual rate of urbanization is estimated to be 0.75 percent (2015-20 est.)</w:t>
      </w:r>
      <w:r>
        <w:rPr>
          <w:rStyle w:val="FootnoteReference"/>
        </w:rPr>
        <w:footnoteReference w:id="16"/>
      </w:r>
      <w:r>
        <w:t>.</w:t>
      </w:r>
    </w:p>
    <w:p w14:paraId="20DB3161" w14:textId="77777777" w:rsidR="003E5D48" w:rsidRDefault="003E5D48" w:rsidP="00203F2A">
      <w:pPr>
        <w:pStyle w:val="NoSpacing"/>
        <w:jc w:val="both"/>
      </w:pPr>
    </w:p>
    <w:p w14:paraId="14021628" w14:textId="0BB1F00A" w:rsidR="003E5D48" w:rsidRDefault="003E5D48" w:rsidP="00203F2A">
      <w:pPr>
        <w:pStyle w:val="NoSpacing"/>
        <w:jc w:val="both"/>
      </w:pPr>
      <w:r w:rsidRPr="00645FC0">
        <w:rPr>
          <w:b/>
        </w:rPr>
        <w:t>Suriname’s colonial history has played a major role in the multi-ethnic composition of its population.</w:t>
      </w:r>
      <w:r w:rsidRPr="00A510F8">
        <w:t xml:space="preserve"> Until the abolition of slavery in 1863</w:t>
      </w:r>
      <w:r>
        <w:t>,</w:t>
      </w:r>
      <w:r w:rsidRPr="00A510F8">
        <w:t xml:space="preserve"> Western Europeans </w:t>
      </w:r>
      <w:r>
        <w:t>imported</w:t>
      </w:r>
      <w:r w:rsidRPr="00A510F8">
        <w:t xml:space="preserve"> slaves from the African </w:t>
      </w:r>
      <w:r>
        <w:t>w</w:t>
      </w:r>
      <w:r w:rsidRPr="00A510F8">
        <w:t xml:space="preserve">est </w:t>
      </w:r>
      <w:r>
        <w:t>c</w:t>
      </w:r>
      <w:r w:rsidRPr="00A510F8">
        <w:t>oast. After abolition of slavery</w:t>
      </w:r>
      <w:r>
        <w:t>,</w:t>
      </w:r>
      <w:r w:rsidRPr="00A510F8">
        <w:t xml:space="preserve"> migrants were </w:t>
      </w:r>
      <w:r>
        <w:t xml:space="preserve">brought in </w:t>
      </w:r>
      <w:r w:rsidRPr="00A510F8">
        <w:t xml:space="preserve">from China, India, and Indonesia to work on the plantations. </w:t>
      </w:r>
      <w:r>
        <w:t xml:space="preserve">Nowadays, </w:t>
      </w:r>
      <w:r w:rsidRPr="00A510F8">
        <w:t xml:space="preserve">Suriname </w:t>
      </w:r>
      <w:r>
        <w:t xml:space="preserve">is </w:t>
      </w:r>
      <w:r w:rsidRPr="00800E7A">
        <w:t>both a mosaic and a</w:t>
      </w:r>
      <w:r>
        <w:t xml:space="preserve"> melting pot </w:t>
      </w:r>
      <w:r w:rsidRPr="00A510F8">
        <w:t xml:space="preserve">of the </w:t>
      </w:r>
      <w:r>
        <w:t xml:space="preserve">many </w:t>
      </w:r>
      <w:r w:rsidRPr="00A510F8">
        <w:t>ethnic groups</w:t>
      </w:r>
      <w:r>
        <w:t xml:space="preserve">, its present </w:t>
      </w:r>
      <w:r w:rsidRPr="00902A8D">
        <w:t>population is composed of people from the Netherlands, India, Africa, China and Indonesia, as well as indigenous peoples who lived in the area, before the arrival of European settlers. About 90% of people established in Suriname have ancestors who c</w:t>
      </w:r>
      <w:r>
        <w:t>a</w:t>
      </w:r>
      <w:r w:rsidRPr="00902A8D">
        <w:t xml:space="preserve">me from </w:t>
      </w:r>
      <w:r w:rsidR="004C75AF">
        <w:t>o</w:t>
      </w:r>
      <w:r w:rsidRPr="00902A8D">
        <w:t xml:space="preserve">ther countries and regions. </w:t>
      </w:r>
      <w:r>
        <w:t xml:space="preserve">As a result, </w:t>
      </w:r>
      <w:r w:rsidRPr="009F12A7">
        <w:t>Surinamese culture is very diverse and dynamic, and has strong Asian, African and European influences.</w:t>
      </w:r>
    </w:p>
    <w:p w14:paraId="2F18ADB0" w14:textId="77777777" w:rsidR="003E5D48" w:rsidRDefault="003E5D48" w:rsidP="00203F2A">
      <w:pPr>
        <w:pStyle w:val="NoSpacing"/>
        <w:jc w:val="both"/>
      </w:pPr>
    </w:p>
    <w:p w14:paraId="60CBF268" w14:textId="77777777" w:rsidR="003E5D48" w:rsidRDefault="003E5D48" w:rsidP="00203F2A">
      <w:pPr>
        <w:pStyle w:val="NoSpacing"/>
        <w:jc w:val="both"/>
      </w:pPr>
      <w:r w:rsidRPr="00FF5B55">
        <w:rPr>
          <w:b/>
        </w:rPr>
        <w:t>Suriname’s official language is Dutch</w:t>
      </w:r>
      <w:r>
        <w:t xml:space="preserve">. Sranan </w:t>
      </w:r>
      <w:proofErr w:type="spellStart"/>
      <w:r>
        <w:t>Tongo</w:t>
      </w:r>
      <w:proofErr w:type="spellEnd"/>
      <w:r>
        <w:t xml:space="preserve">, the lingua franca, and English are widely spoken as well. Most of the ethnic groups also use their own languages. Because of </w:t>
      </w:r>
      <w:r w:rsidRPr="005B635C">
        <w:t xml:space="preserve">this ethnic diversity, religion in Suriname is characterized by a </w:t>
      </w:r>
      <w:r>
        <w:t xml:space="preserve">wide </w:t>
      </w:r>
      <w:r w:rsidRPr="005B635C">
        <w:t>range of beliefs and practices.</w:t>
      </w:r>
    </w:p>
    <w:p w14:paraId="0B1F65D6" w14:textId="77777777" w:rsidR="003E5D48" w:rsidRDefault="003E5D48" w:rsidP="00203F2A">
      <w:pPr>
        <w:pStyle w:val="NoSpacing"/>
        <w:jc w:val="both"/>
      </w:pPr>
    </w:p>
    <w:p w14:paraId="4E92855A" w14:textId="66853375" w:rsidR="003E5D48" w:rsidRDefault="003E5D48" w:rsidP="00203F2A">
      <w:pPr>
        <w:pStyle w:val="NoSpacing"/>
        <w:jc w:val="both"/>
      </w:pPr>
      <w:r w:rsidRPr="00FF5B55">
        <w:rPr>
          <w:b/>
        </w:rPr>
        <w:t xml:space="preserve">About 67 </w:t>
      </w:r>
      <w:r w:rsidR="00CF0D30">
        <w:rPr>
          <w:b/>
        </w:rPr>
        <w:t>percent</w:t>
      </w:r>
      <w:r w:rsidRPr="00FF5B55">
        <w:rPr>
          <w:b/>
        </w:rPr>
        <w:t xml:space="preserve"> of </w:t>
      </w:r>
      <w:r w:rsidR="00510B32" w:rsidRPr="00FF5B55">
        <w:rPr>
          <w:b/>
        </w:rPr>
        <w:t>Suriname ‘</w:t>
      </w:r>
      <w:r w:rsidRPr="00FF5B55">
        <w:rPr>
          <w:b/>
        </w:rPr>
        <w:t xml:space="preserve">s total population </w:t>
      </w:r>
      <w:r>
        <w:rPr>
          <w:b/>
        </w:rPr>
        <w:t>i</w:t>
      </w:r>
      <w:r w:rsidRPr="00FF5B55">
        <w:rPr>
          <w:b/>
        </w:rPr>
        <w:t>s concentrated in the capital</w:t>
      </w:r>
      <w:r w:rsidR="002A36B9">
        <w:rPr>
          <w:b/>
        </w:rPr>
        <w:t xml:space="preserve"> area</w:t>
      </w:r>
      <w:r w:rsidRPr="00FF5B55">
        <w:rPr>
          <w:b/>
        </w:rPr>
        <w:t xml:space="preserve">, and 20 </w:t>
      </w:r>
      <w:r w:rsidR="00CF0D30">
        <w:rPr>
          <w:b/>
        </w:rPr>
        <w:t>percent</w:t>
      </w:r>
      <w:r w:rsidRPr="00FF5B55">
        <w:rPr>
          <w:b/>
        </w:rPr>
        <w:t xml:space="preserve"> in the other coastal districts.</w:t>
      </w:r>
      <w:r>
        <w:t xml:space="preserve"> The remaining 14 </w:t>
      </w:r>
      <w:r w:rsidR="00CF0D30">
        <w:t>percent</w:t>
      </w:r>
      <w:r>
        <w:t xml:space="preserve"> </w:t>
      </w:r>
      <w:r w:rsidR="00CF0D30">
        <w:t>i</w:t>
      </w:r>
      <w:r>
        <w:t xml:space="preserve">s concentrated in small (mainly) tribal communities along rivers in the Interior. The overall population density </w:t>
      </w:r>
      <w:r w:rsidR="00CF0D30">
        <w:t>i</w:t>
      </w:r>
      <w:r>
        <w:t xml:space="preserve">s 3.0 people per km², which makes Suriname a very low populated country. The most densely populated districts are Paramaribo and </w:t>
      </w:r>
      <w:proofErr w:type="spellStart"/>
      <w:r>
        <w:t>Wanica</w:t>
      </w:r>
      <w:proofErr w:type="spellEnd"/>
      <w:r>
        <w:t xml:space="preserve"> with a population of 1,335 and 194 people per km</w:t>
      </w:r>
      <w:r w:rsidRPr="00B85676">
        <w:rPr>
          <w:vertAlign w:val="superscript"/>
        </w:rPr>
        <w:t>2</w:t>
      </w:r>
      <w:r>
        <w:t xml:space="preserve"> respectively. </w:t>
      </w:r>
    </w:p>
    <w:p w14:paraId="6612B9E4" w14:textId="77777777" w:rsidR="003E5D48" w:rsidRDefault="003E5D48" w:rsidP="00203F2A">
      <w:pPr>
        <w:pStyle w:val="NoSpacing"/>
        <w:jc w:val="both"/>
      </w:pPr>
    </w:p>
    <w:p w14:paraId="777244C1" w14:textId="77777777" w:rsidR="003E5D48" w:rsidRDefault="003E5D48" w:rsidP="00203F2A">
      <w:pPr>
        <w:pStyle w:val="NoSpacing"/>
        <w:jc w:val="both"/>
      </w:pPr>
      <w:r w:rsidRPr="00FF5B55">
        <w:rPr>
          <w:b/>
        </w:rPr>
        <w:t xml:space="preserve">The rate of population growth over the last 20 years has remained </w:t>
      </w:r>
      <w:proofErr w:type="gramStart"/>
      <w:r w:rsidRPr="00FF5B55">
        <w:rPr>
          <w:b/>
        </w:rPr>
        <w:t>fairly constant</w:t>
      </w:r>
      <w:proofErr w:type="gramEnd"/>
      <w:r>
        <w:t>, shifting between 1.0 and 1.5 percent. There are slightly more men than women below the age of 55, while the age category above 55 is dominated by women. Almost 62 percent of the population is between the ages of 15 and 59 years, whilst 29 percent is younger than 15 and 9 percent is 60 or older.</w:t>
      </w:r>
    </w:p>
    <w:p w14:paraId="75C493A6" w14:textId="77777777" w:rsidR="003E5D48" w:rsidRDefault="003E5D48" w:rsidP="00203F2A">
      <w:pPr>
        <w:pStyle w:val="NoSpacing"/>
        <w:jc w:val="both"/>
        <w:rPr>
          <w:b/>
        </w:rPr>
      </w:pPr>
    </w:p>
    <w:p w14:paraId="11614B1B" w14:textId="77777777" w:rsidR="003E5D48" w:rsidRDefault="003E5D48" w:rsidP="00203F2A">
      <w:pPr>
        <w:pStyle w:val="NoSpacing"/>
        <w:jc w:val="both"/>
      </w:pPr>
      <w:r w:rsidRPr="006F7800">
        <w:rPr>
          <w:b/>
        </w:rPr>
        <w:t>UNESCO listed two of Suriname’s monuments on its World Heritage list.</w:t>
      </w:r>
      <w:r>
        <w:t xml:space="preserve"> In 2000, the Central Suriname Nature Reserve (CSNR) was listed as a Nature Heritage Site for its pristine tropical rainforest ecosystem. CSNR </w:t>
      </w:r>
      <w:r w:rsidRPr="005B635C">
        <w:t xml:space="preserve">was created in 1998 by Conservation International and the </w:t>
      </w:r>
      <w:r>
        <w:t>GOS</w:t>
      </w:r>
      <w:r w:rsidRPr="005B635C">
        <w:t xml:space="preserve"> from the fusion of three existing nature reserves: </w:t>
      </w:r>
      <w:proofErr w:type="spellStart"/>
      <w:r w:rsidRPr="005B635C">
        <w:t>Ralleighvallen</w:t>
      </w:r>
      <w:proofErr w:type="spellEnd"/>
      <w:r w:rsidRPr="005B635C">
        <w:t xml:space="preserve">, </w:t>
      </w:r>
      <w:proofErr w:type="spellStart"/>
      <w:r w:rsidRPr="005B635C">
        <w:t>Tafelberg</w:t>
      </w:r>
      <w:proofErr w:type="spellEnd"/>
      <w:r w:rsidRPr="005B635C">
        <w:t xml:space="preserve"> and </w:t>
      </w:r>
      <w:proofErr w:type="spellStart"/>
      <w:r w:rsidRPr="005B635C">
        <w:t>Eilerts</w:t>
      </w:r>
      <w:proofErr w:type="spellEnd"/>
      <w:r w:rsidRPr="005B635C">
        <w:t xml:space="preserve"> de </w:t>
      </w:r>
      <w:proofErr w:type="spellStart"/>
      <w:r w:rsidRPr="005B635C">
        <w:t>Haan</w:t>
      </w:r>
      <w:proofErr w:type="spellEnd"/>
      <w:r w:rsidRPr="005B635C">
        <w:t xml:space="preserve"> </w:t>
      </w:r>
      <w:proofErr w:type="spellStart"/>
      <w:r w:rsidRPr="005B635C">
        <w:t>gebergte</w:t>
      </w:r>
      <w:proofErr w:type="spellEnd"/>
      <w:r>
        <w:t>, thus covering</w:t>
      </w:r>
      <w:r w:rsidRPr="005B635C">
        <w:t xml:space="preserve"> </w:t>
      </w:r>
      <w:r>
        <w:t xml:space="preserve">a total of </w:t>
      </w:r>
      <w:r w:rsidRPr="005B635C">
        <w:t>16,000 square kilometres of both montane and lowland primary tropical forest including sections of the Guyana Highlands.</w:t>
      </w:r>
      <w:r>
        <w:t xml:space="preserve"> In 2002, the historic inner city of Paramaribo was listed as a Cultural Heritage Site because of its well conserved "gradual fusion of European architecture and construction techniques with indigenous South America materials and crafts". </w:t>
      </w:r>
    </w:p>
    <w:p w14:paraId="5C8B11C4" w14:textId="77777777" w:rsidR="003E5D48" w:rsidRDefault="003E5D48" w:rsidP="00203F2A">
      <w:pPr>
        <w:pStyle w:val="NoSpacing"/>
        <w:jc w:val="both"/>
      </w:pPr>
    </w:p>
    <w:p w14:paraId="5E356691" w14:textId="77777777" w:rsidR="003E5D48" w:rsidRDefault="003E5D48" w:rsidP="00203F2A">
      <w:pPr>
        <w:pStyle w:val="NoSpacing"/>
        <w:jc w:val="both"/>
      </w:pPr>
      <w:r w:rsidRPr="0089668F">
        <w:rPr>
          <w:b/>
        </w:rPr>
        <w:t xml:space="preserve">The former settlement of </w:t>
      </w:r>
      <w:proofErr w:type="spellStart"/>
      <w:r w:rsidRPr="0089668F">
        <w:rPr>
          <w:b/>
        </w:rPr>
        <w:t>Joden</w:t>
      </w:r>
      <w:proofErr w:type="spellEnd"/>
      <w:r w:rsidRPr="0089668F">
        <w:rPr>
          <w:b/>
        </w:rPr>
        <w:t xml:space="preserve"> </w:t>
      </w:r>
      <w:proofErr w:type="spellStart"/>
      <w:r w:rsidRPr="0089668F">
        <w:rPr>
          <w:b/>
        </w:rPr>
        <w:t>Savanne</w:t>
      </w:r>
      <w:proofErr w:type="spellEnd"/>
      <w:r w:rsidRPr="0089668F">
        <w:rPr>
          <w:b/>
        </w:rPr>
        <w:t xml:space="preserve"> (Jew's </w:t>
      </w:r>
      <w:proofErr w:type="spellStart"/>
      <w:r w:rsidRPr="0089668F">
        <w:rPr>
          <w:b/>
        </w:rPr>
        <w:t>Savanne</w:t>
      </w:r>
      <w:proofErr w:type="spellEnd"/>
      <w:r w:rsidRPr="0089668F">
        <w:rPr>
          <w:b/>
        </w:rPr>
        <w:t xml:space="preserve">) and the cemetery at </w:t>
      </w:r>
      <w:proofErr w:type="spellStart"/>
      <w:r w:rsidRPr="0089668F">
        <w:rPr>
          <w:b/>
        </w:rPr>
        <w:t>Cassipora</w:t>
      </w:r>
      <w:proofErr w:type="spellEnd"/>
      <w:r w:rsidRPr="0089668F">
        <w:rPr>
          <w:b/>
        </w:rPr>
        <w:t xml:space="preserve"> are listed as a UNESCO ‘tentative Cultural Heritage Site’ since 1998</w:t>
      </w:r>
      <w:r>
        <w:t>. The site</w:t>
      </w:r>
      <w:r w:rsidRPr="006A0D3C">
        <w:t xml:space="preserve"> </w:t>
      </w:r>
      <w:r>
        <w:t>i</w:t>
      </w:r>
      <w:r w:rsidRPr="006A0D3C">
        <w:t xml:space="preserve">s located </w:t>
      </w:r>
      <w:r>
        <w:t xml:space="preserve">at </w:t>
      </w:r>
      <w:r w:rsidRPr="006A0D3C">
        <w:t xml:space="preserve">about 50 km </w:t>
      </w:r>
      <w:r>
        <w:t>S</w:t>
      </w:r>
      <w:r w:rsidRPr="006A0D3C">
        <w:t xml:space="preserve">outh of Paramaribo, on the Suriname River. </w:t>
      </w:r>
      <w:r>
        <w:t xml:space="preserve">This Jewish settlement was founded in </w:t>
      </w:r>
      <w:r w:rsidRPr="006A0D3C">
        <w:t>1665</w:t>
      </w:r>
      <w:r>
        <w:t xml:space="preserve">, its </w:t>
      </w:r>
      <w:r w:rsidRPr="006A0D3C">
        <w:t>synagogue was inaugurated</w:t>
      </w:r>
      <w:r>
        <w:t xml:space="preserve"> in 1685. </w:t>
      </w:r>
      <w:r w:rsidRPr="006A0D3C">
        <w:t>After a great fire in 1832 the settlement was left desolate</w:t>
      </w:r>
      <w:r>
        <w:t>, and t</w:t>
      </w:r>
      <w:r w:rsidRPr="006A0D3C">
        <w:t xml:space="preserve">he </w:t>
      </w:r>
      <w:r>
        <w:t xml:space="preserve">Jewish </w:t>
      </w:r>
      <w:r w:rsidRPr="006A0D3C">
        <w:t>community relocated to the capital of Paramaribo.</w:t>
      </w:r>
      <w:r>
        <w:t xml:space="preserve"> The location marks an </w:t>
      </w:r>
      <w:r w:rsidRPr="006A0D3C">
        <w:t xml:space="preserve">important stage in the European colonization of the Western Hemisphere. The synagogue at </w:t>
      </w:r>
      <w:proofErr w:type="spellStart"/>
      <w:r w:rsidRPr="006A0D3C">
        <w:t>Joden</w:t>
      </w:r>
      <w:proofErr w:type="spellEnd"/>
      <w:r w:rsidRPr="006A0D3C">
        <w:t xml:space="preserve"> </w:t>
      </w:r>
      <w:proofErr w:type="spellStart"/>
      <w:r w:rsidRPr="006A0D3C">
        <w:t>Savanne</w:t>
      </w:r>
      <w:proofErr w:type="spellEnd"/>
      <w:r w:rsidRPr="006A0D3C">
        <w:t>, of which a ruin remains, is the oldest still present in the Americas. It is a reminder of pioneers of American Judaism.</w:t>
      </w:r>
    </w:p>
    <w:p w14:paraId="41ACA4C3" w14:textId="77777777" w:rsidR="003E5D48" w:rsidRDefault="003E5D48" w:rsidP="00203F2A">
      <w:pPr>
        <w:pStyle w:val="NoSpacing"/>
        <w:jc w:val="both"/>
      </w:pPr>
    </w:p>
    <w:p w14:paraId="1739AFBF" w14:textId="7D4E4810" w:rsidR="003E5D48" w:rsidRDefault="003E5D48" w:rsidP="00203F2A">
      <w:pPr>
        <w:pStyle w:val="NoSpacing"/>
        <w:jc w:val="both"/>
      </w:pPr>
      <w:proofErr w:type="gramStart"/>
      <w:r w:rsidRPr="004212A2">
        <w:rPr>
          <w:b/>
        </w:rPr>
        <w:t>In the vicinity of</w:t>
      </w:r>
      <w:proofErr w:type="gramEnd"/>
      <w:r w:rsidRPr="004212A2">
        <w:rPr>
          <w:b/>
        </w:rPr>
        <w:t xml:space="preserve"> the </w:t>
      </w:r>
      <w:proofErr w:type="spellStart"/>
      <w:r w:rsidRPr="004212A2">
        <w:rPr>
          <w:b/>
        </w:rPr>
        <w:t>Joden</w:t>
      </w:r>
      <w:proofErr w:type="spellEnd"/>
      <w:r>
        <w:rPr>
          <w:b/>
        </w:rPr>
        <w:t xml:space="preserve"> </w:t>
      </w:r>
      <w:proofErr w:type="spellStart"/>
      <w:r>
        <w:rPr>
          <w:b/>
        </w:rPr>
        <w:t>S</w:t>
      </w:r>
      <w:r w:rsidRPr="004212A2">
        <w:rPr>
          <w:b/>
        </w:rPr>
        <w:t>avanne</w:t>
      </w:r>
      <w:proofErr w:type="spellEnd"/>
      <w:r w:rsidRPr="004212A2">
        <w:rPr>
          <w:b/>
        </w:rPr>
        <w:t xml:space="preserve"> lay the military supply post 'Post Gelderland', part of the defence line '</w:t>
      </w:r>
      <w:proofErr w:type="spellStart"/>
      <w:r w:rsidRPr="004212A2">
        <w:rPr>
          <w:b/>
        </w:rPr>
        <w:t>Cordonpad</w:t>
      </w:r>
      <w:proofErr w:type="spellEnd"/>
      <w:r w:rsidRPr="004212A2">
        <w:rPr>
          <w:b/>
        </w:rPr>
        <w:t>'.</w:t>
      </w:r>
      <w:r w:rsidRPr="004212A2">
        <w:t xml:space="preserve"> This line, </w:t>
      </w:r>
      <w:r>
        <w:t xml:space="preserve">which </w:t>
      </w:r>
      <w:r w:rsidRPr="004212A2">
        <w:t xml:space="preserve">started at </w:t>
      </w:r>
      <w:proofErr w:type="spellStart"/>
      <w:r w:rsidRPr="004212A2">
        <w:t>Joden</w:t>
      </w:r>
      <w:proofErr w:type="spellEnd"/>
      <w:r w:rsidRPr="004212A2">
        <w:t xml:space="preserve"> </w:t>
      </w:r>
      <w:proofErr w:type="spellStart"/>
      <w:r w:rsidRPr="004212A2">
        <w:t>Savanne</w:t>
      </w:r>
      <w:proofErr w:type="spellEnd"/>
      <w:r w:rsidRPr="004212A2">
        <w:t xml:space="preserve"> and </w:t>
      </w:r>
      <w:r>
        <w:t>ran all the way to the Atlantic c</w:t>
      </w:r>
      <w:r w:rsidRPr="004212A2">
        <w:t xml:space="preserve">oast, was constructed </w:t>
      </w:r>
      <w:r>
        <w:t xml:space="preserve">in 1765 </w:t>
      </w:r>
      <w:r w:rsidRPr="004212A2">
        <w:t>to protect the plantations from attacks of maroons, i.e. runaway slaves. It consist</w:t>
      </w:r>
      <w:r>
        <w:t>e</w:t>
      </w:r>
      <w:r w:rsidRPr="004212A2">
        <w:t>d of a wide bridle path with military posts at regular intervals</w:t>
      </w:r>
      <w:r>
        <w:t xml:space="preserve"> of which still many remains can be found</w:t>
      </w:r>
      <w:r w:rsidRPr="004212A2">
        <w:t>.</w:t>
      </w:r>
      <w:r>
        <w:t xml:space="preserve"> </w:t>
      </w:r>
      <w:r w:rsidRPr="0089668F">
        <w:t>In</w:t>
      </w:r>
      <w:r>
        <w:t xml:space="preserve"> </w:t>
      </w:r>
      <w:r w:rsidRPr="0089668F">
        <w:t>the</w:t>
      </w:r>
      <w:r>
        <w:t xml:space="preserve"> </w:t>
      </w:r>
      <w:r w:rsidRPr="0089668F">
        <w:t>Northern</w:t>
      </w:r>
      <w:r>
        <w:t xml:space="preserve"> </w:t>
      </w:r>
      <w:r w:rsidRPr="0089668F">
        <w:t>part</w:t>
      </w:r>
      <w:r>
        <w:t xml:space="preserve"> </w:t>
      </w:r>
      <w:r w:rsidRPr="0089668F">
        <w:t>of</w:t>
      </w:r>
      <w:r>
        <w:t xml:space="preserve"> </w:t>
      </w:r>
      <w:r w:rsidRPr="0089668F">
        <w:t>the</w:t>
      </w:r>
      <w:r>
        <w:t xml:space="preserve"> </w:t>
      </w:r>
      <w:r w:rsidRPr="0089668F">
        <w:t>settlement</w:t>
      </w:r>
      <w:r>
        <w:t xml:space="preserve"> </w:t>
      </w:r>
      <w:r w:rsidRPr="0089668F">
        <w:t>remaining</w:t>
      </w:r>
      <w:r>
        <w:t xml:space="preserve"> </w:t>
      </w:r>
      <w:r w:rsidRPr="0089668F">
        <w:t>brick</w:t>
      </w:r>
      <w:r>
        <w:t xml:space="preserve"> </w:t>
      </w:r>
      <w:r w:rsidRPr="0089668F">
        <w:t>foundations</w:t>
      </w:r>
      <w:r>
        <w:t xml:space="preserve"> </w:t>
      </w:r>
      <w:r w:rsidRPr="0089668F">
        <w:t>most</w:t>
      </w:r>
      <w:r>
        <w:t xml:space="preserve"> </w:t>
      </w:r>
      <w:r w:rsidRPr="0089668F">
        <w:t>likely</w:t>
      </w:r>
      <w:r>
        <w:t xml:space="preserve"> </w:t>
      </w:r>
      <w:r w:rsidRPr="0089668F">
        <w:t>represent</w:t>
      </w:r>
      <w:r>
        <w:t xml:space="preserve"> </w:t>
      </w:r>
      <w:r w:rsidRPr="0089668F">
        <w:t>the</w:t>
      </w:r>
      <w:r>
        <w:t xml:space="preserve"> </w:t>
      </w:r>
      <w:r w:rsidRPr="0089668F">
        <w:t>military</w:t>
      </w:r>
      <w:r>
        <w:t xml:space="preserve"> </w:t>
      </w:r>
      <w:r w:rsidRPr="0089668F">
        <w:t>stronghold</w:t>
      </w:r>
      <w:r>
        <w:t xml:space="preserve"> </w:t>
      </w:r>
      <w:r w:rsidRPr="0089668F">
        <w:t>‘Post</w:t>
      </w:r>
      <w:r>
        <w:t xml:space="preserve"> </w:t>
      </w:r>
      <w:proofErr w:type="spellStart"/>
      <w:r w:rsidRPr="0089668F">
        <w:t>Jodensavanne</w:t>
      </w:r>
      <w:proofErr w:type="spellEnd"/>
      <w:r w:rsidRPr="0089668F">
        <w:t>’</w:t>
      </w:r>
      <w:r>
        <w:t xml:space="preserve"> </w:t>
      </w:r>
      <w:r w:rsidRPr="0089668F">
        <w:t>(</w:t>
      </w:r>
      <w:proofErr w:type="gramStart"/>
      <w:r w:rsidRPr="0089668F">
        <w:t>later</w:t>
      </w:r>
      <w:r>
        <w:t xml:space="preserve"> </w:t>
      </w:r>
      <w:r w:rsidRPr="0089668F">
        <w:t>on</w:t>
      </w:r>
      <w:proofErr w:type="gramEnd"/>
      <w:r>
        <w:t xml:space="preserve"> </w:t>
      </w:r>
      <w:r w:rsidRPr="0089668F">
        <w:t>mentioned</w:t>
      </w:r>
      <w:r>
        <w:t xml:space="preserve"> </w:t>
      </w:r>
      <w:r w:rsidRPr="0089668F">
        <w:t>as</w:t>
      </w:r>
      <w:r>
        <w:t xml:space="preserve"> </w:t>
      </w:r>
      <w:r w:rsidRPr="0089668F">
        <w:t>‘Post</w:t>
      </w:r>
      <w:r>
        <w:t xml:space="preserve"> </w:t>
      </w:r>
      <w:r w:rsidRPr="0089668F">
        <w:t>Gelderland’)</w:t>
      </w:r>
      <w:r>
        <w:t xml:space="preserve"> </w:t>
      </w:r>
      <w:r w:rsidRPr="0089668F">
        <w:t>at</w:t>
      </w:r>
      <w:r>
        <w:t xml:space="preserve"> </w:t>
      </w:r>
      <w:r w:rsidRPr="0089668F">
        <w:t>the</w:t>
      </w:r>
      <w:r>
        <w:t xml:space="preserve"> </w:t>
      </w:r>
      <w:r w:rsidRPr="0089668F">
        <w:t>beginning</w:t>
      </w:r>
      <w:r>
        <w:t xml:space="preserve"> </w:t>
      </w:r>
      <w:r w:rsidRPr="0089668F">
        <w:t>of</w:t>
      </w:r>
      <w:r>
        <w:t xml:space="preserve"> </w:t>
      </w:r>
      <w:r w:rsidRPr="0089668F">
        <w:t>the</w:t>
      </w:r>
      <w:r>
        <w:t xml:space="preserve"> </w:t>
      </w:r>
      <w:r w:rsidRPr="0089668F">
        <w:t>defence</w:t>
      </w:r>
      <w:r>
        <w:t xml:space="preserve"> </w:t>
      </w:r>
      <w:r w:rsidRPr="0089668F">
        <w:t>line.</w:t>
      </w:r>
    </w:p>
    <w:p w14:paraId="1B18033D" w14:textId="77777777" w:rsidR="003E5D48" w:rsidRDefault="003E5D48" w:rsidP="00203F2A">
      <w:pPr>
        <w:pStyle w:val="NoSpacing"/>
        <w:jc w:val="both"/>
      </w:pPr>
    </w:p>
    <w:p w14:paraId="0340EE44" w14:textId="5BD8B2A4" w:rsidR="003E5D48" w:rsidRDefault="003E5D48" w:rsidP="00203F2A">
      <w:pPr>
        <w:pStyle w:val="NoSpacing"/>
        <w:jc w:val="both"/>
      </w:pPr>
      <w:r>
        <w:t xml:space="preserve">Furthermore, apart from the historical inner city of Paramaribo, Suriname’s cultural heritage from colonial times covers some former plantation landscapes that are worth to be protected and conserved. Some examples are the former plantations of </w:t>
      </w:r>
      <w:proofErr w:type="spellStart"/>
      <w:r>
        <w:t>Peperpot</w:t>
      </w:r>
      <w:proofErr w:type="spellEnd"/>
      <w:r>
        <w:t xml:space="preserve">, </w:t>
      </w:r>
      <w:proofErr w:type="spellStart"/>
      <w:r>
        <w:t>Baki</w:t>
      </w:r>
      <w:proofErr w:type="spellEnd"/>
      <w:r>
        <w:t xml:space="preserve"> and </w:t>
      </w:r>
      <w:proofErr w:type="spellStart"/>
      <w:r>
        <w:t>Frederiksdorp</w:t>
      </w:r>
      <w:proofErr w:type="spellEnd"/>
      <w:r>
        <w:t xml:space="preserve">, all located in the district of </w:t>
      </w:r>
      <w:proofErr w:type="spellStart"/>
      <w:r>
        <w:t>Commewijne</w:t>
      </w:r>
      <w:proofErr w:type="spellEnd"/>
      <w:r>
        <w:t xml:space="preserve">. Protection of these sites </w:t>
      </w:r>
      <w:r w:rsidR="00131BB4">
        <w:t xml:space="preserve">may well </w:t>
      </w:r>
      <w:r>
        <w:t>go ‘hand in hand’ with a way of touris</w:t>
      </w:r>
      <w:r w:rsidR="00131BB4">
        <w:t>m</w:t>
      </w:r>
      <w:r>
        <w:t xml:space="preserve"> </w:t>
      </w:r>
      <w:r w:rsidR="00131BB4">
        <w:t>development and exploitation</w:t>
      </w:r>
      <w:r>
        <w:t xml:space="preserve">.   </w:t>
      </w:r>
    </w:p>
    <w:p w14:paraId="6D015588" w14:textId="77777777" w:rsidR="003E5D48" w:rsidRDefault="003E5D48" w:rsidP="00203F2A">
      <w:pPr>
        <w:pStyle w:val="NoSpacing"/>
        <w:jc w:val="both"/>
      </w:pPr>
    </w:p>
    <w:p w14:paraId="6A0267DC" w14:textId="1F13FC3A" w:rsidR="009C17CE" w:rsidRDefault="003E5D48" w:rsidP="00203F2A">
      <w:pPr>
        <w:pStyle w:val="NoSpacing"/>
        <w:jc w:val="both"/>
      </w:pPr>
      <w:proofErr w:type="spellStart"/>
      <w:r w:rsidRPr="00A62A6F">
        <w:t>Werehpai</w:t>
      </w:r>
      <w:proofErr w:type="spellEnd"/>
      <w:r>
        <w:t xml:space="preserve">, </w:t>
      </w:r>
      <w:r w:rsidRPr="00C369B7">
        <w:t>discovered in 1998</w:t>
      </w:r>
      <w:r>
        <w:t>,</w:t>
      </w:r>
      <w:r w:rsidRPr="00A62A6F">
        <w:t xml:space="preserve"> is an archaeological site consisting of several </w:t>
      </w:r>
      <w:r>
        <w:t>‘</w:t>
      </w:r>
      <w:r w:rsidRPr="00A62A6F">
        <w:t>caves</w:t>
      </w:r>
      <w:r>
        <w:t>’</w:t>
      </w:r>
      <w:r w:rsidRPr="00A62A6F">
        <w:t xml:space="preserve"> </w:t>
      </w:r>
      <w:r>
        <w:t xml:space="preserve">(in fact they are </w:t>
      </w:r>
      <w:r w:rsidR="00C31613">
        <w:t>hills/rocky peaks</w:t>
      </w:r>
      <w:r>
        <w:t xml:space="preserve">) </w:t>
      </w:r>
      <w:r w:rsidRPr="00A62A6F">
        <w:t>containing petroglyphs of pre-Columbian origin. The site is located about</w:t>
      </w:r>
      <w:r>
        <w:t xml:space="preserve"> 400 km south of Paramaribo, </w:t>
      </w:r>
      <w:r w:rsidRPr="00A62A6F">
        <w:t>10 k</w:t>
      </w:r>
      <w:r>
        <w:t>m</w:t>
      </w:r>
      <w:r w:rsidRPr="00A62A6F">
        <w:t xml:space="preserve"> from the village of </w:t>
      </w:r>
      <w:proofErr w:type="spellStart"/>
      <w:r w:rsidRPr="00A62A6F">
        <w:t>Kwamalasamutu</w:t>
      </w:r>
      <w:proofErr w:type="spellEnd"/>
      <w:r w:rsidRPr="00A62A6F">
        <w:t xml:space="preserve">. With 313 identified petroglyphs, </w:t>
      </w:r>
      <w:proofErr w:type="spellStart"/>
      <w:r w:rsidRPr="00A62A6F">
        <w:t>Werehpai</w:t>
      </w:r>
      <w:proofErr w:type="spellEnd"/>
      <w:r w:rsidRPr="00A62A6F">
        <w:t xml:space="preserve"> is by far the largest pre-Columbian petroglyph site known in Suriname, and perhaps the largest in </w:t>
      </w:r>
      <w:proofErr w:type="gramStart"/>
      <w:r w:rsidRPr="00A62A6F">
        <w:t>all of</w:t>
      </w:r>
      <w:proofErr w:type="gramEnd"/>
      <w:r w:rsidRPr="00A62A6F">
        <w:t xml:space="preserve"> the Guianas.</w:t>
      </w:r>
    </w:p>
    <w:p w14:paraId="388BDA18" w14:textId="79574500" w:rsidR="003E5D48" w:rsidRDefault="003E5D48" w:rsidP="00203F2A">
      <w:pPr>
        <w:pStyle w:val="NoSpacing"/>
        <w:jc w:val="both"/>
      </w:pPr>
      <w:r>
        <w:br w:type="page"/>
      </w:r>
    </w:p>
    <w:p w14:paraId="2E2683D8" w14:textId="77777777" w:rsidR="003E5D48" w:rsidRPr="00446FBE" w:rsidRDefault="003E5D48" w:rsidP="00203F2A">
      <w:pPr>
        <w:pStyle w:val="Heading1"/>
        <w:jc w:val="both"/>
      </w:pPr>
      <w:bookmarkStart w:id="32" w:name="_Toc531965020"/>
      <w:r>
        <w:t>Section 5</w:t>
      </w:r>
      <w:r>
        <w:tab/>
      </w:r>
      <w:r w:rsidRPr="00446FBE">
        <w:t>Land Use</w:t>
      </w:r>
      <w:r>
        <w:t xml:space="preserve"> and Ownership</w:t>
      </w:r>
      <w:bookmarkEnd w:id="32"/>
    </w:p>
    <w:p w14:paraId="169CCAD1" w14:textId="77777777" w:rsidR="003E5D48" w:rsidRPr="00803F31" w:rsidRDefault="003E5D48" w:rsidP="00203F2A">
      <w:pPr>
        <w:pStyle w:val="NoSpacing"/>
        <w:jc w:val="both"/>
      </w:pPr>
    </w:p>
    <w:p w14:paraId="181D6322" w14:textId="4F2B65ED" w:rsidR="003E5D48" w:rsidRDefault="003E5D48" w:rsidP="00203F2A">
      <w:pPr>
        <w:pStyle w:val="NoSpacing"/>
        <w:jc w:val="both"/>
      </w:pPr>
      <w:r w:rsidRPr="002C1335">
        <w:rPr>
          <w:b/>
        </w:rPr>
        <w:t xml:space="preserve">Of the total 16.4 million ha of land in Suriname, 1.5 million ha </w:t>
      </w:r>
      <w:r>
        <w:rPr>
          <w:b/>
        </w:rPr>
        <w:t xml:space="preserve">is </w:t>
      </w:r>
      <w:r w:rsidRPr="002C1335">
        <w:rPr>
          <w:b/>
        </w:rPr>
        <w:t>considered suitable for agriculture.</w:t>
      </w:r>
      <w:r w:rsidRPr="00803F31">
        <w:t xml:space="preserve"> </w:t>
      </w:r>
      <w:r>
        <w:t>T</w:t>
      </w:r>
      <w:r w:rsidRPr="00803F31">
        <w:t>he coastal plain area is characterized by low-lying land (0-4</w:t>
      </w:r>
      <w:r>
        <w:t xml:space="preserve"> </w:t>
      </w:r>
      <w:r w:rsidRPr="00803F31">
        <w:t xml:space="preserve">m above </w:t>
      </w:r>
      <w:r>
        <w:t>MSL</w:t>
      </w:r>
      <w:r w:rsidRPr="00803F31">
        <w:t xml:space="preserve">) with a </w:t>
      </w:r>
      <w:r>
        <w:t>flat</w:t>
      </w:r>
      <w:r w:rsidRPr="00803F31">
        <w:t xml:space="preserve"> topography and fertile heavy clay soils interspersed with</w:t>
      </w:r>
      <w:r>
        <w:t xml:space="preserve"> </w:t>
      </w:r>
      <w:r w:rsidRPr="00803F31">
        <w:t>sand and shell ridges</w:t>
      </w:r>
      <w:r>
        <w:t xml:space="preserve"> (</w:t>
      </w:r>
      <w:proofErr w:type="spellStart"/>
      <w:r>
        <w:t>cheniers</w:t>
      </w:r>
      <w:proofErr w:type="spellEnd"/>
      <w:r>
        <w:t>)</w:t>
      </w:r>
      <w:r w:rsidRPr="00803F31">
        <w:t xml:space="preserve">. As the Dutch discovered during the colonial period, when </w:t>
      </w:r>
      <w:r>
        <w:t xml:space="preserve">well </w:t>
      </w:r>
      <w:r w:rsidRPr="00803F31">
        <w:t>drained</w:t>
      </w:r>
      <w:r>
        <w:t xml:space="preserve">, </w:t>
      </w:r>
      <w:r w:rsidRPr="00803F31">
        <w:t xml:space="preserve">many locations in the coastal plain are very suitable for agricultural production. </w:t>
      </w:r>
      <w:r w:rsidR="00131BB4">
        <w:t>Regarding the Savan</w:t>
      </w:r>
      <w:r w:rsidR="00131BB4" w:rsidRPr="00131BB4">
        <w:t>na Belt</w:t>
      </w:r>
      <w:r w:rsidR="00131BB4">
        <w:t xml:space="preserve">, although mainly consisting of </w:t>
      </w:r>
      <w:r w:rsidR="00131BB4" w:rsidRPr="00131BB4">
        <w:t>infertile white sands</w:t>
      </w:r>
      <w:r w:rsidR="00131BB4">
        <w:t xml:space="preserve">, but also </w:t>
      </w:r>
      <w:r w:rsidR="00131BB4" w:rsidRPr="00131BB4">
        <w:t>more fertile sandy-loamy soils</w:t>
      </w:r>
      <w:r w:rsidR="00131BB4">
        <w:t xml:space="preserve">, these are </w:t>
      </w:r>
      <w:r w:rsidR="00131BB4" w:rsidRPr="00131BB4">
        <w:t xml:space="preserve">nevertheless used for agriculture, e.g. planting </w:t>
      </w:r>
      <w:r w:rsidR="00131BB4">
        <w:t xml:space="preserve">of </w:t>
      </w:r>
      <w:r w:rsidR="00131BB4" w:rsidRPr="00131BB4">
        <w:t>pine</w:t>
      </w:r>
      <w:r w:rsidR="00131BB4">
        <w:t xml:space="preserve"> </w:t>
      </w:r>
      <w:r w:rsidR="00131BB4" w:rsidRPr="00131BB4">
        <w:t xml:space="preserve">apples. </w:t>
      </w:r>
      <w:r w:rsidR="00131BB4">
        <w:t>T</w:t>
      </w:r>
      <w:r w:rsidRPr="00803F31">
        <w:t>he soils of</w:t>
      </w:r>
      <w:r>
        <w:t xml:space="preserve"> </w:t>
      </w:r>
      <w:r w:rsidRPr="00803F31">
        <w:t>the interior, on the other hand, have a shallow humus layer, are less fertile and access is</w:t>
      </w:r>
      <w:r>
        <w:t xml:space="preserve"> </w:t>
      </w:r>
      <w:r w:rsidRPr="00803F31">
        <w:t>difficult and costly. The interior is the setting for shifting cultivation practices by</w:t>
      </w:r>
      <w:r>
        <w:t xml:space="preserve"> </w:t>
      </w:r>
      <w:r w:rsidRPr="00803F31">
        <w:t xml:space="preserve">the Indigenous and Maroon communities. </w:t>
      </w:r>
      <w:r>
        <w:t>Sound i</w:t>
      </w:r>
      <w:r w:rsidRPr="00803F31">
        <w:t>nformation on land utilization in the interior,</w:t>
      </w:r>
      <w:r>
        <w:t xml:space="preserve"> </w:t>
      </w:r>
      <w:r w:rsidRPr="00803F31">
        <w:t>where root crops, dry land rice</w:t>
      </w:r>
      <w:r>
        <w:t xml:space="preserve">, pine apple </w:t>
      </w:r>
      <w:r w:rsidRPr="00803F31">
        <w:t>and oranges are cultivated, is not available. Although no exact</w:t>
      </w:r>
      <w:r>
        <w:t xml:space="preserve"> </w:t>
      </w:r>
      <w:r w:rsidRPr="00803F31">
        <w:t>figures for the areas under cultivation and the amount of fallow land on reserve are available,</w:t>
      </w:r>
      <w:r>
        <w:t xml:space="preserve"> </w:t>
      </w:r>
      <w:r w:rsidRPr="00803F31">
        <w:t xml:space="preserve">along the Suriname </w:t>
      </w:r>
      <w:r>
        <w:t>R</w:t>
      </w:r>
      <w:r w:rsidRPr="00803F31">
        <w:t>iver alone shifting cultivation may account for 50</w:t>
      </w:r>
      <w:r>
        <w:t>,</w:t>
      </w:r>
      <w:r w:rsidRPr="00803F31">
        <w:t>000</w:t>
      </w:r>
      <w:r>
        <w:t xml:space="preserve"> </w:t>
      </w:r>
      <w:r w:rsidRPr="00803F31">
        <w:t>h</w:t>
      </w:r>
      <w:r>
        <w:t>a</w:t>
      </w:r>
      <w:r w:rsidRPr="00803F31">
        <w:t xml:space="preserve"> or more</w:t>
      </w:r>
      <w:r>
        <w:rPr>
          <w:rStyle w:val="FootnoteReference"/>
        </w:rPr>
        <w:footnoteReference w:id="17"/>
      </w:r>
      <w:r w:rsidRPr="00803F31">
        <w:t>.</w:t>
      </w:r>
    </w:p>
    <w:p w14:paraId="3A70D376" w14:textId="77777777" w:rsidR="003E5D48" w:rsidRPr="00803F31" w:rsidRDefault="003E5D48" w:rsidP="00203F2A">
      <w:pPr>
        <w:pStyle w:val="NoSpacing"/>
        <w:jc w:val="both"/>
      </w:pPr>
    </w:p>
    <w:p w14:paraId="156D33FB" w14:textId="1B983362" w:rsidR="003E5D48" w:rsidRDefault="003E5D48" w:rsidP="00203F2A">
      <w:pPr>
        <w:pStyle w:val="NoSpacing"/>
        <w:jc w:val="both"/>
      </w:pPr>
      <w:r w:rsidRPr="00FA4ABF">
        <w:rPr>
          <w:b/>
        </w:rPr>
        <w:t>According to the fifth Agricultural Census (2010)</w:t>
      </w:r>
      <w:r>
        <w:rPr>
          <w:rStyle w:val="FootnoteReference"/>
          <w:b/>
        </w:rPr>
        <w:footnoteReference w:id="18"/>
      </w:r>
      <w:r w:rsidRPr="00FA4ABF">
        <w:rPr>
          <w:b/>
        </w:rPr>
        <w:t xml:space="preserve"> close to 64,000 ha was registered as ‘cultivated land’ of which 43,000 ha was classified as agricultural land.</w:t>
      </w:r>
      <w:r w:rsidRPr="00FA4ABF">
        <w:t xml:space="preserve"> </w:t>
      </w:r>
      <w:r>
        <w:t>Annual crops covered a total of 16,500 ha, s</w:t>
      </w:r>
      <w:r w:rsidRPr="00110EF7">
        <w:t>emi-annual corps amount for about 6,000 ha</w:t>
      </w:r>
      <w:r>
        <w:t>. F</w:t>
      </w:r>
      <w:r w:rsidRPr="00110EF7">
        <w:t>allow accounted for 6,600 ha while grassland, both cultivated and natural, added up to about 14,000 ha. This situation has changed dramatically</w:t>
      </w:r>
      <w:r>
        <w:t xml:space="preserve">: these </w:t>
      </w:r>
      <w:r w:rsidRPr="00FA4ABF">
        <w:t>figures are about half of what was recorded during the fourth Agricultural Census (1981) when approx. 120,000 ha was under cultivation in the coastal plain of which 65,000 ha was earmarked for annual crops</w:t>
      </w:r>
      <w:r>
        <w:t>, almost all for the cultivation of rice</w:t>
      </w:r>
      <w:r w:rsidRPr="00FA4ABF">
        <w:t xml:space="preserve">. </w:t>
      </w:r>
      <w:r>
        <w:t>National agricultural statistics over de period 2010-2015 show again an increase of the cultivated area by approx. 11%, mainly of annual crops, especially paddy (in</w:t>
      </w:r>
      <w:r w:rsidR="002D75A5">
        <w:t>:</w:t>
      </w:r>
      <w:r>
        <w:t xml:space="preserve"> Unique Forestry and Land Use GmbH (2016), Agricultural statistical data 2010-2015).</w:t>
      </w:r>
    </w:p>
    <w:p w14:paraId="196FDD0F" w14:textId="77777777" w:rsidR="003E5D48" w:rsidRDefault="003E5D48" w:rsidP="00203F2A">
      <w:pPr>
        <w:pStyle w:val="NoSpacing"/>
        <w:jc w:val="both"/>
      </w:pPr>
    </w:p>
    <w:p w14:paraId="738036C1" w14:textId="77777777" w:rsidR="003E5D48" w:rsidRDefault="003E5D48" w:rsidP="00203F2A">
      <w:pPr>
        <w:pStyle w:val="NoSpacing"/>
        <w:jc w:val="both"/>
        <w:rPr>
          <w:b/>
        </w:rPr>
      </w:pPr>
      <w:r w:rsidRPr="007F2759">
        <w:rPr>
          <w:b/>
        </w:rPr>
        <w:t>There are five types of valid title by which rights to own land have been issued by the government: allodial ownership, absolute (freehold) ownership, lease hold, land lease and simple rent.</w:t>
      </w:r>
    </w:p>
    <w:p w14:paraId="18C16DB2" w14:textId="77777777" w:rsidR="003E5D48" w:rsidRPr="007F2759" w:rsidRDefault="003E5D48" w:rsidP="00203F2A">
      <w:pPr>
        <w:pStyle w:val="NoSpacing"/>
        <w:jc w:val="both"/>
        <w:rPr>
          <w:b/>
        </w:rPr>
      </w:pPr>
    </w:p>
    <w:p w14:paraId="4F9A0893" w14:textId="77777777" w:rsidR="003E5D48" w:rsidRDefault="003E5D48" w:rsidP="00203F2A">
      <w:pPr>
        <w:pStyle w:val="NoSpacing"/>
        <w:numPr>
          <w:ilvl w:val="0"/>
          <w:numId w:val="6"/>
        </w:numPr>
        <w:jc w:val="both"/>
      </w:pPr>
      <w:r w:rsidRPr="007F2759">
        <w:rPr>
          <w:u w:val="single"/>
        </w:rPr>
        <w:t>Allodial ownership and inheritable property</w:t>
      </w:r>
      <w:r>
        <w:t>: this title was issued by the Dutch during the colonial period under the conditions that the land would be developed and kept in cultivation. The owner also had the responsibility to contribute to other services that would promote the welfare of the nation, including security. Land not cultivated could be returned to the domain of the State. Allodial title is treated today as absolute ownership even though this may not be legally accurate.</w:t>
      </w:r>
    </w:p>
    <w:p w14:paraId="6347D11B" w14:textId="77777777" w:rsidR="003E5D48" w:rsidRDefault="003E5D48" w:rsidP="00203F2A">
      <w:pPr>
        <w:pStyle w:val="NoSpacing"/>
        <w:numPr>
          <w:ilvl w:val="0"/>
          <w:numId w:val="6"/>
        </w:numPr>
        <w:jc w:val="both"/>
      </w:pPr>
      <w:r w:rsidRPr="007F2759">
        <w:rPr>
          <w:u w:val="single"/>
        </w:rPr>
        <w:t>Absolute ownership (freehold under civil law)</w:t>
      </w:r>
      <w:r>
        <w:t>: This is the most complete title to land available in Suriname. There are no limitations imposed by the State, the owner has full and unlimited enjoyment of the land within the context of the law. Only a limited amount of land was issued under this title, due to the fear that the land would be used for speculation or would be left uncultivated.</w:t>
      </w:r>
    </w:p>
    <w:p w14:paraId="552DF39D" w14:textId="77777777" w:rsidR="003E5D48" w:rsidRDefault="003E5D48" w:rsidP="00203F2A">
      <w:pPr>
        <w:pStyle w:val="NoSpacing"/>
        <w:numPr>
          <w:ilvl w:val="0"/>
          <w:numId w:val="6"/>
        </w:numPr>
        <w:jc w:val="both"/>
      </w:pPr>
      <w:r w:rsidRPr="007F2759">
        <w:rPr>
          <w:u w:val="single"/>
        </w:rPr>
        <w:t>Leasehold (</w:t>
      </w:r>
      <w:proofErr w:type="spellStart"/>
      <w:r w:rsidRPr="007F2759">
        <w:rPr>
          <w:u w:val="single"/>
        </w:rPr>
        <w:t>Erfpacht</w:t>
      </w:r>
      <w:proofErr w:type="spellEnd"/>
      <w:r w:rsidRPr="007F2759">
        <w:rPr>
          <w:u w:val="single"/>
        </w:rPr>
        <w:t>)</w:t>
      </w:r>
      <w:r>
        <w:t xml:space="preserve">: This was the most common title issued between 1937 and 1982. The term was for a period of 75 years and the owner had to pay an annual fee. Separate leasehold titles were issued for agricultural land. In 1938 several Javanese communities in the coastal area, but also four Indigenous villages in District Para were issued communal leasehold titles. These titles could not be alienated or mortgaged and thus differed from the standard leasehold title. In 1981 the Village Communities Act was </w:t>
      </w:r>
      <w:proofErr w:type="gramStart"/>
      <w:r>
        <w:t>repealed</w:t>
      </w:r>
      <w:proofErr w:type="gramEnd"/>
      <w:r>
        <w:t xml:space="preserve"> and these titles were automatically terminated.</w:t>
      </w:r>
    </w:p>
    <w:p w14:paraId="5EE7C312" w14:textId="77777777" w:rsidR="003E5D48" w:rsidRDefault="003E5D48" w:rsidP="00203F2A">
      <w:pPr>
        <w:pStyle w:val="NoSpacing"/>
        <w:numPr>
          <w:ilvl w:val="0"/>
          <w:numId w:val="6"/>
        </w:numPr>
        <w:jc w:val="both"/>
      </w:pPr>
      <w:r w:rsidRPr="007F2759">
        <w:rPr>
          <w:u w:val="single"/>
        </w:rPr>
        <w:t>Land lease (</w:t>
      </w:r>
      <w:proofErr w:type="spellStart"/>
      <w:r w:rsidRPr="007F2759">
        <w:rPr>
          <w:u w:val="single"/>
        </w:rPr>
        <w:t>Grondhuur</w:t>
      </w:r>
      <w:proofErr w:type="spellEnd"/>
      <w:r w:rsidRPr="007F2759">
        <w:rPr>
          <w:u w:val="single"/>
        </w:rPr>
        <w:t>)</w:t>
      </w:r>
      <w:r>
        <w:t>: This is the only title that can be issued after the 1982 and it is issued for land to be used for habitation, agriculture and animal husbandry, industrial purposes and for special purposes. The nature of the use is specified in the title and permission must be obtained from the government to alter the intended use of the land.</w:t>
      </w:r>
    </w:p>
    <w:p w14:paraId="7C337F19" w14:textId="77777777" w:rsidR="003E5D48" w:rsidRDefault="003E5D48" w:rsidP="00203F2A">
      <w:pPr>
        <w:pStyle w:val="NoSpacing"/>
        <w:numPr>
          <w:ilvl w:val="0"/>
          <w:numId w:val="6"/>
        </w:numPr>
        <w:jc w:val="both"/>
      </w:pPr>
      <w:r w:rsidRPr="007F2759">
        <w:rPr>
          <w:u w:val="single"/>
        </w:rPr>
        <w:t>Simple rent</w:t>
      </w:r>
      <w:r>
        <w:t>: A transitional title issued by the government to individuals for land in areas of which the zoning destination has not been determined yet. Simple rent is also issued in anticipation of completion of the administrative procedure to obtain a land lease title as that the holder can begin to conduct agricultural or other commercial activities. The title is not transferable.</w:t>
      </w:r>
    </w:p>
    <w:p w14:paraId="5E9FE20F" w14:textId="77777777" w:rsidR="003E5D48" w:rsidRDefault="003E5D48" w:rsidP="00203F2A">
      <w:pPr>
        <w:pStyle w:val="NoSpacing"/>
        <w:jc w:val="both"/>
      </w:pPr>
    </w:p>
    <w:p w14:paraId="5F87E677" w14:textId="2AD791AF" w:rsidR="003E5D48" w:rsidRPr="009F63D3" w:rsidRDefault="00D409D6" w:rsidP="00203F2A">
      <w:pPr>
        <w:pStyle w:val="NoSpacing"/>
        <w:jc w:val="both"/>
      </w:pPr>
      <w:r>
        <w:t>F</w:t>
      </w:r>
      <w:r w:rsidR="003E5D48" w:rsidRPr="00BA2631">
        <w:t xml:space="preserve">igures indicate that ‘in terms of gross magnitude of land per capita’, Suriname has an abundant supply of land. On the other hand, land that is appropriate for housing and agriculture in the coastal area is </w:t>
      </w:r>
      <w:r w:rsidR="003E5D48">
        <w:t>limited</w:t>
      </w:r>
      <w:r w:rsidR="003E5D48" w:rsidRPr="00BA2631">
        <w:t>. In the urban and peri-urban areas, where population pressure is high, most available building lots are low-lying and require substantial fill with sand before construction can take place. Most agricultural lots require irrigation schemes with dikes and sluices to control the water supply in the dry and rainy seasons.</w:t>
      </w:r>
      <w:r w:rsidR="003E5D48" w:rsidRPr="009F63D3">
        <w:t xml:space="preserve"> </w:t>
      </w:r>
    </w:p>
    <w:p w14:paraId="7BA15438" w14:textId="77777777" w:rsidR="003E5D48" w:rsidRDefault="003E5D48" w:rsidP="00203F2A">
      <w:pPr>
        <w:pStyle w:val="NoSpacing"/>
        <w:jc w:val="both"/>
      </w:pPr>
    </w:p>
    <w:p w14:paraId="7728E53F" w14:textId="32847D6B" w:rsidR="003E5D48" w:rsidRPr="00AB2305" w:rsidRDefault="003E5D48" w:rsidP="00203F2A">
      <w:pPr>
        <w:pStyle w:val="NoSpacing"/>
        <w:jc w:val="both"/>
      </w:pPr>
      <w:r w:rsidRPr="00926785">
        <w:rPr>
          <w:b/>
        </w:rPr>
        <w:t xml:space="preserve">While the expected </w:t>
      </w:r>
      <w:r>
        <w:rPr>
          <w:b/>
        </w:rPr>
        <w:t>P</w:t>
      </w:r>
      <w:r w:rsidRPr="00926785">
        <w:rPr>
          <w:b/>
        </w:rPr>
        <w:t>roject locations will be concentrated in the coastal zone, land tenure arrangement</w:t>
      </w:r>
      <w:r>
        <w:rPr>
          <w:b/>
        </w:rPr>
        <w:t>s</w:t>
      </w:r>
      <w:r w:rsidRPr="00926785">
        <w:rPr>
          <w:b/>
        </w:rPr>
        <w:t xml:space="preserve"> </w:t>
      </w:r>
      <w:r>
        <w:rPr>
          <w:b/>
        </w:rPr>
        <w:t>i</w:t>
      </w:r>
      <w:r w:rsidRPr="00926785">
        <w:rPr>
          <w:b/>
        </w:rPr>
        <w:t xml:space="preserve">n </w:t>
      </w:r>
      <w:r w:rsidR="002D75A5">
        <w:rPr>
          <w:b/>
        </w:rPr>
        <w:t xml:space="preserve">both the Savanna Belt and </w:t>
      </w:r>
      <w:r w:rsidRPr="00926785">
        <w:rPr>
          <w:b/>
        </w:rPr>
        <w:t>the interior of Suriname can be complex.</w:t>
      </w:r>
      <w:r>
        <w:t xml:space="preserve"> </w:t>
      </w:r>
      <w:r w:rsidRPr="00A304F4">
        <w:t>The southern 80 percent of the Suriname land area is covered with dense evergreen tropical rainforest. In general, soils of the interior have a shallow humus layer, are less fertile and are considered less suitable for agricultural development.</w:t>
      </w:r>
      <w:r>
        <w:t xml:space="preserve"> </w:t>
      </w:r>
      <w:r w:rsidRPr="00AB2305">
        <w:t xml:space="preserve">However, </w:t>
      </w:r>
      <w:r w:rsidR="003B1B85">
        <w:t xml:space="preserve">some economic activities </w:t>
      </w:r>
      <w:r w:rsidRPr="00AB2305">
        <w:t xml:space="preserve">in sustainable harvesting and processing of NTFP </w:t>
      </w:r>
      <w:proofErr w:type="gramStart"/>
      <w:r w:rsidR="003B1B85">
        <w:t xml:space="preserve">are </w:t>
      </w:r>
      <w:r w:rsidRPr="00AB2305">
        <w:t>located in</w:t>
      </w:r>
      <w:proofErr w:type="gramEnd"/>
      <w:r w:rsidRPr="00AB2305">
        <w:t xml:space="preserve"> the country’s interior. </w:t>
      </w:r>
    </w:p>
    <w:p w14:paraId="76EF9A4B" w14:textId="77777777" w:rsidR="003E5D48" w:rsidRDefault="003E5D48" w:rsidP="00203F2A">
      <w:pPr>
        <w:pStyle w:val="NoSpacing"/>
        <w:jc w:val="both"/>
      </w:pPr>
    </w:p>
    <w:p w14:paraId="60FF2B8D" w14:textId="77777777" w:rsidR="003E5D48" w:rsidRDefault="003E5D48" w:rsidP="00203F2A">
      <w:pPr>
        <w:pStyle w:val="NoSpacing"/>
        <w:jc w:val="both"/>
      </w:pPr>
      <w:r w:rsidRPr="000467E7">
        <w:rPr>
          <w:b/>
        </w:rPr>
        <w:t>Land use arrangement for the exploitation of natural resources are legally set by the granting of (concession) licenses</w:t>
      </w:r>
      <w:r>
        <w:t xml:space="preserve">. For timber harvesting concessions, strict procedures for obtaining these harvesting rights and safeguards for sustainable logging are based on the Forest Management Act (1992) and enforced by the </w:t>
      </w:r>
      <w:r w:rsidRPr="00A06EAC">
        <w:t xml:space="preserve">Foundation for Forest Management and Production Control (SBB: </w:t>
      </w:r>
      <w:proofErr w:type="spellStart"/>
      <w:r w:rsidRPr="00A06EAC">
        <w:t>Stichting</w:t>
      </w:r>
      <w:proofErr w:type="spellEnd"/>
      <w:r w:rsidRPr="00A06EAC">
        <w:t xml:space="preserve"> </w:t>
      </w:r>
      <w:proofErr w:type="spellStart"/>
      <w:r w:rsidRPr="00A06EAC">
        <w:t>Bosbeheer</w:t>
      </w:r>
      <w:proofErr w:type="spellEnd"/>
      <w:r w:rsidRPr="00A06EAC">
        <w:t xml:space="preserve"> </w:t>
      </w:r>
      <w:proofErr w:type="spellStart"/>
      <w:r w:rsidRPr="00A06EAC">
        <w:t>en</w:t>
      </w:r>
      <w:proofErr w:type="spellEnd"/>
      <w:r w:rsidRPr="00A06EAC">
        <w:t xml:space="preserve"> </w:t>
      </w:r>
      <w:proofErr w:type="spellStart"/>
      <w:r w:rsidRPr="00A06EAC">
        <w:t>Bostoezicht</w:t>
      </w:r>
      <w:proofErr w:type="spellEnd"/>
      <w:r>
        <w:t>). Based on the SBB statistics, by the end of 2016, a total of 220 licences were issued through which holders was granted timber harvesting rights over a total area of 2,925,168 ha</w:t>
      </w:r>
      <w:r>
        <w:rPr>
          <w:rStyle w:val="FootnoteReference"/>
        </w:rPr>
        <w:footnoteReference w:id="19"/>
      </w:r>
      <w:r>
        <w:t xml:space="preserve">. </w:t>
      </w:r>
    </w:p>
    <w:p w14:paraId="3836A740" w14:textId="24D75B20" w:rsidR="003E5D48" w:rsidRDefault="003E5D48" w:rsidP="00203F2A">
      <w:pPr>
        <w:pStyle w:val="NoSpacing"/>
        <w:jc w:val="both"/>
      </w:pPr>
    </w:p>
    <w:p w14:paraId="74CFAB2C" w14:textId="523C4066" w:rsidR="004C75AF" w:rsidRPr="004C75AF" w:rsidRDefault="004C75AF" w:rsidP="00203F2A">
      <w:pPr>
        <w:pStyle w:val="NoSpacing"/>
        <w:jc w:val="both"/>
        <w:rPr>
          <w:b/>
        </w:rPr>
      </w:pPr>
      <w:r w:rsidRPr="004C75AF">
        <w:rPr>
          <w:b/>
        </w:rPr>
        <w:t>Table 3: Timber Harvesting Titles 2016: numbers and areas</w:t>
      </w:r>
    </w:p>
    <w:p w14:paraId="72D2CF03" w14:textId="77777777" w:rsidR="004C75AF" w:rsidRDefault="004C75AF" w:rsidP="00203F2A">
      <w:pPr>
        <w:pStyle w:val="NoSpacing"/>
        <w:jc w:val="both"/>
      </w:pPr>
    </w:p>
    <w:tbl>
      <w:tblPr>
        <w:tblStyle w:val="TableGrid"/>
        <w:tblW w:w="0" w:type="auto"/>
        <w:tblLook w:val="04A0" w:firstRow="1" w:lastRow="0" w:firstColumn="1" w:lastColumn="0" w:noHBand="0" w:noVBand="1"/>
      </w:tblPr>
      <w:tblGrid>
        <w:gridCol w:w="3823"/>
        <w:gridCol w:w="2218"/>
        <w:gridCol w:w="3021"/>
      </w:tblGrid>
      <w:tr w:rsidR="003E5D48" w:rsidRPr="00A57FD5" w14:paraId="557896B4" w14:textId="77777777" w:rsidTr="009E00C5">
        <w:tc>
          <w:tcPr>
            <w:tcW w:w="3823" w:type="dxa"/>
          </w:tcPr>
          <w:p w14:paraId="23BB12BA" w14:textId="77777777" w:rsidR="003E5D48" w:rsidRPr="00A57FD5" w:rsidRDefault="003E5D48" w:rsidP="00203F2A">
            <w:pPr>
              <w:pStyle w:val="NoSpacing"/>
              <w:jc w:val="both"/>
              <w:rPr>
                <w:b/>
                <w:lang w:val="nl-NL"/>
              </w:rPr>
            </w:pPr>
            <w:r w:rsidRPr="00A57FD5">
              <w:rPr>
                <w:b/>
                <w:lang w:val="nl-NL"/>
              </w:rPr>
              <w:t>License / Title</w:t>
            </w:r>
          </w:p>
        </w:tc>
        <w:tc>
          <w:tcPr>
            <w:tcW w:w="2218" w:type="dxa"/>
          </w:tcPr>
          <w:p w14:paraId="5ACA2031" w14:textId="77777777" w:rsidR="003E5D48" w:rsidRPr="00A57FD5" w:rsidRDefault="003E5D48" w:rsidP="00203F2A">
            <w:pPr>
              <w:pStyle w:val="NoSpacing"/>
              <w:jc w:val="both"/>
              <w:rPr>
                <w:b/>
                <w:lang w:val="nl-NL"/>
              </w:rPr>
            </w:pPr>
            <w:r w:rsidRPr="00A57FD5">
              <w:rPr>
                <w:b/>
                <w:lang w:val="nl-NL"/>
              </w:rPr>
              <w:t>Number</w:t>
            </w:r>
          </w:p>
        </w:tc>
        <w:tc>
          <w:tcPr>
            <w:tcW w:w="3021" w:type="dxa"/>
          </w:tcPr>
          <w:p w14:paraId="1741E19A" w14:textId="77777777" w:rsidR="003E5D48" w:rsidRPr="00A57FD5" w:rsidRDefault="003E5D48" w:rsidP="00203F2A">
            <w:pPr>
              <w:pStyle w:val="NoSpacing"/>
              <w:jc w:val="both"/>
              <w:rPr>
                <w:b/>
                <w:lang w:val="nl-NL"/>
              </w:rPr>
            </w:pPr>
            <w:r w:rsidRPr="00A57FD5">
              <w:rPr>
                <w:b/>
                <w:lang w:val="nl-NL"/>
              </w:rPr>
              <w:t>Total Area (Ha)</w:t>
            </w:r>
          </w:p>
        </w:tc>
      </w:tr>
      <w:tr w:rsidR="003E5D48" w14:paraId="19CD24E8" w14:textId="77777777" w:rsidTr="009E00C5">
        <w:tc>
          <w:tcPr>
            <w:tcW w:w="3823" w:type="dxa"/>
          </w:tcPr>
          <w:p w14:paraId="0E3A555B" w14:textId="77777777" w:rsidR="003E5D48" w:rsidRDefault="003E5D48" w:rsidP="00203F2A">
            <w:pPr>
              <w:pStyle w:val="NoSpacing"/>
              <w:jc w:val="both"/>
              <w:rPr>
                <w:lang w:val="nl-NL"/>
              </w:rPr>
            </w:pPr>
            <w:r>
              <w:rPr>
                <w:lang w:val="nl-NL"/>
              </w:rPr>
              <w:t>Forestry Concessions</w:t>
            </w:r>
          </w:p>
        </w:tc>
        <w:tc>
          <w:tcPr>
            <w:tcW w:w="2218" w:type="dxa"/>
          </w:tcPr>
          <w:p w14:paraId="6EE92EFD" w14:textId="77777777" w:rsidR="003E5D48" w:rsidRDefault="003E5D48" w:rsidP="00203F2A">
            <w:pPr>
              <w:pStyle w:val="NoSpacing"/>
              <w:jc w:val="both"/>
              <w:rPr>
                <w:lang w:val="nl-NL"/>
              </w:rPr>
            </w:pPr>
            <w:r>
              <w:rPr>
                <w:lang w:val="nl-NL"/>
              </w:rPr>
              <w:t>115</w:t>
            </w:r>
          </w:p>
        </w:tc>
        <w:tc>
          <w:tcPr>
            <w:tcW w:w="3021" w:type="dxa"/>
          </w:tcPr>
          <w:p w14:paraId="02BCA330" w14:textId="77777777" w:rsidR="003E5D48" w:rsidRDefault="003E5D48" w:rsidP="00203F2A">
            <w:pPr>
              <w:pStyle w:val="NoSpacing"/>
              <w:jc w:val="both"/>
              <w:rPr>
                <w:lang w:val="nl-NL"/>
              </w:rPr>
            </w:pPr>
            <w:r>
              <w:rPr>
                <w:lang w:val="nl-NL"/>
              </w:rPr>
              <w:t>1,624,589</w:t>
            </w:r>
          </w:p>
        </w:tc>
      </w:tr>
      <w:tr w:rsidR="003E5D48" w14:paraId="73192F72" w14:textId="77777777" w:rsidTr="009E00C5">
        <w:tc>
          <w:tcPr>
            <w:tcW w:w="3823" w:type="dxa"/>
          </w:tcPr>
          <w:p w14:paraId="6E0DA229" w14:textId="77777777" w:rsidR="003E5D48" w:rsidRDefault="003E5D48" w:rsidP="00203F2A">
            <w:pPr>
              <w:pStyle w:val="NoSpacing"/>
              <w:jc w:val="both"/>
              <w:rPr>
                <w:lang w:val="nl-NL"/>
              </w:rPr>
            </w:pPr>
            <w:r>
              <w:rPr>
                <w:lang w:val="nl-NL"/>
              </w:rPr>
              <w:t>Community Forests</w:t>
            </w:r>
          </w:p>
        </w:tc>
        <w:tc>
          <w:tcPr>
            <w:tcW w:w="2218" w:type="dxa"/>
          </w:tcPr>
          <w:p w14:paraId="1C12F37C" w14:textId="77777777" w:rsidR="003E5D48" w:rsidRDefault="003E5D48" w:rsidP="00203F2A">
            <w:pPr>
              <w:pStyle w:val="NoSpacing"/>
              <w:jc w:val="both"/>
              <w:rPr>
                <w:lang w:val="nl-NL"/>
              </w:rPr>
            </w:pPr>
            <w:r>
              <w:rPr>
                <w:lang w:val="nl-NL"/>
              </w:rPr>
              <w:t>97</w:t>
            </w:r>
          </w:p>
        </w:tc>
        <w:tc>
          <w:tcPr>
            <w:tcW w:w="3021" w:type="dxa"/>
          </w:tcPr>
          <w:p w14:paraId="1E13A7CD" w14:textId="77777777" w:rsidR="003E5D48" w:rsidRDefault="003E5D48" w:rsidP="00203F2A">
            <w:pPr>
              <w:pStyle w:val="NoSpacing"/>
              <w:jc w:val="both"/>
              <w:rPr>
                <w:lang w:val="nl-NL"/>
              </w:rPr>
            </w:pPr>
            <w:r>
              <w:rPr>
                <w:lang w:val="nl-NL"/>
              </w:rPr>
              <w:t>775,760</w:t>
            </w:r>
          </w:p>
        </w:tc>
      </w:tr>
      <w:tr w:rsidR="003E5D48" w14:paraId="35A553A3" w14:textId="77777777" w:rsidTr="009E00C5">
        <w:tc>
          <w:tcPr>
            <w:tcW w:w="3823" w:type="dxa"/>
          </w:tcPr>
          <w:p w14:paraId="283E2FA9" w14:textId="77777777" w:rsidR="003E5D48" w:rsidRDefault="003E5D48" w:rsidP="00203F2A">
            <w:pPr>
              <w:pStyle w:val="NoSpacing"/>
              <w:jc w:val="both"/>
              <w:rPr>
                <w:lang w:val="nl-NL"/>
              </w:rPr>
            </w:pPr>
            <w:r>
              <w:rPr>
                <w:lang w:val="nl-NL"/>
              </w:rPr>
              <w:t>Incidental Cutting Licenses</w:t>
            </w:r>
          </w:p>
        </w:tc>
        <w:tc>
          <w:tcPr>
            <w:tcW w:w="2218" w:type="dxa"/>
          </w:tcPr>
          <w:p w14:paraId="74B73AFC" w14:textId="77777777" w:rsidR="003E5D48" w:rsidRDefault="003E5D48" w:rsidP="00203F2A">
            <w:pPr>
              <w:pStyle w:val="NoSpacing"/>
              <w:jc w:val="both"/>
              <w:rPr>
                <w:lang w:val="nl-NL"/>
              </w:rPr>
            </w:pPr>
            <w:r>
              <w:rPr>
                <w:lang w:val="nl-NL"/>
              </w:rPr>
              <w:t>4</w:t>
            </w:r>
          </w:p>
        </w:tc>
        <w:tc>
          <w:tcPr>
            <w:tcW w:w="3021" w:type="dxa"/>
          </w:tcPr>
          <w:p w14:paraId="345ED886" w14:textId="77777777" w:rsidR="003E5D48" w:rsidRDefault="003E5D48" w:rsidP="00203F2A">
            <w:pPr>
              <w:pStyle w:val="NoSpacing"/>
              <w:jc w:val="both"/>
              <w:rPr>
                <w:lang w:val="nl-NL"/>
              </w:rPr>
            </w:pPr>
            <w:r>
              <w:rPr>
                <w:lang w:val="nl-NL"/>
              </w:rPr>
              <w:t>174,178</w:t>
            </w:r>
          </w:p>
        </w:tc>
      </w:tr>
      <w:tr w:rsidR="003E5D48" w14:paraId="7D68834A" w14:textId="77777777" w:rsidTr="009E00C5">
        <w:tc>
          <w:tcPr>
            <w:tcW w:w="3823" w:type="dxa"/>
          </w:tcPr>
          <w:p w14:paraId="22866E95" w14:textId="77777777" w:rsidR="003E5D48" w:rsidRDefault="003E5D48" w:rsidP="00203F2A">
            <w:pPr>
              <w:pStyle w:val="NoSpacing"/>
              <w:jc w:val="both"/>
              <w:rPr>
                <w:lang w:val="nl-NL"/>
              </w:rPr>
            </w:pPr>
            <w:r>
              <w:rPr>
                <w:lang w:val="nl-NL"/>
              </w:rPr>
              <w:t>Exploration Permits</w:t>
            </w:r>
          </w:p>
        </w:tc>
        <w:tc>
          <w:tcPr>
            <w:tcW w:w="2218" w:type="dxa"/>
          </w:tcPr>
          <w:p w14:paraId="1A4CFFDB" w14:textId="77777777" w:rsidR="003E5D48" w:rsidRDefault="003E5D48" w:rsidP="00203F2A">
            <w:pPr>
              <w:pStyle w:val="NoSpacing"/>
              <w:jc w:val="both"/>
              <w:rPr>
                <w:lang w:val="nl-NL"/>
              </w:rPr>
            </w:pPr>
            <w:r>
              <w:rPr>
                <w:lang w:val="nl-NL"/>
              </w:rPr>
              <w:t>4</w:t>
            </w:r>
          </w:p>
        </w:tc>
        <w:tc>
          <w:tcPr>
            <w:tcW w:w="3021" w:type="dxa"/>
          </w:tcPr>
          <w:p w14:paraId="1700311A" w14:textId="77777777" w:rsidR="003E5D48" w:rsidRDefault="003E5D48" w:rsidP="00203F2A">
            <w:pPr>
              <w:pStyle w:val="NoSpacing"/>
              <w:jc w:val="both"/>
              <w:rPr>
                <w:lang w:val="nl-NL"/>
              </w:rPr>
            </w:pPr>
            <w:r>
              <w:rPr>
                <w:lang w:val="nl-NL"/>
              </w:rPr>
              <w:t>350,641</w:t>
            </w:r>
          </w:p>
        </w:tc>
      </w:tr>
      <w:tr w:rsidR="003E5D48" w14:paraId="59E814CC" w14:textId="77777777" w:rsidTr="009E00C5">
        <w:tc>
          <w:tcPr>
            <w:tcW w:w="3823" w:type="dxa"/>
          </w:tcPr>
          <w:p w14:paraId="2D81ADB6" w14:textId="77777777" w:rsidR="003E5D48" w:rsidRDefault="003E5D48" w:rsidP="00203F2A">
            <w:pPr>
              <w:pStyle w:val="NoSpacing"/>
              <w:jc w:val="both"/>
              <w:rPr>
                <w:lang w:val="nl-NL"/>
              </w:rPr>
            </w:pPr>
            <w:r>
              <w:rPr>
                <w:lang w:val="nl-NL"/>
              </w:rPr>
              <w:t>TOTAL</w:t>
            </w:r>
          </w:p>
        </w:tc>
        <w:tc>
          <w:tcPr>
            <w:tcW w:w="2218" w:type="dxa"/>
          </w:tcPr>
          <w:p w14:paraId="62F1F475" w14:textId="77777777" w:rsidR="003E5D48" w:rsidRDefault="003E5D48" w:rsidP="00203F2A">
            <w:pPr>
              <w:pStyle w:val="NoSpacing"/>
              <w:jc w:val="both"/>
              <w:rPr>
                <w:lang w:val="nl-NL"/>
              </w:rPr>
            </w:pPr>
            <w:r>
              <w:rPr>
                <w:lang w:val="nl-NL"/>
              </w:rPr>
              <w:t>220</w:t>
            </w:r>
          </w:p>
        </w:tc>
        <w:tc>
          <w:tcPr>
            <w:tcW w:w="3021" w:type="dxa"/>
          </w:tcPr>
          <w:p w14:paraId="773C286F" w14:textId="77777777" w:rsidR="003E5D48" w:rsidRDefault="003E5D48" w:rsidP="00203F2A">
            <w:pPr>
              <w:pStyle w:val="NoSpacing"/>
              <w:jc w:val="both"/>
              <w:rPr>
                <w:lang w:val="nl-NL"/>
              </w:rPr>
            </w:pPr>
            <w:r>
              <w:rPr>
                <w:lang w:val="nl-NL"/>
              </w:rPr>
              <w:t>2,925,168</w:t>
            </w:r>
          </w:p>
        </w:tc>
      </w:tr>
    </w:tbl>
    <w:p w14:paraId="7FC0133A" w14:textId="77777777" w:rsidR="002D75A5" w:rsidRDefault="002D75A5" w:rsidP="00203F2A">
      <w:pPr>
        <w:pStyle w:val="NoSpacing"/>
        <w:jc w:val="both"/>
        <w:rPr>
          <w:lang w:val="nl-NL"/>
        </w:rPr>
      </w:pPr>
    </w:p>
    <w:p w14:paraId="25BE0F37" w14:textId="0E691262" w:rsidR="008753F4" w:rsidRPr="008753F4" w:rsidRDefault="008753F4" w:rsidP="00203F2A">
      <w:pPr>
        <w:spacing w:after="0" w:line="240" w:lineRule="auto"/>
        <w:jc w:val="both"/>
      </w:pPr>
      <w:r w:rsidRPr="008753F4">
        <w:rPr>
          <w:b/>
        </w:rPr>
        <w:t>The core of Suriname’s national land tenure system is the ‘domain principle’.</w:t>
      </w:r>
      <w:r w:rsidRPr="008753F4">
        <w:t xml:space="preserve"> This principle was laid down in the L‐Decrees of 1982, which state that: “All land to which the right of ownership cannot be proven by other parties, is property of the State”. Indigenous peoples and Maroons never obtained personal, real, or collective titles to the lands they inhabit and use. Hence, they do not have any formal rights to these lands and related resources, which subsequently are all state property. The Rapid Social Assessment (RSA)</w:t>
      </w:r>
      <w:r>
        <w:rPr>
          <w:rStyle w:val="FootnoteReference"/>
        </w:rPr>
        <w:footnoteReference w:id="20"/>
      </w:r>
      <w:r w:rsidRPr="008753F4">
        <w:t xml:space="preserve"> offers a more extensive discussion of the legal status of Indigenous Peoples and Maroons, the position of their traditional authorities within Suriname’s governance structures, and their rights to land and resources.</w:t>
      </w:r>
    </w:p>
    <w:p w14:paraId="075A8042" w14:textId="77777777" w:rsidR="008753F4" w:rsidRPr="008753F4" w:rsidRDefault="008753F4" w:rsidP="00203F2A">
      <w:pPr>
        <w:spacing w:after="0" w:line="240" w:lineRule="auto"/>
        <w:jc w:val="both"/>
        <w:rPr>
          <w:b/>
        </w:rPr>
      </w:pPr>
    </w:p>
    <w:p w14:paraId="35F71E32" w14:textId="08402095" w:rsidR="008753F4" w:rsidRPr="008753F4" w:rsidRDefault="008753F4" w:rsidP="00203F2A">
      <w:pPr>
        <w:spacing w:after="0" w:line="240" w:lineRule="auto"/>
        <w:jc w:val="both"/>
      </w:pPr>
      <w:r w:rsidRPr="008753F4">
        <w:rPr>
          <w:b/>
        </w:rPr>
        <w:t xml:space="preserve">Despite the lack of formal title under the current Suriname legal system, various legal instruments stipulate that the customary land use rights of Indigenous peoples and Maroons must be </w:t>
      </w:r>
      <w:proofErr w:type="gramStart"/>
      <w:r w:rsidRPr="008753F4">
        <w:rPr>
          <w:b/>
        </w:rPr>
        <w:t>taken into account</w:t>
      </w:r>
      <w:proofErr w:type="gramEnd"/>
      <w:r w:rsidRPr="008753F4">
        <w:rPr>
          <w:b/>
        </w:rPr>
        <w:t>.</w:t>
      </w:r>
      <w:r w:rsidRPr="008753F4">
        <w:t xml:space="preserve"> The historic rights of Indigenous and Maroon groups to inhabit and use certain territories are not included in the Suriname’s legal framework. Nevertheless, certain national laws do include clauses that call for protection of the customary land rights of Maroons and Indigenous peoples. The level of that protection, however, remains undefined. Within the 1982 L‐Decrees this principle is formulated as such: “In the disposal of government land, the rights of the tribal communities of Bush</w:t>
      </w:r>
      <w:r w:rsidR="00B72CF8">
        <w:t>-</w:t>
      </w:r>
      <w:r w:rsidRPr="008753F4">
        <w:t xml:space="preserve">negroes and Amerindians to their villages, settlements and subsistence plots will be respected, in so far as this is not contrary to the general interest”. The 1992 Forestry Act uses similar phrasing, in stating that customary land and resource rights need to be respected ‘as far as possible’. These customary rights are subordinate to vaguely defined ‘public </w:t>
      </w:r>
      <w:proofErr w:type="gramStart"/>
      <w:r w:rsidRPr="008753F4">
        <w:t>interests</w:t>
      </w:r>
      <w:r w:rsidR="00E652A7">
        <w:t xml:space="preserve"> </w:t>
      </w:r>
      <w:r w:rsidRPr="008753F4">
        <w:t>’</w:t>
      </w:r>
      <w:proofErr w:type="gramEnd"/>
      <w:r w:rsidRPr="008753F4">
        <w:t>. In other legal instruments, such as the Mining Decree 1986, customary rights are not mentioned</w:t>
      </w:r>
      <w:r w:rsidRPr="008753F4">
        <w:rPr>
          <w:vertAlign w:val="superscript"/>
        </w:rPr>
        <w:footnoteReference w:id="21"/>
      </w:r>
      <w:r w:rsidRPr="008753F4">
        <w:t>. The RSA provides a more in-depth discussion of the extent to which customary land rights of Indigenous Peoples and Maroons are protected in Suriname laws and regulations</w:t>
      </w:r>
      <w:r w:rsidR="007A45D9">
        <w:t>.</w:t>
      </w:r>
    </w:p>
    <w:p w14:paraId="644E432C" w14:textId="77777777" w:rsidR="008753F4" w:rsidRPr="008753F4" w:rsidRDefault="008753F4" w:rsidP="00203F2A">
      <w:pPr>
        <w:jc w:val="both"/>
      </w:pPr>
    </w:p>
    <w:p w14:paraId="2973D51D" w14:textId="77777777" w:rsidR="008753F4" w:rsidRPr="008753F4" w:rsidRDefault="008753F4" w:rsidP="00203F2A">
      <w:pPr>
        <w:jc w:val="both"/>
      </w:pPr>
    </w:p>
    <w:p w14:paraId="28288A76" w14:textId="77777777" w:rsidR="0004698C" w:rsidRDefault="0004698C" w:rsidP="00203F2A">
      <w:pPr>
        <w:jc w:val="both"/>
      </w:pPr>
      <w:r>
        <w:br w:type="page"/>
      </w:r>
    </w:p>
    <w:p w14:paraId="7976F846" w14:textId="77777777" w:rsidR="0004698C" w:rsidRPr="00556E73" w:rsidRDefault="0004698C" w:rsidP="00203F2A">
      <w:pPr>
        <w:pStyle w:val="Heading1"/>
        <w:jc w:val="both"/>
      </w:pPr>
      <w:bookmarkStart w:id="35" w:name="_Toc529407557"/>
      <w:bookmarkStart w:id="36" w:name="_Toc531965021"/>
      <w:r w:rsidRPr="00556E73">
        <w:t xml:space="preserve">Section </w:t>
      </w:r>
      <w:r>
        <w:t>6</w:t>
      </w:r>
      <w:r w:rsidRPr="00556E73">
        <w:t xml:space="preserve"> </w:t>
      </w:r>
      <w:r>
        <w:tab/>
      </w:r>
      <w:r w:rsidRPr="00556E73">
        <w:t>Assessment of Environmental and Social Risks and Impacts</w:t>
      </w:r>
      <w:bookmarkEnd w:id="35"/>
      <w:bookmarkEnd w:id="36"/>
    </w:p>
    <w:p w14:paraId="641F8E10" w14:textId="77777777" w:rsidR="0004698C" w:rsidRDefault="0004698C" w:rsidP="00203F2A">
      <w:pPr>
        <w:pStyle w:val="NoSpacing"/>
        <w:jc w:val="both"/>
      </w:pPr>
    </w:p>
    <w:p w14:paraId="2999E6BD" w14:textId="4A94EC69" w:rsidR="0004698C" w:rsidRDefault="0004698C" w:rsidP="00203F2A">
      <w:pPr>
        <w:pStyle w:val="NoSpacing"/>
        <w:jc w:val="both"/>
        <w:rPr>
          <w:b/>
        </w:rPr>
      </w:pPr>
      <w:r w:rsidRPr="005B1CFC">
        <w:t xml:space="preserve">The </w:t>
      </w:r>
      <w:r w:rsidR="00190610">
        <w:t>SCSD</w:t>
      </w:r>
      <w:r w:rsidRPr="005B1CFC">
        <w:t xml:space="preserve"> Project will provide technical assistance, public support for</w:t>
      </w:r>
      <w:r>
        <w:t xml:space="preserve"> SMEs</w:t>
      </w:r>
      <w:r w:rsidR="0078137C">
        <w:t>,</w:t>
      </w:r>
      <w:r>
        <w:t xml:space="preserve"> and some site-specific investments (matching grants support) in the agribusiness, tourism, </w:t>
      </w:r>
      <w:r w:rsidR="00DF2FFC">
        <w:t xml:space="preserve">and </w:t>
      </w:r>
      <w:r>
        <w:t>mining sectors, aiming at</w:t>
      </w:r>
      <w:r w:rsidR="00DF2FFC">
        <w:t xml:space="preserve"> strengthening governance and</w:t>
      </w:r>
      <w:r>
        <w:t xml:space="preserve"> </w:t>
      </w:r>
      <w:r w:rsidR="00DF2FFC">
        <w:t xml:space="preserve">creating </w:t>
      </w:r>
      <w:r>
        <w:t xml:space="preserve">a conducive enabling environment for </w:t>
      </w:r>
      <w:r w:rsidR="00DF2FFC">
        <w:t>competitiveness</w:t>
      </w:r>
      <w:r>
        <w:t>.</w:t>
      </w:r>
      <w:r>
        <w:rPr>
          <w:b/>
        </w:rPr>
        <w:t xml:space="preserve"> </w:t>
      </w:r>
    </w:p>
    <w:p w14:paraId="10359BDB" w14:textId="77777777" w:rsidR="0004698C" w:rsidRDefault="0004698C" w:rsidP="00203F2A">
      <w:pPr>
        <w:pStyle w:val="NoSpacing"/>
        <w:jc w:val="both"/>
        <w:rPr>
          <w:b/>
        </w:rPr>
      </w:pPr>
    </w:p>
    <w:p w14:paraId="73A8E710" w14:textId="78A177E5" w:rsidR="0004698C" w:rsidRPr="00386E6F" w:rsidRDefault="0004698C" w:rsidP="00203F2A">
      <w:pPr>
        <w:pStyle w:val="NoSpacing"/>
        <w:jc w:val="both"/>
      </w:pPr>
      <w:r>
        <w:t xml:space="preserve">Impacts, both positive and negative, associated with the activities under the various Project Components, can be both direct as well as indirect. </w:t>
      </w:r>
      <w:r w:rsidRPr="004119A0">
        <w:rPr>
          <w:b/>
        </w:rPr>
        <w:t>Limited knowledge and capacities, both in the public and private domain, are considered a</w:t>
      </w:r>
      <w:r w:rsidR="00B6710C">
        <w:rPr>
          <w:b/>
        </w:rPr>
        <w:t xml:space="preserve">n overarching </w:t>
      </w:r>
      <w:r w:rsidRPr="004119A0">
        <w:rPr>
          <w:b/>
        </w:rPr>
        <w:t>risk in assessing</w:t>
      </w:r>
      <w:r>
        <w:rPr>
          <w:b/>
        </w:rPr>
        <w:t>, reducing and monitoring</w:t>
      </w:r>
      <w:r w:rsidRPr="004119A0">
        <w:rPr>
          <w:b/>
        </w:rPr>
        <w:t xml:space="preserve"> the potential environmental</w:t>
      </w:r>
      <w:r w:rsidR="00D22362">
        <w:rPr>
          <w:b/>
        </w:rPr>
        <w:t xml:space="preserve"> and social</w:t>
      </w:r>
      <w:r w:rsidRPr="004119A0">
        <w:rPr>
          <w:b/>
        </w:rPr>
        <w:t xml:space="preserve"> impacts of these future investments.</w:t>
      </w:r>
      <w:r w:rsidR="00B6710C" w:rsidRPr="00386E6F">
        <w:t xml:space="preserve"> </w:t>
      </w:r>
    </w:p>
    <w:p w14:paraId="1381BD2C" w14:textId="77777777" w:rsidR="0004698C" w:rsidRDefault="0004698C" w:rsidP="00203F2A">
      <w:pPr>
        <w:pStyle w:val="NoSpacing"/>
        <w:jc w:val="both"/>
      </w:pPr>
    </w:p>
    <w:p w14:paraId="7342FB47" w14:textId="430836E1" w:rsidR="0004698C" w:rsidRDefault="0004698C" w:rsidP="00203F2A">
      <w:pPr>
        <w:pStyle w:val="NoSpacing"/>
        <w:jc w:val="both"/>
      </w:pPr>
      <w:r w:rsidRPr="00922677">
        <w:rPr>
          <w:b/>
        </w:rPr>
        <w:t xml:space="preserve">Activities under Component 1 aim to </w:t>
      </w:r>
      <w:r w:rsidR="001A1D86">
        <w:rPr>
          <w:b/>
          <w:bCs/>
          <w:lang w:val="en-US"/>
        </w:rPr>
        <w:t>s</w:t>
      </w:r>
      <w:r w:rsidR="001A1D86" w:rsidRPr="001A1D86">
        <w:rPr>
          <w:b/>
          <w:bCs/>
          <w:lang w:val="en-US"/>
        </w:rPr>
        <w:t xml:space="preserve">trengthen mining sector governance, transparency, accountability, and administration </w:t>
      </w:r>
      <w:r>
        <w:t xml:space="preserve">by </w:t>
      </w:r>
      <w:r w:rsidR="00EB4B21" w:rsidRPr="00EB4B21">
        <w:t>supporting improvements to the legal, regulatory, and institutional framework governing mining in Suriname</w:t>
      </w:r>
      <w:r w:rsidR="00EB4B21">
        <w:t>. This</w:t>
      </w:r>
      <w:r w:rsidR="00EB4B21" w:rsidRPr="00EB4B21">
        <w:t xml:space="preserve"> </w:t>
      </w:r>
      <w:r>
        <w:t>includ</w:t>
      </w:r>
      <w:r w:rsidR="00EB4B21">
        <w:t>es</w:t>
      </w:r>
      <w:r>
        <w:t xml:space="preserve"> </w:t>
      </w:r>
      <w:r w:rsidR="00EB4B21">
        <w:t xml:space="preserve">support </w:t>
      </w:r>
      <w:proofErr w:type="gramStart"/>
      <w:r>
        <w:t>with regard to</w:t>
      </w:r>
      <w:proofErr w:type="gramEnd"/>
      <w:r>
        <w:t xml:space="preserve"> environmental</w:t>
      </w:r>
      <w:r w:rsidR="00D22362">
        <w:t xml:space="preserve"> and social</w:t>
      </w:r>
      <w:r>
        <w:t xml:space="preserve"> impact</w:t>
      </w:r>
      <w:r w:rsidR="007D412F">
        <w:t xml:space="preserve"> of activities in the mining sector</w:t>
      </w:r>
      <w:r>
        <w:t>.</w:t>
      </w:r>
    </w:p>
    <w:p w14:paraId="6BAEB8C5" w14:textId="77777777" w:rsidR="0004698C" w:rsidRDefault="0004698C" w:rsidP="00203F2A">
      <w:pPr>
        <w:pStyle w:val="NoSpacing"/>
        <w:jc w:val="both"/>
      </w:pPr>
    </w:p>
    <w:p w14:paraId="28F33FA6" w14:textId="5CE494F7" w:rsidR="0004698C" w:rsidRDefault="0004698C" w:rsidP="00203F2A">
      <w:pPr>
        <w:pStyle w:val="NoSpacing"/>
        <w:ind w:left="1410" w:hanging="1410"/>
        <w:jc w:val="both"/>
      </w:pPr>
      <w:r w:rsidRPr="00922677">
        <w:rPr>
          <w:b/>
        </w:rPr>
        <w:t>RISK:</w:t>
      </w:r>
      <w:r>
        <w:tab/>
      </w:r>
      <w:r w:rsidR="003B1B85">
        <w:t xml:space="preserve">Future </w:t>
      </w:r>
      <w:r w:rsidR="00DE794D">
        <w:t xml:space="preserve">mining </w:t>
      </w:r>
      <w:r w:rsidR="003B1B85">
        <w:t xml:space="preserve">investment activities could take place in a regulatory environment </w:t>
      </w:r>
      <w:r w:rsidR="00AC20DB">
        <w:t xml:space="preserve">supported by the Project </w:t>
      </w:r>
      <w:r w:rsidR="003B1B85">
        <w:t>that does not adequately manage environmental and social issues</w:t>
      </w:r>
      <w:r>
        <w:t>.</w:t>
      </w:r>
    </w:p>
    <w:p w14:paraId="16DD944E" w14:textId="77777777" w:rsidR="0004698C" w:rsidRPr="00694AAF" w:rsidRDefault="0004698C" w:rsidP="00203F2A">
      <w:pPr>
        <w:pStyle w:val="NoSpacing"/>
        <w:ind w:left="1410" w:hanging="1410"/>
        <w:jc w:val="both"/>
      </w:pPr>
    </w:p>
    <w:p w14:paraId="4D8F3560" w14:textId="653D8475" w:rsidR="0004698C" w:rsidRDefault="0004698C" w:rsidP="00203F2A">
      <w:pPr>
        <w:pStyle w:val="NoSpacing"/>
        <w:ind w:left="1410" w:hanging="1410"/>
        <w:jc w:val="both"/>
      </w:pPr>
      <w:r w:rsidRPr="00922677">
        <w:rPr>
          <w:b/>
        </w:rPr>
        <w:t>IMPACT:</w:t>
      </w:r>
      <w:r>
        <w:tab/>
        <w:t>Vulnerable groups and landscapes with High Conservation Values</w:t>
      </w:r>
      <w:r>
        <w:rPr>
          <w:rStyle w:val="FootnoteReference"/>
        </w:rPr>
        <w:footnoteReference w:id="22"/>
      </w:r>
      <w:r>
        <w:t xml:space="preserve"> (HCVs) may be negatively impacted by new </w:t>
      </w:r>
      <w:r w:rsidR="00AC20DB">
        <w:t xml:space="preserve">mining </w:t>
      </w:r>
      <w:r>
        <w:t>investments in the future.</w:t>
      </w:r>
      <w:r>
        <w:rPr>
          <w:rStyle w:val="FootnoteReference"/>
        </w:rPr>
        <w:footnoteReference w:id="23"/>
      </w:r>
      <w:r>
        <w:t xml:space="preserve"> There will be no direct impact of Component 1 activities</w:t>
      </w:r>
      <w:r w:rsidR="007D3170">
        <w:t>.</w:t>
      </w:r>
      <w:r>
        <w:t xml:space="preserve"> </w:t>
      </w:r>
    </w:p>
    <w:p w14:paraId="09FF70D4" w14:textId="77777777" w:rsidR="0004698C" w:rsidRDefault="0004698C" w:rsidP="00203F2A">
      <w:pPr>
        <w:pStyle w:val="NoSpacing"/>
        <w:ind w:left="705" w:hanging="705"/>
        <w:jc w:val="both"/>
      </w:pPr>
    </w:p>
    <w:p w14:paraId="27983D66" w14:textId="040F6615" w:rsidR="0004698C" w:rsidRDefault="0004698C" w:rsidP="00203F2A">
      <w:pPr>
        <w:pStyle w:val="NoSpacing"/>
        <w:jc w:val="both"/>
      </w:pPr>
      <w:r>
        <w:t>As this component will finance a Strategic Environmental and Social Assessment (SESA)</w:t>
      </w:r>
      <w:r w:rsidR="002753C9">
        <w:t xml:space="preserve"> </w:t>
      </w:r>
      <w:r w:rsidR="006343CB">
        <w:rPr>
          <w:lang w:val="en-US"/>
        </w:rPr>
        <w:t>to</w:t>
      </w:r>
      <w:r w:rsidR="002753C9" w:rsidRPr="002753C9">
        <w:t> inform future decision-making around investments (</w:t>
      </w:r>
      <w:r w:rsidR="006343CB">
        <w:t xml:space="preserve">to include </w:t>
      </w:r>
      <w:r w:rsidR="002753C9" w:rsidRPr="002753C9">
        <w:t>mapping of risk areas</w:t>
      </w:r>
      <w:r w:rsidR="006343CB">
        <w:t>, identification of</w:t>
      </w:r>
      <w:r w:rsidR="002753C9" w:rsidRPr="002753C9">
        <w:t xml:space="preserve"> issues</w:t>
      </w:r>
      <w:r w:rsidR="006343CB">
        <w:t xml:space="preserve"> and</w:t>
      </w:r>
      <w:r w:rsidR="002753C9" w:rsidRPr="002753C9">
        <w:t xml:space="preserve"> corresponding </w:t>
      </w:r>
      <w:r w:rsidR="006343CB">
        <w:t xml:space="preserve">mitigation </w:t>
      </w:r>
      <w:r w:rsidR="002753C9" w:rsidRPr="002753C9">
        <w:t>strategies</w:t>
      </w:r>
      <w:r w:rsidR="006343CB">
        <w:t>, legal and institutional capacity reforms necessary, etc</w:t>
      </w:r>
      <w:r w:rsidR="002753C9" w:rsidRPr="002753C9">
        <w:t>)</w:t>
      </w:r>
      <w:r w:rsidR="006343CB">
        <w:t xml:space="preserve">, </w:t>
      </w:r>
      <w:r>
        <w:t>the here</w:t>
      </w:r>
      <w:r w:rsidR="006343CB">
        <w:t>-</w:t>
      </w:r>
      <w:r>
        <w:t xml:space="preserve">identified risk </w:t>
      </w:r>
      <w:proofErr w:type="gramStart"/>
      <w:r>
        <w:t>is considered to be</w:t>
      </w:r>
      <w:proofErr w:type="gramEnd"/>
      <w:r>
        <w:t xml:space="preserve"> sufficiently addressed, thus minimizing the potential </w:t>
      </w:r>
      <w:r w:rsidR="00D22362">
        <w:t xml:space="preserve">adverse </w:t>
      </w:r>
      <w:r>
        <w:t xml:space="preserve">impacts. The need for building the required capacities, both at the individual and institutional level, </w:t>
      </w:r>
      <w:r w:rsidRPr="00E6405D">
        <w:t>is also addressed in Section 9 of this document.</w:t>
      </w:r>
    </w:p>
    <w:p w14:paraId="1CF0C54D" w14:textId="77777777" w:rsidR="0004698C" w:rsidRDefault="0004698C" w:rsidP="00203F2A">
      <w:pPr>
        <w:pStyle w:val="NoSpacing"/>
        <w:jc w:val="both"/>
      </w:pPr>
    </w:p>
    <w:p w14:paraId="46C35471" w14:textId="0E21F83E" w:rsidR="009B5939" w:rsidRDefault="0004698C" w:rsidP="00203F2A">
      <w:pPr>
        <w:pStyle w:val="NoSpacing"/>
        <w:jc w:val="both"/>
      </w:pPr>
      <w:r w:rsidRPr="00922677">
        <w:rPr>
          <w:b/>
        </w:rPr>
        <w:t xml:space="preserve">Activities under Component 2 aim to </w:t>
      </w:r>
      <w:r>
        <w:rPr>
          <w:b/>
        </w:rPr>
        <w:t>increase</w:t>
      </w:r>
      <w:r w:rsidRPr="00922677">
        <w:rPr>
          <w:b/>
        </w:rPr>
        <w:t xml:space="preserve"> </w:t>
      </w:r>
      <w:r>
        <w:rPr>
          <w:b/>
        </w:rPr>
        <w:t xml:space="preserve">private </w:t>
      </w:r>
      <w:r w:rsidRPr="00922677">
        <w:rPr>
          <w:b/>
        </w:rPr>
        <w:t>investment in value chains</w:t>
      </w:r>
      <w:r>
        <w:rPr>
          <w:b/>
        </w:rPr>
        <w:t>,</w:t>
      </w:r>
      <w:r w:rsidRPr="00922677">
        <w:rPr>
          <w:b/>
        </w:rPr>
        <w:t xml:space="preserve"> especially in </w:t>
      </w:r>
      <w:r w:rsidRPr="0074798C">
        <w:rPr>
          <w:b/>
        </w:rPr>
        <w:t>agribusiness and tourism</w:t>
      </w:r>
      <w:r>
        <w:rPr>
          <w:b/>
        </w:rPr>
        <w:t xml:space="preserve">, through public </w:t>
      </w:r>
      <w:r w:rsidR="00C71A4A">
        <w:rPr>
          <w:b/>
        </w:rPr>
        <w:t xml:space="preserve">investment in SMEs and in shared value chain assets </w:t>
      </w:r>
      <w:r>
        <w:t>to enhance tourism and agribusiness development and the competitiveness of value chains. A</w:t>
      </w:r>
      <w:r w:rsidRPr="00975353">
        <w:t xml:space="preserve">lthough at this stage of Project preparation the exact locations of </w:t>
      </w:r>
      <w:r>
        <w:t xml:space="preserve">these public </w:t>
      </w:r>
      <w:r w:rsidRPr="00975353">
        <w:t xml:space="preserve">investments to support SME development is not yet known, </w:t>
      </w:r>
      <w:r>
        <w:t>most of it</w:t>
      </w:r>
      <w:r w:rsidRPr="00975353">
        <w:t xml:space="preserve"> </w:t>
      </w:r>
      <w:r>
        <w:t xml:space="preserve">is to be expected to occur </w:t>
      </w:r>
      <w:r w:rsidRPr="00975353">
        <w:t>in the coastal zone</w:t>
      </w:r>
      <w:r>
        <w:t>. Associated potential risks and impacts may result from the public investments in</w:t>
      </w:r>
      <w:r w:rsidR="00C71A4A">
        <w:t xml:space="preserve"> shared assets or </w:t>
      </w:r>
      <w:r>
        <w:t xml:space="preserve">other public facilities. </w:t>
      </w:r>
    </w:p>
    <w:p w14:paraId="5BCDDEA2" w14:textId="28D9CE12" w:rsidR="0004698C" w:rsidRDefault="0004698C" w:rsidP="00203F2A">
      <w:pPr>
        <w:pStyle w:val="NoSpacing"/>
        <w:jc w:val="both"/>
      </w:pPr>
      <w:r w:rsidRPr="00FA32AF">
        <w:rPr>
          <w:b/>
        </w:rPr>
        <w:t>T</w:t>
      </w:r>
      <w:r w:rsidRPr="00D65FC5">
        <w:rPr>
          <w:b/>
        </w:rPr>
        <w:t>he ESM</w:t>
      </w:r>
      <w:r>
        <w:rPr>
          <w:b/>
        </w:rPr>
        <w:t>F</w:t>
      </w:r>
      <w:r w:rsidRPr="00D65FC5">
        <w:rPr>
          <w:b/>
        </w:rPr>
        <w:t xml:space="preserve"> tools and checklists that have been developed under this ESMF apply for </w:t>
      </w:r>
      <w:r>
        <w:rPr>
          <w:b/>
        </w:rPr>
        <w:t xml:space="preserve">all public sub-project activity proposals </w:t>
      </w:r>
      <w:r w:rsidRPr="00D65FC5">
        <w:rPr>
          <w:b/>
        </w:rPr>
        <w:t>when assessing the environmental and social impacts of Project’s and future investments</w:t>
      </w:r>
      <w:r>
        <w:rPr>
          <w:rStyle w:val="FootnoteReference"/>
        </w:rPr>
        <w:footnoteReference w:id="24"/>
      </w:r>
      <w:r>
        <w:t>.</w:t>
      </w:r>
    </w:p>
    <w:p w14:paraId="03E2C785" w14:textId="77777777" w:rsidR="0004698C" w:rsidRDefault="0004698C" w:rsidP="00203F2A">
      <w:pPr>
        <w:pStyle w:val="NoSpacing"/>
        <w:jc w:val="both"/>
      </w:pPr>
    </w:p>
    <w:p w14:paraId="2E0CE48D" w14:textId="77777777" w:rsidR="0004698C" w:rsidRDefault="0004698C" w:rsidP="00203F2A">
      <w:pPr>
        <w:pStyle w:val="NoSpacing"/>
        <w:ind w:left="1410" w:hanging="1410"/>
        <w:jc w:val="both"/>
      </w:pPr>
      <w:r w:rsidRPr="00FB5733">
        <w:rPr>
          <w:b/>
        </w:rPr>
        <w:t>RISK:</w:t>
      </w:r>
      <w:r>
        <w:tab/>
      </w:r>
      <w:r>
        <w:tab/>
      </w:r>
      <w:r w:rsidRPr="00A76426">
        <w:t>As specific project investments</w:t>
      </w:r>
      <w:r>
        <w:t xml:space="preserve"> in,</w:t>
      </w:r>
      <w:r w:rsidRPr="00A76426">
        <w:t xml:space="preserve"> </w:t>
      </w:r>
      <w:r>
        <w:t>and</w:t>
      </w:r>
      <w:r w:rsidRPr="00A76426">
        <w:t xml:space="preserve"> locations of activities are not yet known</w:t>
      </w:r>
      <w:r>
        <w:t xml:space="preserve"> at the present stage</w:t>
      </w:r>
      <w:r w:rsidRPr="00A76426">
        <w:t>,</w:t>
      </w:r>
      <w:r>
        <w:t xml:space="preserve"> potential risks to consider are many and diverse. This, on the one hand, justifies a high level of abstraction of the ESMF tool, while, on the other hand, it explains the wide range of potential environmental and social issues listed in the </w:t>
      </w:r>
      <w:r w:rsidRPr="00E6405D">
        <w:t>ESMF Screening Checklist (see Annex 1).</w:t>
      </w:r>
    </w:p>
    <w:p w14:paraId="3FA8C7A5" w14:textId="77777777" w:rsidR="0004698C" w:rsidRDefault="0004698C" w:rsidP="00203F2A">
      <w:pPr>
        <w:pStyle w:val="NoSpacing"/>
        <w:ind w:left="1410" w:hanging="1410"/>
        <w:jc w:val="both"/>
        <w:rPr>
          <w:b/>
        </w:rPr>
      </w:pPr>
    </w:p>
    <w:p w14:paraId="48FFD74A" w14:textId="184FB3BD" w:rsidR="0004698C" w:rsidRDefault="0004698C" w:rsidP="00203F2A">
      <w:pPr>
        <w:pStyle w:val="NoSpacing"/>
        <w:ind w:left="1410" w:hanging="1410"/>
        <w:jc w:val="both"/>
      </w:pPr>
      <w:r w:rsidRPr="00FB5733">
        <w:rPr>
          <w:b/>
        </w:rPr>
        <w:t>IMPACT:</w:t>
      </w:r>
      <w:r>
        <w:tab/>
        <w:t>Similarly, at this stage a</w:t>
      </w:r>
      <w:r w:rsidRPr="00A76426">
        <w:t xml:space="preserve"> wide range of potential impacts </w:t>
      </w:r>
      <w:r>
        <w:t xml:space="preserve">need to be considered; these are impacts </w:t>
      </w:r>
      <w:r w:rsidRPr="00A76426">
        <w:t xml:space="preserve">of the different types of activities that may be implemented </w:t>
      </w:r>
      <w:r>
        <w:t>at</w:t>
      </w:r>
      <w:r w:rsidRPr="00A76426">
        <w:t xml:space="preserve"> different locations</w:t>
      </w:r>
      <w:r>
        <w:t xml:space="preserve">, activities in the context of tourism development, </w:t>
      </w:r>
      <w:r w:rsidRPr="00A76426">
        <w:t>commercial agribusiness and related processing a/o manufacturing. The</w:t>
      </w:r>
      <w:r>
        <w:t>y</w:t>
      </w:r>
      <w:r w:rsidRPr="00A76426">
        <w:t xml:space="preserve"> may include - but are not limited to - potential impacts on </w:t>
      </w:r>
      <w:r>
        <w:t xml:space="preserve">(i) </w:t>
      </w:r>
      <w:r w:rsidRPr="00A76426">
        <w:t>the quality of water and soil (erosion, runoff, sedimentation and salination)</w:t>
      </w:r>
      <w:r>
        <w:t xml:space="preserve">, (ii) </w:t>
      </w:r>
      <w:r w:rsidR="00B72CF8">
        <w:t xml:space="preserve">generating </w:t>
      </w:r>
      <w:r w:rsidRPr="00A76426">
        <w:t>chemical contamination from hazardous wastes and accidental spills or inappropriate disposal</w:t>
      </w:r>
      <w:r>
        <w:t>, (iii)</w:t>
      </w:r>
      <w:r w:rsidRPr="00A76426">
        <w:t xml:space="preserve"> </w:t>
      </w:r>
      <w:r>
        <w:t>s</w:t>
      </w:r>
      <w:r w:rsidRPr="00A76426">
        <w:t>olid waste and wastewater generation</w:t>
      </w:r>
      <w:r w:rsidR="00B72CF8">
        <w:t xml:space="preserve"> and its inappropriate disposal </w:t>
      </w:r>
      <w:r>
        <w:t xml:space="preserve"> </w:t>
      </w:r>
      <w:r w:rsidRPr="00176E7F">
        <w:t>(</w:t>
      </w:r>
      <w:r>
        <w:t>iv</w:t>
      </w:r>
      <w:r w:rsidRPr="00176E7F">
        <w:t xml:space="preserve">) HCV </w:t>
      </w:r>
      <w:r w:rsidR="00B72CF8">
        <w:t xml:space="preserve"> alterations on the </w:t>
      </w:r>
      <w:r w:rsidRPr="00176E7F">
        <w:t xml:space="preserve">landscapes, habitats and biodiversity at or near project sites, (v) </w:t>
      </w:r>
      <w:r w:rsidR="00B72CF8">
        <w:t xml:space="preserve">degradation of </w:t>
      </w:r>
      <w:r>
        <w:t xml:space="preserve">natural ecosystems, such as </w:t>
      </w:r>
      <w:r w:rsidRPr="00176E7F">
        <w:t>forests</w:t>
      </w:r>
      <w:r>
        <w:t>,</w:t>
      </w:r>
      <w:r w:rsidRPr="00176E7F">
        <w:t xml:space="preserve"> and </w:t>
      </w:r>
      <w:r w:rsidR="005232C4">
        <w:t>protected areas</w:t>
      </w:r>
      <w:r w:rsidRPr="00176E7F">
        <w:t xml:space="preserve">, </w:t>
      </w:r>
      <w:r>
        <w:t>(vi)</w:t>
      </w:r>
      <w:r w:rsidRPr="00A76426">
        <w:t xml:space="preserve"> </w:t>
      </w:r>
      <w:r w:rsidR="00B72CF8">
        <w:t xml:space="preserve">destruction of </w:t>
      </w:r>
      <w:r>
        <w:t>c</w:t>
      </w:r>
      <w:r w:rsidRPr="00A76426">
        <w:t xml:space="preserve">ultural heritage; </w:t>
      </w:r>
      <w:r>
        <w:t>(vii) w</w:t>
      </w:r>
      <w:r w:rsidRPr="00A76426">
        <w:t xml:space="preserve">orkers and </w:t>
      </w:r>
      <w:r>
        <w:t>c</w:t>
      </w:r>
      <w:r w:rsidRPr="00A76426">
        <w:t>ommunity health and safety</w:t>
      </w:r>
      <w:r>
        <w:t>, and (xiii)</w:t>
      </w:r>
      <w:r w:rsidRPr="00A76426">
        <w:t xml:space="preserve"> socio-economic impact</w:t>
      </w:r>
      <w:r>
        <w:t>s</w:t>
      </w:r>
      <w:r w:rsidRPr="00A76426">
        <w:t xml:space="preserve"> o</w:t>
      </w:r>
      <w:r>
        <w:t>n</w:t>
      </w:r>
      <w:r w:rsidRPr="00A76426">
        <w:t xml:space="preserve"> workers </w:t>
      </w:r>
      <w:r>
        <w:t xml:space="preserve">and </w:t>
      </w:r>
      <w:r w:rsidRPr="00A76426">
        <w:t xml:space="preserve">on </w:t>
      </w:r>
      <w:r>
        <w:t xml:space="preserve">local </w:t>
      </w:r>
      <w:r w:rsidRPr="00A76426">
        <w:t>communities.</w:t>
      </w:r>
    </w:p>
    <w:p w14:paraId="19F2FD43" w14:textId="77777777" w:rsidR="0004698C" w:rsidRDefault="0004698C" w:rsidP="00203F2A">
      <w:pPr>
        <w:pStyle w:val="NoSpacing"/>
        <w:jc w:val="both"/>
      </w:pPr>
    </w:p>
    <w:p w14:paraId="19EAC2D7" w14:textId="4BFC19AE" w:rsidR="0004698C" w:rsidRDefault="0004698C" w:rsidP="00203F2A">
      <w:pPr>
        <w:pStyle w:val="NoSpacing"/>
        <w:jc w:val="both"/>
      </w:pPr>
      <w:r w:rsidRPr="00FB5733">
        <w:rPr>
          <w:b/>
        </w:rPr>
        <w:t xml:space="preserve">Component 2 also includes </w:t>
      </w:r>
      <w:r>
        <w:rPr>
          <w:b/>
        </w:rPr>
        <w:t xml:space="preserve">SMEs ‘matching grant support’ </w:t>
      </w:r>
      <w:r>
        <w:t xml:space="preserve">to improve tourism and agribusiness development and the competitiveness of value chains. Similar to the above, </w:t>
      </w:r>
      <w:r w:rsidRPr="00975353">
        <w:t xml:space="preserve">at this stage of Project preparation the exact locations of </w:t>
      </w:r>
      <w:r>
        <w:t xml:space="preserve">these private </w:t>
      </w:r>
      <w:r w:rsidRPr="00975353">
        <w:t xml:space="preserve">investments </w:t>
      </w:r>
      <w:proofErr w:type="gramStart"/>
      <w:r w:rsidRPr="00975353">
        <w:t>is</w:t>
      </w:r>
      <w:proofErr w:type="gramEnd"/>
      <w:r w:rsidRPr="00975353">
        <w:t xml:space="preserve"> not yet known, </w:t>
      </w:r>
      <w:r>
        <w:t>most of it</w:t>
      </w:r>
      <w:r w:rsidRPr="00975353">
        <w:t xml:space="preserve"> </w:t>
      </w:r>
      <w:r>
        <w:t xml:space="preserve">is expected to be </w:t>
      </w:r>
      <w:r w:rsidRPr="00975353">
        <w:t>in the coastal zone</w:t>
      </w:r>
      <w:r>
        <w:t xml:space="preserve">. Potential risks and impacts may result from the proposed private SME investments it supports. Therefore, </w:t>
      </w:r>
      <w:r w:rsidRPr="00D65FC5">
        <w:rPr>
          <w:b/>
        </w:rPr>
        <w:t>the ESM</w:t>
      </w:r>
      <w:r>
        <w:rPr>
          <w:b/>
        </w:rPr>
        <w:t>F</w:t>
      </w:r>
      <w:r w:rsidRPr="00D65FC5">
        <w:rPr>
          <w:b/>
        </w:rPr>
        <w:t xml:space="preserve"> tools and checklists </w:t>
      </w:r>
      <w:r>
        <w:rPr>
          <w:b/>
        </w:rPr>
        <w:t xml:space="preserve">also </w:t>
      </w:r>
      <w:r w:rsidRPr="00D65FC5">
        <w:rPr>
          <w:b/>
        </w:rPr>
        <w:t xml:space="preserve">apply for </w:t>
      </w:r>
      <w:r>
        <w:rPr>
          <w:b/>
        </w:rPr>
        <w:t xml:space="preserve">all private sub-project proposals </w:t>
      </w:r>
      <w:r w:rsidRPr="00D65FC5">
        <w:rPr>
          <w:b/>
        </w:rPr>
        <w:t>when assessing the environmental and social impacts of Project’s and future investments</w:t>
      </w:r>
      <w:r>
        <w:rPr>
          <w:b/>
        </w:rPr>
        <w:fldChar w:fldCharType="begin"/>
      </w:r>
      <w:r>
        <w:rPr>
          <w:b/>
        </w:rPr>
        <w:instrText xml:space="preserve"> NOTEREF _Ref529457507 \f \h </w:instrText>
      </w:r>
      <w:r w:rsidR="00203F2A">
        <w:rPr>
          <w:b/>
        </w:rPr>
        <w:instrText xml:space="preserve"> \* MERGEFORMAT </w:instrText>
      </w:r>
      <w:r>
        <w:rPr>
          <w:b/>
        </w:rPr>
      </w:r>
      <w:r>
        <w:rPr>
          <w:b/>
        </w:rPr>
        <w:fldChar w:fldCharType="separate"/>
      </w:r>
      <w:r w:rsidRPr="006874AC">
        <w:rPr>
          <w:rStyle w:val="FootnoteReference"/>
        </w:rPr>
        <w:t>22</w:t>
      </w:r>
      <w:r>
        <w:rPr>
          <w:b/>
        </w:rPr>
        <w:fldChar w:fldCharType="end"/>
      </w:r>
      <w:r>
        <w:t>.</w:t>
      </w:r>
    </w:p>
    <w:p w14:paraId="5E41813A" w14:textId="77777777" w:rsidR="0004698C" w:rsidRDefault="0004698C" w:rsidP="00203F2A">
      <w:pPr>
        <w:pStyle w:val="NoSpacing"/>
        <w:jc w:val="both"/>
      </w:pPr>
    </w:p>
    <w:p w14:paraId="12078715" w14:textId="0A7B1E45" w:rsidR="0004698C" w:rsidRDefault="0004698C" w:rsidP="00203F2A">
      <w:pPr>
        <w:pStyle w:val="NoSpacing"/>
        <w:ind w:left="1410" w:hanging="1410"/>
        <w:jc w:val="both"/>
      </w:pPr>
      <w:r w:rsidRPr="00FB5733">
        <w:rPr>
          <w:b/>
        </w:rPr>
        <w:t>RISK:</w:t>
      </w:r>
      <w:r>
        <w:tab/>
      </w:r>
      <w:r>
        <w:tab/>
        <w:t xml:space="preserve">Similar to the potential public investments, also here the </w:t>
      </w:r>
      <w:r w:rsidRPr="00A76426">
        <w:t xml:space="preserve">specific project investments </w:t>
      </w:r>
      <w:r>
        <w:t>and</w:t>
      </w:r>
      <w:r w:rsidRPr="00A76426">
        <w:t xml:space="preserve"> locations of activities are not yet known,</w:t>
      </w:r>
      <w:r>
        <w:t xml:space="preserve"> thus potential risks to consider might be many and diverse again. This explains the wide range of potential </w:t>
      </w:r>
      <w:r w:rsidRPr="00E6405D">
        <w:t>issues listed in the ESMF screening checklist (see Annex 1). Because SME</w:t>
      </w:r>
      <w:r>
        <w:t xml:space="preserve"> development support will focus on the agricultural sector, a separate safeguard instrument regarding the responsible use of agrochemicals for pest and disease </w:t>
      </w:r>
      <w:r w:rsidRPr="00E6405D">
        <w:t xml:space="preserve">control is warranted (see Section </w:t>
      </w:r>
      <w:r w:rsidR="00280A96" w:rsidRPr="00E6405D">
        <w:t>8</w:t>
      </w:r>
      <w:r w:rsidR="00E6405D">
        <w:t xml:space="preserve"> </w:t>
      </w:r>
      <w:r w:rsidRPr="00E6405D">
        <w:t xml:space="preserve">/ Annex </w:t>
      </w:r>
      <w:r w:rsidR="00280A96" w:rsidRPr="00E6405D">
        <w:t>2</w:t>
      </w:r>
      <w:r w:rsidRPr="00E6405D">
        <w:t xml:space="preserve">). </w:t>
      </w:r>
    </w:p>
    <w:p w14:paraId="45D5F184" w14:textId="77777777" w:rsidR="0004698C" w:rsidRDefault="0004698C" w:rsidP="00203F2A">
      <w:pPr>
        <w:pStyle w:val="NoSpacing"/>
        <w:ind w:left="1410" w:hanging="1410"/>
        <w:jc w:val="both"/>
        <w:rPr>
          <w:b/>
        </w:rPr>
      </w:pPr>
    </w:p>
    <w:p w14:paraId="3B9F3A55" w14:textId="32253E91" w:rsidR="0004698C" w:rsidRDefault="0004698C" w:rsidP="00203F2A">
      <w:pPr>
        <w:pStyle w:val="NoSpacing"/>
        <w:ind w:left="1410" w:hanging="1410"/>
        <w:jc w:val="both"/>
      </w:pPr>
      <w:r w:rsidRPr="00FB5733">
        <w:rPr>
          <w:b/>
        </w:rPr>
        <w:t>IMPACT:</w:t>
      </w:r>
      <w:r>
        <w:tab/>
      </w:r>
      <w:r w:rsidR="00B72CF8">
        <w:t>Also,</w:t>
      </w:r>
      <w:r>
        <w:t xml:space="preserve"> similarly, a</w:t>
      </w:r>
      <w:r w:rsidRPr="00A76426">
        <w:t xml:space="preserve"> wide range of potential impacts of the different types of activities that may be implemented in different locations where </w:t>
      </w:r>
      <w:r>
        <w:t xml:space="preserve">tourism development, </w:t>
      </w:r>
      <w:r w:rsidRPr="00A76426">
        <w:t>commercial agribusiness and related processing a/o manufacturing activities</w:t>
      </w:r>
      <w:r w:rsidR="00B72CF8">
        <w:t xml:space="preserve"> would</w:t>
      </w:r>
      <w:r w:rsidRPr="00A76426">
        <w:t xml:space="preserve"> take place </w:t>
      </w:r>
      <w:r>
        <w:t xml:space="preserve">must be </w:t>
      </w:r>
      <w:r w:rsidRPr="00A76426">
        <w:t>considered. The</w:t>
      </w:r>
      <w:r>
        <w:t>y</w:t>
      </w:r>
      <w:r w:rsidRPr="00A76426">
        <w:t xml:space="preserve"> </w:t>
      </w:r>
      <w:r>
        <w:t xml:space="preserve">again </w:t>
      </w:r>
      <w:r w:rsidRPr="00A76426">
        <w:t>may include - but are not limited to - potential impacts on</w:t>
      </w:r>
      <w:r w:rsidR="00B72CF8">
        <w:t>:</w:t>
      </w:r>
      <w:r w:rsidRPr="00A76426">
        <w:t xml:space="preserve"> </w:t>
      </w:r>
      <w:r>
        <w:t xml:space="preserve">(i) </w:t>
      </w:r>
      <w:r w:rsidRPr="00A76426">
        <w:t>the quality of water and soil</w:t>
      </w:r>
      <w:r>
        <w:t xml:space="preserve">, (ii) </w:t>
      </w:r>
      <w:r w:rsidRPr="00A76426">
        <w:t>chemical contamination from hazardous wastes and accidental spills or inappropriate disposal</w:t>
      </w:r>
      <w:r>
        <w:t>, (iii)</w:t>
      </w:r>
      <w:r w:rsidRPr="00A76426">
        <w:t xml:space="preserve"> </w:t>
      </w:r>
      <w:r>
        <w:t>s</w:t>
      </w:r>
      <w:r w:rsidRPr="00A76426">
        <w:t>olid waste and wastewater generation</w:t>
      </w:r>
      <w:r w:rsidR="00B72CF8">
        <w:t xml:space="preserve"> and inappropriate disposal, </w:t>
      </w:r>
      <w:r>
        <w:t xml:space="preserve">(iv) pest and disease control, </w:t>
      </w:r>
      <w:r w:rsidRPr="00176E7F">
        <w:t>(</w:t>
      </w:r>
      <w:r>
        <w:t>v</w:t>
      </w:r>
      <w:r w:rsidRPr="00176E7F">
        <w:t>) HCV</w:t>
      </w:r>
      <w:r w:rsidR="003C721A">
        <w:t xml:space="preserve"> alteration on the</w:t>
      </w:r>
      <w:r w:rsidRPr="00176E7F">
        <w:t xml:space="preserve"> landscapes, habitats and biodiversity at or near project sites, (v</w:t>
      </w:r>
      <w:r>
        <w:t>i</w:t>
      </w:r>
      <w:r w:rsidRPr="00176E7F">
        <w:t xml:space="preserve">) </w:t>
      </w:r>
      <w:r>
        <w:t xml:space="preserve">natural ecosystems, such as </w:t>
      </w:r>
      <w:r w:rsidRPr="00176E7F">
        <w:t>forests</w:t>
      </w:r>
      <w:r>
        <w:t>,</w:t>
      </w:r>
      <w:r w:rsidRPr="00176E7F">
        <w:t xml:space="preserve"> and PAs, </w:t>
      </w:r>
      <w:r>
        <w:t>(vii)</w:t>
      </w:r>
      <w:r w:rsidRPr="00A76426">
        <w:t xml:space="preserve"> </w:t>
      </w:r>
      <w:r>
        <w:t>c</w:t>
      </w:r>
      <w:r w:rsidRPr="00A76426">
        <w:t xml:space="preserve">ultural heritage; </w:t>
      </w:r>
      <w:r>
        <w:t>(viii) w</w:t>
      </w:r>
      <w:r w:rsidRPr="00A76426">
        <w:t xml:space="preserve">orkers and </w:t>
      </w:r>
      <w:r>
        <w:t>c</w:t>
      </w:r>
      <w:r w:rsidRPr="00A76426">
        <w:t>ommunity health and safety</w:t>
      </w:r>
      <w:r>
        <w:t>,</w:t>
      </w:r>
      <w:r w:rsidR="00435E6D">
        <w:t xml:space="preserve"> including possible use of child labor,</w:t>
      </w:r>
      <w:r>
        <w:t xml:space="preserve"> and (ix)</w:t>
      </w:r>
      <w:r w:rsidRPr="00A76426">
        <w:t xml:space="preserve"> socio-economic impact</w:t>
      </w:r>
      <w:r>
        <w:t>s</w:t>
      </w:r>
      <w:r w:rsidRPr="00A76426">
        <w:t xml:space="preserve"> o</w:t>
      </w:r>
      <w:r>
        <w:t>n</w:t>
      </w:r>
      <w:r w:rsidRPr="00A76426">
        <w:t xml:space="preserve"> workers </w:t>
      </w:r>
      <w:r>
        <w:t xml:space="preserve">and </w:t>
      </w:r>
      <w:r w:rsidRPr="00A76426">
        <w:t xml:space="preserve">on </w:t>
      </w:r>
      <w:r>
        <w:t xml:space="preserve">local </w:t>
      </w:r>
      <w:r w:rsidRPr="00A76426">
        <w:t>communities.</w:t>
      </w:r>
    </w:p>
    <w:p w14:paraId="668D9F80" w14:textId="15F4F24B" w:rsidR="0004698C" w:rsidRDefault="0004698C" w:rsidP="00203F2A">
      <w:pPr>
        <w:pStyle w:val="NoSpacing"/>
        <w:jc w:val="both"/>
      </w:pPr>
    </w:p>
    <w:p w14:paraId="6E3E341E" w14:textId="0CF88ACC" w:rsidR="00A376D2" w:rsidRDefault="008D2C1E" w:rsidP="00203F2A">
      <w:pPr>
        <w:pStyle w:val="NoSpacing"/>
        <w:jc w:val="both"/>
      </w:pPr>
      <w:r>
        <w:rPr>
          <w:b/>
        </w:rPr>
        <w:t xml:space="preserve">One </w:t>
      </w:r>
      <w:proofErr w:type="gramStart"/>
      <w:r>
        <w:rPr>
          <w:b/>
        </w:rPr>
        <w:t>particular potential</w:t>
      </w:r>
      <w:proofErr w:type="gramEnd"/>
      <w:r>
        <w:rPr>
          <w:b/>
        </w:rPr>
        <w:t xml:space="preserve"> impact to be planned for is the clearing of land due to potential physical construction related to </w:t>
      </w:r>
      <w:r w:rsidR="001C6AA9" w:rsidRPr="00A376D2">
        <w:rPr>
          <w:b/>
        </w:rPr>
        <w:t>the ‘SME Support Fund’</w:t>
      </w:r>
      <w:r>
        <w:t xml:space="preserve">. These sub-components may finance activities such as </w:t>
      </w:r>
      <w:r w:rsidR="001C6AA9">
        <w:t xml:space="preserve">the construction of last-mile roads, </w:t>
      </w:r>
      <w:r w:rsidR="00935135">
        <w:t xml:space="preserve">waterworks, boat landings, processing facilities, </w:t>
      </w:r>
      <w:r w:rsidR="00A43958">
        <w:t xml:space="preserve">storage </w:t>
      </w:r>
      <w:r w:rsidR="008327C0">
        <w:t>facilities</w:t>
      </w:r>
      <w:r w:rsidR="00935135">
        <w:t>, etc.</w:t>
      </w:r>
      <w:r w:rsidR="00A376D2">
        <w:t xml:space="preserve"> Although p</w:t>
      </w:r>
      <w:r w:rsidR="00935135">
        <w:t xml:space="preserve">otential impacts of such constructions </w:t>
      </w:r>
      <w:proofErr w:type="gramStart"/>
      <w:r w:rsidR="00935135">
        <w:t>are considered to be</w:t>
      </w:r>
      <w:proofErr w:type="gramEnd"/>
      <w:r w:rsidR="00935135">
        <w:t xml:space="preserve"> site-specific and the ESMF screening checklist (Annex 1) contains safeguards for the protection of biodiversity and cultural values</w:t>
      </w:r>
      <w:r w:rsidR="00A376D2" w:rsidRPr="008D2C1E">
        <w:t xml:space="preserve">, </w:t>
      </w:r>
      <w:r w:rsidR="00935135" w:rsidRPr="008D2C1E">
        <w:t xml:space="preserve">the clearing of land for development and the cutting of trees cannot </w:t>
      </w:r>
      <w:r w:rsidR="00A376D2" w:rsidRPr="008D2C1E">
        <w:t xml:space="preserve">always </w:t>
      </w:r>
      <w:r w:rsidR="00935135" w:rsidRPr="008D2C1E">
        <w:t xml:space="preserve">be avoided. </w:t>
      </w:r>
      <w:r w:rsidRPr="008D2C1E">
        <w:t>This is especially the case as</w:t>
      </w:r>
      <w:r>
        <w:t>, w</w:t>
      </w:r>
      <w:r w:rsidRPr="008D2C1E">
        <w:t>ith 15.2 million ha of forest cover (93% of its total area), Suriname is one of the most forested countries in the world.</w:t>
      </w:r>
      <w:r w:rsidRPr="009772E5">
        <w:t xml:space="preserve"> </w:t>
      </w:r>
      <w:r>
        <w:t>T</w:t>
      </w:r>
      <w:r w:rsidRPr="009772E5">
        <w:t xml:space="preserve">he total deforestation between 2000 and 2015 amounted to 85,147 ha or an average of 5,676 ha/year, which is equivalent to an </w:t>
      </w:r>
      <w:r w:rsidRPr="008D2C1E">
        <w:t>annual deforestation rate of 0.04%.</w:t>
      </w:r>
      <w:r>
        <w:rPr>
          <w:b/>
        </w:rPr>
        <w:t xml:space="preserve"> </w:t>
      </w:r>
      <w:r>
        <w:t xml:space="preserve">Due to these realities, apart from recent reforestation efforts in abandoned (bauxite) mining areas, there is no tradition of tree planting in Suriname. One specific risk management measure elaborated in the ESMP below is that </w:t>
      </w:r>
      <w:r w:rsidR="00A43958">
        <w:rPr>
          <w:b/>
        </w:rPr>
        <w:t>s</w:t>
      </w:r>
      <w:r w:rsidR="00A376D2" w:rsidRPr="00A376D2">
        <w:rPr>
          <w:b/>
        </w:rPr>
        <w:t xml:space="preserve">ub-project proposals that require </w:t>
      </w:r>
      <w:r w:rsidR="00CD5C35">
        <w:rPr>
          <w:b/>
        </w:rPr>
        <w:t xml:space="preserve">significant </w:t>
      </w:r>
      <w:r w:rsidR="00A376D2" w:rsidRPr="00A376D2">
        <w:rPr>
          <w:b/>
        </w:rPr>
        <w:t xml:space="preserve">clearing of primary (virgin) forest </w:t>
      </w:r>
      <w:r w:rsidR="00CD5C35">
        <w:rPr>
          <w:b/>
        </w:rPr>
        <w:t>are</w:t>
      </w:r>
      <w:r w:rsidR="00A376D2" w:rsidRPr="00A376D2">
        <w:rPr>
          <w:b/>
        </w:rPr>
        <w:t xml:space="preserve"> excluded from the Project.</w:t>
      </w:r>
    </w:p>
    <w:p w14:paraId="70FFE7C2" w14:textId="500AD392" w:rsidR="001E7F80" w:rsidRDefault="001E7F80" w:rsidP="00203F2A">
      <w:pPr>
        <w:pStyle w:val="NoSpacing"/>
        <w:jc w:val="both"/>
      </w:pPr>
    </w:p>
    <w:p w14:paraId="622CDC6C" w14:textId="77777777" w:rsidR="0004698C" w:rsidRDefault="0004698C" w:rsidP="00203F2A">
      <w:pPr>
        <w:pStyle w:val="NoSpacing"/>
        <w:jc w:val="both"/>
      </w:pPr>
      <w:r w:rsidRPr="00F8241F">
        <w:rPr>
          <w:b/>
        </w:rPr>
        <w:t>Component 2 also aims at improved access to finance for SMEs</w:t>
      </w:r>
      <w:r>
        <w:t xml:space="preserve"> through the financial sector - such as via innovative secured transactions - and at providing SME capacity support to improve their productivity and/or to implement new technologies that may have a pro-green effect on production, processing and handling. </w:t>
      </w:r>
    </w:p>
    <w:p w14:paraId="6E10FCCA" w14:textId="77777777" w:rsidR="0004698C" w:rsidRDefault="0004698C" w:rsidP="00203F2A">
      <w:pPr>
        <w:pStyle w:val="NoSpacing"/>
        <w:jc w:val="both"/>
      </w:pPr>
    </w:p>
    <w:p w14:paraId="1CBEBE42" w14:textId="069FE768" w:rsidR="0004698C" w:rsidRDefault="0004698C" w:rsidP="00203F2A">
      <w:pPr>
        <w:pStyle w:val="NoSpacing"/>
        <w:ind w:left="1410" w:hanging="1410"/>
        <w:jc w:val="both"/>
      </w:pPr>
      <w:r w:rsidRPr="00FB5733">
        <w:rPr>
          <w:b/>
        </w:rPr>
        <w:t>RISK:</w:t>
      </w:r>
      <w:r>
        <w:tab/>
      </w:r>
      <w:r>
        <w:tab/>
        <w:t xml:space="preserve">Risks associated to these type of Project interventions </w:t>
      </w:r>
      <w:proofErr w:type="gramStart"/>
      <w:r>
        <w:t>are</w:t>
      </w:r>
      <w:proofErr w:type="gramEnd"/>
      <w:r>
        <w:t xml:space="preserve"> assumed to be negligible, indirect and remote, and are outside the scope of the ESMF.</w:t>
      </w:r>
    </w:p>
    <w:p w14:paraId="5C959A9B" w14:textId="77777777" w:rsidR="0004698C" w:rsidRDefault="0004698C" w:rsidP="00203F2A">
      <w:pPr>
        <w:pStyle w:val="NoSpacing"/>
        <w:jc w:val="both"/>
      </w:pPr>
    </w:p>
    <w:p w14:paraId="725901B9" w14:textId="77777777" w:rsidR="0004698C" w:rsidRDefault="0004698C" w:rsidP="00203F2A">
      <w:pPr>
        <w:pStyle w:val="NoSpacing"/>
        <w:ind w:left="1410" w:hanging="1410"/>
        <w:jc w:val="both"/>
      </w:pPr>
      <w:r w:rsidRPr="00FB5733">
        <w:rPr>
          <w:b/>
        </w:rPr>
        <w:t>IMPACT:</w:t>
      </w:r>
      <w:r>
        <w:tab/>
        <w:t>The anticipated outcomes of Project activities related to improved access to finance for SMEs and SME capacity building will eventually result in positive impacts (</w:t>
      </w:r>
      <w:proofErr w:type="gramStart"/>
      <w:r>
        <w:t>in particular in</w:t>
      </w:r>
      <w:proofErr w:type="gramEnd"/>
      <w:r>
        <w:t xml:space="preserve"> the social domain).</w:t>
      </w:r>
    </w:p>
    <w:p w14:paraId="5BA4191B" w14:textId="77777777" w:rsidR="0004698C" w:rsidRDefault="0004698C" w:rsidP="00203F2A">
      <w:pPr>
        <w:pStyle w:val="NoSpacing"/>
        <w:jc w:val="both"/>
      </w:pPr>
    </w:p>
    <w:p w14:paraId="4164073C" w14:textId="78995628" w:rsidR="0004698C" w:rsidRDefault="0004698C" w:rsidP="00203F2A">
      <w:pPr>
        <w:pStyle w:val="NoSpacing"/>
        <w:jc w:val="both"/>
      </w:pPr>
      <w:r w:rsidRPr="00827980">
        <w:rPr>
          <w:b/>
        </w:rPr>
        <w:t>Under Component 2 all types of agr</w:t>
      </w:r>
      <w:r w:rsidR="00D22362">
        <w:rPr>
          <w:b/>
        </w:rPr>
        <w:t>i</w:t>
      </w:r>
      <w:r w:rsidRPr="00827980">
        <w:rPr>
          <w:b/>
        </w:rPr>
        <w:t>business activities are considered and may include non-timber forest products</w:t>
      </w:r>
      <w:r>
        <w:rPr>
          <w:b/>
        </w:rPr>
        <w:t xml:space="preserve"> (NTFPs</w:t>
      </w:r>
      <w:proofErr w:type="gramStart"/>
      <w:r>
        <w:rPr>
          <w:b/>
        </w:rPr>
        <w:t>)</w:t>
      </w:r>
      <w:r w:rsidRPr="00351D37">
        <w:t>, but</w:t>
      </w:r>
      <w:proofErr w:type="gramEnd"/>
      <w:r w:rsidRPr="00351D37">
        <w:t xml:space="preserve"> </w:t>
      </w:r>
      <w:r>
        <w:t xml:space="preserve">is </w:t>
      </w:r>
      <w:r w:rsidRPr="00351D37">
        <w:t>not expected to include activities with a deforestation</w:t>
      </w:r>
      <w:r>
        <w:t xml:space="preserve"> / forest degradation</w:t>
      </w:r>
      <w:r w:rsidRPr="00351D37">
        <w:t xml:space="preserve"> impact.</w:t>
      </w:r>
    </w:p>
    <w:p w14:paraId="35766E40" w14:textId="77777777" w:rsidR="0004698C" w:rsidRDefault="0004698C" w:rsidP="00203F2A">
      <w:pPr>
        <w:pStyle w:val="NoSpacing"/>
        <w:jc w:val="both"/>
      </w:pPr>
    </w:p>
    <w:p w14:paraId="1B7064D8" w14:textId="1EAC0BA4" w:rsidR="0004698C" w:rsidRDefault="0004698C" w:rsidP="00203F2A">
      <w:pPr>
        <w:pStyle w:val="NoSpacing"/>
        <w:ind w:left="1410" w:hanging="1410"/>
        <w:jc w:val="both"/>
      </w:pPr>
      <w:r w:rsidRPr="00FB5733">
        <w:rPr>
          <w:b/>
        </w:rPr>
        <w:t>RISK:</w:t>
      </w:r>
      <w:r>
        <w:tab/>
      </w:r>
      <w:r>
        <w:tab/>
        <w:t>SME development support may result in over-exploitation (depletion) of the natural (forest) resources if not managed in a sustainable manner. Improved infrastructure to support NTFP business logistics may result in intrusion of undesired activities like timber harvesting and hunting in these areas.</w:t>
      </w:r>
      <w:r w:rsidR="0014223B">
        <w:t xml:space="preserve"> In addition, any potential </w:t>
      </w:r>
      <w:r w:rsidR="00435E6D">
        <w:t>labo</w:t>
      </w:r>
      <w:r w:rsidR="0014223B">
        <w:t>r influx may create risks for increased incidence of gender-based violence against community members</w:t>
      </w:r>
      <w:r w:rsidR="00435E6D">
        <w:t>, and there could be use of child labor</w:t>
      </w:r>
      <w:r w:rsidR="0014223B">
        <w:t>.</w:t>
      </w:r>
    </w:p>
    <w:p w14:paraId="41D972E8" w14:textId="77777777" w:rsidR="0004698C" w:rsidRDefault="0004698C" w:rsidP="00203F2A">
      <w:pPr>
        <w:pStyle w:val="NoSpacing"/>
        <w:jc w:val="both"/>
      </w:pPr>
    </w:p>
    <w:p w14:paraId="4E1A1036" w14:textId="1C3EF0C6" w:rsidR="0004698C" w:rsidRDefault="0004698C" w:rsidP="00203F2A">
      <w:pPr>
        <w:pStyle w:val="NoSpacing"/>
        <w:ind w:left="1410" w:hanging="1410"/>
        <w:jc w:val="both"/>
      </w:pPr>
      <w:r w:rsidRPr="00FB5733">
        <w:rPr>
          <w:b/>
        </w:rPr>
        <w:t>IMPACT:</w:t>
      </w:r>
      <w:r>
        <w:tab/>
        <w:t xml:space="preserve">If not adequately managed, NTFP collection can have a negative impact on biodiversity and an adverse effect on traditional lifestyle integrity and social structures and livelihoods of local communities. </w:t>
      </w:r>
      <w:r w:rsidR="0014223B">
        <w:t>Gender-</w:t>
      </w:r>
      <w:r w:rsidR="00435E6D">
        <w:t>based violence induced by labo</w:t>
      </w:r>
      <w:r w:rsidR="0014223B">
        <w:t xml:space="preserve">r influx </w:t>
      </w:r>
      <w:r w:rsidR="00435E6D">
        <w:t xml:space="preserve">or use of child labor </w:t>
      </w:r>
      <w:r w:rsidR="0014223B">
        <w:t>could have harmful impacts and create tensions within the community that lead to conflict.</w:t>
      </w:r>
    </w:p>
    <w:p w14:paraId="58ECD0F7" w14:textId="77777777" w:rsidR="0004698C" w:rsidRDefault="0004698C" w:rsidP="00203F2A">
      <w:pPr>
        <w:pStyle w:val="NoSpacing"/>
        <w:ind w:left="1410" w:hanging="1410"/>
        <w:jc w:val="both"/>
      </w:pPr>
    </w:p>
    <w:p w14:paraId="10197C69" w14:textId="77777777" w:rsidR="0004698C" w:rsidRDefault="0004698C" w:rsidP="00203F2A">
      <w:pPr>
        <w:pStyle w:val="NoSpacing"/>
        <w:jc w:val="both"/>
      </w:pPr>
      <w:r w:rsidRPr="00844003">
        <w:rPr>
          <w:b/>
        </w:rPr>
        <w:t>Also</w:t>
      </w:r>
      <w:r>
        <w:rPr>
          <w:b/>
        </w:rPr>
        <w:t>,</w:t>
      </w:r>
      <w:r w:rsidRPr="00844003">
        <w:rPr>
          <w:b/>
        </w:rPr>
        <w:t xml:space="preserve"> under Component 2, sub-project activities aiming to support and enhance </w:t>
      </w:r>
      <w:r>
        <w:rPr>
          <w:b/>
        </w:rPr>
        <w:t xml:space="preserve">sustainable </w:t>
      </w:r>
      <w:r w:rsidRPr="00844003">
        <w:rPr>
          <w:b/>
        </w:rPr>
        <w:t>tourism</w:t>
      </w:r>
      <w:r>
        <w:rPr>
          <w:rStyle w:val="FootnoteReference"/>
          <w:b/>
        </w:rPr>
        <w:footnoteReference w:id="25"/>
      </w:r>
      <w:r w:rsidRPr="00844003">
        <w:rPr>
          <w:b/>
        </w:rPr>
        <w:t xml:space="preserve"> </w:t>
      </w:r>
      <w:r>
        <w:rPr>
          <w:b/>
        </w:rPr>
        <w:t xml:space="preserve">business </w:t>
      </w:r>
      <w:r w:rsidRPr="00844003">
        <w:rPr>
          <w:b/>
        </w:rPr>
        <w:t>development are eligible.</w:t>
      </w:r>
      <w:r>
        <w:t xml:space="preserve"> </w:t>
      </w:r>
      <w:r w:rsidRPr="006D4578">
        <w:t xml:space="preserve">Realising Suriname’s </w:t>
      </w:r>
      <w:r>
        <w:t xml:space="preserve">great </w:t>
      </w:r>
      <w:r w:rsidRPr="006D4578">
        <w:t xml:space="preserve">and unique natural </w:t>
      </w:r>
      <w:r>
        <w:t xml:space="preserve">heritage </w:t>
      </w:r>
      <w:r w:rsidRPr="006D4578">
        <w:t xml:space="preserve">and its rich cultural heritage, </w:t>
      </w:r>
      <w:r>
        <w:t>Project support to tourism development holds immense opportunities but, if not sustainably managed, hold equal risks of (negative) impact on both natural and cultural integrity.</w:t>
      </w:r>
    </w:p>
    <w:p w14:paraId="3CC6721B" w14:textId="77777777" w:rsidR="0004698C" w:rsidRDefault="0004698C" w:rsidP="00203F2A">
      <w:pPr>
        <w:pStyle w:val="NoSpacing"/>
        <w:jc w:val="both"/>
      </w:pPr>
    </w:p>
    <w:p w14:paraId="241444DC" w14:textId="05EFFBED" w:rsidR="0004698C" w:rsidRDefault="0004698C" w:rsidP="00203F2A">
      <w:pPr>
        <w:pStyle w:val="NoSpacing"/>
        <w:ind w:left="1410" w:hanging="1410"/>
        <w:jc w:val="both"/>
      </w:pPr>
      <w:r w:rsidRPr="00FB5733">
        <w:rPr>
          <w:b/>
        </w:rPr>
        <w:t>RISK:</w:t>
      </w:r>
      <w:r>
        <w:tab/>
      </w:r>
      <w:r>
        <w:tab/>
        <w:t>Potential risks relate to uncontrolled growth of tourism operations, including those that are community based, and increased pressure on both natural and cultural heritage and resources. If not well managed, increasing numbers of visitors to ‘hot spot’ locations and PAs, both in the coastal area and the interior, contain a serious risk of negatively impact on these values.</w:t>
      </w:r>
      <w:r w:rsidR="0014223B">
        <w:t xml:space="preserve"> Any potential labour influx may create risks for increased incidence of gender-based violence against community members.</w:t>
      </w:r>
    </w:p>
    <w:p w14:paraId="38A2779A" w14:textId="77777777" w:rsidR="0004698C" w:rsidRDefault="0004698C" w:rsidP="00203F2A">
      <w:pPr>
        <w:pStyle w:val="NoSpacing"/>
        <w:jc w:val="both"/>
      </w:pPr>
    </w:p>
    <w:p w14:paraId="4BD313F4" w14:textId="58180198" w:rsidR="0004698C" w:rsidRDefault="0004698C" w:rsidP="00203F2A">
      <w:pPr>
        <w:pStyle w:val="NoSpacing"/>
        <w:ind w:left="1410" w:hanging="1410"/>
        <w:jc w:val="both"/>
      </w:pPr>
      <w:r w:rsidRPr="00FB5733">
        <w:rPr>
          <w:b/>
        </w:rPr>
        <w:t>IMPACT:</w:t>
      </w:r>
      <w:r>
        <w:tab/>
        <w:t xml:space="preserve">Increasing numbers of visitors, and support infrastructures poses potential </w:t>
      </w:r>
      <w:r w:rsidR="003C721A">
        <w:t>adverse impacts</w:t>
      </w:r>
      <w:r>
        <w:t xml:space="preserve"> on fragile habitat, landscapes, vulnerable populations of plants and animals and on the traditional lifestyle of local peoples. Access to traditionally owned land and land use by local communities may become cause for dispute, if traditional land rights are disrespected. Associated waste issues may become nuisance and create environmental pollution.</w:t>
      </w:r>
      <w:r w:rsidR="0014223B">
        <w:t xml:space="preserve"> Gender-based violence induced by labour influx could have harmful impacts and create tensions within the community that lead to conflict.</w:t>
      </w:r>
    </w:p>
    <w:p w14:paraId="7BB15CA4" w14:textId="77777777" w:rsidR="0004698C" w:rsidRDefault="0004698C" w:rsidP="00203F2A">
      <w:pPr>
        <w:pStyle w:val="NoSpacing"/>
        <w:ind w:left="1410" w:hanging="1410"/>
        <w:jc w:val="both"/>
      </w:pPr>
    </w:p>
    <w:p w14:paraId="5E3BFA16" w14:textId="77777777" w:rsidR="0004698C" w:rsidRPr="004965EB" w:rsidRDefault="0004698C" w:rsidP="00203F2A">
      <w:pPr>
        <w:pStyle w:val="NoSpacing"/>
        <w:jc w:val="both"/>
        <w:rPr>
          <w:b/>
        </w:rPr>
      </w:pPr>
      <w:r w:rsidRPr="004965EB">
        <w:rPr>
          <w:b/>
        </w:rPr>
        <w:t>Finally, under Component 2, legal and regulatory support will be provided to the government for improving the business environment.</w:t>
      </w:r>
    </w:p>
    <w:p w14:paraId="3DF5F73B" w14:textId="77777777" w:rsidR="0004698C" w:rsidRDefault="0004698C" w:rsidP="00203F2A">
      <w:pPr>
        <w:pStyle w:val="NoSpacing"/>
        <w:ind w:left="1410" w:hanging="1410"/>
        <w:jc w:val="both"/>
      </w:pPr>
    </w:p>
    <w:p w14:paraId="201A7916" w14:textId="77777777" w:rsidR="0004698C" w:rsidRDefault="0004698C" w:rsidP="00203F2A">
      <w:pPr>
        <w:pStyle w:val="NoSpacing"/>
        <w:ind w:left="1410" w:hanging="1410"/>
        <w:jc w:val="both"/>
      </w:pPr>
      <w:r w:rsidRPr="00FB5733">
        <w:rPr>
          <w:b/>
        </w:rPr>
        <w:t>RISK:</w:t>
      </w:r>
      <w:r>
        <w:tab/>
      </w:r>
      <w:r>
        <w:tab/>
        <w:t>Assuming that the anticipated legal and regulatory reform resulting from this type of support duly considers the inclusion of environmental and social safeguards, risks are negligible.</w:t>
      </w:r>
    </w:p>
    <w:p w14:paraId="32A414FD" w14:textId="77777777" w:rsidR="0004698C" w:rsidRDefault="0004698C" w:rsidP="00203F2A">
      <w:pPr>
        <w:pStyle w:val="NoSpacing"/>
        <w:jc w:val="both"/>
      </w:pPr>
    </w:p>
    <w:p w14:paraId="5BC5F923" w14:textId="77777777" w:rsidR="0004698C" w:rsidRDefault="0004698C" w:rsidP="00203F2A">
      <w:pPr>
        <w:pStyle w:val="NoSpacing"/>
        <w:ind w:left="1410" w:hanging="1410"/>
        <w:jc w:val="both"/>
      </w:pPr>
      <w:r w:rsidRPr="00FB5733">
        <w:rPr>
          <w:b/>
        </w:rPr>
        <w:t>IMPACT:</w:t>
      </w:r>
      <w:r>
        <w:tab/>
        <w:t>Improved legal and regulatory instruments in support of the business environment will eventually result in positive impacts.</w:t>
      </w:r>
    </w:p>
    <w:p w14:paraId="54F39BA4" w14:textId="77777777" w:rsidR="0004698C" w:rsidRDefault="0004698C" w:rsidP="00203F2A">
      <w:pPr>
        <w:pStyle w:val="NoSpacing"/>
        <w:ind w:left="1410" w:hanging="1410"/>
        <w:jc w:val="both"/>
      </w:pPr>
    </w:p>
    <w:p w14:paraId="20A6B9F2" w14:textId="77777777" w:rsidR="0004698C" w:rsidRDefault="0004698C" w:rsidP="00203F2A">
      <w:pPr>
        <w:pStyle w:val="NoSpacing"/>
        <w:jc w:val="both"/>
      </w:pPr>
      <w:r w:rsidRPr="00800E7A">
        <w:rPr>
          <w:b/>
        </w:rPr>
        <w:t>Component 3 aims to fund all Project management</w:t>
      </w:r>
      <w:r w:rsidRPr="0094310F">
        <w:t xml:space="preserve">, operational, monitoring and evaluation, and communication costs. This will include support to strengthen GOS capacity in the </w:t>
      </w:r>
      <w:r>
        <w:t xml:space="preserve">design and </w:t>
      </w:r>
      <w:r w:rsidRPr="0094310F">
        <w:t xml:space="preserve">implementation </w:t>
      </w:r>
      <w:r>
        <w:t>of</w:t>
      </w:r>
      <w:r w:rsidRPr="0094310F">
        <w:t xml:space="preserve"> environmental and social safeguards policies under the proposed </w:t>
      </w:r>
      <w:r>
        <w:t>P</w:t>
      </w:r>
      <w:r w:rsidRPr="0094310F">
        <w:t>roject.</w:t>
      </w:r>
    </w:p>
    <w:p w14:paraId="37384AD0" w14:textId="77777777" w:rsidR="0004698C" w:rsidRDefault="0004698C" w:rsidP="00203F2A">
      <w:pPr>
        <w:pStyle w:val="NoSpacing"/>
        <w:jc w:val="both"/>
      </w:pPr>
    </w:p>
    <w:p w14:paraId="059AD57F" w14:textId="136C6D31" w:rsidR="0004698C" w:rsidRDefault="0004698C" w:rsidP="00203F2A">
      <w:pPr>
        <w:pStyle w:val="NoSpacing"/>
        <w:jc w:val="both"/>
      </w:pPr>
      <w:r w:rsidRPr="00FB5733">
        <w:rPr>
          <w:b/>
        </w:rPr>
        <w:t>RISK:</w:t>
      </w:r>
      <w:r>
        <w:tab/>
      </w:r>
      <w:r>
        <w:tab/>
        <w:t>Non</w:t>
      </w:r>
      <w:r w:rsidR="00407865">
        <w:t>e</w:t>
      </w:r>
      <w:r>
        <w:t>, assuming a dedicated Project Implementation Unit (PIU).</w:t>
      </w:r>
    </w:p>
    <w:p w14:paraId="1FFD2B00" w14:textId="77777777" w:rsidR="0004698C" w:rsidRDefault="0004698C" w:rsidP="00203F2A">
      <w:pPr>
        <w:pStyle w:val="NoSpacing"/>
        <w:jc w:val="both"/>
      </w:pPr>
    </w:p>
    <w:p w14:paraId="4E676BE0" w14:textId="77777777" w:rsidR="0004698C" w:rsidRDefault="0004698C" w:rsidP="00203F2A">
      <w:pPr>
        <w:pStyle w:val="NoSpacing"/>
        <w:ind w:left="1410" w:hanging="1410"/>
        <w:jc w:val="both"/>
      </w:pPr>
      <w:r w:rsidRPr="00FB5733">
        <w:rPr>
          <w:b/>
        </w:rPr>
        <w:t>IMPACT:</w:t>
      </w:r>
      <w:r>
        <w:tab/>
        <w:t>All outcomes resulting from these Project interventions are expected to have positive impacts.</w:t>
      </w:r>
    </w:p>
    <w:p w14:paraId="70A25826" w14:textId="77777777" w:rsidR="0004698C" w:rsidRDefault="0004698C" w:rsidP="00203F2A">
      <w:pPr>
        <w:pStyle w:val="NoSpacing"/>
        <w:jc w:val="both"/>
      </w:pPr>
    </w:p>
    <w:p w14:paraId="1F1C999A" w14:textId="17422A29" w:rsidR="0004698C" w:rsidRDefault="0004698C" w:rsidP="00203F2A">
      <w:pPr>
        <w:pStyle w:val="NoSpacing"/>
        <w:jc w:val="both"/>
      </w:pPr>
      <w:r>
        <w:t>To summarize, based on the anticipated</w:t>
      </w:r>
      <w:r w:rsidRPr="00B94528">
        <w:t xml:space="preserve"> </w:t>
      </w:r>
      <w:r>
        <w:t>c</w:t>
      </w:r>
      <w:r w:rsidRPr="00B94528">
        <w:t xml:space="preserve">ategories of </w:t>
      </w:r>
      <w:r w:rsidR="00190610">
        <w:t>SCSD</w:t>
      </w:r>
      <w:r w:rsidRPr="00B94528">
        <w:t xml:space="preserve"> Project interventions and support</w:t>
      </w:r>
      <w:r>
        <w:t>, the examples of potential (</w:t>
      </w:r>
      <w:r w:rsidR="00D22362">
        <w:t>adverse</w:t>
      </w:r>
      <w:r>
        <w:t xml:space="preserve">) environmental and social impacts and the expected significance of impacts are listed in </w:t>
      </w:r>
      <w:r w:rsidR="00D22362">
        <w:t xml:space="preserve">the </w:t>
      </w:r>
      <w:r>
        <w:t xml:space="preserve">table </w:t>
      </w:r>
      <w:r w:rsidR="00D22362">
        <w:t>below</w:t>
      </w:r>
      <w:r>
        <w:t>.</w:t>
      </w:r>
    </w:p>
    <w:p w14:paraId="15331C31" w14:textId="64CD3494" w:rsidR="00E6405D" w:rsidRDefault="00E6405D" w:rsidP="00203F2A">
      <w:pPr>
        <w:pStyle w:val="NoSpacing"/>
        <w:jc w:val="both"/>
      </w:pPr>
    </w:p>
    <w:p w14:paraId="2F66F51F" w14:textId="5130CBEB" w:rsidR="00E6405D" w:rsidRPr="00E6405D" w:rsidRDefault="00E6405D" w:rsidP="00203F2A">
      <w:pPr>
        <w:pStyle w:val="NoSpacing"/>
        <w:jc w:val="both"/>
        <w:rPr>
          <w:b/>
        </w:rPr>
      </w:pPr>
      <w:bookmarkStart w:id="37" w:name="_Hlk531769101"/>
      <w:r w:rsidRPr="00E6405D">
        <w:rPr>
          <w:b/>
        </w:rPr>
        <w:t>Table</w:t>
      </w:r>
      <w:r w:rsidR="004C75AF">
        <w:rPr>
          <w:b/>
        </w:rPr>
        <w:t xml:space="preserve"> 4</w:t>
      </w:r>
      <w:r w:rsidRPr="00E6405D">
        <w:rPr>
          <w:b/>
        </w:rPr>
        <w:t>: Examples of potential Risks and Impacts</w:t>
      </w:r>
    </w:p>
    <w:bookmarkEnd w:id="37"/>
    <w:p w14:paraId="781AEC63" w14:textId="3D0F0F75" w:rsidR="0004698C" w:rsidRDefault="0004698C" w:rsidP="00203F2A">
      <w:pPr>
        <w:pStyle w:val="NoSpacing"/>
        <w:jc w:val="both"/>
      </w:pPr>
    </w:p>
    <w:tbl>
      <w:tblPr>
        <w:tblStyle w:val="TableGrid"/>
        <w:tblW w:w="0" w:type="auto"/>
        <w:tblLook w:val="04A0" w:firstRow="1" w:lastRow="0" w:firstColumn="1" w:lastColumn="0" w:noHBand="0" w:noVBand="1"/>
      </w:tblPr>
      <w:tblGrid>
        <w:gridCol w:w="2972"/>
        <w:gridCol w:w="4394"/>
        <w:gridCol w:w="1696"/>
      </w:tblGrid>
      <w:tr w:rsidR="00D22362" w:rsidRPr="001132F8" w14:paraId="605DFE6D" w14:textId="77777777" w:rsidTr="00B825E1">
        <w:tc>
          <w:tcPr>
            <w:tcW w:w="2972" w:type="dxa"/>
            <w:shd w:val="clear" w:color="auto" w:fill="D9D9D9" w:themeFill="background1" w:themeFillShade="D9"/>
            <w:vAlign w:val="center"/>
          </w:tcPr>
          <w:p w14:paraId="3C8B4CF4" w14:textId="311EF76B" w:rsidR="00D22362" w:rsidRDefault="00D22362" w:rsidP="00203F2A">
            <w:pPr>
              <w:pStyle w:val="NoSpacing"/>
              <w:jc w:val="both"/>
              <w:rPr>
                <w:b/>
                <w:sz w:val="20"/>
                <w:szCs w:val="20"/>
              </w:rPr>
            </w:pPr>
            <w:r w:rsidRPr="001132F8">
              <w:rPr>
                <w:b/>
                <w:sz w:val="20"/>
                <w:szCs w:val="20"/>
              </w:rPr>
              <w:t xml:space="preserve">Categories of </w:t>
            </w:r>
            <w:r w:rsidR="00190610">
              <w:rPr>
                <w:b/>
                <w:sz w:val="20"/>
                <w:szCs w:val="20"/>
              </w:rPr>
              <w:t>SCSD</w:t>
            </w:r>
            <w:r w:rsidRPr="001132F8">
              <w:rPr>
                <w:b/>
                <w:sz w:val="20"/>
                <w:szCs w:val="20"/>
              </w:rPr>
              <w:t xml:space="preserve"> Project interventions and support</w:t>
            </w:r>
          </w:p>
          <w:p w14:paraId="471413BE" w14:textId="24CFBCB5" w:rsidR="00D22362" w:rsidRPr="001132F8" w:rsidRDefault="00D22362" w:rsidP="00203F2A">
            <w:pPr>
              <w:pStyle w:val="NoSpacing"/>
              <w:jc w:val="both"/>
              <w:rPr>
                <w:b/>
                <w:sz w:val="20"/>
                <w:szCs w:val="20"/>
              </w:rPr>
            </w:pPr>
            <w:r w:rsidRPr="001132F8">
              <w:rPr>
                <w:b/>
                <w:sz w:val="20"/>
                <w:szCs w:val="20"/>
              </w:rPr>
              <w:t>(SME support</w:t>
            </w:r>
            <w:r w:rsidR="00A0558F">
              <w:rPr>
                <w:b/>
                <w:sz w:val="20"/>
                <w:szCs w:val="20"/>
              </w:rPr>
              <w:t xml:space="preserve"> and shared value chain assets</w:t>
            </w:r>
            <w:r w:rsidRPr="001132F8">
              <w:rPr>
                <w:b/>
                <w:sz w:val="20"/>
                <w:szCs w:val="20"/>
              </w:rPr>
              <w:t>)</w:t>
            </w:r>
          </w:p>
        </w:tc>
        <w:tc>
          <w:tcPr>
            <w:tcW w:w="4394" w:type="dxa"/>
            <w:shd w:val="clear" w:color="auto" w:fill="D9D9D9" w:themeFill="background1" w:themeFillShade="D9"/>
            <w:vAlign w:val="center"/>
          </w:tcPr>
          <w:p w14:paraId="68463776" w14:textId="77777777" w:rsidR="00D22362" w:rsidRPr="001132F8" w:rsidRDefault="00D22362" w:rsidP="00203F2A">
            <w:pPr>
              <w:pStyle w:val="NoSpacing"/>
              <w:jc w:val="both"/>
              <w:rPr>
                <w:b/>
                <w:sz w:val="20"/>
                <w:szCs w:val="20"/>
              </w:rPr>
            </w:pPr>
            <w:r w:rsidRPr="001132F8">
              <w:rPr>
                <w:b/>
                <w:sz w:val="20"/>
                <w:szCs w:val="20"/>
              </w:rPr>
              <w:t>Potential Environmental</w:t>
            </w:r>
          </w:p>
          <w:p w14:paraId="68CAA918" w14:textId="77777777" w:rsidR="00D22362" w:rsidRPr="001132F8" w:rsidRDefault="00D22362" w:rsidP="00203F2A">
            <w:pPr>
              <w:pStyle w:val="NoSpacing"/>
              <w:jc w:val="both"/>
              <w:rPr>
                <w:b/>
                <w:sz w:val="20"/>
                <w:szCs w:val="20"/>
              </w:rPr>
            </w:pPr>
            <w:r w:rsidRPr="001132F8">
              <w:rPr>
                <w:b/>
                <w:sz w:val="20"/>
                <w:szCs w:val="20"/>
              </w:rPr>
              <w:t>and Social Impact</w:t>
            </w:r>
          </w:p>
        </w:tc>
        <w:tc>
          <w:tcPr>
            <w:tcW w:w="1696" w:type="dxa"/>
            <w:shd w:val="clear" w:color="auto" w:fill="D9D9D9" w:themeFill="background1" w:themeFillShade="D9"/>
            <w:vAlign w:val="center"/>
          </w:tcPr>
          <w:p w14:paraId="41C5E7E4" w14:textId="77777777" w:rsidR="00D22362" w:rsidRPr="001132F8" w:rsidRDefault="00D22362" w:rsidP="00203F2A">
            <w:pPr>
              <w:pStyle w:val="NoSpacing"/>
              <w:jc w:val="both"/>
              <w:rPr>
                <w:b/>
                <w:sz w:val="20"/>
                <w:szCs w:val="20"/>
              </w:rPr>
            </w:pPr>
            <w:r w:rsidRPr="001132F8">
              <w:rPr>
                <w:b/>
                <w:sz w:val="20"/>
                <w:szCs w:val="20"/>
              </w:rPr>
              <w:t>Expected Significance</w:t>
            </w:r>
          </w:p>
        </w:tc>
      </w:tr>
      <w:tr w:rsidR="00D22362" w:rsidRPr="001132F8" w14:paraId="05188200" w14:textId="77777777" w:rsidTr="00B825E1">
        <w:tc>
          <w:tcPr>
            <w:tcW w:w="2972" w:type="dxa"/>
            <w:vMerge w:val="restart"/>
            <w:shd w:val="clear" w:color="auto" w:fill="auto"/>
          </w:tcPr>
          <w:p w14:paraId="10F68B52" w14:textId="567DDC36" w:rsidR="00D22362" w:rsidRPr="001132F8" w:rsidRDefault="003C721A" w:rsidP="00203F2A">
            <w:pPr>
              <w:pStyle w:val="NoSpacing"/>
              <w:jc w:val="both"/>
              <w:rPr>
                <w:b/>
                <w:sz w:val="20"/>
                <w:szCs w:val="20"/>
              </w:rPr>
            </w:pPr>
            <w:r w:rsidRPr="001132F8">
              <w:rPr>
                <w:sz w:val="20"/>
                <w:szCs w:val="20"/>
              </w:rPr>
              <w:t>Agribusiness development</w:t>
            </w:r>
          </w:p>
        </w:tc>
        <w:tc>
          <w:tcPr>
            <w:tcW w:w="4394" w:type="dxa"/>
            <w:shd w:val="clear" w:color="auto" w:fill="auto"/>
          </w:tcPr>
          <w:p w14:paraId="5D4B7598" w14:textId="77777777" w:rsidR="00D22362" w:rsidRPr="001132F8" w:rsidRDefault="00D22362" w:rsidP="00203F2A">
            <w:pPr>
              <w:pStyle w:val="NoSpacing"/>
              <w:jc w:val="both"/>
              <w:rPr>
                <w:b/>
                <w:sz w:val="20"/>
                <w:szCs w:val="20"/>
              </w:rPr>
            </w:pPr>
            <w:r w:rsidRPr="001132F8">
              <w:rPr>
                <w:sz w:val="20"/>
                <w:szCs w:val="20"/>
              </w:rPr>
              <w:t>Groundwater pollution</w:t>
            </w:r>
          </w:p>
        </w:tc>
        <w:tc>
          <w:tcPr>
            <w:tcW w:w="1696" w:type="dxa"/>
            <w:shd w:val="clear" w:color="auto" w:fill="auto"/>
            <w:vAlign w:val="center"/>
          </w:tcPr>
          <w:p w14:paraId="32EB39E3" w14:textId="77777777" w:rsidR="00D22362" w:rsidRPr="0020781E" w:rsidRDefault="00D22362" w:rsidP="00203F2A">
            <w:pPr>
              <w:pStyle w:val="NoSpacing"/>
              <w:jc w:val="both"/>
              <w:rPr>
                <w:sz w:val="20"/>
                <w:szCs w:val="20"/>
              </w:rPr>
            </w:pPr>
            <w:r w:rsidRPr="0020781E">
              <w:rPr>
                <w:sz w:val="20"/>
                <w:szCs w:val="20"/>
              </w:rPr>
              <w:t>Substantial</w:t>
            </w:r>
          </w:p>
        </w:tc>
      </w:tr>
      <w:tr w:rsidR="00D22362" w:rsidRPr="001132F8" w14:paraId="12469D25" w14:textId="77777777" w:rsidTr="00B825E1">
        <w:tc>
          <w:tcPr>
            <w:tcW w:w="2972" w:type="dxa"/>
            <w:vMerge/>
            <w:shd w:val="clear" w:color="auto" w:fill="auto"/>
            <w:vAlign w:val="center"/>
          </w:tcPr>
          <w:p w14:paraId="183FE6E3" w14:textId="77777777" w:rsidR="00D22362" w:rsidRPr="001132F8" w:rsidRDefault="00D22362" w:rsidP="00203F2A">
            <w:pPr>
              <w:pStyle w:val="NoSpacing"/>
              <w:jc w:val="both"/>
              <w:rPr>
                <w:b/>
                <w:sz w:val="20"/>
                <w:szCs w:val="20"/>
              </w:rPr>
            </w:pPr>
          </w:p>
        </w:tc>
        <w:tc>
          <w:tcPr>
            <w:tcW w:w="4394" w:type="dxa"/>
            <w:shd w:val="clear" w:color="auto" w:fill="auto"/>
          </w:tcPr>
          <w:p w14:paraId="66893E5F" w14:textId="77777777" w:rsidR="00D22362" w:rsidRPr="001132F8" w:rsidRDefault="00D22362" w:rsidP="00203F2A">
            <w:pPr>
              <w:pStyle w:val="NoSpacing"/>
              <w:jc w:val="both"/>
              <w:rPr>
                <w:sz w:val="20"/>
                <w:szCs w:val="20"/>
              </w:rPr>
            </w:pPr>
            <w:r w:rsidRPr="001132F8">
              <w:rPr>
                <w:sz w:val="20"/>
                <w:szCs w:val="20"/>
              </w:rPr>
              <w:t>Surface water pollution</w:t>
            </w:r>
          </w:p>
        </w:tc>
        <w:tc>
          <w:tcPr>
            <w:tcW w:w="1696" w:type="dxa"/>
            <w:shd w:val="clear" w:color="auto" w:fill="auto"/>
            <w:vAlign w:val="center"/>
          </w:tcPr>
          <w:p w14:paraId="3A2AAD49" w14:textId="77777777" w:rsidR="00D22362" w:rsidRPr="0020781E" w:rsidRDefault="00D22362" w:rsidP="00203F2A">
            <w:pPr>
              <w:pStyle w:val="NoSpacing"/>
              <w:jc w:val="both"/>
              <w:rPr>
                <w:sz w:val="20"/>
                <w:szCs w:val="20"/>
              </w:rPr>
            </w:pPr>
            <w:r w:rsidRPr="0020781E">
              <w:rPr>
                <w:sz w:val="20"/>
                <w:szCs w:val="20"/>
              </w:rPr>
              <w:t>Substantial</w:t>
            </w:r>
          </w:p>
        </w:tc>
      </w:tr>
      <w:tr w:rsidR="00D22362" w:rsidRPr="001132F8" w14:paraId="0B13DD2F" w14:textId="77777777" w:rsidTr="00B825E1">
        <w:tc>
          <w:tcPr>
            <w:tcW w:w="2972" w:type="dxa"/>
            <w:vMerge/>
            <w:shd w:val="clear" w:color="auto" w:fill="auto"/>
            <w:vAlign w:val="center"/>
          </w:tcPr>
          <w:p w14:paraId="3A073CD4" w14:textId="77777777" w:rsidR="00D22362" w:rsidRPr="001132F8" w:rsidRDefault="00D22362" w:rsidP="00203F2A">
            <w:pPr>
              <w:pStyle w:val="NoSpacing"/>
              <w:jc w:val="both"/>
              <w:rPr>
                <w:b/>
                <w:sz w:val="20"/>
                <w:szCs w:val="20"/>
              </w:rPr>
            </w:pPr>
          </w:p>
        </w:tc>
        <w:tc>
          <w:tcPr>
            <w:tcW w:w="4394" w:type="dxa"/>
            <w:shd w:val="clear" w:color="auto" w:fill="auto"/>
          </w:tcPr>
          <w:p w14:paraId="42B5672F" w14:textId="77777777" w:rsidR="00D22362" w:rsidRPr="001132F8" w:rsidRDefault="00D22362" w:rsidP="00203F2A">
            <w:pPr>
              <w:pStyle w:val="NoSpacing"/>
              <w:jc w:val="both"/>
              <w:rPr>
                <w:b/>
                <w:sz w:val="20"/>
                <w:szCs w:val="20"/>
              </w:rPr>
            </w:pPr>
            <w:r w:rsidRPr="001132F8">
              <w:rPr>
                <w:sz w:val="20"/>
                <w:szCs w:val="20"/>
              </w:rPr>
              <w:t xml:space="preserve">Alteration of hydrological regime </w:t>
            </w:r>
          </w:p>
        </w:tc>
        <w:tc>
          <w:tcPr>
            <w:tcW w:w="1696" w:type="dxa"/>
            <w:shd w:val="clear" w:color="auto" w:fill="auto"/>
            <w:vAlign w:val="center"/>
          </w:tcPr>
          <w:p w14:paraId="44444B91" w14:textId="77777777" w:rsidR="00D22362" w:rsidRPr="0020781E" w:rsidRDefault="00D22362" w:rsidP="00203F2A">
            <w:pPr>
              <w:pStyle w:val="NoSpacing"/>
              <w:jc w:val="both"/>
              <w:rPr>
                <w:sz w:val="20"/>
                <w:szCs w:val="20"/>
              </w:rPr>
            </w:pPr>
            <w:r w:rsidRPr="0020781E">
              <w:rPr>
                <w:sz w:val="20"/>
                <w:szCs w:val="20"/>
              </w:rPr>
              <w:t>Low</w:t>
            </w:r>
          </w:p>
        </w:tc>
      </w:tr>
      <w:tr w:rsidR="00D22362" w:rsidRPr="001132F8" w14:paraId="0F2AA011" w14:textId="77777777" w:rsidTr="00B825E1">
        <w:tc>
          <w:tcPr>
            <w:tcW w:w="2972" w:type="dxa"/>
            <w:vMerge/>
            <w:shd w:val="clear" w:color="auto" w:fill="auto"/>
            <w:vAlign w:val="center"/>
          </w:tcPr>
          <w:p w14:paraId="14190FF2" w14:textId="77777777" w:rsidR="00D22362" w:rsidRPr="001132F8" w:rsidRDefault="00D22362" w:rsidP="00203F2A">
            <w:pPr>
              <w:pStyle w:val="NoSpacing"/>
              <w:jc w:val="both"/>
              <w:rPr>
                <w:b/>
                <w:sz w:val="20"/>
                <w:szCs w:val="20"/>
              </w:rPr>
            </w:pPr>
          </w:p>
        </w:tc>
        <w:tc>
          <w:tcPr>
            <w:tcW w:w="4394" w:type="dxa"/>
            <w:shd w:val="clear" w:color="auto" w:fill="auto"/>
          </w:tcPr>
          <w:p w14:paraId="20856F6A" w14:textId="77777777" w:rsidR="00D22362" w:rsidRPr="001132F8" w:rsidRDefault="00D22362" w:rsidP="00203F2A">
            <w:pPr>
              <w:pStyle w:val="NoSpacing"/>
              <w:jc w:val="both"/>
              <w:rPr>
                <w:sz w:val="20"/>
                <w:szCs w:val="20"/>
              </w:rPr>
            </w:pPr>
            <w:r w:rsidRPr="001132F8">
              <w:rPr>
                <w:sz w:val="20"/>
                <w:szCs w:val="20"/>
              </w:rPr>
              <w:t xml:space="preserve">Destruction of flora and fauna habitat  </w:t>
            </w:r>
          </w:p>
        </w:tc>
        <w:tc>
          <w:tcPr>
            <w:tcW w:w="1696" w:type="dxa"/>
            <w:shd w:val="clear" w:color="auto" w:fill="auto"/>
            <w:vAlign w:val="center"/>
          </w:tcPr>
          <w:p w14:paraId="3A0FE756" w14:textId="77777777" w:rsidR="00D22362" w:rsidRPr="0020781E" w:rsidRDefault="00D22362" w:rsidP="00203F2A">
            <w:pPr>
              <w:pStyle w:val="NoSpacing"/>
              <w:jc w:val="both"/>
              <w:rPr>
                <w:sz w:val="20"/>
                <w:szCs w:val="20"/>
              </w:rPr>
            </w:pPr>
            <w:r w:rsidRPr="0020781E">
              <w:rPr>
                <w:sz w:val="20"/>
                <w:szCs w:val="20"/>
              </w:rPr>
              <w:t>Moderate</w:t>
            </w:r>
          </w:p>
        </w:tc>
      </w:tr>
      <w:tr w:rsidR="00D22362" w:rsidRPr="001132F8" w14:paraId="6BB3B62C" w14:textId="77777777" w:rsidTr="00B825E1">
        <w:tc>
          <w:tcPr>
            <w:tcW w:w="2972" w:type="dxa"/>
            <w:vMerge/>
            <w:shd w:val="clear" w:color="auto" w:fill="auto"/>
            <w:vAlign w:val="center"/>
          </w:tcPr>
          <w:p w14:paraId="714B6D23" w14:textId="77777777" w:rsidR="00D22362" w:rsidRPr="001132F8" w:rsidRDefault="00D22362" w:rsidP="00203F2A">
            <w:pPr>
              <w:pStyle w:val="NoSpacing"/>
              <w:jc w:val="both"/>
              <w:rPr>
                <w:b/>
                <w:sz w:val="20"/>
                <w:szCs w:val="20"/>
              </w:rPr>
            </w:pPr>
          </w:p>
        </w:tc>
        <w:tc>
          <w:tcPr>
            <w:tcW w:w="4394" w:type="dxa"/>
            <w:shd w:val="clear" w:color="auto" w:fill="auto"/>
          </w:tcPr>
          <w:p w14:paraId="75A6C40F" w14:textId="77777777" w:rsidR="00D22362" w:rsidRPr="001132F8" w:rsidRDefault="00D22362" w:rsidP="00203F2A">
            <w:pPr>
              <w:pStyle w:val="NoSpacing"/>
              <w:jc w:val="both"/>
              <w:rPr>
                <w:b/>
                <w:sz w:val="20"/>
                <w:szCs w:val="20"/>
              </w:rPr>
            </w:pPr>
            <w:r w:rsidRPr="001132F8">
              <w:rPr>
                <w:sz w:val="20"/>
                <w:szCs w:val="20"/>
              </w:rPr>
              <w:t xml:space="preserve">Soil and land degradation </w:t>
            </w:r>
          </w:p>
        </w:tc>
        <w:tc>
          <w:tcPr>
            <w:tcW w:w="1696" w:type="dxa"/>
            <w:shd w:val="clear" w:color="auto" w:fill="auto"/>
            <w:vAlign w:val="center"/>
          </w:tcPr>
          <w:p w14:paraId="19BC6678" w14:textId="77777777" w:rsidR="00D22362" w:rsidRPr="0020781E" w:rsidRDefault="00D22362" w:rsidP="00203F2A">
            <w:pPr>
              <w:pStyle w:val="NoSpacing"/>
              <w:jc w:val="both"/>
              <w:rPr>
                <w:sz w:val="20"/>
                <w:szCs w:val="20"/>
              </w:rPr>
            </w:pPr>
            <w:r w:rsidRPr="0020781E">
              <w:rPr>
                <w:sz w:val="20"/>
                <w:szCs w:val="20"/>
              </w:rPr>
              <w:t>Moderate</w:t>
            </w:r>
          </w:p>
        </w:tc>
      </w:tr>
      <w:tr w:rsidR="00D22362" w:rsidRPr="001132F8" w14:paraId="3523563A" w14:textId="77777777" w:rsidTr="00B825E1">
        <w:tc>
          <w:tcPr>
            <w:tcW w:w="2972" w:type="dxa"/>
            <w:vMerge/>
            <w:shd w:val="clear" w:color="auto" w:fill="auto"/>
            <w:vAlign w:val="center"/>
          </w:tcPr>
          <w:p w14:paraId="6860B91B" w14:textId="77777777" w:rsidR="00D22362" w:rsidRPr="001132F8" w:rsidRDefault="00D22362" w:rsidP="00203F2A">
            <w:pPr>
              <w:pStyle w:val="NoSpacing"/>
              <w:jc w:val="both"/>
              <w:rPr>
                <w:b/>
                <w:sz w:val="20"/>
                <w:szCs w:val="20"/>
              </w:rPr>
            </w:pPr>
          </w:p>
        </w:tc>
        <w:tc>
          <w:tcPr>
            <w:tcW w:w="4394" w:type="dxa"/>
            <w:shd w:val="clear" w:color="auto" w:fill="auto"/>
          </w:tcPr>
          <w:p w14:paraId="61AA3C37" w14:textId="77777777" w:rsidR="00D22362" w:rsidRPr="001132F8" w:rsidRDefault="00D22362" w:rsidP="00203F2A">
            <w:pPr>
              <w:pStyle w:val="NoSpacing"/>
              <w:jc w:val="both"/>
              <w:rPr>
                <w:sz w:val="20"/>
                <w:szCs w:val="20"/>
              </w:rPr>
            </w:pPr>
            <w:r>
              <w:rPr>
                <w:sz w:val="20"/>
                <w:szCs w:val="20"/>
              </w:rPr>
              <w:t>Excessive a</w:t>
            </w:r>
            <w:r w:rsidRPr="001132F8">
              <w:rPr>
                <w:sz w:val="20"/>
                <w:szCs w:val="20"/>
              </w:rPr>
              <w:t xml:space="preserve">grochemical use </w:t>
            </w:r>
            <w:r>
              <w:rPr>
                <w:sz w:val="20"/>
                <w:szCs w:val="20"/>
              </w:rPr>
              <w:t>(p</w:t>
            </w:r>
            <w:r w:rsidRPr="001132F8">
              <w:rPr>
                <w:sz w:val="20"/>
                <w:szCs w:val="20"/>
              </w:rPr>
              <w:t xml:space="preserve">est </w:t>
            </w:r>
            <w:r>
              <w:rPr>
                <w:sz w:val="20"/>
                <w:szCs w:val="20"/>
              </w:rPr>
              <w:t xml:space="preserve">/ disease </w:t>
            </w:r>
            <w:r w:rsidRPr="001132F8">
              <w:rPr>
                <w:sz w:val="20"/>
                <w:szCs w:val="20"/>
              </w:rPr>
              <w:t>control</w:t>
            </w:r>
            <w:r>
              <w:rPr>
                <w:sz w:val="20"/>
                <w:szCs w:val="20"/>
              </w:rPr>
              <w:t>)</w:t>
            </w:r>
          </w:p>
        </w:tc>
        <w:tc>
          <w:tcPr>
            <w:tcW w:w="1696" w:type="dxa"/>
            <w:shd w:val="clear" w:color="auto" w:fill="auto"/>
            <w:vAlign w:val="center"/>
          </w:tcPr>
          <w:p w14:paraId="5AD4EA0A" w14:textId="77777777" w:rsidR="00D22362" w:rsidRPr="0020781E" w:rsidRDefault="00D22362" w:rsidP="00203F2A">
            <w:pPr>
              <w:pStyle w:val="NoSpacing"/>
              <w:jc w:val="both"/>
              <w:rPr>
                <w:sz w:val="20"/>
                <w:szCs w:val="20"/>
              </w:rPr>
            </w:pPr>
            <w:r w:rsidRPr="0020781E">
              <w:rPr>
                <w:sz w:val="20"/>
                <w:szCs w:val="20"/>
              </w:rPr>
              <w:t>Substantial</w:t>
            </w:r>
          </w:p>
        </w:tc>
      </w:tr>
      <w:tr w:rsidR="00D22362" w:rsidRPr="001132F8" w14:paraId="6FA4C7A7" w14:textId="77777777" w:rsidTr="00B825E1">
        <w:tc>
          <w:tcPr>
            <w:tcW w:w="2972" w:type="dxa"/>
            <w:vMerge/>
            <w:shd w:val="clear" w:color="auto" w:fill="auto"/>
            <w:vAlign w:val="center"/>
          </w:tcPr>
          <w:p w14:paraId="27AFCBAF" w14:textId="77777777" w:rsidR="00D22362" w:rsidRPr="001132F8" w:rsidRDefault="00D22362" w:rsidP="00203F2A">
            <w:pPr>
              <w:pStyle w:val="NoSpacing"/>
              <w:jc w:val="both"/>
              <w:rPr>
                <w:b/>
                <w:sz w:val="20"/>
                <w:szCs w:val="20"/>
              </w:rPr>
            </w:pPr>
          </w:p>
        </w:tc>
        <w:tc>
          <w:tcPr>
            <w:tcW w:w="4394" w:type="dxa"/>
            <w:shd w:val="clear" w:color="auto" w:fill="auto"/>
          </w:tcPr>
          <w:p w14:paraId="1E25BF89" w14:textId="77777777" w:rsidR="00D22362" w:rsidRPr="001132F8" w:rsidRDefault="00D22362" w:rsidP="00203F2A">
            <w:pPr>
              <w:pStyle w:val="NoSpacing"/>
              <w:jc w:val="both"/>
              <w:rPr>
                <w:b/>
                <w:sz w:val="20"/>
                <w:szCs w:val="20"/>
              </w:rPr>
            </w:pPr>
            <w:r>
              <w:rPr>
                <w:sz w:val="20"/>
                <w:szCs w:val="20"/>
              </w:rPr>
              <w:t>Inadequate s</w:t>
            </w:r>
            <w:r w:rsidRPr="001132F8">
              <w:rPr>
                <w:sz w:val="20"/>
                <w:szCs w:val="20"/>
              </w:rPr>
              <w:t>olid waste disposal</w:t>
            </w:r>
          </w:p>
        </w:tc>
        <w:tc>
          <w:tcPr>
            <w:tcW w:w="1696" w:type="dxa"/>
            <w:shd w:val="clear" w:color="auto" w:fill="auto"/>
            <w:vAlign w:val="center"/>
          </w:tcPr>
          <w:p w14:paraId="29319EC6" w14:textId="77777777" w:rsidR="00D22362" w:rsidRPr="0020781E" w:rsidRDefault="00D22362" w:rsidP="00203F2A">
            <w:pPr>
              <w:pStyle w:val="NoSpacing"/>
              <w:jc w:val="both"/>
              <w:rPr>
                <w:sz w:val="20"/>
                <w:szCs w:val="20"/>
              </w:rPr>
            </w:pPr>
            <w:r w:rsidRPr="0020781E">
              <w:rPr>
                <w:sz w:val="20"/>
                <w:szCs w:val="20"/>
              </w:rPr>
              <w:t>Moderate</w:t>
            </w:r>
          </w:p>
        </w:tc>
      </w:tr>
      <w:tr w:rsidR="00D22362" w:rsidRPr="001132F8" w14:paraId="791F8DAC" w14:textId="77777777" w:rsidTr="00B825E1">
        <w:tc>
          <w:tcPr>
            <w:tcW w:w="2972" w:type="dxa"/>
            <w:vMerge/>
            <w:shd w:val="clear" w:color="auto" w:fill="auto"/>
            <w:vAlign w:val="center"/>
          </w:tcPr>
          <w:p w14:paraId="1F8C3493" w14:textId="77777777" w:rsidR="00D22362" w:rsidRPr="001132F8" w:rsidRDefault="00D22362" w:rsidP="00203F2A">
            <w:pPr>
              <w:pStyle w:val="NoSpacing"/>
              <w:jc w:val="both"/>
              <w:rPr>
                <w:b/>
                <w:sz w:val="20"/>
                <w:szCs w:val="20"/>
              </w:rPr>
            </w:pPr>
          </w:p>
        </w:tc>
        <w:tc>
          <w:tcPr>
            <w:tcW w:w="4394" w:type="dxa"/>
            <w:shd w:val="clear" w:color="auto" w:fill="auto"/>
          </w:tcPr>
          <w:p w14:paraId="60C9BC40" w14:textId="77777777" w:rsidR="00D22362" w:rsidRPr="001132F8" w:rsidRDefault="00D22362" w:rsidP="00203F2A">
            <w:pPr>
              <w:pStyle w:val="NoSpacing"/>
              <w:jc w:val="both"/>
              <w:rPr>
                <w:b/>
                <w:sz w:val="20"/>
                <w:szCs w:val="20"/>
              </w:rPr>
            </w:pPr>
            <w:r w:rsidRPr="001132F8">
              <w:rPr>
                <w:sz w:val="20"/>
                <w:szCs w:val="20"/>
              </w:rPr>
              <w:t xml:space="preserve">Air </w:t>
            </w:r>
            <w:r>
              <w:rPr>
                <w:sz w:val="20"/>
                <w:szCs w:val="20"/>
              </w:rPr>
              <w:t>pollution</w:t>
            </w:r>
          </w:p>
        </w:tc>
        <w:tc>
          <w:tcPr>
            <w:tcW w:w="1696" w:type="dxa"/>
            <w:shd w:val="clear" w:color="auto" w:fill="auto"/>
            <w:vAlign w:val="center"/>
          </w:tcPr>
          <w:p w14:paraId="3647BCB7" w14:textId="77777777" w:rsidR="00D22362" w:rsidRPr="0020781E" w:rsidRDefault="00D22362" w:rsidP="00203F2A">
            <w:pPr>
              <w:pStyle w:val="NoSpacing"/>
              <w:jc w:val="both"/>
              <w:rPr>
                <w:sz w:val="20"/>
                <w:szCs w:val="20"/>
              </w:rPr>
            </w:pPr>
            <w:r w:rsidRPr="0020781E">
              <w:rPr>
                <w:sz w:val="20"/>
                <w:szCs w:val="20"/>
              </w:rPr>
              <w:t>Low</w:t>
            </w:r>
          </w:p>
        </w:tc>
      </w:tr>
      <w:tr w:rsidR="00D22362" w:rsidRPr="001132F8" w14:paraId="3F4598C4" w14:textId="77777777" w:rsidTr="00B825E1">
        <w:tc>
          <w:tcPr>
            <w:tcW w:w="2972" w:type="dxa"/>
            <w:vMerge/>
            <w:shd w:val="clear" w:color="auto" w:fill="auto"/>
            <w:vAlign w:val="center"/>
          </w:tcPr>
          <w:p w14:paraId="4A8AED7B" w14:textId="77777777" w:rsidR="00D22362" w:rsidRPr="001132F8" w:rsidRDefault="00D22362" w:rsidP="00203F2A">
            <w:pPr>
              <w:pStyle w:val="NoSpacing"/>
              <w:jc w:val="both"/>
              <w:rPr>
                <w:b/>
                <w:sz w:val="20"/>
                <w:szCs w:val="20"/>
              </w:rPr>
            </w:pPr>
          </w:p>
        </w:tc>
        <w:tc>
          <w:tcPr>
            <w:tcW w:w="4394" w:type="dxa"/>
            <w:shd w:val="clear" w:color="auto" w:fill="auto"/>
          </w:tcPr>
          <w:p w14:paraId="4EC55409" w14:textId="77777777" w:rsidR="00D22362" w:rsidRPr="001132F8" w:rsidRDefault="00D22362" w:rsidP="00203F2A">
            <w:pPr>
              <w:pStyle w:val="NoSpacing"/>
              <w:jc w:val="both"/>
              <w:rPr>
                <w:sz w:val="20"/>
                <w:szCs w:val="20"/>
              </w:rPr>
            </w:pPr>
            <w:r w:rsidRPr="001132F8">
              <w:rPr>
                <w:sz w:val="20"/>
                <w:szCs w:val="20"/>
              </w:rPr>
              <w:t>Noise</w:t>
            </w:r>
            <w:r>
              <w:rPr>
                <w:sz w:val="20"/>
                <w:szCs w:val="20"/>
              </w:rPr>
              <w:t xml:space="preserve"> pollution</w:t>
            </w:r>
          </w:p>
        </w:tc>
        <w:tc>
          <w:tcPr>
            <w:tcW w:w="1696" w:type="dxa"/>
            <w:shd w:val="clear" w:color="auto" w:fill="auto"/>
            <w:vAlign w:val="center"/>
          </w:tcPr>
          <w:p w14:paraId="0335BAA2" w14:textId="77777777" w:rsidR="00D22362" w:rsidRPr="0020781E" w:rsidRDefault="00D22362" w:rsidP="00203F2A">
            <w:pPr>
              <w:pStyle w:val="NoSpacing"/>
              <w:jc w:val="both"/>
              <w:rPr>
                <w:sz w:val="20"/>
                <w:szCs w:val="20"/>
              </w:rPr>
            </w:pPr>
            <w:r w:rsidRPr="0020781E">
              <w:rPr>
                <w:sz w:val="20"/>
                <w:szCs w:val="20"/>
              </w:rPr>
              <w:t>Low</w:t>
            </w:r>
          </w:p>
        </w:tc>
      </w:tr>
      <w:tr w:rsidR="00D22362" w:rsidRPr="001132F8" w14:paraId="62D40EB4" w14:textId="77777777" w:rsidTr="00B825E1">
        <w:tc>
          <w:tcPr>
            <w:tcW w:w="2972" w:type="dxa"/>
            <w:vMerge/>
            <w:shd w:val="clear" w:color="auto" w:fill="auto"/>
            <w:vAlign w:val="center"/>
          </w:tcPr>
          <w:p w14:paraId="6C026EB8" w14:textId="77777777" w:rsidR="00D22362" w:rsidRPr="001132F8" w:rsidRDefault="00D22362" w:rsidP="00203F2A">
            <w:pPr>
              <w:pStyle w:val="NoSpacing"/>
              <w:jc w:val="both"/>
              <w:rPr>
                <w:b/>
                <w:sz w:val="20"/>
                <w:szCs w:val="20"/>
              </w:rPr>
            </w:pPr>
          </w:p>
        </w:tc>
        <w:tc>
          <w:tcPr>
            <w:tcW w:w="4394" w:type="dxa"/>
            <w:shd w:val="clear" w:color="auto" w:fill="auto"/>
          </w:tcPr>
          <w:p w14:paraId="345E7FAE" w14:textId="77777777" w:rsidR="00D22362" w:rsidRPr="001132F8" w:rsidRDefault="00D22362" w:rsidP="00203F2A">
            <w:pPr>
              <w:pStyle w:val="NoSpacing"/>
              <w:jc w:val="both"/>
              <w:rPr>
                <w:b/>
                <w:sz w:val="20"/>
                <w:szCs w:val="20"/>
              </w:rPr>
            </w:pPr>
            <w:r w:rsidRPr="001132F8">
              <w:rPr>
                <w:sz w:val="20"/>
                <w:szCs w:val="20"/>
              </w:rPr>
              <w:t>Involuntary resettlement</w:t>
            </w:r>
          </w:p>
        </w:tc>
        <w:tc>
          <w:tcPr>
            <w:tcW w:w="1696" w:type="dxa"/>
            <w:shd w:val="clear" w:color="auto" w:fill="auto"/>
            <w:vAlign w:val="center"/>
          </w:tcPr>
          <w:p w14:paraId="28551359" w14:textId="77777777" w:rsidR="00D22362" w:rsidRPr="0020781E" w:rsidRDefault="00D22362" w:rsidP="00203F2A">
            <w:pPr>
              <w:pStyle w:val="NoSpacing"/>
              <w:jc w:val="both"/>
              <w:rPr>
                <w:sz w:val="20"/>
                <w:szCs w:val="20"/>
              </w:rPr>
            </w:pPr>
            <w:r w:rsidRPr="0020781E">
              <w:rPr>
                <w:sz w:val="20"/>
                <w:szCs w:val="20"/>
              </w:rPr>
              <w:t>Low</w:t>
            </w:r>
          </w:p>
        </w:tc>
      </w:tr>
      <w:tr w:rsidR="00D22362" w:rsidRPr="001132F8" w14:paraId="534EDCFF" w14:textId="77777777" w:rsidTr="00B825E1">
        <w:tc>
          <w:tcPr>
            <w:tcW w:w="2972" w:type="dxa"/>
            <w:vMerge/>
            <w:shd w:val="clear" w:color="auto" w:fill="auto"/>
            <w:vAlign w:val="center"/>
          </w:tcPr>
          <w:p w14:paraId="7C44F344" w14:textId="77777777" w:rsidR="00D22362" w:rsidRPr="001132F8" w:rsidRDefault="00D22362" w:rsidP="00203F2A">
            <w:pPr>
              <w:pStyle w:val="NoSpacing"/>
              <w:jc w:val="both"/>
              <w:rPr>
                <w:b/>
                <w:sz w:val="20"/>
                <w:szCs w:val="20"/>
              </w:rPr>
            </w:pPr>
          </w:p>
        </w:tc>
        <w:tc>
          <w:tcPr>
            <w:tcW w:w="4394" w:type="dxa"/>
            <w:shd w:val="clear" w:color="auto" w:fill="auto"/>
          </w:tcPr>
          <w:p w14:paraId="7C357CC6" w14:textId="1E0DD6D1" w:rsidR="00D22362" w:rsidRPr="001132F8" w:rsidRDefault="0014223B" w:rsidP="00203F2A">
            <w:pPr>
              <w:pStyle w:val="NoSpacing"/>
              <w:jc w:val="both"/>
              <w:rPr>
                <w:b/>
                <w:sz w:val="20"/>
                <w:szCs w:val="20"/>
              </w:rPr>
            </w:pPr>
            <w:r>
              <w:rPr>
                <w:sz w:val="20"/>
                <w:szCs w:val="20"/>
              </w:rPr>
              <w:t>Gender-based violence induced by labor influx</w:t>
            </w:r>
          </w:p>
        </w:tc>
        <w:tc>
          <w:tcPr>
            <w:tcW w:w="1696" w:type="dxa"/>
            <w:shd w:val="clear" w:color="auto" w:fill="auto"/>
            <w:vAlign w:val="center"/>
          </w:tcPr>
          <w:p w14:paraId="2B00A88C" w14:textId="4335E51B" w:rsidR="00D22362" w:rsidRPr="0014223B" w:rsidRDefault="0014223B" w:rsidP="00203F2A">
            <w:pPr>
              <w:pStyle w:val="NoSpacing"/>
              <w:jc w:val="both"/>
              <w:rPr>
                <w:sz w:val="20"/>
                <w:szCs w:val="20"/>
              </w:rPr>
            </w:pPr>
            <w:r w:rsidRPr="0014223B">
              <w:rPr>
                <w:sz w:val="20"/>
                <w:szCs w:val="20"/>
              </w:rPr>
              <w:t>Low</w:t>
            </w:r>
          </w:p>
        </w:tc>
      </w:tr>
      <w:tr w:rsidR="00D22362" w:rsidRPr="001132F8" w14:paraId="30E5DF50" w14:textId="77777777" w:rsidTr="00B825E1">
        <w:tc>
          <w:tcPr>
            <w:tcW w:w="2972" w:type="dxa"/>
            <w:vMerge/>
            <w:shd w:val="clear" w:color="auto" w:fill="auto"/>
            <w:vAlign w:val="center"/>
          </w:tcPr>
          <w:p w14:paraId="1381102F" w14:textId="77777777" w:rsidR="00D22362" w:rsidRPr="001132F8" w:rsidRDefault="00D22362" w:rsidP="00203F2A">
            <w:pPr>
              <w:pStyle w:val="NoSpacing"/>
              <w:jc w:val="both"/>
              <w:rPr>
                <w:b/>
                <w:sz w:val="20"/>
                <w:szCs w:val="20"/>
              </w:rPr>
            </w:pPr>
          </w:p>
        </w:tc>
        <w:tc>
          <w:tcPr>
            <w:tcW w:w="4394" w:type="dxa"/>
            <w:shd w:val="clear" w:color="auto" w:fill="auto"/>
          </w:tcPr>
          <w:p w14:paraId="5956A3FA" w14:textId="011FA524" w:rsidR="00D22362" w:rsidRPr="001132F8" w:rsidRDefault="0014223B" w:rsidP="00203F2A">
            <w:pPr>
              <w:pStyle w:val="NoSpacing"/>
              <w:jc w:val="both"/>
              <w:rPr>
                <w:b/>
                <w:sz w:val="20"/>
                <w:szCs w:val="20"/>
              </w:rPr>
            </w:pPr>
            <w:r>
              <w:rPr>
                <w:sz w:val="20"/>
                <w:szCs w:val="20"/>
              </w:rPr>
              <w:t>Child labor</w:t>
            </w:r>
          </w:p>
        </w:tc>
        <w:tc>
          <w:tcPr>
            <w:tcW w:w="1696" w:type="dxa"/>
            <w:shd w:val="clear" w:color="auto" w:fill="auto"/>
            <w:vAlign w:val="center"/>
          </w:tcPr>
          <w:p w14:paraId="6BDDA3E8" w14:textId="639674DB" w:rsidR="00D22362" w:rsidRPr="0014223B" w:rsidRDefault="0014223B" w:rsidP="00203F2A">
            <w:pPr>
              <w:pStyle w:val="NoSpacing"/>
              <w:jc w:val="both"/>
              <w:rPr>
                <w:sz w:val="20"/>
                <w:szCs w:val="20"/>
              </w:rPr>
            </w:pPr>
            <w:r w:rsidRPr="0014223B">
              <w:rPr>
                <w:sz w:val="20"/>
                <w:szCs w:val="20"/>
              </w:rPr>
              <w:t>Low</w:t>
            </w:r>
          </w:p>
        </w:tc>
      </w:tr>
      <w:tr w:rsidR="00D22362" w:rsidRPr="001132F8" w14:paraId="28DB4023" w14:textId="77777777" w:rsidTr="00B825E1">
        <w:tc>
          <w:tcPr>
            <w:tcW w:w="2972" w:type="dxa"/>
            <w:vMerge w:val="restart"/>
          </w:tcPr>
          <w:p w14:paraId="7DB4C66B" w14:textId="77777777" w:rsidR="00D22362" w:rsidRPr="001132F8" w:rsidRDefault="00D22362" w:rsidP="00203F2A">
            <w:pPr>
              <w:pStyle w:val="NoSpacing"/>
              <w:jc w:val="both"/>
              <w:rPr>
                <w:sz w:val="20"/>
                <w:szCs w:val="20"/>
              </w:rPr>
            </w:pPr>
            <w:r w:rsidRPr="001132F8">
              <w:rPr>
                <w:sz w:val="20"/>
                <w:szCs w:val="20"/>
              </w:rPr>
              <w:t>NTFP business development</w:t>
            </w:r>
          </w:p>
        </w:tc>
        <w:tc>
          <w:tcPr>
            <w:tcW w:w="4394" w:type="dxa"/>
          </w:tcPr>
          <w:p w14:paraId="1B2CE638" w14:textId="77777777" w:rsidR="00D22362" w:rsidRPr="001132F8" w:rsidRDefault="00D22362" w:rsidP="00203F2A">
            <w:pPr>
              <w:pStyle w:val="NoSpacing"/>
              <w:jc w:val="both"/>
              <w:rPr>
                <w:sz w:val="20"/>
                <w:szCs w:val="20"/>
              </w:rPr>
            </w:pPr>
            <w:r w:rsidRPr="001132F8">
              <w:rPr>
                <w:sz w:val="20"/>
                <w:szCs w:val="20"/>
              </w:rPr>
              <w:t>Overexploitation</w:t>
            </w:r>
          </w:p>
        </w:tc>
        <w:tc>
          <w:tcPr>
            <w:tcW w:w="1696" w:type="dxa"/>
          </w:tcPr>
          <w:p w14:paraId="2488A2D3"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40653C29" w14:textId="77777777" w:rsidTr="00B825E1">
        <w:tc>
          <w:tcPr>
            <w:tcW w:w="2972" w:type="dxa"/>
            <w:vMerge/>
          </w:tcPr>
          <w:p w14:paraId="7E383D20" w14:textId="77777777" w:rsidR="00D22362" w:rsidRPr="001132F8" w:rsidRDefault="00D22362" w:rsidP="00203F2A">
            <w:pPr>
              <w:pStyle w:val="NoSpacing"/>
              <w:jc w:val="both"/>
              <w:rPr>
                <w:sz w:val="20"/>
                <w:szCs w:val="20"/>
              </w:rPr>
            </w:pPr>
          </w:p>
        </w:tc>
        <w:tc>
          <w:tcPr>
            <w:tcW w:w="4394" w:type="dxa"/>
          </w:tcPr>
          <w:p w14:paraId="4E8E0097" w14:textId="77777777" w:rsidR="00D22362" w:rsidRPr="001132F8" w:rsidRDefault="00D22362" w:rsidP="00203F2A">
            <w:pPr>
              <w:pStyle w:val="NoSpacing"/>
              <w:jc w:val="both"/>
              <w:rPr>
                <w:sz w:val="20"/>
                <w:szCs w:val="20"/>
              </w:rPr>
            </w:pPr>
            <w:r w:rsidRPr="001132F8">
              <w:rPr>
                <w:sz w:val="20"/>
                <w:szCs w:val="20"/>
              </w:rPr>
              <w:t>Biodiversity loss</w:t>
            </w:r>
          </w:p>
        </w:tc>
        <w:tc>
          <w:tcPr>
            <w:tcW w:w="1696" w:type="dxa"/>
          </w:tcPr>
          <w:p w14:paraId="38B98662"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4C7A0933" w14:textId="77777777" w:rsidTr="00B825E1">
        <w:tc>
          <w:tcPr>
            <w:tcW w:w="2972" w:type="dxa"/>
            <w:vMerge/>
          </w:tcPr>
          <w:p w14:paraId="06C1D394" w14:textId="77777777" w:rsidR="00D22362" w:rsidRPr="001132F8" w:rsidRDefault="00D22362" w:rsidP="00203F2A">
            <w:pPr>
              <w:pStyle w:val="NoSpacing"/>
              <w:jc w:val="both"/>
              <w:rPr>
                <w:sz w:val="20"/>
                <w:szCs w:val="20"/>
              </w:rPr>
            </w:pPr>
          </w:p>
        </w:tc>
        <w:tc>
          <w:tcPr>
            <w:tcW w:w="4394" w:type="dxa"/>
          </w:tcPr>
          <w:p w14:paraId="54DE90B5" w14:textId="77777777" w:rsidR="00D22362" w:rsidRPr="001132F8" w:rsidRDefault="00D22362" w:rsidP="00203F2A">
            <w:pPr>
              <w:pStyle w:val="NoSpacing"/>
              <w:jc w:val="both"/>
              <w:rPr>
                <w:sz w:val="20"/>
                <w:szCs w:val="20"/>
              </w:rPr>
            </w:pPr>
            <w:r w:rsidRPr="001132F8">
              <w:rPr>
                <w:sz w:val="20"/>
                <w:szCs w:val="20"/>
              </w:rPr>
              <w:t>Intrusion of unintended activities</w:t>
            </w:r>
          </w:p>
        </w:tc>
        <w:tc>
          <w:tcPr>
            <w:tcW w:w="1696" w:type="dxa"/>
          </w:tcPr>
          <w:p w14:paraId="79625594"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4F38339F" w14:textId="77777777" w:rsidTr="00B825E1">
        <w:tc>
          <w:tcPr>
            <w:tcW w:w="2972" w:type="dxa"/>
            <w:vMerge/>
          </w:tcPr>
          <w:p w14:paraId="00BFBBE1" w14:textId="77777777" w:rsidR="00D22362" w:rsidRPr="001132F8" w:rsidRDefault="00D22362" w:rsidP="00203F2A">
            <w:pPr>
              <w:pStyle w:val="NoSpacing"/>
              <w:jc w:val="both"/>
              <w:rPr>
                <w:sz w:val="20"/>
                <w:szCs w:val="20"/>
              </w:rPr>
            </w:pPr>
          </w:p>
        </w:tc>
        <w:tc>
          <w:tcPr>
            <w:tcW w:w="4394" w:type="dxa"/>
          </w:tcPr>
          <w:p w14:paraId="56974BC0" w14:textId="77777777" w:rsidR="00D22362" w:rsidRPr="001132F8" w:rsidRDefault="00D22362" w:rsidP="00203F2A">
            <w:pPr>
              <w:pStyle w:val="NoSpacing"/>
              <w:jc w:val="both"/>
              <w:rPr>
                <w:sz w:val="20"/>
                <w:szCs w:val="20"/>
              </w:rPr>
            </w:pPr>
            <w:r>
              <w:rPr>
                <w:sz w:val="20"/>
                <w:szCs w:val="20"/>
              </w:rPr>
              <w:t>Inadequate s</w:t>
            </w:r>
            <w:r w:rsidRPr="001132F8">
              <w:rPr>
                <w:sz w:val="20"/>
                <w:szCs w:val="20"/>
              </w:rPr>
              <w:t>olid waste disposal</w:t>
            </w:r>
          </w:p>
        </w:tc>
        <w:tc>
          <w:tcPr>
            <w:tcW w:w="1696" w:type="dxa"/>
          </w:tcPr>
          <w:p w14:paraId="0541FA9E"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77F66142" w14:textId="77777777" w:rsidTr="00B825E1">
        <w:tc>
          <w:tcPr>
            <w:tcW w:w="2972" w:type="dxa"/>
            <w:vMerge/>
          </w:tcPr>
          <w:p w14:paraId="3A214BC1" w14:textId="77777777" w:rsidR="00D22362" w:rsidRPr="001132F8" w:rsidRDefault="00D22362" w:rsidP="00203F2A">
            <w:pPr>
              <w:pStyle w:val="NoSpacing"/>
              <w:jc w:val="both"/>
              <w:rPr>
                <w:sz w:val="20"/>
                <w:szCs w:val="20"/>
              </w:rPr>
            </w:pPr>
          </w:p>
        </w:tc>
        <w:tc>
          <w:tcPr>
            <w:tcW w:w="4394" w:type="dxa"/>
          </w:tcPr>
          <w:p w14:paraId="2A6401A8" w14:textId="77777777" w:rsidR="00D22362" w:rsidRPr="001132F8" w:rsidRDefault="00D22362" w:rsidP="00203F2A">
            <w:pPr>
              <w:pStyle w:val="NoSpacing"/>
              <w:jc w:val="both"/>
              <w:rPr>
                <w:sz w:val="20"/>
                <w:szCs w:val="20"/>
              </w:rPr>
            </w:pPr>
            <w:r w:rsidRPr="001132F8">
              <w:rPr>
                <w:sz w:val="20"/>
                <w:szCs w:val="20"/>
              </w:rPr>
              <w:t>Waste water spill</w:t>
            </w:r>
          </w:p>
        </w:tc>
        <w:tc>
          <w:tcPr>
            <w:tcW w:w="1696" w:type="dxa"/>
          </w:tcPr>
          <w:p w14:paraId="59A05C00" w14:textId="77777777" w:rsidR="00D22362" w:rsidRPr="001132F8" w:rsidRDefault="00D22362" w:rsidP="00203F2A">
            <w:pPr>
              <w:pStyle w:val="NoSpacing"/>
              <w:jc w:val="both"/>
              <w:rPr>
                <w:sz w:val="20"/>
                <w:szCs w:val="20"/>
              </w:rPr>
            </w:pPr>
            <w:r>
              <w:rPr>
                <w:sz w:val="20"/>
                <w:szCs w:val="20"/>
              </w:rPr>
              <w:t>Low</w:t>
            </w:r>
          </w:p>
        </w:tc>
      </w:tr>
      <w:tr w:rsidR="00D22362" w:rsidRPr="001132F8" w14:paraId="6ED0BD46" w14:textId="77777777" w:rsidTr="00B825E1">
        <w:tc>
          <w:tcPr>
            <w:tcW w:w="2972" w:type="dxa"/>
            <w:vMerge/>
          </w:tcPr>
          <w:p w14:paraId="41FE2B72" w14:textId="77777777" w:rsidR="00D22362" w:rsidRPr="001132F8" w:rsidRDefault="00D22362" w:rsidP="00203F2A">
            <w:pPr>
              <w:pStyle w:val="NoSpacing"/>
              <w:jc w:val="both"/>
              <w:rPr>
                <w:sz w:val="20"/>
                <w:szCs w:val="20"/>
              </w:rPr>
            </w:pPr>
          </w:p>
        </w:tc>
        <w:tc>
          <w:tcPr>
            <w:tcW w:w="4394" w:type="dxa"/>
          </w:tcPr>
          <w:p w14:paraId="4ED581AA" w14:textId="77777777" w:rsidR="00D22362" w:rsidRPr="001132F8" w:rsidRDefault="00D22362" w:rsidP="00203F2A">
            <w:pPr>
              <w:pStyle w:val="NoSpacing"/>
              <w:jc w:val="both"/>
              <w:rPr>
                <w:sz w:val="20"/>
                <w:szCs w:val="20"/>
              </w:rPr>
            </w:pPr>
            <w:r w:rsidRPr="001132F8">
              <w:rPr>
                <w:sz w:val="20"/>
                <w:szCs w:val="20"/>
              </w:rPr>
              <w:t>Conflict over land use and resources</w:t>
            </w:r>
          </w:p>
        </w:tc>
        <w:tc>
          <w:tcPr>
            <w:tcW w:w="1696" w:type="dxa"/>
          </w:tcPr>
          <w:p w14:paraId="6FDC3B02" w14:textId="77777777" w:rsidR="00D22362" w:rsidRPr="001132F8" w:rsidRDefault="00D22362" w:rsidP="00203F2A">
            <w:pPr>
              <w:pStyle w:val="NoSpacing"/>
              <w:jc w:val="both"/>
              <w:rPr>
                <w:sz w:val="20"/>
                <w:szCs w:val="20"/>
              </w:rPr>
            </w:pPr>
            <w:r w:rsidRPr="001132F8">
              <w:rPr>
                <w:sz w:val="20"/>
                <w:szCs w:val="20"/>
              </w:rPr>
              <w:t>Substantial</w:t>
            </w:r>
          </w:p>
        </w:tc>
      </w:tr>
      <w:tr w:rsidR="0014223B" w:rsidRPr="001132F8" w14:paraId="41FC5CBD" w14:textId="77777777" w:rsidTr="0070504F">
        <w:tc>
          <w:tcPr>
            <w:tcW w:w="2972" w:type="dxa"/>
            <w:vMerge/>
          </w:tcPr>
          <w:p w14:paraId="58FA28E1" w14:textId="77777777" w:rsidR="0014223B" w:rsidRPr="001132F8" w:rsidRDefault="0014223B" w:rsidP="0014223B">
            <w:pPr>
              <w:pStyle w:val="NoSpacing"/>
              <w:jc w:val="both"/>
              <w:rPr>
                <w:sz w:val="20"/>
                <w:szCs w:val="20"/>
              </w:rPr>
            </w:pPr>
          </w:p>
        </w:tc>
        <w:tc>
          <w:tcPr>
            <w:tcW w:w="4394" w:type="dxa"/>
          </w:tcPr>
          <w:p w14:paraId="0FFF22B9" w14:textId="68817EF6" w:rsidR="0014223B" w:rsidRPr="001132F8" w:rsidRDefault="0014223B" w:rsidP="0014223B">
            <w:pPr>
              <w:pStyle w:val="NoSpacing"/>
              <w:jc w:val="both"/>
              <w:rPr>
                <w:sz w:val="20"/>
                <w:szCs w:val="20"/>
              </w:rPr>
            </w:pPr>
            <w:r>
              <w:rPr>
                <w:sz w:val="20"/>
                <w:szCs w:val="20"/>
              </w:rPr>
              <w:t>Gender-based violence induced by labor influx</w:t>
            </w:r>
          </w:p>
        </w:tc>
        <w:tc>
          <w:tcPr>
            <w:tcW w:w="1696" w:type="dxa"/>
            <w:vAlign w:val="center"/>
          </w:tcPr>
          <w:p w14:paraId="49E3C4A9" w14:textId="5A525CB1" w:rsidR="0014223B" w:rsidRPr="001132F8" w:rsidRDefault="0014223B" w:rsidP="0014223B">
            <w:pPr>
              <w:pStyle w:val="NoSpacing"/>
              <w:jc w:val="both"/>
              <w:rPr>
                <w:sz w:val="20"/>
                <w:szCs w:val="20"/>
              </w:rPr>
            </w:pPr>
            <w:r w:rsidRPr="0014223B">
              <w:rPr>
                <w:sz w:val="20"/>
                <w:szCs w:val="20"/>
              </w:rPr>
              <w:t>Low</w:t>
            </w:r>
          </w:p>
        </w:tc>
      </w:tr>
      <w:tr w:rsidR="0014223B" w:rsidRPr="001132F8" w14:paraId="624C5A8A" w14:textId="77777777" w:rsidTr="0070504F">
        <w:tc>
          <w:tcPr>
            <w:tcW w:w="2972" w:type="dxa"/>
            <w:vMerge/>
          </w:tcPr>
          <w:p w14:paraId="097E943B" w14:textId="77777777" w:rsidR="0014223B" w:rsidRPr="001132F8" w:rsidRDefault="0014223B" w:rsidP="0014223B">
            <w:pPr>
              <w:pStyle w:val="NoSpacing"/>
              <w:jc w:val="both"/>
              <w:rPr>
                <w:sz w:val="20"/>
                <w:szCs w:val="20"/>
              </w:rPr>
            </w:pPr>
          </w:p>
        </w:tc>
        <w:tc>
          <w:tcPr>
            <w:tcW w:w="4394" w:type="dxa"/>
          </w:tcPr>
          <w:p w14:paraId="58095F8B" w14:textId="4AF08885" w:rsidR="0014223B" w:rsidRPr="001132F8" w:rsidRDefault="0014223B" w:rsidP="0014223B">
            <w:pPr>
              <w:pStyle w:val="NoSpacing"/>
              <w:jc w:val="both"/>
              <w:rPr>
                <w:sz w:val="20"/>
                <w:szCs w:val="20"/>
              </w:rPr>
            </w:pPr>
            <w:r>
              <w:rPr>
                <w:sz w:val="20"/>
                <w:szCs w:val="20"/>
              </w:rPr>
              <w:t>Child labor</w:t>
            </w:r>
          </w:p>
        </w:tc>
        <w:tc>
          <w:tcPr>
            <w:tcW w:w="1696" w:type="dxa"/>
            <w:vAlign w:val="center"/>
          </w:tcPr>
          <w:p w14:paraId="7AA3359A" w14:textId="30EA1B14" w:rsidR="0014223B" w:rsidRPr="001132F8" w:rsidRDefault="0014223B" w:rsidP="0014223B">
            <w:pPr>
              <w:pStyle w:val="NoSpacing"/>
              <w:jc w:val="both"/>
              <w:rPr>
                <w:sz w:val="20"/>
                <w:szCs w:val="20"/>
              </w:rPr>
            </w:pPr>
            <w:r w:rsidRPr="0014223B">
              <w:rPr>
                <w:sz w:val="20"/>
                <w:szCs w:val="20"/>
              </w:rPr>
              <w:t>Low</w:t>
            </w:r>
          </w:p>
        </w:tc>
      </w:tr>
      <w:tr w:rsidR="00D22362" w:rsidRPr="001132F8" w14:paraId="3F30FF7E" w14:textId="77777777" w:rsidTr="00B825E1">
        <w:tc>
          <w:tcPr>
            <w:tcW w:w="2972" w:type="dxa"/>
            <w:vMerge w:val="restart"/>
          </w:tcPr>
          <w:p w14:paraId="263A5B3E" w14:textId="77777777" w:rsidR="00D22362" w:rsidRPr="001132F8" w:rsidRDefault="00D22362" w:rsidP="00203F2A">
            <w:pPr>
              <w:pStyle w:val="NoSpacing"/>
              <w:jc w:val="both"/>
              <w:rPr>
                <w:sz w:val="20"/>
                <w:szCs w:val="20"/>
              </w:rPr>
            </w:pPr>
            <w:r w:rsidRPr="001132F8">
              <w:rPr>
                <w:sz w:val="20"/>
                <w:szCs w:val="20"/>
              </w:rPr>
              <w:t>Tourism development</w:t>
            </w:r>
          </w:p>
        </w:tc>
        <w:tc>
          <w:tcPr>
            <w:tcW w:w="4394" w:type="dxa"/>
          </w:tcPr>
          <w:p w14:paraId="27CB1DB6" w14:textId="77777777" w:rsidR="00D22362" w:rsidRPr="001132F8" w:rsidRDefault="00D22362" w:rsidP="00203F2A">
            <w:pPr>
              <w:pStyle w:val="NoSpacing"/>
              <w:jc w:val="both"/>
              <w:rPr>
                <w:sz w:val="20"/>
                <w:szCs w:val="20"/>
              </w:rPr>
            </w:pPr>
            <w:r w:rsidRPr="001132F8">
              <w:rPr>
                <w:sz w:val="20"/>
                <w:szCs w:val="20"/>
              </w:rPr>
              <w:t>Degradation of heritage sites</w:t>
            </w:r>
          </w:p>
        </w:tc>
        <w:tc>
          <w:tcPr>
            <w:tcW w:w="1696" w:type="dxa"/>
          </w:tcPr>
          <w:p w14:paraId="363F8DD5"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014AAFB2" w14:textId="77777777" w:rsidTr="00B825E1">
        <w:tc>
          <w:tcPr>
            <w:tcW w:w="2972" w:type="dxa"/>
            <w:vMerge/>
          </w:tcPr>
          <w:p w14:paraId="55C659D1" w14:textId="77777777" w:rsidR="00D22362" w:rsidRPr="001132F8" w:rsidRDefault="00D22362" w:rsidP="00203F2A">
            <w:pPr>
              <w:pStyle w:val="NoSpacing"/>
              <w:jc w:val="both"/>
              <w:rPr>
                <w:sz w:val="20"/>
                <w:szCs w:val="20"/>
              </w:rPr>
            </w:pPr>
          </w:p>
        </w:tc>
        <w:tc>
          <w:tcPr>
            <w:tcW w:w="4394" w:type="dxa"/>
          </w:tcPr>
          <w:p w14:paraId="357086FC" w14:textId="77777777" w:rsidR="00D22362" w:rsidRPr="001132F8" w:rsidRDefault="00D22362" w:rsidP="00203F2A">
            <w:pPr>
              <w:pStyle w:val="NoSpacing"/>
              <w:jc w:val="both"/>
              <w:rPr>
                <w:sz w:val="20"/>
                <w:szCs w:val="20"/>
              </w:rPr>
            </w:pPr>
            <w:r w:rsidRPr="001132F8">
              <w:rPr>
                <w:sz w:val="20"/>
                <w:szCs w:val="20"/>
              </w:rPr>
              <w:t>Loss of biodiversity</w:t>
            </w:r>
          </w:p>
        </w:tc>
        <w:tc>
          <w:tcPr>
            <w:tcW w:w="1696" w:type="dxa"/>
          </w:tcPr>
          <w:p w14:paraId="38F74624" w14:textId="77777777" w:rsidR="00D22362" w:rsidRPr="001132F8" w:rsidRDefault="00D22362" w:rsidP="00203F2A">
            <w:pPr>
              <w:pStyle w:val="NoSpacing"/>
              <w:jc w:val="both"/>
              <w:rPr>
                <w:sz w:val="20"/>
                <w:szCs w:val="20"/>
              </w:rPr>
            </w:pPr>
            <w:r>
              <w:rPr>
                <w:sz w:val="20"/>
                <w:szCs w:val="20"/>
              </w:rPr>
              <w:t>Low</w:t>
            </w:r>
          </w:p>
        </w:tc>
      </w:tr>
      <w:tr w:rsidR="00D22362" w:rsidRPr="001132F8" w14:paraId="4BB6645B" w14:textId="77777777" w:rsidTr="00B825E1">
        <w:tc>
          <w:tcPr>
            <w:tcW w:w="2972" w:type="dxa"/>
            <w:vMerge/>
          </w:tcPr>
          <w:p w14:paraId="2942E042" w14:textId="77777777" w:rsidR="00D22362" w:rsidRPr="001132F8" w:rsidRDefault="00D22362" w:rsidP="00203F2A">
            <w:pPr>
              <w:pStyle w:val="NoSpacing"/>
              <w:jc w:val="both"/>
              <w:rPr>
                <w:sz w:val="20"/>
                <w:szCs w:val="20"/>
              </w:rPr>
            </w:pPr>
          </w:p>
        </w:tc>
        <w:tc>
          <w:tcPr>
            <w:tcW w:w="4394" w:type="dxa"/>
          </w:tcPr>
          <w:p w14:paraId="05A21E58" w14:textId="77777777" w:rsidR="00D22362" w:rsidRPr="001132F8" w:rsidRDefault="00D22362" w:rsidP="00203F2A">
            <w:pPr>
              <w:pStyle w:val="NoSpacing"/>
              <w:jc w:val="both"/>
              <w:rPr>
                <w:sz w:val="20"/>
                <w:szCs w:val="20"/>
              </w:rPr>
            </w:pPr>
            <w:r w:rsidRPr="001132F8">
              <w:rPr>
                <w:sz w:val="20"/>
                <w:szCs w:val="20"/>
              </w:rPr>
              <w:t>Community ‘lifestyle’ disruption</w:t>
            </w:r>
          </w:p>
        </w:tc>
        <w:tc>
          <w:tcPr>
            <w:tcW w:w="1696" w:type="dxa"/>
          </w:tcPr>
          <w:p w14:paraId="3772D732"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7FB2F8C5" w14:textId="77777777" w:rsidTr="00B825E1">
        <w:tc>
          <w:tcPr>
            <w:tcW w:w="2972" w:type="dxa"/>
            <w:vMerge/>
          </w:tcPr>
          <w:p w14:paraId="2F34C848" w14:textId="77777777" w:rsidR="00D22362" w:rsidRPr="001132F8" w:rsidRDefault="00D22362" w:rsidP="00203F2A">
            <w:pPr>
              <w:pStyle w:val="NoSpacing"/>
              <w:jc w:val="both"/>
              <w:rPr>
                <w:sz w:val="20"/>
                <w:szCs w:val="20"/>
              </w:rPr>
            </w:pPr>
          </w:p>
        </w:tc>
        <w:tc>
          <w:tcPr>
            <w:tcW w:w="4394" w:type="dxa"/>
          </w:tcPr>
          <w:p w14:paraId="16F4481A" w14:textId="77777777" w:rsidR="00D22362" w:rsidRPr="001132F8" w:rsidRDefault="00D22362" w:rsidP="00203F2A">
            <w:pPr>
              <w:pStyle w:val="NoSpacing"/>
              <w:jc w:val="both"/>
              <w:rPr>
                <w:sz w:val="20"/>
                <w:szCs w:val="20"/>
              </w:rPr>
            </w:pPr>
            <w:r w:rsidRPr="001132F8">
              <w:rPr>
                <w:sz w:val="20"/>
                <w:szCs w:val="20"/>
              </w:rPr>
              <w:t>Conflict over the land use and resources</w:t>
            </w:r>
          </w:p>
        </w:tc>
        <w:tc>
          <w:tcPr>
            <w:tcW w:w="1696" w:type="dxa"/>
          </w:tcPr>
          <w:p w14:paraId="347ECE09"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16B19C1E" w14:textId="77777777" w:rsidTr="00B825E1">
        <w:tc>
          <w:tcPr>
            <w:tcW w:w="2972" w:type="dxa"/>
            <w:vMerge/>
          </w:tcPr>
          <w:p w14:paraId="0FFEA50A" w14:textId="77777777" w:rsidR="00D22362" w:rsidRPr="001132F8" w:rsidRDefault="00D22362" w:rsidP="00203F2A">
            <w:pPr>
              <w:pStyle w:val="NoSpacing"/>
              <w:jc w:val="both"/>
              <w:rPr>
                <w:sz w:val="20"/>
                <w:szCs w:val="20"/>
              </w:rPr>
            </w:pPr>
          </w:p>
        </w:tc>
        <w:tc>
          <w:tcPr>
            <w:tcW w:w="4394" w:type="dxa"/>
          </w:tcPr>
          <w:p w14:paraId="370E33B2" w14:textId="77777777" w:rsidR="00D22362" w:rsidRPr="001132F8" w:rsidRDefault="00D22362" w:rsidP="00203F2A">
            <w:pPr>
              <w:pStyle w:val="NoSpacing"/>
              <w:jc w:val="both"/>
              <w:rPr>
                <w:sz w:val="20"/>
                <w:szCs w:val="20"/>
              </w:rPr>
            </w:pPr>
            <w:r w:rsidRPr="001132F8">
              <w:rPr>
                <w:sz w:val="20"/>
                <w:szCs w:val="20"/>
              </w:rPr>
              <w:t>Intrusion of unintended activities</w:t>
            </w:r>
          </w:p>
        </w:tc>
        <w:tc>
          <w:tcPr>
            <w:tcW w:w="1696" w:type="dxa"/>
          </w:tcPr>
          <w:p w14:paraId="36E1FCF2"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1CF36F1C" w14:textId="77777777" w:rsidTr="00B825E1">
        <w:tc>
          <w:tcPr>
            <w:tcW w:w="2972" w:type="dxa"/>
            <w:vMerge/>
          </w:tcPr>
          <w:p w14:paraId="36BEFA53" w14:textId="77777777" w:rsidR="00D22362" w:rsidRPr="001132F8" w:rsidRDefault="00D22362" w:rsidP="00203F2A">
            <w:pPr>
              <w:pStyle w:val="NoSpacing"/>
              <w:jc w:val="both"/>
              <w:rPr>
                <w:sz w:val="20"/>
                <w:szCs w:val="20"/>
              </w:rPr>
            </w:pPr>
          </w:p>
        </w:tc>
        <w:tc>
          <w:tcPr>
            <w:tcW w:w="4394" w:type="dxa"/>
          </w:tcPr>
          <w:p w14:paraId="57960A4F" w14:textId="77777777" w:rsidR="00D22362" w:rsidRPr="001132F8" w:rsidRDefault="00D22362" w:rsidP="00203F2A">
            <w:pPr>
              <w:pStyle w:val="NoSpacing"/>
              <w:jc w:val="both"/>
              <w:rPr>
                <w:sz w:val="20"/>
                <w:szCs w:val="20"/>
              </w:rPr>
            </w:pPr>
            <w:r>
              <w:rPr>
                <w:sz w:val="20"/>
                <w:szCs w:val="20"/>
              </w:rPr>
              <w:t>Inadequate s</w:t>
            </w:r>
            <w:r w:rsidRPr="001132F8">
              <w:rPr>
                <w:sz w:val="20"/>
                <w:szCs w:val="20"/>
              </w:rPr>
              <w:t>olid waste disposal</w:t>
            </w:r>
          </w:p>
        </w:tc>
        <w:tc>
          <w:tcPr>
            <w:tcW w:w="1696" w:type="dxa"/>
          </w:tcPr>
          <w:p w14:paraId="32164F78" w14:textId="77777777" w:rsidR="00D22362" w:rsidRPr="001132F8" w:rsidRDefault="00D22362" w:rsidP="00203F2A">
            <w:pPr>
              <w:pStyle w:val="NoSpacing"/>
              <w:jc w:val="both"/>
              <w:rPr>
                <w:sz w:val="20"/>
                <w:szCs w:val="20"/>
              </w:rPr>
            </w:pPr>
            <w:r w:rsidRPr="001132F8">
              <w:rPr>
                <w:sz w:val="20"/>
                <w:szCs w:val="20"/>
              </w:rPr>
              <w:t>Substantial</w:t>
            </w:r>
          </w:p>
        </w:tc>
      </w:tr>
      <w:tr w:rsidR="00D22362" w:rsidRPr="001132F8" w14:paraId="2C0EFF9A" w14:textId="77777777" w:rsidTr="00B825E1">
        <w:tc>
          <w:tcPr>
            <w:tcW w:w="2972" w:type="dxa"/>
            <w:vMerge/>
          </w:tcPr>
          <w:p w14:paraId="41FA47B5" w14:textId="77777777" w:rsidR="00D22362" w:rsidRPr="001132F8" w:rsidRDefault="00D22362" w:rsidP="00203F2A">
            <w:pPr>
              <w:pStyle w:val="NoSpacing"/>
              <w:jc w:val="both"/>
              <w:rPr>
                <w:sz w:val="20"/>
                <w:szCs w:val="20"/>
              </w:rPr>
            </w:pPr>
          </w:p>
        </w:tc>
        <w:tc>
          <w:tcPr>
            <w:tcW w:w="4394" w:type="dxa"/>
          </w:tcPr>
          <w:p w14:paraId="399DCFFC" w14:textId="77777777" w:rsidR="00D22362" w:rsidRPr="001132F8" w:rsidRDefault="00D22362" w:rsidP="00203F2A">
            <w:pPr>
              <w:pStyle w:val="NoSpacing"/>
              <w:jc w:val="both"/>
              <w:rPr>
                <w:sz w:val="20"/>
                <w:szCs w:val="20"/>
              </w:rPr>
            </w:pPr>
            <w:r>
              <w:rPr>
                <w:sz w:val="20"/>
                <w:szCs w:val="20"/>
              </w:rPr>
              <w:t>Poor s</w:t>
            </w:r>
            <w:r w:rsidRPr="001132F8">
              <w:rPr>
                <w:sz w:val="20"/>
                <w:szCs w:val="20"/>
              </w:rPr>
              <w:t>anitation / hygiene</w:t>
            </w:r>
          </w:p>
        </w:tc>
        <w:tc>
          <w:tcPr>
            <w:tcW w:w="1696" w:type="dxa"/>
          </w:tcPr>
          <w:p w14:paraId="7640B93B"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568D22C5" w14:textId="77777777" w:rsidTr="00B825E1">
        <w:tc>
          <w:tcPr>
            <w:tcW w:w="2972" w:type="dxa"/>
            <w:vMerge/>
          </w:tcPr>
          <w:p w14:paraId="56707177" w14:textId="77777777" w:rsidR="00D22362" w:rsidRPr="001132F8" w:rsidRDefault="00D22362" w:rsidP="00203F2A">
            <w:pPr>
              <w:pStyle w:val="NoSpacing"/>
              <w:jc w:val="both"/>
              <w:rPr>
                <w:sz w:val="20"/>
                <w:szCs w:val="20"/>
              </w:rPr>
            </w:pPr>
          </w:p>
        </w:tc>
        <w:tc>
          <w:tcPr>
            <w:tcW w:w="4394" w:type="dxa"/>
          </w:tcPr>
          <w:p w14:paraId="32BDB6C0" w14:textId="77777777" w:rsidR="00D22362" w:rsidRPr="001132F8" w:rsidRDefault="00D22362" w:rsidP="00203F2A">
            <w:pPr>
              <w:pStyle w:val="NoSpacing"/>
              <w:jc w:val="both"/>
              <w:rPr>
                <w:sz w:val="20"/>
                <w:szCs w:val="20"/>
              </w:rPr>
            </w:pPr>
            <w:r w:rsidRPr="001132F8">
              <w:rPr>
                <w:sz w:val="20"/>
                <w:szCs w:val="20"/>
              </w:rPr>
              <w:t>Involuntary resettlement</w:t>
            </w:r>
          </w:p>
        </w:tc>
        <w:tc>
          <w:tcPr>
            <w:tcW w:w="1696" w:type="dxa"/>
          </w:tcPr>
          <w:p w14:paraId="3318B965" w14:textId="77777777" w:rsidR="00D22362" w:rsidRPr="001132F8" w:rsidRDefault="00D22362" w:rsidP="00203F2A">
            <w:pPr>
              <w:pStyle w:val="NoSpacing"/>
              <w:jc w:val="both"/>
              <w:rPr>
                <w:sz w:val="20"/>
                <w:szCs w:val="20"/>
              </w:rPr>
            </w:pPr>
            <w:r w:rsidRPr="001132F8">
              <w:rPr>
                <w:sz w:val="20"/>
                <w:szCs w:val="20"/>
              </w:rPr>
              <w:t>Low</w:t>
            </w:r>
          </w:p>
        </w:tc>
      </w:tr>
      <w:tr w:rsidR="0014223B" w:rsidRPr="001132F8" w14:paraId="33C1BB0A" w14:textId="77777777" w:rsidTr="0070504F">
        <w:tc>
          <w:tcPr>
            <w:tcW w:w="2972" w:type="dxa"/>
            <w:vMerge/>
          </w:tcPr>
          <w:p w14:paraId="7F7BB98D" w14:textId="77777777" w:rsidR="0014223B" w:rsidRPr="001132F8" w:rsidRDefault="0014223B" w:rsidP="0014223B">
            <w:pPr>
              <w:pStyle w:val="NoSpacing"/>
              <w:jc w:val="both"/>
              <w:rPr>
                <w:sz w:val="20"/>
                <w:szCs w:val="20"/>
              </w:rPr>
            </w:pPr>
          </w:p>
        </w:tc>
        <w:tc>
          <w:tcPr>
            <w:tcW w:w="4394" w:type="dxa"/>
          </w:tcPr>
          <w:p w14:paraId="488A5C32" w14:textId="2B36DCFD" w:rsidR="0014223B" w:rsidRPr="001132F8" w:rsidRDefault="0014223B" w:rsidP="0014223B">
            <w:pPr>
              <w:pStyle w:val="NoSpacing"/>
              <w:jc w:val="both"/>
              <w:rPr>
                <w:sz w:val="20"/>
                <w:szCs w:val="20"/>
              </w:rPr>
            </w:pPr>
            <w:r>
              <w:rPr>
                <w:sz w:val="20"/>
                <w:szCs w:val="20"/>
              </w:rPr>
              <w:t>Gender-based violence induced by labor influx</w:t>
            </w:r>
          </w:p>
        </w:tc>
        <w:tc>
          <w:tcPr>
            <w:tcW w:w="1696" w:type="dxa"/>
            <w:vAlign w:val="center"/>
          </w:tcPr>
          <w:p w14:paraId="7EFFBB4F" w14:textId="140CCD25" w:rsidR="0014223B" w:rsidRPr="001132F8" w:rsidRDefault="0014223B" w:rsidP="0014223B">
            <w:pPr>
              <w:pStyle w:val="NoSpacing"/>
              <w:jc w:val="both"/>
              <w:rPr>
                <w:sz w:val="20"/>
                <w:szCs w:val="20"/>
              </w:rPr>
            </w:pPr>
            <w:r w:rsidRPr="0014223B">
              <w:rPr>
                <w:sz w:val="20"/>
                <w:szCs w:val="20"/>
              </w:rPr>
              <w:t>Low</w:t>
            </w:r>
          </w:p>
        </w:tc>
      </w:tr>
      <w:tr w:rsidR="0014223B" w:rsidRPr="001132F8" w14:paraId="76057530" w14:textId="77777777" w:rsidTr="0070504F">
        <w:tc>
          <w:tcPr>
            <w:tcW w:w="2972" w:type="dxa"/>
            <w:vMerge/>
          </w:tcPr>
          <w:p w14:paraId="2A31337E" w14:textId="77777777" w:rsidR="0014223B" w:rsidRPr="001132F8" w:rsidRDefault="0014223B" w:rsidP="0014223B">
            <w:pPr>
              <w:pStyle w:val="NoSpacing"/>
              <w:jc w:val="both"/>
              <w:rPr>
                <w:sz w:val="20"/>
                <w:szCs w:val="20"/>
              </w:rPr>
            </w:pPr>
          </w:p>
        </w:tc>
        <w:tc>
          <w:tcPr>
            <w:tcW w:w="4394" w:type="dxa"/>
          </w:tcPr>
          <w:p w14:paraId="3C913FD7" w14:textId="72C8A4CF" w:rsidR="0014223B" w:rsidRPr="001132F8" w:rsidRDefault="0014223B" w:rsidP="0014223B">
            <w:pPr>
              <w:pStyle w:val="NoSpacing"/>
              <w:jc w:val="both"/>
              <w:rPr>
                <w:sz w:val="20"/>
                <w:szCs w:val="20"/>
              </w:rPr>
            </w:pPr>
            <w:r>
              <w:rPr>
                <w:sz w:val="20"/>
                <w:szCs w:val="20"/>
              </w:rPr>
              <w:t>Child labor</w:t>
            </w:r>
          </w:p>
        </w:tc>
        <w:tc>
          <w:tcPr>
            <w:tcW w:w="1696" w:type="dxa"/>
            <w:vAlign w:val="center"/>
          </w:tcPr>
          <w:p w14:paraId="2B4AF77E" w14:textId="39E17481" w:rsidR="0014223B" w:rsidRPr="001132F8" w:rsidRDefault="0014223B" w:rsidP="0014223B">
            <w:pPr>
              <w:pStyle w:val="NoSpacing"/>
              <w:jc w:val="both"/>
              <w:rPr>
                <w:sz w:val="20"/>
                <w:szCs w:val="20"/>
              </w:rPr>
            </w:pPr>
            <w:r w:rsidRPr="0014223B">
              <w:rPr>
                <w:sz w:val="20"/>
                <w:szCs w:val="20"/>
              </w:rPr>
              <w:t>Low</w:t>
            </w:r>
          </w:p>
        </w:tc>
      </w:tr>
      <w:tr w:rsidR="00D22362" w:rsidRPr="001132F8" w14:paraId="77F9BDC0" w14:textId="77777777" w:rsidTr="00B825E1">
        <w:tc>
          <w:tcPr>
            <w:tcW w:w="2972" w:type="dxa"/>
            <w:vMerge w:val="restart"/>
          </w:tcPr>
          <w:p w14:paraId="4A6D992A" w14:textId="77777777" w:rsidR="00D22362" w:rsidRPr="001132F8" w:rsidRDefault="00D22362" w:rsidP="00203F2A">
            <w:pPr>
              <w:pStyle w:val="NoSpacing"/>
              <w:jc w:val="both"/>
              <w:rPr>
                <w:sz w:val="20"/>
                <w:szCs w:val="20"/>
              </w:rPr>
            </w:pPr>
            <w:r w:rsidRPr="001132F8">
              <w:rPr>
                <w:sz w:val="20"/>
                <w:szCs w:val="20"/>
              </w:rPr>
              <w:t>(Last Mile) Access roads</w:t>
            </w:r>
          </w:p>
        </w:tc>
        <w:tc>
          <w:tcPr>
            <w:tcW w:w="4394" w:type="dxa"/>
          </w:tcPr>
          <w:p w14:paraId="6999BB4B" w14:textId="77777777" w:rsidR="00D22362" w:rsidRPr="001132F8" w:rsidRDefault="00D22362" w:rsidP="00203F2A">
            <w:pPr>
              <w:pStyle w:val="NoSpacing"/>
              <w:jc w:val="both"/>
              <w:rPr>
                <w:sz w:val="20"/>
                <w:szCs w:val="20"/>
              </w:rPr>
            </w:pPr>
            <w:r w:rsidRPr="001132F8">
              <w:rPr>
                <w:sz w:val="20"/>
                <w:szCs w:val="20"/>
              </w:rPr>
              <w:t>Air and noise pollution</w:t>
            </w:r>
          </w:p>
        </w:tc>
        <w:tc>
          <w:tcPr>
            <w:tcW w:w="1696" w:type="dxa"/>
          </w:tcPr>
          <w:p w14:paraId="49B320AF"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2F538729" w14:textId="77777777" w:rsidTr="00B825E1">
        <w:tc>
          <w:tcPr>
            <w:tcW w:w="2972" w:type="dxa"/>
            <w:vMerge/>
          </w:tcPr>
          <w:p w14:paraId="42F16955" w14:textId="77777777" w:rsidR="00D22362" w:rsidRPr="001132F8" w:rsidRDefault="00D22362" w:rsidP="00203F2A">
            <w:pPr>
              <w:pStyle w:val="NoSpacing"/>
              <w:jc w:val="both"/>
              <w:rPr>
                <w:sz w:val="20"/>
                <w:szCs w:val="20"/>
              </w:rPr>
            </w:pPr>
          </w:p>
        </w:tc>
        <w:tc>
          <w:tcPr>
            <w:tcW w:w="4394" w:type="dxa"/>
          </w:tcPr>
          <w:p w14:paraId="4262C203" w14:textId="77777777" w:rsidR="00D22362" w:rsidRPr="001132F8" w:rsidRDefault="00D22362" w:rsidP="00203F2A">
            <w:pPr>
              <w:pStyle w:val="NoSpacing"/>
              <w:jc w:val="both"/>
              <w:rPr>
                <w:sz w:val="20"/>
                <w:szCs w:val="20"/>
              </w:rPr>
            </w:pPr>
            <w:r w:rsidRPr="001132F8">
              <w:rPr>
                <w:sz w:val="20"/>
                <w:szCs w:val="20"/>
              </w:rPr>
              <w:t>Water pollution</w:t>
            </w:r>
          </w:p>
        </w:tc>
        <w:tc>
          <w:tcPr>
            <w:tcW w:w="1696" w:type="dxa"/>
          </w:tcPr>
          <w:p w14:paraId="61B9C8A7"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6963EA30" w14:textId="77777777" w:rsidTr="00B825E1">
        <w:tc>
          <w:tcPr>
            <w:tcW w:w="2972" w:type="dxa"/>
            <w:vMerge/>
          </w:tcPr>
          <w:p w14:paraId="3274F73A" w14:textId="77777777" w:rsidR="00D22362" w:rsidRPr="001132F8" w:rsidRDefault="00D22362" w:rsidP="00203F2A">
            <w:pPr>
              <w:pStyle w:val="NoSpacing"/>
              <w:jc w:val="both"/>
              <w:rPr>
                <w:sz w:val="20"/>
                <w:szCs w:val="20"/>
              </w:rPr>
            </w:pPr>
          </w:p>
        </w:tc>
        <w:tc>
          <w:tcPr>
            <w:tcW w:w="4394" w:type="dxa"/>
          </w:tcPr>
          <w:p w14:paraId="4C3D42E9" w14:textId="77777777" w:rsidR="00D22362" w:rsidRPr="001132F8" w:rsidRDefault="00D22362" w:rsidP="00203F2A">
            <w:pPr>
              <w:pStyle w:val="NoSpacing"/>
              <w:jc w:val="both"/>
              <w:rPr>
                <w:sz w:val="20"/>
                <w:szCs w:val="20"/>
              </w:rPr>
            </w:pPr>
            <w:r>
              <w:rPr>
                <w:sz w:val="20"/>
                <w:szCs w:val="20"/>
              </w:rPr>
              <w:t>Inadequate s</w:t>
            </w:r>
            <w:r w:rsidRPr="001132F8">
              <w:rPr>
                <w:sz w:val="20"/>
                <w:szCs w:val="20"/>
              </w:rPr>
              <w:t>olid waste disposal</w:t>
            </w:r>
          </w:p>
        </w:tc>
        <w:tc>
          <w:tcPr>
            <w:tcW w:w="1696" w:type="dxa"/>
          </w:tcPr>
          <w:p w14:paraId="653CD27D"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296B25D3" w14:textId="77777777" w:rsidTr="00B825E1">
        <w:tc>
          <w:tcPr>
            <w:tcW w:w="2972" w:type="dxa"/>
            <w:vMerge/>
          </w:tcPr>
          <w:p w14:paraId="391C190A" w14:textId="77777777" w:rsidR="00D22362" w:rsidRPr="001132F8" w:rsidRDefault="00D22362" w:rsidP="00203F2A">
            <w:pPr>
              <w:pStyle w:val="NoSpacing"/>
              <w:jc w:val="both"/>
              <w:rPr>
                <w:sz w:val="20"/>
                <w:szCs w:val="20"/>
              </w:rPr>
            </w:pPr>
          </w:p>
        </w:tc>
        <w:tc>
          <w:tcPr>
            <w:tcW w:w="4394" w:type="dxa"/>
          </w:tcPr>
          <w:p w14:paraId="05F97A2A" w14:textId="77777777" w:rsidR="00D22362" w:rsidRPr="001132F8" w:rsidRDefault="00D22362" w:rsidP="00203F2A">
            <w:pPr>
              <w:pStyle w:val="NoSpacing"/>
              <w:jc w:val="both"/>
              <w:rPr>
                <w:sz w:val="20"/>
                <w:szCs w:val="20"/>
              </w:rPr>
            </w:pPr>
            <w:r>
              <w:rPr>
                <w:sz w:val="20"/>
                <w:szCs w:val="20"/>
              </w:rPr>
              <w:t>Inadequate w</w:t>
            </w:r>
            <w:r w:rsidRPr="001132F8">
              <w:rPr>
                <w:sz w:val="20"/>
                <w:szCs w:val="20"/>
              </w:rPr>
              <w:t>aste oil</w:t>
            </w:r>
            <w:r>
              <w:rPr>
                <w:sz w:val="20"/>
                <w:szCs w:val="20"/>
              </w:rPr>
              <w:t xml:space="preserve"> </w:t>
            </w:r>
            <w:r w:rsidRPr="001132F8">
              <w:rPr>
                <w:sz w:val="20"/>
                <w:szCs w:val="20"/>
              </w:rPr>
              <w:t>/ fuel disposal</w:t>
            </w:r>
          </w:p>
        </w:tc>
        <w:tc>
          <w:tcPr>
            <w:tcW w:w="1696" w:type="dxa"/>
          </w:tcPr>
          <w:p w14:paraId="4ED05574"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3C733A28" w14:textId="77777777" w:rsidTr="00B825E1">
        <w:tc>
          <w:tcPr>
            <w:tcW w:w="2972" w:type="dxa"/>
            <w:vMerge/>
          </w:tcPr>
          <w:p w14:paraId="0E96CB99" w14:textId="77777777" w:rsidR="00D22362" w:rsidRPr="001132F8" w:rsidRDefault="00D22362" w:rsidP="00203F2A">
            <w:pPr>
              <w:pStyle w:val="NoSpacing"/>
              <w:jc w:val="both"/>
              <w:rPr>
                <w:sz w:val="20"/>
                <w:szCs w:val="20"/>
              </w:rPr>
            </w:pPr>
          </w:p>
        </w:tc>
        <w:tc>
          <w:tcPr>
            <w:tcW w:w="4394" w:type="dxa"/>
          </w:tcPr>
          <w:p w14:paraId="4A0D6C0C" w14:textId="77777777" w:rsidR="00D22362" w:rsidRPr="001132F8" w:rsidRDefault="00D22362" w:rsidP="00203F2A">
            <w:pPr>
              <w:pStyle w:val="NoSpacing"/>
              <w:jc w:val="both"/>
              <w:rPr>
                <w:sz w:val="20"/>
                <w:szCs w:val="20"/>
              </w:rPr>
            </w:pPr>
            <w:r w:rsidRPr="001132F8">
              <w:rPr>
                <w:sz w:val="20"/>
                <w:szCs w:val="20"/>
              </w:rPr>
              <w:t>Public health and safety</w:t>
            </w:r>
          </w:p>
        </w:tc>
        <w:tc>
          <w:tcPr>
            <w:tcW w:w="1696" w:type="dxa"/>
          </w:tcPr>
          <w:p w14:paraId="7FF6DC6D"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113D02A1" w14:textId="77777777" w:rsidTr="00B825E1">
        <w:tc>
          <w:tcPr>
            <w:tcW w:w="2972" w:type="dxa"/>
            <w:vMerge/>
          </w:tcPr>
          <w:p w14:paraId="2B8AF46A" w14:textId="77777777" w:rsidR="00D22362" w:rsidRPr="001132F8" w:rsidRDefault="00D22362" w:rsidP="00203F2A">
            <w:pPr>
              <w:pStyle w:val="NoSpacing"/>
              <w:jc w:val="both"/>
              <w:rPr>
                <w:sz w:val="20"/>
                <w:szCs w:val="20"/>
              </w:rPr>
            </w:pPr>
          </w:p>
        </w:tc>
        <w:tc>
          <w:tcPr>
            <w:tcW w:w="4394" w:type="dxa"/>
          </w:tcPr>
          <w:p w14:paraId="0CCF3EDB" w14:textId="77777777" w:rsidR="00D22362" w:rsidRPr="001132F8" w:rsidRDefault="00D22362" w:rsidP="00203F2A">
            <w:pPr>
              <w:pStyle w:val="NoSpacing"/>
              <w:jc w:val="both"/>
              <w:rPr>
                <w:sz w:val="20"/>
                <w:szCs w:val="20"/>
              </w:rPr>
            </w:pPr>
            <w:r w:rsidRPr="001132F8">
              <w:rPr>
                <w:sz w:val="20"/>
                <w:szCs w:val="20"/>
              </w:rPr>
              <w:t>Land take / Involuntary resettlement</w:t>
            </w:r>
          </w:p>
        </w:tc>
        <w:tc>
          <w:tcPr>
            <w:tcW w:w="1696" w:type="dxa"/>
          </w:tcPr>
          <w:p w14:paraId="05AB21D1" w14:textId="77777777" w:rsidR="00D22362" w:rsidRPr="001132F8" w:rsidRDefault="00D22362" w:rsidP="00203F2A">
            <w:pPr>
              <w:pStyle w:val="NoSpacing"/>
              <w:jc w:val="both"/>
              <w:rPr>
                <w:sz w:val="20"/>
                <w:szCs w:val="20"/>
              </w:rPr>
            </w:pPr>
            <w:r w:rsidRPr="001132F8">
              <w:rPr>
                <w:sz w:val="20"/>
                <w:szCs w:val="20"/>
              </w:rPr>
              <w:t>Low</w:t>
            </w:r>
            <w:r>
              <w:rPr>
                <w:sz w:val="20"/>
                <w:szCs w:val="20"/>
              </w:rPr>
              <w:t xml:space="preserve"> to Moderate</w:t>
            </w:r>
          </w:p>
        </w:tc>
      </w:tr>
      <w:tr w:rsidR="0014223B" w:rsidRPr="001132F8" w14:paraId="7B5D3BE5" w14:textId="77777777" w:rsidTr="0070504F">
        <w:tc>
          <w:tcPr>
            <w:tcW w:w="2972" w:type="dxa"/>
            <w:vMerge/>
          </w:tcPr>
          <w:p w14:paraId="6C9A9AB3" w14:textId="77777777" w:rsidR="0014223B" w:rsidRPr="001132F8" w:rsidRDefault="0014223B" w:rsidP="0014223B">
            <w:pPr>
              <w:pStyle w:val="NoSpacing"/>
              <w:jc w:val="both"/>
              <w:rPr>
                <w:sz w:val="20"/>
                <w:szCs w:val="20"/>
              </w:rPr>
            </w:pPr>
          </w:p>
        </w:tc>
        <w:tc>
          <w:tcPr>
            <w:tcW w:w="4394" w:type="dxa"/>
          </w:tcPr>
          <w:p w14:paraId="022DB86C" w14:textId="2C7C3686" w:rsidR="0014223B" w:rsidRPr="001132F8" w:rsidRDefault="0014223B" w:rsidP="0014223B">
            <w:pPr>
              <w:pStyle w:val="NoSpacing"/>
              <w:jc w:val="both"/>
              <w:rPr>
                <w:sz w:val="20"/>
                <w:szCs w:val="20"/>
              </w:rPr>
            </w:pPr>
            <w:r>
              <w:rPr>
                <w:sz w:val="20"/>
                <w:szCs w:val="20"/>
              </w:rPr>
              <w:t>Gender-based violence induced by labor influx</w:t>
            </w:r>
          </w:p>
        </w:tc>
        <w:tc>
          <w:tcPr>
            <w:tcW w:w="1696" w:type="dxa"/>
            <w:vAlign w:val="center"/>
          </w:tcPr>
          <w:p w14:paraId="2F08B039" w14:textId="03B23976" w:rsidR="0014223B" w:rsidRPr="001132F8" w:rsidRDefault="0014223B" w:rsidP="0014223B">
            <w:pPr>
              <w:pStyle w:val="NoSpacing"/>
              <w:jc w:val="both"/>
              <w:rPr>
                <w:sz w:val="20"/>
                <w:szCs w:val="20"/>
              </w:rPr>
            </w:pPr>
            <w:r w:rsidRPr="0014223B">
              <w:rPr>
                <w:sz w:val="20"/>
                <w:szCs w:val="20"/>
              </w:rPr>
              <w:t>Low</w:t>
            </w:r>
          </w:p>
        </w:tc>
      </w:tr>
      <w:tr w:rsidR="0014223B" w:rsidRPr="001132F8" w14:paraId="4BDA0ED8" w14:textId="77777777" w:rsidTr="0070504F">
        <w:tc>
          <w:tcPr>
            <w:tcW w:w="2972" w:type="dxa"/>
            <w:vMerge/>
          </w:tcPr>
          <w:p w14:paraId="42CFB215" w14:textId="77777777" w:rsidR="0014223B" w:rsidRPr="001132F8" w:rsidRDefault="0014223B" w:rsidP="0014223B">
            <w:pPr>
              <w:pStyle w:val="NoSpacing"/>
              <w:jc w:val="both"/>
              <w:rPr>
                <w:sz w:val="20"/>
                <w:szCs w:val="20"/>
              </w:rPr>
            </w:pPr>
          </w:p>
        </w:tc>
        <w:tc>
          <w:tcPr>
            <w:tcW w:w="4394" w:type="dxa"/>
          </w:tcPr>
          <w:p w14:paraId="34EFAD11" w14:textId="34448853" w:rsidR="0014223B" w:rsidRPr="001132F8" w:rsidRDefault="0014223B" w:rsidP="0014223B">
            <w:pPr>
              <w:pStyle w:val="NoSpacing"/>
              <w:jc w:val="both"/>
              <w:rPr>
                <w:sz w:val="20"/>
                <w:szCs w:val="20"/>
              </w:rPr>
            </w:pPr>
            <w:r>
              <w:rPr>
                <w:sz w:val="20"/>
                <w:szCs w:val="20"/>
              </w:rPr>
              <w:t>Child labor</w:t>
            </w:r>
          </w:p>
        </w:tc>
        <w:tc>
          <w:tcPr>
            <w:tcW w:w="1696" w:type="dxa"/>
            <w:vAlign w:val="center"/>
          </w:tcPr>
          <w:p w14:paraId="69CF2C0E" w14:textId="31CA2DE5" w:rsidR="0014223B" w:rsidRPr="001132F8" w:rsidRDefault="0014223B" w:rsidP="0014223B">
            <w:pPr>
              <w:pStyle w:val="NoSpacing"/>
              <w:jc w:val="both"/>
              <w:rPr>
                <w:sz w:val="20"/>
                <w:szCs w:val="20"/>
              </w:rPr>
            </w:pPr>
            <w:r w:rsidRPr="0014223B">
              <w:rPr>
                <w:sz w:val="20"/>
                <w:szCs w:val="20"/>
              </w:rPr>
              <w:t>Low</w:t>
            </w:r>
          </w:p>
        </w:tc>
      </w:tr>
      <w:tr w:rsidR="00D22362" w:rsidRPr="001132F8" w14:paraId="50281C61" w14:textId="77777777" w:rsidTr="00B825E1">
        <w:tc>
          <w:tcPr>
            <w:tcW w:w="2972" w:type="dxa"/>
            <w:vMerge w:val="restart"/>
          </w:tcPr>
          <w:p w14:paraId="077854AE" w14:textId="77777777" w:rsidR="00D22362" w:rsidRPr="001132F8" w:rsidRDefault="00D22362" w:rsidP="00203F2A">
            <w:pPr>
              <w:pStyle w:val="NoSpacing"/>
              <w:jc w:val="both"/>
              <w:rPr>
                <w:sz w:val="20"/>
                <w:szCs w:val="20"/>
              </w:rPr>
            </w:pPr>
            <w:r w:rsidRPr="001132F8">
              <w:rPr>
                <w:sz w:val="20"/>
                <w:szCs w:val="20"/>
              </w:rPr>
              <w:t>(Last Mile) Power supply</w:t>
            </w:r>
          </w:p>
        </w:tc>
        <w:tc>
          <w:tcPr>
            <w:tcW w:w="4394" w:type="dxa"/>
          </w:tcPr>
          <w:p w14:paraId="2E555361" w14:textId="77777777" w:rsidR="00D22362" w:rsidRPr="001132F8" w:rsidRDefault="00D22362" w:rsidP="00203F2A">
            <w:pPr>
              <w:pStyle w:val="NoSpacing"/>
              <w:jc w:val="both"/>
              <w:rPr>
                <w:sz w:val="20"/>
                <w:szCs w:val="20"/>
              </w:rPr>
            </w:pPr>
            <w:r w:rsidRPr="001132F8">
              <w:rPr>
                <w:sz w:val="20"/>
                <w:szCs w:val="20"/>
              </w:rPr>
              <w:t>Air and noise pollution</w:t>
            </w:r>
          </w:p>
        </w:tc>
        <w:tc>
          <w:tcPr>
            <w:tcW w:w="1696" w:type="dxa"/>
          </w:tcPr>
          <w:p w14:paraId="1A6C849C"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51AD6580" w14:textId="77777777" w:rsidTr="00B825E1">
        <w:tc>
          <w:tcPr>
            <w:tcW w:w="2972" w:type="dxa"/>
            <w:vMerge/>
          </w:tcPr>
          <w:p w14:paraId="2DD5888F" w14:textId="77777777" w:rsidR="00D22362" w:rsidRPr="001132F8" w:rsidRDefault="00D22362" w:rsidP="00203F2A">
            <w:pPr>
              <w:pStyle w:val="NoSpacing"/>
              <w:jc w:val="both"/>
              <w:rPr>
                <w:sz w:val="20"/>
                <w:szCs w:val="20"/>
              </w:rPr>
            </w:pPr>
          </w:p>
        </w:tc>
        <w:tc>
          <w:tcPr>
            <w:tcW w:w="4394" w:type="dxa"/>
          </w:tcPr>
          <w:p w14:paraId="73E4AF30" w14:textId="77777777" w:rsidR="00D22362" w:rsidRPr="001132F8" w:rsidRDefault="00D22362" w:rsidP="00203F2A">
            <w:pPr>
              <w:pStyle w:val="NoSpacing"/>
              <w:jc w:val="both"/>
              <w:rPr>
                <w:sz w:val="20"/>
                <w:szCs w:val="20"/>
              </w:rPr>
            </w:pPr>
            <w:r w:rsidRPr="001132F8">
              <w:rPr>
                <w:sz w:val="20"/>
                <w:szCs w:val="20"/>
              </w:rPr>
              <w:t>Water pollution</w:t>
            </w:r>
          </w:p>
        </w:tc>
        <w:tc>
          <w:tcPr>
            <w:tcW w:w="1696" w:type="dxa"/>
          </w:tcPr>
          <w:p w14:paraId="2721AB17"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4C8A0079" w14:textId="77777777" w:rsidTr="00B825E1">
        <w:tc>
          <w:tcPr>
            <w:tcW w:w="2972" w:type="dxa"/>
            <w:vMerge/>
          </w:tcPr>
          <w:p w14:paraId="041BB8AB" w14:textId="77777777" w:rsidR="00D22362" w:rsidRPr="001132F8" w:rsidRDefault="00D22362" w:rsidP="00203F2A">
            <w:pPr>
              <w:pStyle w:val="NoSpacing"/>
              <w:jc w:val="both"/>
              <w:rPr>
                <w:sz w:val="20"/>
                <w:szCs w:val="20"/>
              </w:rPr>
            </w:pPr>
          </w:p>
        </w:tc>
        <w:tc>
          <w:tcPr>
            <w:tcW w:w="4394" w:type="dxa"/>
          </w:tcPr>
          <w:p w14:paraId="36883171" w14:textId="77777777" w:rsidR="00D22362" w:rsidRPr="001132F8" w:rsidRDefault="00D22362" w:rsidP="00203F2A">
            <w:pPr>
              <w:pStyle w:val="NoSpacing"/>
              <w:jc w:val="both"/>
              <w:rPr>
                <w:sz w:val="20"/>
                <w:szCs w:val="20"/>
              </w:rPr>
            </w:pPr>
            <w:r>
              <w:rPr>
                <w:sz w:val="20"/>
                <w:szCs w:val="20"/>
              </w:rPr>
              <w:t>Inadequate s</w:t>
            </w:r>
            <w:r w:rsidRPr="001132F8">
              <w:rPr>
                <w:sz w:val="20"/>
                <w:szCs w:val="20"/>
              </w:rPr>
              <w:t>olid waste disposal</w:t>
            </w:r>
          </w:p>
        </w:tc>
        <w:tc>
          <w:tcPr>
            <w:tcW w:w="1696" w:type="dxa"/>
          </w:tcPr>
          <w:p w14:paraId="21DD942B"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355B263C" w14:textId="77777777" w:rsidTr="00B825E1">
        <w:tc>
          <w:tcPr>
            <w:tcW w:w="2972" w:type="dxa"/>
            <w:vMerge/>
          </w:tcPr>
          <w:p w14:paraId="65410D67" w14:textId="77777777" w:rsidR="00D22362" w:rsidRPr="001132F8" w:rsidRDefault="00D22362" w:rsidP="00203F2A">
            <w:pPr>
              <w:pStyle w:val="NoSpacing"/>
              <w:jc w:val="both"/>
              <w:rPr>
                <w:sz w:val="20"/>
                <w:szCs w:val="20"/>
              </w:rPr>
            </w:pPr>
          </w:p>
        </w:tc>
        <w:tc>
          <w:tcPr>
            <w:tcW w:w="4394" w:type="dxa"/>
          </w:tcPr>
          <w:p w14:paraId="0BAC1465" w14:textId="77777777" w:rsidR="00D22362" w:rsidRPr="001132F8" w:rsidRDefault="00D22362" w:rsidP="00203F2A">
            <w:pPr>
              <w:pStyle w:val="NoSpacing"/>
              <w:jc w:val="both"/>
              <w:rPr>
                <w:sz w:val="20"/>
                <w:szCs w:val="20"/>
              </w:rPr>
            </w:pPr>
            <w:r>
              <w:rPr>
                <w:sz w:val="20"/>
                <w:szCs w:val="20"/>
              </w:rPr>
              <w:t>Inadequate w</w:t>
            </w:r>
            <w:r w:rsidRPr="001132F8">
              <w:rPr>
                <w:sz w:val="20"/>
                <w:szCs w:val="20"/>
              </w:rPr>
              <w:t>aste oil/ fuel disposal</w:t>
            </w:r>
          </w:p>
        </w:tc>
        <w:tc>
          <w:tcPr>
            <w:tcW w:w="1696" w:type="dxa"/>
          </w:tcPr>
          <w:p w14:paraId="6397105A"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2F5C8612" w14:textId="77777777" w:rsidTr="00B825E1">
        <w:tc>
          <w:tcPr>
            <w:tcW w:w="2972" w:type="dxa"/>
            <w:vMerge/>
          </w:tcPr>
          <w:p w14:paraId="04D6A7F6" w14:textId="77777777" w:rsidR="00D22362" w:rsidRPr="001132F8" w:rsidRDefault="00D22362" w:rsidP="00203F2A">
            <w:pPr>
              <w:pStyle w:val="NoSpacing"/>
              <w:jc w:val="both"/>
              <w:rPr>
                <w:sz w:val="20"/>
                <w:szCs w:val="20"/>
              </w:rPr>
            </w:pPr>
          </w:p>
        </w:tc>
        <w:tc>
          <w:tcPr>
            <w:tcW w:w="4394" w:type="dxa"/>
          </w:tcPr>
          <w:p w14:paraId="39F64BE1" w14:textId="77777777" w:rsidR="00D22362" w:rsidRPr="001132F8" w:rsidRDefault="00D22362" w:rsidP="00203F2A">
            <w:pPr>
              <w:pStyle w:val="NoSpacing"/>
              <w:jc w:val="both"/>
              <w:rPr>
                <w:sz w:val="20"/>
                <w:szCs w:val="20"/>
              </w:rPr>
            </w:pPr>
            <w:r>
              <w:rPr>
                <w:sz w:val="20"/>
                <w:szCs w:val="20"/>
              </w:rPr>
              <w:t>Poor p</w:t>
            </w:r>
            <w:r w:rsidRPr="001132F8">
              <w:rPr>
                <w:sz w:val="20"/>
                <w:szCs w:val="20"/>
              </w:rPr>
              <w:t>ublic health and safety</w:t>
            </w:r>
          </w:p>
        </w:tc>
        <w:tc>
          <w:tcPr>
            <w:tcW w:w="1696" w:type="dxa"/>
          </w:tcPr>
          <w:p w14:paraId="38C9C377"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000F0166" w14:textId="77777777" w:rsidTr="00B825E1">
        <w:tc>
          <w:tcPr>
            <w:tcW w:w="2972" w:type="dxa"/>
            <w:vMerge/>
          </w:tcPr>
          <w:p w14:paraId="0B903237" w14:textId="77777777" w:rsidR="00D22362" w:rsidRPr="001132F8" w:rsidRDefault="00D22362" w:rsidP="00203F2A">
            <w:pPr>
              <w:pStyle w:val="NoSpacing"/>
              <w:jc w:val="both"/>
              <w:rPr>
                <w:sz w:val="20"/>
                <w:szCs w:val="20"/>
              </w:rPr>
            </w:pPr>
          </w:p>
        </w:tc>
        <w:tc>
          <w:tcPr>
            <w:tcW w:w="4394" w:type="dxa"/>
          </w:tcPr>
          <w:p w14:paraId="35E31B02" w14:textId="77777777" w:rsidR="00D22362" w:rsidRPr="001132F8" w:rsidRDefault="00D22362" w:rsidP="00203F2A">
            <w:pPr>
              <w:pStyle w:val="NoSpacing"/>
              <w:jc w:val="both"/>
              <w:rPr>
                <w:sz w:val="20"/>
                <w:szCs w:val="20"/>
              </w:rPr>
            </w:pPr>
            <w:r w:rsidRPr="001132F8">
              <w:rPr>
                <w:sz w:val="20"/>
                <w:szCs w:val="20"/>
              </w:rPr>
              <w:t>Land take / Involuntary resettlement</w:t>
            </w:r>
          </w:p>
        </w:tc>
        <w:tc>
          <w:tcPr>
            <w:tcW w:w="1696" w:type="dxa"/>
          </w:tcPr>
          <w:p w14:paraId="648FE9F3" w14:textId="77777777" w:rsidR="00D22362" w:rsidRPr="001132F8" w:rsidRDefault="00D22362" w:rsidP="00203F2A">
            <w:pPr>
              <w:pStyle w:val="NoSpacing"/>
              <w:jc w:val="both"/>
              <w:rPr>
                <w:sz w:val="20"/>
                <w:szCs w:val="20"/>
              </w:rPr>
            </w:pPr>
            <w:r w:rsidRPr="001132F8">
              <w:rPr>
                <w:sz w:val="20"/>
                <w:szCs w:val="20"/>
              </w:rPr>
              <w:t>Low</w:t>
            </w:r>
            <w:r>
              <w:rPr>
                <w:sz w:val="20"/>
                <w:szCs w:val="20"/>
              </w:rPr>
              <w:t xml:space="preserve"> to Moderate</w:t>
            </w:r>
          </w:p>
        </w:tc>
      </w:tr>
      <w:tr w:rsidR="0014223B" w:rsidRPr="001132F8" w14:paraId="14A76E5C" w14:textId="77777777" w:rsidTr="0070504F">
        <w:tc>
          <w:tcPr>
            <w:tcW w:w="2972" w:type="dxa"/>
            <w:vMerge/>
          </w:tcPr>
          <w:p w14:paraId="5AB54BAB" w14:textId="77777777" w:rsidR="0014223B" w:rsidRPr="001132F8" w:rsidRDefault="0014223B" w:rsidP="0014223B">
            <w:pPr>
              <w:pStyle w:val="NoSpacing"/>
              <w:jc w:val="both"/>
              <w:rPr>
                <w:sz w:val="20"/>
                <w:szCs w:val="20"/>
              </w:rPr>
            </w:pPr>
          </w:p>
        </w:tc>
        <w:tc>
          <w:tcPr>
            <w:tcW w:w="4394" w:type="dxa"/>
          </w:tcPr>
          <w:p w14:paraId="7824C000" w14:textId="3DB085F6" w:rsidR="0014223B" w:rsidRPr="001132F8" w:rsidRDefault="0014223B" w:rsidP="0014223B">
            <w:pPr>
              <w:pStyle w:val="NoSpacing"/>
              <w:jc w:val="both"/>
              <w:rPr>
                <w:sz w:val="20"/>
                <w:szCs w:val="20"/>
              </w:rPr>
            </w:pPr>
            <w:r>
              <w:rPr>
                <w:sz w:val="20"/>
                <w:szCs w:val="20"/>
              </w:rPr>
              <w:t>Gender-based violence induced by labor influx</w:t>
            </w:r>
          </w:p>
        </w:tc>
        <w:tc>
          <w:tcPr>
            <w:tcW w:w="1696" w:type="dxa"/>
            <w:vAlign w:val="center"/>
          </w:tcPr>
          <w:p w14:paraId="34E6C885" w14:textId="6EFEEB9F" w:rsidR="0014223B" w:rsidRPr="001132F8" w:rsidRDefault="0014223B" w:rsidP="0014223B">
            <w:pPr>
              <w:pStyle w:val="NoSpacing"/>
              <w:jc w:val="both"/>
              <w:rPr>
                <w:sz w:val="20"/>
                <w:szCs w:val="20"/>
              </w:rPr>
            </w:pPr>
            <w:r w:rsidRPr="0014223B">
              <w:rPr>
                <w:sz w:val="20"/>
                <w:szCs w:val="20"/>
              </w:rPr>
              <w:t>Low</w:t>
            </w:r>
          </w:p>
        </w:tc>
      </w:tr>
      <w:tr w:rsidR="0014223B" w:rsidRPr="001132F8" w14:paraId="1515A65F" w14:textId="77777777" w:rsidTr="0070504F">
        <w:tc>
          <w:tcPr>
            <w:tcW w:w="2972" w:type="dxa"/>
            <w:vMerge/>
          </w:tcPr>
          <w:p w14:paraId="7641834E" w14:textId="77777777" w:rsidR="0014223B" w:rsidRPr="001132F8" w:rsidRDefault="0014223B" w:rsidP="0014223B">
            <w:pPr>
              <w:pStyle w:val="NoSpacing"/>
              <w:jc w:val="both"/>
              <w:rPr>
                <w:sz w:val="20"/>
                <w:szCs w:val="20"/>
              </w:rPr>
            </w:pPr>
          </w:p>
        </w:tc>
        <w:tc>
          <w:tcPr>
            <w:tcW w:w="4394" w:type="dxa"/>
          </w:tcPr>
          <w:p w14:paraId="4A5736E7" w14:textId="38101279" w:rsidR="0014223B" w:rsidRPr="001132F8" w:rsidRDefault="0014223B" w:rsidP="0014223B">
            <w:pPr>
              <w:pStyle w:val="NoSpacing"/>
              <w:jc w:val="both"/>
              <w:rPr>
                <w:sz w:val="20"/>
                <w:szCs w:val="20"/>
              </w:rPr>
            </w:pPr>
            <w:r>
              <w:rPr>
                <w:sz w:val="20"/>
                <w:szCs w:val="20"/>
              </w:rPr>
              <w:t>Child labor</w:t>
            </w:r>
          </w:p>
        </w:tc>
        <w:tc>
          <w:tcPr>
            <w:tcW w:w="1696" w:type="dxa"/>
            <w:vAlign w:val="center"/>
          </w:tcPr>
          <w:p w14:paraId="0EE22798" w14:textId="4CE293EA" w:rsidR="0014223B" w:rsidRPr="001132F8" w:rsidRDefault="0014223B" w:rsidP="0014223B">
            <w:pPr>
              <w:pStyle w:val="NoSpacing"/>
              <w:jc w:val="both"/>
              <w:rPr>
                <w:sz w:val="20"/>
                <w:szCs w:val="20"/>
              </w:rPr>
            </w:pPr>
            <w:r w:rsidRPr="0014223B">
              <w:rPr>
                <w:sz w:val="20"/>
                <w:szCs w:val="20"/>
              </w:rPr>
              <w:t>Low</w:t>
            </w:r>
          </w:p>
        </w:tc>
      </w:tr>
      <w:tr w:rsidR="00D22362" w:rsidRPr="001132F8" w14:paraId="07988516" w14:textId="77777777" w:rsidTr="00B825E1">
        <w:tc>
          <w:tcPr>
            <w:tcW w:w="2972" w:type="dxa"/>
            <w:vMerge w:val="restart"/>
          </w:tcPr>
          <w:p w14:paraId="7A9C4E2B" w14:textId="77777777" w:rsidR="00D22362" w:rsidRPr="001132F8" w:rsidRDefault="00D22362" w:rsidP="00203F2A">
            <w:pPr>
              <w:pStyle w:val="NoSpacing"/>
              <w:jc w:val="both"/>
              <w:rPr>
                <w:sz w:val="20"/>
                <w:szCs w:val="20"/>
              </w:rPr>
            </w:pPr>
            <w:r>
              <w:rPr>
                <w:sz w:val="20"/>
                <w:szCs w:val="20"/>
              </w:rPr>
              <w:t xml:space="preserve">Cross-cutting </w:t>
            </w:r>
            <w:r w:rsidRPr="001132F8">
              <w:rPr>
                <w:sz w:val="20"/>
                <w:szCs w:val="20"/>
              </w:rPr>
              <w:t>social and cultural issues</w:t>
            </w:r>
          </w:p>
        </w:tc>
        <w:tc>
          <w:tcPr>
            <w:tcW w:w="4394" w:type="dxa"/>
          </w:tcPr>
          <w:p w14:paraId="596FC8A5" w14:textId="77777777" w:rsidR="00D22362" w:rsidRPr="001132F8" w:rsidRDefault="00D22362" w:rsidP="00203F2A">
            <w:pPr>
              <w:pStyle w:val="NoSpacing"/>
              <w:jc w:val="both"/>
              <w:rPr>
                <w:sz w:val="20"/>
                <w:szCs w:val="20"/>
              </w:rPr>
            </w:pPr>
            <w:r w:rsidRPr="001132F8">
              <w:rPr>
                <w:sz w:val="20"/>
                <w:szCs w:val="20"/>
              </w:rPr>
              <w:t>Livelihood loss</w:t>
            </w:r>
          </w:p>
        </w:tc>
        <w:tc>
          <w:tcPr>
            <w:tcW w:w="1696" w:type="dxa"/>
          </w:tcPr>
          <w:p w14:paraId="30715A0D"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0968CEDE" w14:textId="77777777" w:rsidTr="00B825E1">
        <w:tc>
          <w:tcPr>
            <w:tcW w:w="2972" w:type="dxa"/>
            <w:vMerge/>
          </w:tcPr>
          <w:p w14:paraId="013640BD" w14:textId="77777777" w:rsidR="00D22362" w:rsidRPr="001132F8" w:rsidRDefault="00D22362" w:rsidP="00203F2A">
            <w:pPr>
              <w:pStyle w:val="NoSpacing"/>
              <w:jc w:val="both"/>
              <w:rPr>
                <w:sz w:val="20"/>
                <w:szCs w:val="20"/>
              </w:rPr>
            </w:pPr>
          </w:p>
        </w:tc>
        <w:tc>
          <w:tcPr>
            <w:tcW w:w="4394" w:type="dxa"/>
          </w:tcPr>
          <w:p w14:paraId="195E386D" w14:textId="77777777" w:rsidR="00D22362" w:rsidRPr="001132F8" w:rsidRDefault="00D22362" w:rsidP="00203F2A">
            <w:pPr>
              <w:pStyle w:val="NoSpacing"/>
              <w:jc w:val="both"/>
              <w:rPr>
                <w:sz w:val="20"/>
                <w:szCs w:val="20"/>
              </w:rPr>
            </w:pPr>
            <w:r w:rsidRPr="001132F8">
              <w:rPr>
                <w:sz w:val="20"/>
                <w:szCs w:val="20"/>
              </w:rPr>
              <w:t>Community ‘lifestyle’ disruption</w:t>
            </w:r>
          </w:p>
        </w:tc>
        <w:tc>
          <w:tcPr>
            <w:tcW w:w="1696" w:type="dxa"/>
          </w:tcPr>
          <w:p w14:paraId="4EA7760E"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4F28F070" w14:textId="77777777" w:rsidTr="00B825E1">
        <w:tc>
          <w:tcPr>
            <w:tcW w:w="2972" w:type="dxa"/>
            <w:vMerge/>
          </w:tcPr>
          <w:p w14:paraId="14D4D94B" w14:textId="77777777" w:rsidR="00D22362" w:rsidRPr="001132F8" w:rsidRDefault="00D22362" w:rsidP="00203F2A">
            <w:pPr>
              <w:pStyle w:val="NoSpacing"/>
              <w:jc w:val="both"/>
              <w:rPr>
                <w:sz w:val="20"/>
                <w:szCs w:val="20"/>
              </w:rPr>
            </w:pPr>
          </w:p>
        </w:tc>
        <w:tc>
          <w:tcPr>
            <w:tcW w:w="4394" w:type="dxa"/>
          </w:tcPr>
          <w:p w14:paraId="44A0C007" w14:textId="77777777" w:rsidR="00D22362" w:rsidRPr="001132F8" w:rsidRDefault="00D22362" w:rsidP="00203F2A">
            <w:pPr>
              <w:pStyle w:val="NoSpacing"/>
              <w:jc w:val="both"/>
              <w:rPr>
                <w:sz w:val="20"/>
                <w:szCs w:val="20"/>
              </w:rPr>
            </w:pPr>
            <w:r w:rsidRPr="001132F8">
              <w:rPr>
                <w:sz w:val="20"/>
                <w:szCs w:val="20"/>
              </w:rPr>
              <w:t>Cultural heritage site destruction</w:t>
            </w:r>
          </w:p>
        </w:tc>
        <w:tc>
          <w:tcPr>
            <w:tcW w:w="1696" w:type="dxa"/>
          </w:tcPr>
          <w:p w14:paraId="65F3A5B5"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1B237B72" w14:textId="77777777" w:rsidTr="00B825E1">
        <w:tc>
          <w:tcPr>
            <w:tcW w:w="2972" w:type="dxa"/>
            <w:vMerge/>
          </w:tcPr>
          <w:p w14:paraId="709CD0CD" w14:textId="77777777" w:rsidR="00D22362" w:rsidRPr="001132F8" w:rsidRDefault="00D22362" w:rsidP="00203F2A">
            <w:pPr>
              <w:pStyle w:val="NoSpacing"/>
              <w:jc w:val="both"/>
              <w:rPr>
                <w:sz w:val="20"/>
                <w:szCs w:val="20"/>
              </w:rPr>
            </w:pPr>
          </w:p>
        </w:tc>
        <w:tc>
          <w:tcPr>
            <w:tcW w:w="4394" w:type="dxa"/>
          </w:tcPr>
          <w:p w14:paraId="4B0339B0" w14:textId="77777777" w:rsidR="00D22362" w:rsidRPr="001132F8" w:rsidRDefault="00D22362" w:rsidP="00203F2A">
            <w:pPr>
              <w:pStyle w:val="NoSpacing"/>
              <w:jc w:val="both"/>
              <w:rPr>
                <w:sz w:val="20"/>
                <w:szCs w:val="20"/>
              </w:rPr>
            </w:pPr>
            <w:r w:rsidRPr="001132F8">
              <w:rPr>
                <w:sz w:val="20"/>
                <w:szCs w:val="20"/>
              </w:rPr>
              <w:t>Loss of access to biodiversity resources</w:t>
            </w:r>
          </w:p>
        </w:tc>
        <w:tc>
          <w:tcPr>
            <w:tcW w:w="1696" w:type="dxa"/>
          </w:tcPr>
          <w:p w14:paraId="55C90075" w14:textId="77777777" w:rsidR="00D22362" w:rsidRPr="001132F8" w:rsidRDefault="00D22362" w:rsidP="00203F2A">
            <w:pPr>
              <w:pStyle w:val="NoSpacing"/>
              <w:jc w:val="both"/>
              <w:rPr>
                <w:sz w:val="20"/>
                <w:szCs w:val="20"/>
              </w:rPr>
            </w:pPr>
            <w:r w:rsidRPr="001132F8">
              <w:rPr>
                <w:sz w:val="20"/>
                <w:szCs w:val="20"/>
              </w:rPr>
              <w:t>Low</w:t>
            </w:r>
            <w:r>
              <w:rPr>
                <w:sz w:val="20"/>
                <w:szCs w:val="20"/>
              </w:rPr>
              <w:t xml:space="preserve"> to Moderate</w:t>
            </w:r>
          </w:p>
        </w:tc>
      </w:tr>
      <w:tr w:rsidR="00D22362" w:rsidRPr="001132F8" w14:paraId="6842D527" w14:textId="77777777" w:rsidTr="00B825E1">
        <w:tc>
          <w:tcPr>
            <w:tcW w:w="2972" w:type="dxa"/>
            <w:vMerge/>
          </w:tcPr>
          <w:p w14:paraId="3B439051" w14:textId="77777777" w:rsidR="00D22362" w:rsidRPr="001132F8" w:rsidRDefault="00D22362" w:rsidP="00203F2A">
            <w:pPr>
              <w:pStyle w:val="NoSpacing"/>
              <w:jc w:val="both"/>
              <w:rPr>
                <w:sz w:val="20"/>
                <w:szCs w:val="20"/>
              </w:rPr>
            </w:pPr>
          </w:p>
        </w:tc>
        <w:tc>
          <w:tcPr>
            <w:tcW w:w="4394" w:type="dxa"/>
          </w:tcPr>
          <w:p w14:paraId="2A044D57" w14:textId="77777777" w:rsidR="00D22362" w:rsidRPr="001132F8" w:rsidRDefault="00D22362" w:rsidP="00203F2A">
            <w:pPr>
              <w:pStyle w:val="NoSpacing"/>
              <w:jc w:val="both"/>
              <w:rPr>
                <w:sz w:val="20"/>
                <w:szCs w:val="20"/>
              </w:rPr>
            </w:pPr>
            <w:r w:rsidRPr="001132F8">
              <w:rPr>
                <w:sz w:val="20"/>
                <w:szCs w:val="20"/>
              </w:rPr>
              <w:t>Marginalization of local communities</w:t>
            </w:r>
          </w:p>
        </w:tc>
        <w:tc>
          <w:tcPr>
            <w:tcW w:w="1696" w:type="dxa"/>
          </w:tcPr>
          <w:p w14:paraId="0217DB40"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52DF9079" w14:textId="77777777" w:rsidTr="00B825E1">
        <w:tc>
          <w:tcPr>
            <w:tcW w:w="2972" w:type="dxa"/>
            <w:vMerge/>
          </w:tcPr>
          <w:p w14:paraId="66F82E22" w14:textId="77777777" w:rsidR="00D22362" w:rsidRPr="001132F8" w:rsidRDefault="00D22362" w:rsidP="00203F2A">
            <w:pPr>
              <w:pStyle w:val="NoSpacing"/>
              <w:jc w:val="both"/>
              <w:rPr>
                <w:sz w:val="20"/>
                <w:szCs w:val="20"/>
              </w:rPr>
            </w:pPr>
          </w:p>
        </w:tc>
        <w:tc>
          <w:tcPr>
            <w:tcW w:w="4394" w:type="dxa"/>
          </w:tcPr>
          <w:p w14:paraId="5A0EAD96" w14:textId="77777777" w:rsidR="00D22362" w:rsidRPr="001132F8" w:rsidRDefault="00D22362" w:rsidP="00203F2A">
            <w:pPr>
              <w:pStyle w:val="NoSpacing"/>
              <w:jc w:val="both"/>
              <w:rPr>
                <w:sz w:val="20"/>
                <w:szCs w:val="20"/>
              </w:rPr>
            </w:pPr>
            <w:r w:rsidRPr="001132F8">
              <w:rPr>
                <w:sz w:val="20"/>
                <w:szCs w:val="20"/>
              </w:rPr>
              <w:t>Increased spreading of diseases</w:t>
            </w:r>
          </w:p>
        </w:tc>
        <w:tc>
          <w:tcPr>
            <w:tcW w:w="1696" w:type="dxa"/>
          </w:tcPr>
          <w:p w14:paraId="0026282A"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2003BB29" w14:textId="77777777" w:rsidTr="00B825E1">
        <w:tc>
          <w:tcPr>
            <w:tcW w:w="2972" w:type="dxa"/>
            <w:vMerge/>
          </w:tcPr>
          <w:p w14:paraId="65B65B28" w14:textId="77777777" w:rsidR="00D22362" w:rsidRPr="001132F8" w:rsidRDefault="00D22362" w:rsidP="00203F2A">
            <w:pPr>
              <w:pStyle w:val="NoSpacing"/>
              <w:jc w:val="both"/>
              <w:rPr>
                <w:sz w:val="20"/>
                <w:szCs w:val="20"/>
              </w:rPr>
            </w:pPr>
          </w:p>
        </w:tc>
        <w:tc>
          <w:tcPr>
            <w:tcW w:w="4394" w:type="dxa"/>
          </w:tcPr>
          <w:p w14:paraId="1FD3F6A8" w14:textId="77777777" w:rsidR="00D22362" w:rsidRPr="001132F8" w:rsidRDefault="00D22362" w:rsidP="00203F2A">
            <w:pPr>
              <w:pStyle w:val="NoSpacing"/>
              <w:jc w:val="both"/>
              <w:rPr>
                <w:sz w:val="20"/>
                <w:szCs w:val="20"/>
              </w:rPr>
            </w:pPr>
            <w:r>
              <w:rPr>
                <w:sz w:val="20"/>
                <w:szCs w:val="20"/>
              </w:rPr>
              <w:t>…….</w:t>
            </w:r>
          </w:p>
        </w:tc>
        <w:tc>
          <w:tcPr>
            <w:tcW w:w="1696" w:type="dxa"/>
          </w:tcPr>
          <w:p w14:paraId="21AA5ECE" w14:textId="77777777" w:rsidR="00D22362" w:rsidRPr="001132F8" w:rsidRDefault="00D22362" w:rsidP="00203F2A">
            <w:pPr>
              <w:pStyle w:val="NoSpacing"/>
              <w:jc w:val="both"/>
              <w:rPr>
                <w:sz w:val="20"/>
                <w:szCs w:val="20"/>
              </w:rPr>
            </w:pPr>
          </w:p>
        </w:tc>
      </w:tr>
      <w:tr w:rsidR="00D22362" w:rsidRPr="001132F8" w14:paraId="7065F008" w14:textId="77777777" w:rsidTr="00B825E1">
        <w:tc>
          <w:tcPr>
            <w:tcW w:w="2972" w:type="dxa"/>
            <w:vMerge/>
          </w:tcPr>
          <w:p w14:paraId="4A2FE1D2" w14:textId="77777777" w:rsidR="00D22362" w:rsidRPr="001132F8" w:rsidRDefault="00D22362" w:rsidP="00203F2A">
            <w:pPr>
              <w:pStyle w:val="NoSpacing"/>
              <w:jc w:val="both"/>
              <w:rPr>
                <w:sz w:val="20"/>
                <w:szCs w:val="20"/>
              </w:rPr>
            </w:pPr>
          </w:p>
        </w:tc>
        <w:tc>
          <w:tcPr>
            <w:tcW w:w="4394" w:type="dxa"/>
          </w:tcPr>
          <w:p w14:paraId="29F70B88" w14:textId="77777777" w:rsidR="00D22362" w:rsidRPr="001132F8" w:rsidRDefault="00D22362" w:rsidP="00203F2A">
            <w:pPr>
              <w:pStyle w:val="NoSpacing"/>
              <w:jc w:val="both"/>
              <w:rPr>
                <w:sz w:val="20"/>
                <w:szCs w:val="20"/>
              </w:rPr>
            </w:pPr>
            <w:r>
              <w:rPr>
                <w:sz w:val="20"/>
                <w:szCs w:val="20"/>
              </w:rPr>
              <w:t>………</w:t>
            </w:r>
          </w:p>
        </w:tc>
        <w:tc>
          <w:tcPr>
            <w:tcW w:w="1696" w:type="dxa"/>
          </w:tcPr>
          <w:p w14:paraId="05823CDF" w14:textId="77777777" w:rsidR="00D22362" w:rsidRPr="001132F8" w:rsidRDefault="00D22362" w:rsidP="00203F2A">
            <w:pPr>
              <w:pStyle w:val="NoSpacing"/>
              <w:jc w:val="both"/>
              <w:rPr>
                <w:sz w:val="20"/>
                <w:szCs w:val="20"/>
              </w:rPr>
            </w:pPr>
          </w:p>
        </w:tc>
      </w:tr>
    </w:tbl>
    <w:p w14:paraId="4A0320A2" w14:textId="77777777" w:rsidR="0004698C" w:rsidRDefault="0004698C" w:rsidP="00203F2A">
      <w:pPr>
        <w:pStyle w:val="NoSpacing"/>
        <w:jc w:val="both"/>
      </w:pPr>
    </w:p>
    <w:p w14:paraId="45611902" w14:textId="77777777" w:rsidR="0004698C" w:rsidRDefault="0004698C" w:rsidP="00203F2A">
      <w:pPr>
        <w:pStyle w:val="NoSpacing"/>
        <w:jc w:val="both"/>
      </w:pPr>
      <w:r w:rsidRPr="00231984">
        <w:rPr>
          <w:b/>
        </w:rPr>
        <w:t xml:space="preserve">For all identified potential social and environmental impacts resulting from sub-project activities with a </w:t>
      </w:r>
      <w:r>
        <w:rPr>
          <w:b/>
        </w:rPr>
        <w:t>potential Substantial / M</w:t>
      </w:r>
      <w:r w:rsidRPr="00231984">
        <w:rPr>
          <w:b/>
        </w:rPr>
        <w:t>oderate significance, mitigating actions are required.</w:t>
      </w:r>
      <w:r>
        <w:t xml:space="preserve"> A screening </w:t>
      </w:r>
      <w:r w:rsidRPr="00E6405D">
        <w:t>tool for the identification of potential impacts is included in Annex 1.</w:t>
      </w:r>
    </w:p>
    <w:p w14:paraId="390935DF" w14:textId="77777777" w:rsidR="0004698C" w:rsidRDefault="0004698C" w:rsidP="00203F2A">
      <w:pPr>
        <w:pStyle w:val="NoSpacing"/>
        <w:jc w:val="both"/>
      </w:pPr>
    </w:p>
    <w:p w14:paraId="7A567383" w14:textId="77777777" w:rsidR="00D22362" w:rsidRDefault="0004698C" w:rsidP="00203F2A">
      <w:pPr>
        <w:pStyle w:val="NoSpacing"/>
        <w:jc w:val="both"/>
      </w:pPr>
      <w:r w:rsidRPr="00231984">
        <w:rPr>
          <w:b/>
        </w:rPr>
        <w:t xml:space="preserve">The proposed mitigating </w:t>
      </w:r>
      <w:r>
        <w:rPr>
          <w:b/>
        </w:rPr>
        <w:t xml:space="preserve">strategic </w:t>
      </w:r>
      <w:r w:rsidRPr="00231984">
        <w:rPr>
          <w:b/>
        </w:rPr>
        <w:t>actions and the monitoring of the actions’ effectiveness in eliminating or reducing the negative impacts of sub-project activities must be described in a ‘</w:t>
      </w:r>
      <w:r>
        <w:rPr>
          <w:b/>
        </w:rPr>
        <w:t>Environmental and Social Management Plan</w:t>
      </w:r>
      <w:r w:rsidRPr="00231984">
        <w:rPr>
          <w:b/>
        </w:rPr>
        <w:t>’</w:t>
      </w:r>
      <w:r>
        <w:t xml:space="preserve"> (ESMP). Strategic approaches and procedures of the ESMP are covered in the following Section (Section 7) of this document.</w:t>
      </w:r>
    </w:p>
    <w:p w14:paraId="78FB64C9" w14:textId="77777777" w:rsidR="00D22362" w:rsidRDefault="00D22362" w:rsidP="00203F2A">
      <w:pPr>
        <w:pStyle w:val="NoSpacing"/>
        <w:jc w:val="both"/>
      </w:pPr>
    </w:p>
    <w:p w14:paraId="13837864" w14:textId="77777777" w:rsidR="00D22362" w:rsidRDefault="00D22362" w:rsidP="00203F2A">
      <w:pPr>
        <w:pStyle w:val="NoSpacing"/>
        <w:jc w:val="both"/>
      </w:pPr>
    </w:p>
    <w:p w14:paraId="7933A4F2" w14:textId="77777777" w:rsidR="00D22362" w:rsidRDefault="00D22362" w:rsidP="00203F2A">
      <w:pPr>
        <w:jc w:val="both"/>
      </w:pPr>
      <w:r>
        <w:br w:type="page"/>
      </w:r>
    </w:p>
    <w:p w14:paraId="045C1174" w14:textId="03C9FC11" w:rsidR="00D22362" w:rsidRPr="00BA2631" w:rsidRDefault="00D22362" w:rsidP="00203F2A">
      <w:pPr>
        <w:pStyle w:val="Heading1"/>
        <w:jc w:val="both"/>
      </w:pPr>
      <w:bookmarkStart w:id="38" w:name="_Toc531965022"/>
      <w:r w:rsidRPr="00BA2631">
        <w:t xml:space="preserve">Section </w:t>
      </w:r>
      <w:r>
        <w:t>7</w:t>
      </w:r>
      <w:r w:rsidRPr="00BA2631">
        <w:t xml:space="preserve"> </w:t>
      </w:r>
      <w:r>
        <w:tab/>
        <w:t>Environmental and Social Management Plan</w:t>
      </w:r>
      <w:bookmarkEnd w:id="38"/>
    </w:p>
    <w:p w14:paraId="5B163CB2" w14:textId="77777777" w:rsidR="00D22362" w:rsidRDefault="00D22362" w:rsidP="00203F2A">
      <w:pPr>
        <w:pStyle w:val="NoSpacing"/>
        <w:jc w:val="both"/>
      </w:pPr>
    </w:p>
    <w:p w14:paraId="7F236349" w14:textId="74618659" w:rsidR="00D22362" w:rsidRDefault="00D22362" w:rsidP="00203F2A">
      <w:pPr>
        <w:pStyle w:val="NoSpacing"/>
        <w:jc w:val="both"/>
      </w:pPr>
      <w:r>
        <w:t>As mentioned, c</w:t>
      </w:r>
      <w:r w:rsidRPr="007E530C">
        <w:t xml:space="preserve">onsidering the nature and magnitude of potential sub-project activities under the </w:t>
      </w:r>
      <w:r w:rsidR="00190610">
        <w:t>SCSD</w:t>
      </w:r>
      <w:r w:rsidRPr="007E530C">
        <w:t xml:space="preserve"> Project, the Project is classified as Category B.</w:t>
      </w:r>
      <w:r>
        <w:t xml:space="preserve"> Due to this OP 4.01 ‘Environmental Assessment’ is triggered, consequently also triggering:</w:t>
      </w:r>
    </w:p>
    <w:p w14:paraId="0BA4D392" w14:textId="77777777" w:rsidR="00D22362" w:rsidRDefault="00D22362" w:rsidP="00203F2A">
      <w:pPr>
        <w:pStyle w:val="NoSpacing"/>
        <w:jc w:val="both"/>
      </w:pPr>
    </w:p>
    <w:p w14:paraId="4D5538D1" w14:textId="77777777" w:rsidR="00D22362" w:rsidRDefault="00D22362" w:rsidP="00203F2A">
      <w:pPr>
        <w:pStyle w:val="NoSpacing"/>
        <w:numPr>
          <w:ilvl w:val="0"/>
          <w:numId w:val="10"/>
        </w:numPr>
        <w:jc w:val="both"/>
      </w:pPr>
      <w:r>
        <w:t>OP 4.04</w:t>
      </w:r>
      <w:r>
        <w:tab/>
        <w:t>Natural Habitats</w:t>
      </w:r>
    </w:p>
    <w:p w14:paraId="59718D48" w14:textId="77777777" w:rsidR="00D22362" w:rsidRDefault="00D22362" w:rsidP="00203F2A">
      <w:pPr>
        <w:pStyle w:val="NoSpacing"/>
        <w:numPr>
          <w:ilvl w:val="0"/>
          <w:numId w:val="10"/>
        </w:numPr>
        <w:jc w:val="both"/>
      </w:pPr>
      <w:r>
        <w:t>OP 4.36</w:t>
      </w:r>
      <w:r>
        <w:tab/>
        <w:t>Forests</w:t>
      </w:r>
    </w:p>
    <w:p w14:paraId="7445D773" w14:textId="77777777" w:rsidR="00D22362" w:rsidRDefault="00D22362" w:rsidP="00203F2A">
      <w:pPr>
        <w:pStyle w:val="NoSpacing"/>
        <w:numPr>
          <w:ilvl w:val="0"/>
          <w:numId w:val="10"/>
        </w:numPr>
        <w:jc w:val="both"/>
      </w:pPr>
      <w:r>
        <w:t>OP 4.09</w:t>
      </w:r>
      <w:r>
        <w:tab/>
        <w:t>Pest Management</w:t>
      </w:r>
    </w:p>
    <w:p w14:paraId="36673DE1" w14:textId="77777777" w:rsidR="00D22362" w:rsidRDefault="00D22362" w:rsidP="00203F2A">
      <w:pPr>
        <w:pStyle w:val="NoSpacing"/>
        <w:numPr>
          <w:ilvl w:val="0"/>
          <w:numId w:val="10"/>
        </w:numPr>
        <w:jc w:val="both"/>
      </w:pPr>
      <w:r>
        <w:t>OP 4.11</w:t>
      </w:r>
      <w:r>
        <w:tab/>
        <w:t>Physical Cultural Resources</w:t>
      </w:r>
    </w:p>
    <w:p w14:paraId="31BDB82E" w14:textId="77777777" w:rsidR="00D22362" w:rsidRDefault="00D22362" w:rsidP="00203F2A">
      <w:pPr>
        <w:pStyle w:val="NoSpacing"/>
        <w:numPr>
          <w:ilvl w:val="0"/>
          <w:numId w:val="10"/>
        </w:numPr>
        <w:jc w:val="both"/>
      </w:pPr>
      <w:r>
        <w:t>OP 4.10</w:t>
      </w:r>
      <w:r>
        <w:tab/>
        <w:t>Indigenous People</w:t>
      </w:r>
    </w:p>
    <w:p w14:paraId="564F9593" w14:textId="77777777" w:rsidR="00D22362" w:rsidRPr="0060528F" w:rsidRDefault="00D22362" w:rsidP="00203F2A">
      <w:pPr>
        <w:pStyle w:val="NoSpacing"/>
        <w:numPr>
          <w:ilvl w:val="0"/>
          <w:numId w:val="10"/>
        </w:numPr>
        <w:jc w:val="both"/>
      </w:pPr>
      <w:r w:rsidRPr="0060528F">
        <w:t>OP 4.12</w:t>
      </w:r>
      <w:r w:rsidRPr="0060528F">
        <w:tab/>
        <w:t>Involuntary Resettlement</w:t>
      </w:r>
    </w:p>
    <w:p w14:paraId="462A1293" w14:textId="77777777" w:rsidR="00D22362" w:rsidRPr="00FF7E44" w:rsidRDefault="00D22362" w:rsidP="00203F2A">
      <w:pPr>
        <w:pStyle w:val="NoSpacing"/>
        <w:jc w:val="both"/>
      </w:pPr>
    </w:p>
    <w:p w14:paraId="57177A00" w14:textId="34B50796" w:rsidR="00D22362" w:rsidRDefault="00D22362" w:rsidP="00203F2A">
      <w:pPr>
        <w:pStyle w:val="NoSpacing"/>
        <w:jc w:val="both"/>
      </w:pPr>
      <w:r>
        <w:t xml:space="preserve">The ‘Environmental and Social Management Plan’ (ESMP) </w:t>
      </w:r>
      <w:r w:rsidR="005E7E0B">
        <w:t xml:space="preserve">under this ESMF, </w:t>
      </w:r>
      <w:r>
        <w:t>described below - together with capacity assessment for implementing this ESMF (Section 8) - is in line with annex C of OP 4.01.</w:t>
      </w:r>
      <w:r w:rsidR="005E7E0B">
        <w:t xml:space="preserve"> At this stage, and</w:t>
      </w:r>
      <w:r>
        <w:t xml:space="preserve"> since sub-project</w:t>
      </w:r>
      <w:r w:rsidR="005E7E0B">
        <w:t>s</w:t>
      </w:r>
      <w:r>
        <w:t xml:space="preserve"> locations (and activities) are not yet known at the current stage of development of the Project</w:t>
      </w:r>
      <w:r w:rsidR="00EB08DF">
        <w:t xml:space="preserve">, </w:t>
      </w:r>
      <w:r>
        <w:t>no budgetary estimates for implementing the ESMP can yet be made.</w:t>
      </w:r>
      <w:r w:rsidR="00EB08DF">
        <w:t xml:space="preserve"> All costs for implementing the ESMP will be covered by the </w:t>
      </w:r>
      <w:r w:rsidR="00190610">
        <w:t>SCSD</w:t>
      </w:r>
      <w:r w:rsidR="00EB08DF">
        <w:t xml:space="preserve"> </w:t>
      </w:r>
      <w:r w:rsidR="005B7266">
        <w:t>P</w:t>
      </w:r>
      <w:r w:rsidR="00EB08DF">
        <w:t>roject either through general project management financing or the budgets for specific sub-projects.</w:t>
      </w:r>
    </w:p>
    <w:p w14:paraId="522342A4" w14:textId="710D44DC" w:rsidR="005E7E0B" w:rsidRDefault="005E7E0B" w:rsidP="00203F2A">
      <w:pPr>
        <w:pStyle w:val="NoSpacing"/>
        <w:jc w:val="both"/>
      </w:pPr>
    </w:p>
    <w:p w14:paraId="4D83B6E3" w14:textId="469455A1" w:rsidR="005E7E0B" w:rsidRPr="00C5528B" w:rsidRDefault="005E7E0B" w:rsidP="00203F2A">
      <w:pPr>
        <w:pStyle w:val="NoSpacing"/>
        <w:jc w:val="both"/>
        <w:rPr>
          <w:b/>
        </w:rPr>
      </w:pPr>
      <w:r w:rsidRPr="00C5528B">
        <w:rPr>
          <w:b/>
        </w:rPr>
        <w:t>For reason</w:t>
      </w:r>
      <w:r w:rsidR="005B7266">
        <w:rPr>
          <w:b/>
        </w:rPr>
        <w:t>s</w:t>
      </w:r>
      <w:r w:rsidRPr="00C5528B">
        <w:rPr>
          <w:b/>
        </w:rPr>
        <w:t xml:space="preserve"> to ensure compliance with the WB Safeguards Policies, </w:t>
      </w:r>
      <w:r w:rsidR="00EB08DF" w:rsidRPr="00C5528B">
        <w:rPr>
          <w:b/>
        </w:rPr>
        <w:t xml:space="preserve">the following implementation structure </w:t>
      </w:r>
      <w:r w:rsidRPr="00C5528B">
        <w:rPr>
          <w:b/>
        </w:rPr>
        <w:t xml:space="preserve">is proposed </w:t>
      </w:r>
      <w:r w:rsidR="007B07CC">
        <w:rPr>
          <w:b/>
        </w:rPr>
        <w:t>f</w:t>
      </w:r>
      <w:r w:rsidRPr="00C5528B">
        <w:rPr>
          <w:b/>
        </w:rPr>
        <w:t>or this ESMP</w:t>
      </w:r>
      <w:r w:rsidR="00EB08DF" w:rsidRPr="00C5528B">
        <w:rPr>
          <w:b/>
        </w:rPr>
        <w:t>:</w:t>
      </w:r>
      <w:r w:rsidRPr="00C5528B">
        <w:rPr>
          <w:b/>
        </w:rPr>
        <w:t xml:space="preserve"> </w:t>
      </w:r>
    </w:p>
    <w:p w14:paraId="4885F15D" w14:textId="77777777" w:rsidR="00664F9E" w:rsidRDefault="00664F9E" w:rsidP="00203F2A">
      <w:pPr>
        <w:pStyle w:val="NoSpacing"/>
        <w:jc w:val="both"/>
        <w:rPr>
          <w:noProof/>
        </w:rPr>
      </w:pPr>
    </w:p>
    <w:p w14:paraId="0FFB05D0" w14:textId="7661354C" w:rsidR="00741DA6" w:rsidRDefault="00741DA6" w:rsidP="00203F2A">
      <w:pPr>
        <w:pStyle w:val="NoSpacing"/>
        <w:numPr>
          <w:ilvl w:val="0"/>
          <w:numId w:val="37"/>
        </w:numPr>
        <w:jc w:val="both"/>
      </w:pPr>
      <w:r w:rsidRPr="00741DA6">
        <w:rPr>
          <w:b/>
        </w:rPr>
        <w:t xml:space="preserve">An Environmental Specialist and a Social Specialist will be appointed </w:t>
      </w:r>
      <w:r w:rsidR="009C71F0">
        <w:rPr>
          <w:b/>
        </w:rPr>
        <w:t xml:space="preserve">by MTIT </w:t>
      </w:r>
      <w:r w:rsidRPr="00741DA6">
        <w:rPr>
          <w:b/>
        </w:rPr>
        <w:t xml:space="preserve">for the duration of the </w:t>
      </w:r>
      <w:r w:rsidR="00190610">
        <w:rPr>
          <w:b/>
        </w:rPr>
        <w:t>SCSD</w:t>
      </w:r>
      <w:r w:rsidRPr="00741DA6">
        <w:rPr>
          <w:b/>
        </w:rPr>
        <w:t xml:space="preserve"> Project.</w:t>
      </w:r>
      <w:r>
        <w:t xml:space="preserve"> </w:t>
      </w:r>
      <w:r>
        <w:rPr>
          <w:noProof/>
        </w:rPr>
        <w:t xml:space="preserve">The MTIT Project </w:t>
      </w:r>
      <w:r w:rsidR="004E6FDD">
        <w:rPr>
          <w:noProof/>
        </w:rPr>
        <w:t>Implementation</w:t>
      </w:r>
      <w:r>
        <w:rPr>
          <w:noProof/>
        </w:rPr>
        <w:t xml:space="preserve"> Unit</w:t>
      </w:r>
      <w:r w:rsidRPr="007D366D">
        <w:rPr>
          <w:noProof/>
        </w:rPr>
        <w:t xml:space="preserve"> </w:t>
      </w:r>
      <w:r>
        <w:rPr>
          <w:noProof/>
        </w:rPr>
        <w:t xml:space="preserve">(PIU), and in particular </w:t>
      </w:r>
      <w:r w:rsidRPr="00D52AE9">
        <w:rPr>
          <w:noProof/>
        </w:rPr>
        <w:t xml:space="preserve">the </w:t>
      </w:r>
      <w:r w:rsidRPr="00741DA6">
        <w:rPr>
          <w:noProof/>
        </w:rPr>
        <w:t>Environmental Specialist and the Social Specialist (the ‘Safeguards Team’) will have responsibility</w:t>
      </w:r>
      <w:r>
        <w:rPr>
          <w:noProof/>
        </w:rPr>
        <w:t xml:space="preserve"> for ESMP implementation. Their </w:t>
      </w:r>
      <w:r w:rsidRPr="00AC7D59">
        <w:rPr>
          <w:noProof/>
        </w:rPr>
        <w:t>roles and obligations</w:t>
      </w:r>
      <w:r>
        <w:rPr>
          <w:noProof/>
        </w:rPr>
        <w:t xml:space="preserve"> </w:t>
      </w:r>
      <w:r>
        <w:t xml:space="preserve">are to work together to ensure that the </w:t>
      </w:r>
      <w:r w:rsidR="009C71F0">
        <w:t>P</w:t>
      </w:r>
      <w:r>
        <w:t>roject is carried out with due regard to the appropriate World Bank procedures as well as appropriate health, safety and environmental standards and practices, and in accordance with the Safeguard Instruments, in particular the Environmental and Social Management Framework (ESMF) and the Environmental and Social Management Plan (ESMP), the Resettlement Policy framework (RPF) and the Grievance Redress Mechanism (GRM).</w:t>
      </w:r>
      <w:r w:rsidRPr="00667E2A">
        <w:t xml:space="preserve"> </w:t>
      </w:r>
      <w:r w:rsidR="006F286A">
        <w:t xml:space="preserve">The GRM is established in the Resettlement Planning Framework and will also be utilized for general purposes and attend to any project </w:t>
      </w:r>
      <w:proofErr w:type="gramStart"/>
      <w:r w:rsidR="006F286A">
        <w:t>issues as a whole, allowing</w:t>
      </w:r>
      <w:proofErr w:type="gramEnd"/>
      <w:r w:rsidR="006F286A">
        <w:t xml:space="preserve"> the project to address and respond to any issues communities or individuals raise concerning the project. </w:t>
      </w:r>
      <w:r w:rsidRPr="00A347D6">
        <w:t xml:space="preserve">During the </w:t>
      </w:r>
      <w:r>
        <w:t>Project</w:t>
      </w:r>
      <w:r w:rsidRPr="00A347D6">
        <w:t xml:space="preserve">, </w:t>
      </w:r>
      <w:r>
        <w:t>proposed sub-projects and</w:t>
      </w:r>
      <w:r w:rsidRPr="00A347D6">
        <w:t xml:space="preserve"> activities </w:t>
      </w:r>
      <w:r w:rsidR="009C71F0">
        <w:t>will</w:t>
      </w:r>
      <w:r w:rsidRPr="00A347D6">
        <w:t xml:space="preserve"> be scre</w:t>
      </w:r>
      <w:r>
        <w:t xml:space="preserve">ened, scoped, and assessed </w:t>
      </w:r>
      <w:r w:rsidR="009C71F0">
        <w:t xml:space="preserve">by the Safeguards Team </w:t>
      </w:r>
      <w:r>
        <w:t xml:space="preserve">in line with the </w:t>
      </w:r>
      <w:r w:rsidR="009C71F0">
        <w:t>ESMF/</w:t>
      </w:r>
      <w:r>
        <w:t>ESMP and World Bank safeguard procedures, in close collaboration with World Bank safeguard specialists</w:t>
      </w:r>
      <w:r w:rsidRPr="00A347D6">
        <w:t>.</w:t>
      </w:r>
    </w:p>
    <w:p w14:paraId="7C5B1804" w14:textId="77777777" w:rsidR="00741DA6" w:rsidRDefault="00741DA6" w:rsidP="00203F2A">
      <w:pPr>
        <w:pStyle w:val="NoSpacing"/>
        <w:jc w:val="both"/>
      </w:pPr>
    </w:p>
    <w:p w14:paraId="70DCEA62" w14:textId="53C5EA61" w:rsidR="00741DA6" w:rsidRDefault="00741DA6" w:rsidP="00203F2A">
      <w:pPr>
        <w:pStyle w:val="NoSpacing"/>
        <w:numPr>
          <w:ilvl w:val="0"/>
          <w:numId w:val="37"/>
        </w:numPr>
        <w:jc w:val="both"/>
      </w:pPr>
      <w:r>
        <w:t>Th</w:t>
      </w:r>
      <w:r w:rsidR="00261FB8">
        <w:t xml:space="preserve">e </w:t>
      </w:r>
      <w:r>
        <w:t xml:space="preserve">Safeguards Team will report technically to the MTIT PIU Component 2 Manager, under the coordination of the </w:t>
      </w:r>
      <w:r w:rsidR="00190610">
        <w:t>SCSD</w:t>
      </w:r>
      <w:r>
        <w:t xml:space="preserve"> Project Coordinator, as they will also support MNR for the implementation of Component 1 (see the Project Appraisal Document for further details). Training and support in these roles will be provided by the Environmental and Social World Bank Specialists.</w:t>
      </w:r>
    </w:p>
    <w:p w14:paraId="59F759C6" w14:textId="013BF154" w:rsidR="00741DA6" w:rsidRDefault="00741DA6" w:rsidP="00203F2A">
      <w:pPr>
        <w:pStyle w:val="NoSpacing"/>
        <w:jc w:val="both"/>
      </w:pPr>
    </w:p>
    <w:p w14:paraId="1E970C61" w14:textId="706902D2" w:rsidR="00F968EA" w:rsidRDefault="00741DA6" w:rsidP="00203F2A">
      <w:pPr>
        <w:pStyle w:val="NoSpacing"/>
        <w:numPr>
          <w:ilvl w:val="0"/>
          <w:numId w:val="37"/>
        </w:numPr>
        <w:jc w:val="both"/>
      </w:pPr>
      <w:r w:rsidRPr="004360D1">
        <w:t xml:space="preserve">The </w:t>
      </w:r>
      <w:r w:rsidR="00F968EA">
        <w:t>Safeguards Team</w:t>
      </w:r>
      <w:r>
        <w:t xml:space="preserve"> will ensure that all works are implemented according to the World Bank Group </w:t>
      </w:r>
      <w:r w:rsidR="001D63C9">
        <w:t xml:space="preserve">policies and guidelines, </w:t>
      </w:r>
      <w:proofErr w:type="gramStart"/>
      <w:r w:rsidR="001D63C9">
        <w:t>in particular the</w:t>
      </w:r>
      <w:proofErr w:type="gramEnd"/>
      <w:r w:rsidR="001D63C9">
        <w:t xml:space="preserve"> Environmental, Health, and Safety Guidelines,</w:t>
      </w:r>
      <w:r>
        <w:t xml:space="preserve"> and follow applicable good industry practice (e.g., ISO 9001 Quality Standards, ISO 14001 Environmental Standards, OHSAS 18001 Occupational Health and Safety Standards). </w:t>
      </w:r>
    </w:p>
    <w:p w14:paraId="7D3E0112" w14:textId="77777777" w:rsidR="00F968EA" w:rsidRDefault="00F968EA" w:rsidP="00203F2A">
      <w:pPr>
        <w:pStyle w:val="NoSpacing"/>
        <w:ind w:left="360"/>
        <w:jc w:val="both"/>
      </w:pPr>
    </w:p>
    <w:p w14:paraId="5181030E" w14:textId="41EA2622" w:rsidR="00741DA6" w:rsidRDefault="00741DA6" w:rsidP="00203F2A">
      <w:pPr>
        <w:pStyle w:val="NoSpacing"/>
        <w:numPr>
          <w:ilvl w:val="0"/>
          <w:numId w:val="37"/>
        </w:numPr>
        <w:jc w:val="both"/>
      </w:pPr>
      <w:r>
        <w:t>The</w:t>
      </w:r>
      <w:r w:rsidR="00F968EA">
        <w:t xml:space="preserve"> Safeguards Team </w:t>
      </w:r>
      <w:r>
        <w:t>will also ensure that the specified mitigation measures in the ESMP are appropriately implemented by the contractors</w:t>
      </w:r>
      <w:r w:rsidR="00F968EA">
        <w:t>; will monitor the effectiveness of the implemented mitigating measures and will, if required, propose alterations in the mitigation plan.</w:t>
      </w:r>
    </w:p>
    <w:p w14:paraId="73A5C24F" w14:textId="77777777" w:rsidR="00741DA6" w:rsidRDefault="00741DA6" w:rsidP="00203F2A">
      <w:pPr>
        <w:pStyle w:val="NoSpacing"/>
        <w:jc w:val="both"/>
      </w:pPr>
    </w:p>
    <w:p w14:paraId="7B082BBF" w14:textId="27289659" w:rsidR="005E7E0B" w:rsidRPr="00285529" w:rsidRDefault="005E7E0B" w:rsidP="00203F2A">
      <w:pPr>
        <w:pStyle w:val="NoSpacing"/>
        <w:jc w:val="both"/>
        <w:rPr>
          <w:rFonts w:cs="Times New Roman"/>
          <w:szCs w:val="24"/>
        </w:rPr>
      </w:pPr>
      <w:r w:rsidRPr="005B7266">
        <w:rPr>
          <w:b/>
        </w:rPr>
        <w:t>The ESMF/ESMP describes the legal, regulatory and policy framework in Suriname and all World Bank</w:t>
      </w:r>
      <w:r w:rsidR="00F968EA">
        <w:rPr>
          <w:b/>
        </w:rPr>
        <w:t>’s</w:t>
      </w:r>
      <w:r w:rsidRPr="005B7266">
        <w:rPr>
          <w:b/>
        </w:rPr>
        <w:t xml:space="preserve"> </w:t>
      </w:r>
      <w:r w:rsidR="00636195" w:rsidRPr="005B7266">
        <w:rPr>
          <w:b/>
        </w:rPr>
        <w:t>S</w:t>
      </w:r>
      <w:r w:rsidRPr="005B7266">
        <w:rPr>
          <w:b/>
        </w:rPr>
        <w:t>afeguard policies.</w:t>
      </w:r>
      <w:r>
        <w:t xml:space="preserve"> It contains provisions to minimize potential environmental impacts and risks with the objective to bring the </w:t>
      </w:r>
      <w:r w:rsidR="00C5528B">
        <w:t>P</w:t>
      </w:r>
      <w:r>
        <w:t xml:space="preserve">roject into compliance with national environmental and social requirements and environmental and social policies of the World Bank. </w:t>
      </w:r>
    </w:p>
    <w:p w14:paraId="302CACF7" w14:textId="77777777" w:rsidR="004360D1" w:rsidRDefault="004360D1" w:rsidP="00203F2A">
      <w:pPr>
        <w:pStyle w:val="NoSpacing"/>
        <w:jc w:val="both"/>
        <w:rPr>
          <w:rFonts w:cs="Times New Roman"/>
          <w:b/>
        </w:rPr>
      </w:pPr>
    </w:p>
    <w:p w14:paraId="7263C028" w14:textId="6B3B4980" w:rsidR="009C71F0" w:rsidRDefault="005E7E0B" w:rsidP="00203F2A">
      <w:pPr>
        <w:pStyle w:val="NoSpacing"/>
        <w:jc w:val="both"/>
        <w:rPr>
          <w:rFonts w:cs="Times New Roman"/>
          <w:szCs w:val="24"/>
        </w:rPr>
      </w:pPr>
      <w:r w:rsidRPr="00C5528B">
        <w:rPr>
          <w:rFonts w:cs="Times New Roman"/>
          <w:b/>
        </w:rPr>
        <w:t>T</w:t>
      </w:r>
      <w:r w:rsidRPr="00C5528B">
        <w:rPr>
          <w:rFonts w:cs="Times New Roman"/>
          <w:b/>
          <w:szCs w:val="24"/>
        </w:rPr>
        <w:t>he ESMP will be included in the bidding documents</w:t>
      </w:r>
      <w:r w:rsidRPr="00DA21F3">
        <w:rPr>
          <w:rFonts w:cs="Times New Roman"/>
          <w:szCs w:val="24"/>
        </w:rPr>
        <w:t xml:space="preserve"> so that bidders can consider and incorporate their environmental responsibilities</w:t>
      </w:r>
      <w:r w:rsidR="005B7266">
        <w:rPr>
          <w:rFonts w:cs="Times New Roman"/>
          <w:szCs w:val="24"/>
        </w:rPr>
        <w:t xml:space="preserve">, thus the implementation of the ESMP, </w:t>
      </w:r>
      <w:r w:rsidRPr="00DA21F3">
        <w:rPr>
          <w:rFonts w:cs="Times New Roman"/>
          <w:szCs w:val="24"/>
        </w:rPr>
        <w:t xml:space="preserve">into their bid proposals. </w:t>
      </w:r>
      <w:r w:rsidRPr="005B7266">
        <w:rPr>
          <w:rFonts w:cs="Times New Roman"/>
          <w:b/>
          <w:szCs w:val="24"/>
        </w:rPr>
        <w:t xml:space="preserve">The ESMP becomes an integral part of </w:t>
      </w:r>
      <w:r w:rsidR="005B7266" w:rsidRPr="005B7266">
        <w:rPr>
          <w:rFonts w:cs="Times New Roman"/>
          <w:b/>
          <w:szCs w:val="24"/>
        </w:rPr>
        <w:t>the</w:t>
      </w:r>
      <w:r w:rsidRPr="005B7266">
        <w:rPr>
          <w:rFonts w:cs="Times New Roman"/>
          <w:b/>
          <w:szCs w:val="24"/>
        </w:rPr>
        <w:t xml:space="preserve"> contract for the provision of works and is binding for implementation.</w:t>
      </w:r>
      <w:r>
        <w:rPr>
          <w:rFonts w:cs="Times New Roman"/>
          <w:b/>
        </w:rPr>
        <w:t xml:space="preserve"> </w:t>
      </w:r>
      <w:r w:rsidRPr="00DA21F3">
        <w:rPr>
          <w:rFonts w:cs="Times New Roman"/>
          <w:szCs w:val="24"/>
        </w:rPr>
        <w:t>Contractor</w:t>
      </w:r>
      <w:r w:rsidR="00EB08DF">
        <w:rPr>
          <w:rFonts w:cs="Times New Roman"/>
          <w:szCs w:val="24"/>
        </w:rPr>
        <w:t>s</w:t>
      </w:r>
      <w:r w:rsidRPr="00DA21F3">
        <w:rPr>
          <w:rFonts w:cs="Times New Roman"/>
          <w:szCs w:val="24"/>
        </w:rPr>
        <w:t xml:space="preserve"> will be engaged in </w:t>
      </w:r>
      <w:r w:rsidR="00EB08DF">
        <w:rPr>
          <w:rFonts w:cs="Times New Roman"/>
          <w:szCs w:val="24"/>
        </w:rPr>
        <w:t>two</w:t>
      </w:r>
      <w:r w:rsidRPr="00DA21F3">
        <w:rPr>
          <w:rFonts w:cs="Times New Roman"/>
          <w:szCs w:val="24"/>
        </w:rPr>
        <w:t xml:space="preserve"> major stages </w:t>
      </w:r>
      <w:r w:rsidR="009C71F0">
        <w:rPr>
          <w:rFonts w:cs="Times New Roman"/>
          <w:szCs w:val="24"/>
        </w:rPr>
        <w:t>of</w:t>
      </w:r>
      <w:r w:rsidRPr="00DA21F3">
        <w:rPr>
          <w:rFonts w:cs="Times New Roman"/>
          <w:szCs w:val="24"/>
        </w:rPr>
        <w:t xml:space="preserve"> the </w:t>
      </w:r>
      <w:r w:rsidR="00C5528B">
        <w:rPr>
          <w:rFonts w:cs="Times New Roman"/>
          <w:szCs w:val="24"/>
        </w:rPr>
        <w:t>sub-p</w:t>
      </w:r>
      <w:r w:rsidRPr="00DA21F3">
        <w:rPr>
          <w:rFonts w:cs="Times New Roman"/>
          <w:szCs w:val="24"/>
        </w:rPr>
        <w:t xml:space="preserve">roject, </w:t>
      </w:r>
      <w:r w:rsidR="00EB08DF">
        <w:rPr>
          <w:rFonts w:cs="Times New Roman"/>
          <w:szCs w:val="24"/>
        </w:rPr>
        <w:t xml:space="preserve">first for design/supervision </w:t>
      </w:r>
      <w:r w:rsidRPr="00DA21F3">
        <w:rPr>
          <w:rFonts w:cs="Times New Roman"/>
          <w:szCs w:val="24"/>
        </w:rPr>
        <w:t xml:space="preserve">and then </w:t>
      </w:r>
      <w:r w:rsidR="00EB08DF">
        <w:rPr>
          <w:rFonts w:cs="Times New Roman"/>
          <w:szCs w:val="24"/>
        </w:rPr>
        <w:t xml:space="preserve">for </w:t>
      </w:r>
      <w:r w:rsidR="005B7266">
        <w:rPr>
          <w:rFonts w:cs="Times New Roman"/>
          <w:szCs w:val="24"/>
        </w:rPr>
        <w:t>implementation/</w:t>
      </w:r>
      <w:r w:rsidRPr="00DA21F3">
        <w:rPr>
          <w:rFonts w:cs="Times New Roman"/>
          <w:szCs w:val="24"/>
        </w:rPr>
        <w:t xml:space="preserve">construction. </w:t>
      </w:r>
    </w:p>
    <w:p w14:paraId="740F2F7F" w14:textId="77777777" w:rsidR="009C71F0" w:rsidRDefault="009C71F0" w:rsidP="00203F2A">
      <w:pPr>
        <w:pStyle w:val="NoSpacing"/>
        <w:jc w:val="both"/>
        <w:rPr>
          <w:rFonts w:cs="Times New Roman"/>
          <w:szCs w:val="24"/>
        </w:rPr>
      </w:pPr>
    </w:p>
    <w:p w14:paraId="03833ED1" w14:textId="2A8559F4" w:rsidR="005E7E0B" w:rsidRDefault="005E7E0B" w:rsidP="00203F2A">
      <w:pPr>
        <w:pStyle w:val="NoSpacing"/>
        <w:jc w:val="both"/>
        <w:rPr>
          <w:rFonts w:cs="Times New Roman"/>
          <w:szCs w:val="24"/>
        </w:rPr>
      </w:pPr>
      <w:r w:rsidRPr="009C71F0">
        <w:rPr>
          <w:rFonts w:cs="Times New Roman"/>
          <w:b/>
          <w:szCs w:val="24"/>
        </w:rPr>
        <w:t xml:space="preserve">For </w:t>
      </w:r>
      <w:r w:rsidR="00EB08DF" w:rsidRPr="009C71F0">
        <w:rPr>
          <w:rFonts w:cs="Times New Roman"/>
          <w:b/>
          <w:szCs w:val="24"/>
        </w:rPr>
        <w:t xml:space="preserve">design </w:t>
      </w:r>
      <w:r w:rsidRPr="009C71F0">
        <w:rPr>
          <w:rFonts w:cs="Times New Roman"/>
          <w:b/>
          <w:szCs w:val="24"/>
        </w:rPr>
        <w:t xml:space="preserve">and prior to commencement of works, the contractor must prepare the corresponding and related thematic </w:t>
      </w:r>
      <w:r w:rsidR="009C71F0">
        <w:rPr>
          <w:rFonts w:cs="Times New Roman"/>
          <w:b/>
          <w:szCs w:val="24"/>
        </w:rPr>
        <w:t xml:space="preserve">E&amp;S </w:t>
      </w:r>
      <w:r w:rsidRPr="009C71F0">
        <w:rPr>
          <w:rFonts w:cs="Times New Roman"/>
          <w:b/>
          <w:szCs w:val="24"/>
        </w:rPr>
        <w:t>management plans</w:t>
      </w:r>
      <w:r w:rsidRPr="00DA21F3">
        <w:rPr>
          <w:rFonts w:cs="Times New Roman"/>
          <w:szCs w:val="24"/>
        </w:rPr>
        <w:t xml:space="preserve"> (</w:t>
      </w:r>
      <w:r>
        <w:rPr>
          <w:rFonts w:cs="Times New Roman"/>
          <w:szCs w:val="24"/>
        </w:rPr>
        <w:t>that could be presented at the time of the sub</w:t>
      </w:r>
      <w:r w:rsidR="009F5608">
        <w:rPr>
          <w:rFonts w:cs="Times New Roman"/>
          <w:szCs w:val="24"/>
        </w:rPr>
        <w:t>-</w:t>
      </w:r>
      <w:r>
        <w:rPr>
          <w:rFonts w:cs="Times New Roman"/>
          <w:szCs w:val="24"/>
        </w:rPr>
        <w:t>project identification)</w:t>
      </w:r>
      <w:r w:rsidR="009F5608">
        <w:rPr>
          <w:rFonts w:cs="Times New Roman"/>
          <w:szCs w:val="24"/>
        </w:rPr>
        <w:t>.</w:t>
      </w:r>
    </w:p>
    <w:p w14:paraId="03AFF824" w14:textId="77777777" w:rsidR="004360D1" w:rsidRDefault="004360D1" w:rsidP="00203F2A">
      <w:pPr>
        <w:pStyle w:val="NoSpacing"/>
        <w:jc w:val="both"/>
        <w:rPr>
          <w:b/>
          <w:lang w:val="en-US"/>
        </w:rPr>
      </w:pPr>
    </w:p>
    <w:p w14:paraId="6D9829D8" w14:textId="79C12C7B" w:rsidR="005E7E0B" w:rsidRPr="004360D1" w:rsidRDefault="005E7E0B" w:rsidP="00203F2A">
      <w:pPr>
        <w:pStyle w:val="NoSpacing"/>
        <w:jc w:val="both"/>
        <w:rPr>
          <w:b/>
        </w:rPr>
      </w:pPr>
      <w:r w:rsidRPr="002E5483">
        <w:rPr>
          <w:b/>
          <w:lang w:val="en-US"/>
        </w:rPr>
        <w:t>Implementation</w:t>
      </w:r>
      <w:r w:rsidR="00C5528B">
        <w:rPr>
          <w:b/>
          <w:lang w:val="en-US"/>
        </w:rPr>
        <w:t xml:space="preserve"> and responsibilities</w:t>
      </w:r>
      <w:r w:rsidRPr="002E5483">
        <w:rPr>
          <w:b/>
          <w:lang w:val="en-US"/>
        </w:rPr>
        <w:t>:</w:t>
      </w:r>
      <w:r w:rsidRPr="002E5483">
        <w:rPr>
          <w:lang w:val="en-US"/>
        </w:rPr>
        <w:t xml:space="preserve"> The ESMP will be updated </w:t>
      </w:r>
      <w:r w:rsidR="009C71F0">
        <w:rPr>
          <w:lang w:val="en-US"/>
        </w:rPr>
        <w:t xml:space="preserve">by the contractor </w:t>
      </w:r>
      <w:r w:rsidRPr="002E5483">
        <w:rPr>
          <w:lang w:val="en-US"/>
        </w:rPr>
        <w:t>once the final detailed engineering designs for sub</w:t>
      </w:r>
      <w:r w:rsidR="009F5608">
        <w:rPr>
          <w:lang w:val="en-US"/>
        </w:rPr>
        <w:t>-</w:t>
      </w:r>
      <w:r w:rsidRPr="002E5483">
        <w:rPr>
          <w:lang w:val="en-US"/>
        </w:rPr>
        <w:t>projects are prepared during the project implementation</w:t>
      </w:r>
      <w:r w:rsidRPr="00C5528B">
        <w:rPr>
          <w:lang w:val="en-US"/>
        </w:rPr>
        <w:t xml:space="preserve">. Appropriate environmental </w:t>
      </w:r>
      <w:r w:rsidR="009C71F0">
        <w:rPr>
          <w:lang w:val="en-US"/>
        </w:rPr>
        <w:t xml:space="preserve">and social </w:t>
      </w:r>
      <w:r w:rsidRPr="00C5528B">
        <w:rPr>
          <w:lang w:val="en-US"/>
        </w:rPr>
        <w:t xml:space="preserve">mitigation measures for these activities will be included </w:t>
      </w:r>
      <w:r w:rsidR="004A2E68" w:rsidRPr="00C5528B">
        <w:rPr>
          <w:lang w:val="en-US"/>
        </w:rPr>
        <w:t>and budgeted in</w:t>
      </w:r>
      <w:r w:rsidRPr="00C5528B">
        <w:rPr>
          <w:lang w:val="en-US"/>
        </w:rPr>
        <w:t xml:space="preserve"> the </w:t>
      </w:r>
      <w:r w:rsidR="001F5DD3" w:rsidRPr="00C5528B">
        <w:rPr>
          <w:lang w:val="en-US"/>
        </w:rPr>
        <w:t>specific sub</w:t>
      </w:r>
      <w:r w:rsidR="009F5608" w:rsidRPr="00C5528B">
        <w:rPr>
          <w:lang w:val="en-US"/>
        </w:rPr>
        <w:t>-</w:t>
      </w:r>
      <w:r w:rsidR="001F5DD3" w:rsidRPr="00C5528B">
        <w:rPr>
          <w:lang w:val="en-US"/>
        </w:rPr>
        <w:t xml:space="preserve">projects </w:t>
      </w:r>
      <w:r w:rsidRPr="00C5528B">
        <w:rPr>
          <w:lang w:val="en-US"/>
        </w:rPr>
        <w:t>ESMP</w:t>
      </w:r>
      <w:r w:rsidR="004A2E68" w:rsidRPr="00C5528B">
        <w:rPr>
          <w:lang w:val="en-US"/>
        </w:rPr>
        <w:t>s</w:t>
      </w:r>
      <w:r w:rsidRPr="00C5528B">
        <w:rPr>
          <w:lang w:val="en-US"/>
        </w:rPr>
        <w:t xml:space="preserve">, once the </w:t>
      </w:r>
      <w:r w:rsidR="004A2E68" w:rsidRPr="00C5528B">
        <w:rPr>
          <w:lang w:val="en-US"/>
        </w:rPr>
        <w:t>sub</w:t>
      </w:r>
      <w:r w:rsidR="009F5608" w:rsidRPr="00C5528B">
        <w:rPr>
          <w:lang w:val="en-US"/>
        </w:rPr>
        <w:t>-</w:t>
      </w:r>
      <w:r w:rsidR="004A2E68" w:rsidRPr="00C5528B">
        <w:rPr>
          <w:lang w:val="en-US"/>
        </w:rPr>
        <w:t xml:space="preserve">projects design and engineering </w:t>
      </w:r>
      <w:r w:rsidRPr="00C5528B">
        <w:rPr>
          <w:lang w:val="en-US"/>
        </w:rPr>
        <w:t>details are known.</w:t>
      </w:r>
      <w:r w:rsidRPr="002E5483">
        <w:rPr>
          <w:b/>
          <w:lang w:val="en-US"/>
        </w:rPr>
        <w:t xml:space="preserve"> The PIU</w:t>
      </w:r>
      <w:r w:rsidR="00F968EA">
        <w:rPr>
          <w:b/>
          <w:lang w:val="en-US"/>
        </w:rPr>
        <w:t>’s</w:t>
      </w:r>
      <w:r w:rsidRPr="002E5483">
        <w:rPr>
          <w:b/>
          <w:lang w:val="en-US"/>
        </w:rPr>
        <w:t xml:space="preserve"> </w:t>
      </w:r>
      <w:r w:rsidR="00F968EA">
        <w:rPr>
          <w:b/>
          <w:lang w:val="en-US"/>
        </w:rPr>
        <w:t>S</w:t>
      </w:r>
      <w:r w:rsidRPr="002E5483">
        <w:rPr>
          <w:b/>
          <w:lang w:val="en-US"/>
        </w:rPr>
        <w:t>afeguard</w:t>
      </w:r>
      <w:r w:rsidR="00F968EA">
        <w:rPr>
          <w:b/>
          <w:lang w:val="en-US"/>
        </w:rPr>
        <w:t>s</w:t>
      </w:r>
      <w:r w:rsidRPr="002E5483">
        <w:rPr>
          <w:b/>
          <w:lang w:val="en-US"/>
        </w:rPr>
        <w:t xml:space="preserve"> </w:t>
      </w:r>
      <w:r w:rsidR="00741DA6">
        <w:rPr>
          <w:b/>
          <w:lang w:val="en-US"/>
        </w:rPr>
        <w:t xml:space="preserve">E&amp;S </w:t>
      </w:r>
      <w:r w:rsidRPr="002E5483">
        <w:rPr>
          <w:b/>
          <w:lang w:val="en-US"/>
        </w:rPr>
        <w:t xml:space="preserve">specialists are responsible </w:t>
      </w:r>
      <w:r w:rsidR="001F5DD3">
        <w:rPr>
          <w:b/>
          <w:lang w:val="en-US"/>
        </w:rPr>
        <w:t xml:space="preserve">to supervise the </w:t>
      </w:r>
      <w:r w:rsidRPr="002E5483">
        <w:rPr>
          <w:b/>
          <w:lang w:val="en-US"/>
        </w:rPr>
        <w:t>updating</w:t>
      </w:r>
      <w:r w:rsidR="001F5DD3">
        <w:rPr>
          <w:b/>
          <w:lang w:val="en-US"/>
        </w:rPr>
        <w:t xml:space="preserve"> processes of</w:t>
      </w:r>
      <w:r w:rsidRPr="002E5483">
        <w:rPr>
          <w:b/>
          <w:lang w:val="en-US"/>
        </w:rPr>
        <w:t xml:space="preserve"> th</w:t>
      </w:r>
      <w:r w:rsidR="001F5DD3">
        <w:rPr>
          <w:b/>
          <w:lang w:val="en-US"/>
        </w:rPr>
        <w:t>ose</w:t>
      </w:r>
      <w:r w:rsidRPr="002E5483">
        <w:rPr>
          <w:b/>
          <w:lang w:val="en-US"/>
        </w:rPr>
        <w:t xml:space="preserve"> ESMP</w:t>
      </w:r>
      <w:r w:rsidR="00741DA6">
        <w:rPr>
          <w:b/>
          <w:lang w:val="en-US"/>
        </w:rPr>
        <w:t>s</w:t>
      </w:r>
      <w:r w:rsidRPr="002E5483">
        <w:rPr>
          <w:b/>
          <w:lang w:val="en-US"/>
        </w:rPr>
        <w:t xml:space="preserve"> </w:t>
      </w:r>
      <w:r w:rsidR="004A2E68" w:rsidRPr="002E5483">
        <w:rPr>
          <w:b/>
          <w:lang w:val="en-US"/>
        </w:rPr>
        <w:t>in concurrence with the WB Safeguard Specialist assigned to the project</w:t>
      </w:r>
      <w:r w:rsidR="001F5DD3" w:rsidRPr="004360D1">
        <w:rPr>
          <w:b/>
          <w:lang w:val="en-US"/>
        </w:rPr>
        <w:t>.</w:t>
      </w:r>
      <w:r w:rsidR="004360D1" w:rsidRPr="004360D1">
        <w:rPr>
          <w:b/>
          <w:lang w:val="en-US"/>
        </w:rPr>
        <w:t xml:space="preserve"> </w:t>
      </w:r>
      <w:r w:rsidRPr="004360D1">
        <w:rPr>
          <w:b/>
        </w:rPr>
        <w:t xml:space="preserve">The ESMP will be executed by the </w:t>
      </w:r>
      <w:r w:rsidR="00C5528B" w:rsidRPr="004360D1">
        <w:rPr>
          <w:b/>
        </w:rPr>
        <w:t>c</w:t>
      </w:r>
      <w:r w:rsidRPr="004360D1">
        <w:rPr>
          <w:b/>
        </w:rPr>
        <w:t>ontractors with oversight by the PIU</w:t>
      </w:r>
      <w:r w:rsidR="00741DA6">
        <w:rPr>
          <w:b/>
        </w:rPr>
        <w:t xml:space="preserve">s E&amp;S </w:t>
      </w:r>
      <w:r w:rsidR="00F968EA">
        <w:rPr>
          <w:b/>
        </w:rPr>
        <w:t xml:space="preserve">Safeguards </w:t>
      </w:r>
      <w:r w:rsidR="00741DA6">
        <w:rPr>
          <w:b/>
        </w:rPr>
        <w:t>Team</w:t>
      </w:r>
      <w:r w:rsidRPr="004360D1">
        <w:rPr>
          <w:b/>
        </w:rPr>
        <w:t xml:space="preserve">. </w:t>
      </w:r>
    </w:p>
    <w:p w14:paraId="09B234F0" w14:textId="77777777" w:rsidR="004360D1" w:rsidRDefault="004360D1" w:rsidP="00203F2A">
      <w:pPr>
        <w:pStyle w:val="NoSpacing"/>
        <w:jc w:val="both"/>
      </w:pPr>
    </w:p>
    <w:p w14:paraId="416E4AD6" w14:textId="77777777" w:rsidR="00F968EA" w:rsidRDefault="00D22362" w:rsidP="00203F2A">
      <w:pPr>
        <w:pStyle w:val="NoSpacing"/>
        <w:jc w:val="both"/>
      </w:pPr>
      <w:r>
        <w:rPr>
          <w:b/>
        </w:rPr>
        <w:t>T</w:t>
      </w:r>
      <w:r w:rsidRPr="00965B40">
        <w:rPr>
          <w:b/>
        </w:rPr>
        <w:t xml:space="preserve">he </w:t>
      </w:r>
      <w:r>
        <w:rPr>
          <w:b/>
        </w:rPr>
        <w:t>ESM</w:t>
      </w:r>
      <w:r w:rsidRPr="00965B40">
        <w:rPr>
          <w:b/>
        </w:rPr>
        <w:t xml:space="preserve">P </w:t>
      </w:r>
      <w:r>
        <w:rPr>
          <w:b/>
        </w:rPr>
        <w:t xml:space="preserve">should </w:t>
      </w:r>
      <w:r w:rsidRPr="00965B40">
        <w:rPr>
          <w:b/>
        </w:rPr>
        <w:t xml:space="preserve">closely </w:t>
      </w:r>
      <w:r>
        <w:rPr>
          <w:b/>
        </w:rPr>
        <w:t xml:space="preserve">align with </w:t>
      </w:r>
      <w:r w:rsidRPr="00965B40">
        <w:rPr>
          <w:b/>
        </w:rPr>
        <w:t xml:space="preserve">existing guidelines and procedures that are in place in Suriname. </w:t>
      </w:r>
      <w:r>
        <w:t xml:space="preserve">Although not embedded in national legislations, NIMOS has developed guidelines, both general and sectoral, for conducting (voluntary) Environmental and Social Impact Assessments (ESIAs) </w:t>
      </w:r>
      <w:r w:rsidR="00A909CC">
        <w:t>and includes</w:t>
      </w:r>
      <w:r>
        <w:t xml:space="preserve"> mitigation and monitoring measures. </w:t>
      </w:r>
    </w:p>
    <w:p w14:paraId="54F0A246" w14:textId="77777777" w:rsidR="00742A4A" w:rsidRDefault="00742A4A" w:rsidP="00203F2A">
      <w:pPr>
        <w:pStyle w:val="NoSpacing"/>
        <w:jc w:val="both"/>
      </w:pPr>
    </w:p>
    <w:p w14:paraId="17BBEF31" w14:textId="0A2BFF5F" w:rsidR="00D22362" w:rsidRPr="0073055F" w:rsidRDefault="00F968EA" w:rsidP="00203F2A">
      <w:pPr>
        <w:pStyle w:val="NoSpacing"/>
        <w:jc w:val="both"/>
      </w:pPr>
      <w:r>
        <w:t>Steps to be taken to develop the ESM</w:t>
      </w:r>
      <w:r w:rsidR="00742A4A">
        <w:t>P</w:t>
      </w:r>
      <w:r>
        <w:t xml:space="preserve"> are:</w:t>
      </w:r>
    </w:p>
    <w:p w14:paraId="7431F5FE" w14:textId="77777777" w:rsidR="00D22362" w:rsidRPr="008759D5" w:rsidRDefault="00D22362" w:rsidP="00203F2A">
      <w:pPr>
        <w:pStyle w:val="NoSpacing"/>
        <w:jc w:val="both"/>
        <w:rPr>
          <w:b/>
        </w:rPr>
      </w:pPr>
    </w:p>
    <w:p w14:paraId="22362B19" w14:textId="290E0B51" w:rsidR="00D22362" w:rsidRDefault="00D22362" w:rsidP="00203F2A">
      <w:pPr>
        <w:pStyle w:val="NoSpacing"/>
        <w:jc w:val="both"/>
        <w:rPr>
          <w:b/>
          <w:u w:val="single"/>
        </w:rPr>
      </w:pPr>
      <w:r w:rsidRPr="008759D5">
        <w:rPr>
          <w:b/>
          <w:u w:val="single"/>
        </w:rPr>
        <w:t>Step 1:</w:t>
      </w:r>
      <w:r w:rsidRPr="008759D5">
        <w:rPr>
          <w:b/>
          <w:u w:val="single"/>
        </w:rPr>
        <w:tab/>
        <w:t>Screening</w:t>
      </w:r>
    </w:p>
    <w:p w14:paraId="1AD4ED48" w14:textId="77777777" w:rsidR="00B6792B" w:rsidRPr="008759D5" w:rsidRDefault="00B6792B" w:rsidP="00203F2A">
      <w:pPr>
        <w:pStyle w:val="NoSpacing"/>
        <w:jc w:val="both"/>
        <w:rPr>
          <w:b/>
          <w:u w:val="single"/>
        </w:rPr>
      </w:pPr>
    </w:p>
    <w:p w14:paraId="132030BB" w14:textId="008D8E6A" w:rsidR="00D22362" w:rsidRPr="008759D5" w:rsidRDefault="00D22362" w:rsidP="00203F2A">
      <w:pPr>
        <w:pStyle w:val="NoSpacing"/>
        <w:ind w:left="708"/>
        <w:jc w:val="both"/>
        <w:rPr>
          <w:b/>
        </w:rPr>
      </w:pPr>
      <w:r w:rsidRPr="008759D5">
        <w:rPr>
          <w:b/>
        </w:rPr>
        <w:t xml:space="preserve">As mentioned in Section 2, considering the nature and magnitude of potential sub-project activities under the </w:t>
      </w:r>
      <w:r w:rsidR="00190610">
        <w:rPr>
          <w:b/>
        </w:rPr>
        <w:t>SCSD</w:t>
      </w:r>
      <w:r w:rsidRPr="008759D5">
        <w:rPr>
          <w:b/>
        </w:rPr>
        <w:t xml:space="preserve"> Project, the entire Project is classified as Category B, </w:t>
      </w:r>
      <w:r w:rsidRPr="008759D5">
        <w:t>meaning that the potential adverse environmental impacts on human populations or environmentally important areas are considered site-specific, to be reversible, and mitigation measures can be designed to avoid or reduce impacts to acceptable levels (residual impacts).</w:t>
      </w:r>
      <w:r w:rsidRPr="008759D5">
        <w:rPr>
          <w:b/>
        </w:rPr>
        <w:t xml:space="preserve"> </w:t>
      </w:r>
      <w:r w:rsidRPr="008759D5">
        <w:t>Which sub-project</w:t>
      </w:r>
      <w:r>
        <w:t>s</w:t>
      </w:r>
      <w:r w:rsidRPr="008759D5">
        <w:t xml:space="preserve">, from a range of potential ones described earlier, will materialise is not yet fully determined at present, but </w:t>
      </w:r>
      <w:r w:rsidRPr="00D0383E">
        <w:rPr>
          <w:b/>
        </w:rPr>
        <w:t>sub-projects</w:t>
      </w:r>
      <w:r>
        <w:t xml:space="preserve"> </w:t>
      </w:r>
      <w:r w:rsidRPr="008759D5">
        <w:rPr>
          <w:b/>
        </w:rPr>
        <w:t xml:space="preserve">that would classify as Category A will not be eligible. </w:t>
      </w:r>
    </w:p>
    <w:p w14:paraId="54FA36D2" w14:textId="77777777" w:rsidR="00D22362" w:rsidRPr="008759D5" w:rsidRDefault="00D22362" w:rsidP="00203F2A">
      <w:pPr>
        <w:pStyle w:val="NoSpacing"/>
        <w:ind w:left="708"/>
        <w:jc w:val="both"/>
        <w:rPr>
          <w:b/>
        </w:rPr>
      </w:pPr>
    </w:p>
    <w:p w14:paraId="1E15FBAB" w14:textId="77777777" w:rsidR="00D22362" w:rsidRPr="008759D5" w:rsidRDefault="00D22362" w:rsidP="00203F2A">
      <w:pPr>
        <w:pStyle w:val="NoSpacing"/>
        <w:ind w:left="708"/>
        <w:jc w:val="both"/>
      </w:pPr>
      <w:r w:rsidRPr="008759D5">
        <w:rPr>
          <w:b/>
        </w:rPr>
        <w:t xml:space="preserve">A screening procedure will be used to determine to which Category </w:t>
      </w:r>
      <w:r>
        <w:rPr>
          <w:b/>
        </w:rPr>
        <w:t>sub-projects</w:t>
      </w:r>
      <w:r w:rsidRPr="008759D5">
        <w:rPr>
          <w:b/>
        </w:rPr>
        <w:t xml:space="preserve"> will be assigned, and, for </w:t>
      </w:r>
      <w:r>
        <w:rPr>
          <w:b/>
        </w:rPr>
        <w:t>sub-projects</w:t>
      </w:r>
      <w:r w:rsidRPr="008759D5">
        <w:rPr>
          <w:b/>
        </w:rPr>
        <w:t xml:space="preserve"> assigned to Category B, to determine the initial scope of environmental and social management plans </w:t>
      </w:r>
      <w:r w:rsidRPr="008759D5">
        <w:t xml:space="preserve">to be developed in relation to specific </w:t>
      </w:r>
      <w:r>
        <w:t>sub-projects</w:t>
      </w:r>
      <w:r w:rsidRPr="008759D5">
        <w:t xml:space="preserve">. </w:t>
      </w:r>
    </w:p>
    <w:p w14:paraId="4C649FBE" w14:textId="77777777" w:rsidR="00D22362" w:rsidRPr="008759D5" w:rsidRDefault="00D22362" w:rsidP="00203F2A">
      <w:pPr>
        <w:pStyle w:val="NoSpacing"/>
        <w:ind w:left="708"/>
        <w:jc w:val="both"/>
      </w:pPr>
    </w:p>
    <w:p w14:paraId="4B5126F2" w14:textId="1F1C2037" w:rsidR="00D22362" w:rsidRPr="008759D5" w:rsidRDefault="00D22362" w:rsidP="00203F2A">
      <w:pPr>
        <w:pStyle w:val="NoSpacing"/>
        <w:ind w:left="708"/>
        <w:jc w:val="both"/>
      </w:pPr>
      <w:r w:rsidRPr="00C5528B">
        <w:rPr>
          <w:b/>
        </w:rPr>
        <w:t xml:space="preserve">The screening procedure will be implemented by a </w:t>
      </w:r>
      <w:r w:rsidR="004360D1">
        <w:rPr>
          <w:b/>
        </w:rPr>
        <w:t>MTIT/PIU Safeguards</w:t>
      </w:r>
      <w:r w:rsidRPr="00C5528B">
        <w:rPr>
          <w:b/>
        </w:rPr>
        <w:t xml:space="preserve"> Team.</w:t>
      </w:r>
      <w:r w:rsidRPr="008759D5">
        <w:t xml:space="preserve"> The </w:t>
      </w:r>
      <w:r w:rsidR="004360D1">
        <w:t>t</w:t>
      </w:r>
      <w:r w:rsidRPr="008759D5">
        <w:t xml:space="preserve">eam will be provided, at the appropriate time, with sufficiently detailed descriptions of </w:t>
      </w:r>
      <w:r>
        <w:t>proposed sub-</w:t>
      </w:r>
      <w:r w:rsidRPr="008759D5">
        <w:t>project</w:t>
      </w:r>
      <w:r>
        <w:t>s</w:t>
      </w:r>
      <w:r w:rsidRPr="008759D5">
        <w:t xml:space="preserve"> by the </w:t>
      </w:r>
      <w:r w:rsidR="000321B8">
        <w:t>contractor</w:t>
      </w:r>
      <w:r w:rsidR="00742A4A">
        <w:t>(</w:t>
      </w:r>
      <w:r w:rsidRPr="008759D5">
        <w:t>s</w:t>
      </w:r>
      <w:r w:rsidR="00742A4A">
        <w:t>)</w:t>
      </w:r>
      <w:r w:rsidRPr="008759D5">
        <w:t xml:space="preserve">. Based on this, they will produce a succinct report as to any likely environmental and social issues tied to each </w:t>
      </w:r>
      <w:r>
        <w:t>sub-project</w:t>
      </w:r>
      <w:r w:rsidRPr="008759D5">
        <w:t xml:space="preserve"> and the expected magnitude of impacts; they will also assign the </w:t>
      </w:r>
      <w:r>
        <w:t>sub-project</w:t>
      </w:r>
      <w:r w:rsidRPr="008759D5">
        <w:t xml:space="preserve"> to a Category, and in case of Category B, they will indicate which issues need to be addressed, at minimum, in the ESMP for a specific proposed </w:t>
      </w:r>
      <w:r>
        <w:t>sub-project</w:t>
      </w:r>
      <w:r w:rsidRPr="008759D5">
        <w:t xml:space="preserve">. A screening list (Annex 1: ESMF Screening Checklist) will be used by this team to aid them in their deliberations and reporting; it will serve as a template for the Screening Reports (one for each proposed </w:t>
      </w:r>
      <w:r>
        <w:t>sub-project</w:t>
      </w:r>
      <w:r w:rsidRPr="008759D5">
        <w:t xml:space="preserve">) the team will produce. The </w:t>
      </w:r>
      <w:r>
        <w:t>sub-project</w:t>
      </w:r>
      <w:r w:rsidRPr="008759D5">
        <w:t xml:space="preserve"> description (provided by the </w:t>
      </w:r>
      <w:r w:rsidR="000321B8">
        <w:t>contractor</w:t>
      </w:r>
      <w:r w:rsidRPr="008759D5">
        <w:t xml:space="preserve">) will be attached to the Screening Report.    </w:t>
      </w:r>
    </w:p>
    <w:p w14:paraId="034FF37A" w14:textId="77777777" w:rsidR="00D22362" w:rsidRPr="008759D5" w:rsidRDefault="00D22362" w:rsidP="00203F2A">
      <w:pPr>
        <w:pStyle w:val="NoSpacing"/>
        <w:jc w:val="both"/>
      </w:pPr>
    </w:p>
    <w:p w14:paraId="2D3C2F77" w14:textId="77777777" w:rsidR="00D22362" w:rsidRPr="008759D5" w:rsidRDefault="00D22362" w:rsidP="00203F2A">
      <w:pPr>
        <w:pStyle w:val="NoSpacing"/>
        <w:jc w:val="both"/>
        <w:rPr>
          <w:b/>
          <w:u w:val="single"/>
        </w:rPr>
      </w:pPr>
      <w:r>
        <w:rPr>
          <w:b/>
          <w:u w:val="single"/>
        </w:rPr>
        <w:t>Step 2:</w:t>
      </w:r>
      <w:r>
        <w:rPr>
          <w:b/>
          <w:u w:val="single"/>
        </w:rPr>
        <w:tab/>
      </w:r>
      <w:r w:rsidRPr="008759D5">
        <w:rPr>
          <w:b/>
          <w:u w:val="single"/>
        </w:rPr>
        <w:t>Scoping and Initial Public Consultation</w:t>
      </w:r>
    </w:p>
    <w:p w14:paraId="78F5BF25" w14:textId="77777777" w:rsidR="00D22362" w:rsidRPr="008759D5" w:rsidRDefault="00D22362" w:rsidP="00203F2A">
      <w:pPr>
        <w:pStyle w:val="NoSpacing"/>
        <w:jc w:val="both"/>
        <w:rPr>
          <w:b/>
        </w:rPr>
      </w:pPr>
    </w:p>
    <w:p w14:paraId="06B2FA43" w14:textId="77777777" w:rsidR="00D22362" w:rsidRPr="008759D5" w:rsidRDefault="00D22362" w:rsidP="00203F2A">
      <w:pPr>
        <w:pStyle w:val="NoSpacing"/>
        <w:ind w:left="708"/>
        <w:jc w:val="both"/>
      </w:pPr>
      <w:r w:rsidRPr="008759D5">
        <w:rPr>
          <w:b/>
        </w:rPr>
        <w:t xml:space="preserve">For Category B proposed </w:t>
      </w:r>
      <w:r>
        <w:rPr>
          <w:b/>
        </w:rPr>
        <w:t>sub-projects</w:t>
      </w:r>
      <w:r w:rsidRPr="008759D5">
        <w:rPr>
          <w:b/>
        </w:rPr>
        <w:t xml:space="preserve">, likely </w:t>
      </w:r>
      <w:r>
        <w:rPr>
          <w:b/>
        </w:rPr>
        <w:t xml:space="preserve">significant </w:t>
      </w:r>
      <w:r w:rsidRPr="008759D5">
        <w:rPr>
          <w:b/>
        </w:rPr>
        <w:t xml:space="preserve">environmental and social issues (identified during screening) must be discussed with the </w:t>
      </w:r>
      <w:proofErr w:type="gramStart"/>
      <w:r w:rsidRPr="008759D5">
        <w:rPr>
          <w:b/>
        </w:rPr>
        <w:t>stakeholders, and</w:t>
      </w:r>
      <w:proofErr w:type="gramEnd"/>
      <w:r w:rsidRPr="008759D5">
        <w:rPr>
          <w:b/>
        </w:rPr>
        <w:t xml:space="preserve"> based on this a final scope the ESMP must be developed.</w:t>
      </w:r>
      <w:r w:rsidRPr="008759D5">
        <w:t xml:space="preserve"> </w:t>
      </w:r>
    </w:p>
    <w:p w14:paraId="1B378DB8" w14:textId="77777777" w:rsidR="00D22362" w:rsidRPr="008759D5" w:rsidRDefault="00D22362" w:rsidP="00203F2A">
      <w:pPr>
        <w:pStyle w:val="NoSpacing"/>
        <w:ind w:left="708"/>
        <w:jc w:val="both"/>
      </w:pPr>
    </w:p>
    <w:p w14:paraId="3D449A38" w14:textId="46DFA9AE" w:rsidR="00D22362" w:rsidRPr="008759D5" w:rsidRDefault="00E62A4B" w:rsidP="00203F2A">
      <w:pPr>
        <w:pStyle w:val="NoSpacing"/>
        <w:ind w:left="708"/>
        <w:jc w:val="both"/>
      </w:pPr>
      <w:r>
        <w:t>The PIU’s Safeguards Team will</w:t>
      </w:r>
      <w:r w:rsidR="00D22362" w:rsidRPr="008759D5">
        <w:t xml:space="preserve"> identif</w:t>
      </w:r>
      <w:r w:rsidR="00D22362">
        <w:t>y</w:t>
      </w:r>
      <w:r w:rsidR="00D22362" w:rsidRPr="008759D5">
        <w:t xml:space="preserve"> the stakeholders, based on the screening report (which contains the </w:t>
      </w:r>
      <w:r w:rsidR="00D22362">
        <w:t>sub-project</w:t>
      </w:r>
      <w:r w:rsidR="00D22362" w:rsidRPr="008759D5">
        <w:t xml:space="preserve"> description and lists potentially significant </w:t>
      </w:r>
      <w:r w:rsidR="00D22362">
        <w:t xml:space="preserve">risks </w:t>
      </w:r>
      <w:r w:rsidR="00D22362" w:rsidRPr="008759D5">
        <w:t xml:space="preserve">and impacts) and the </w:t>
      </w:r>
      <w:r>
        <w:t>Team</w:t>
      </w:r>
      <w:r w:rsidR="00D22362">
        <w:t>’s</w:t>
      </w:r>
      <w:r w:rsidR="00D22362" w:rsidRPr="008759D5">
        <w:t xml:space="preserve"> thematic expertise and in-country experience. </w:t>
      </w:r>
    </w:p>
    <w:p w14:paraId="0BDD3009" w14:textId="77777777" w:rsidR="00D22362" w:rsidRPr="008759D5" w:rsidRDefault="00D22362" w:rsidP="00203F2A">
      <w:pPr>
        <w:pStyle w:val="NoSpacing"/>
        <w:ind w:left="708"/>
        <w:jc w:val="both"/>
      </w:pPr>
    </w:p>
    <w:p w14:paraId="3F888D01" w14:textId="4CD881BD" w:rsidR="00D22362" w:rsidRPr="008759D5" w:rsidRDefault="00D22362" w:rsidP="00203F2A">
      <w:pPr>
        <w:pStyle w:val="NoSpacing"/>
        <w:ind w:left="708"/>
        <w:jc w:val="both"/>
      </w:pPr>
      <w:r w:rsidRPr="008759D5">
        <w:rPr>
          <w:b/>
        </w:rPr>
        <w:t>A public scoping consultation will be held</w:t>
      </w:r>
      <w:r w:rsidR="00742A4A">
        <w:rPr>
          <w:b/>
        </w:rPr>
        <w:t xml:space="preserve"> by the MTIT/PIU Safeguards Team</w:t>
      </w:r>
      <w:r w:rsidRPr="008759D5">
        <w:t xml:space="preserve"> at the site where the activit</w:t>
      </w:r>
      <w:r>
        <w:t>ies are</w:t>
      </w:r>
      <w:r w:rsidRPr="008759D5">
        <w:t xml:space="preserve"> planned and/or at nearby communities, as appropriate (also culturally, in terms of language and manner of communication) to ensure that (potential) stakeholders are informed of the proposed </w:t>
      </w:r>
      <w:r>
        <w:t>sub-project</w:t>
      </w:r>
      <w:r w:rsidRPr="008759D5">
        <w:t xml:space="preserve"> and get sufficient opportunity to voice points of concern, and generally express opposition or support. The result of the public meeting is a comprehensive Scoping Report, </w:t>
      </w:r>
      <w:r w:rsidR="00742A4A">
        <w:t xml:space="preserve">in which </w:t>
      </w:r>
      <w:r w:rsidRPr="008759D5">
        <w:t xml:space="preserve">additional issues and impacts may be identified, based on </w:t>
      </w:r>
      <w:r w:rsidR="003C721A" w:rsidRPr="008759D5">
        <w:t>stakeholders’</w:t>
      </w:r>
      <w:r w:rsidRPr="008759D5">
        <w:t xml:space="preserve"> input, that had not been identified as significant (Moderate or Substantial) earlier, in the Screening Report. The Scoping Report will describe the terms of reference for the subsequent assessment.</w:t>
      </w:r>
    </w:p>
    <w:p w14:paraId="09061823" w14:textId="49D8A073" w:rsidR="00B6792B" w:rsidRDefault="00B6792B" w:rsidP="00203F2A">
      <w:pPr>
        <w:pStyle w:val="NoSpacing"/>
        <w:jc w:val="both"/>
      </w:pPr>
    </w:p>
    <w:p w14:paraId="4348441D" w14:textId="77777777" w:rsidR="00D22362" w:rsidRPr="008759D5" w:rsidRDefault="00D22362" w:rsidP="00203F2A">
      <w:pPr>
        <w:pStyle w:val="NoSpacing"/>
        <w:jc w:val="both"/>
        <w:rPr>
          <w:b/>
          <w:u w:val="single"/>
        </w:rPr>
      </w:pPr>
      <w:r>
        <w:rPr>
          <w:b/>
          <w:u w:val="single"/>
        </w:rPr>
        <w:t>Step 3:</w:t>
      </w:r>
      <w:r>
        <w:rPr>
          <w:b/>
          <w:u w:val="single"/>
        </w:rPr>
        <w:tab/>
      </w:r>
      <w:r w:rsidRPr="008759D5">
        <w:rPr>
          <w:b/>
          <w:u w:val="single"/>
        </w:rPr>
        <w:t>Assessment</w:t>
      </w:r>
    </w:p>
    <w:p w14:paraId="4669DF7B" w14:textId="77777777" w:rsidR="00D22362" w:rsidRPr="008759D5" w:rsidRDefault="00D22362" w:rsidP="00203F2A">
      <w:pPr>
        <w:pStyle w:val="NoSpacing"/>
        <w:jc w:val="both"/>
      </w:pPr>
    </w:p>
    <w:p w14:paraId="66AF4E71" w14:textId="2FDE1A53" w:rsidR="00D22362" w:rsidRPr="008759D5" w:rsidRDefault="00D22362" w:rsidP="00203F2A">
      <w:pPr>
        <w:pStyle w:val="NoSpacing"/>
        <w:ind w:left="708"/>
        <w:jc w:val="both"/>
      </w:pPr>
      <w:r w:rsidRPr="008759D5">
        <w:rPr>
          <w:b/>
        </w:rPr>
        <w:t xml:space="preserve">To assess the environmental and social baseline conditions, the </w:t>
      </w:r>
      <w:r w:rsidR="000B498F">
        <w:rPr>
          <w:b/>
        </w:rPr>
        <w:t xml:space="preserve">MTIT/PIU Safeguards Team or additional capacity support hired by the government through the project </w:t>
      </w:r>
      <w:r w:rsidRPr="008759D5">
        <w:rPr>
          <w:b/>
        </w:rPr>
        <w:t xml:space="preserve">will study environmental and social information sources. </w:t>
      </w:r>
      <w:r w:rsidRPr="008759D5">
        <w:t>These will be pre-existing sources (publications, reports, maps, other available data) and, as appropriate if th</w:t>
      </w:r>
      <w:r>
        <w:t>is</w:t>
      </w:r>
      <w:r w:rsidRPr="008759D5">
        <w:t xml:space="preserve"> data is considered insufficient, new data obtained via targeted field studies</w:t>
      </w:r>
      <w:r>
        <w:t xml:space="preserve"> </w:t>
      </w:r>
      <w:r w:rsidRPr="008759D5">
        <w:t xml:space="preserve">in relation to the expected impacts identified as significant in the Screening and Scoping Reports. </w:t>
      </w:r>
      <w:r w:rsidR="004F36C5">
        <w:t>This will include conducting stakeholder consultations as needed to inform the ESMP.</w:t>
      </w:r>
    </w:p>
    <w:p w14:paraId="6E61404E" w14:textId="77777777" w:rsidR="00D22362" w:rsidRPr="008759D5" w:rsidRDefault="00D22362" w:rsidP="00203F2A">
      <w:pPr>
        <w:pStyle w:val="NoSpacing"/>
        <w:ind w:left="708"/>
        <w:jc w:val="both"/>
      </w:pPr>
    </w:p>
    <w:p w14:paraId="23ECE8D3" w14:textId="77777777" w:rsidR="00D22362" w:rsidRPr="008759D5" w:rsidRDefault="00D22362" w:rsidP="00203F2A">
      <w:pPr>
        <w:pStyle w:val="NoSpacing"/>
        <w:ind w:left="708"/>
        <w:jc w:val="both"/>
        <w:rPr>
          <w:b/>
        </w:rPr>
      </w:pPr>
      <w:r w:rsidRPr="008759D5">
        <w:t xml:space="preserve">The results of this assessment will be laid down in a comprehensive Assessment Report; each proposed </w:t>
      </w:r>
      <w:r>
        <w:t xml:space="preserve">sub-project </w:t>
      </w:r>
      <w:r w:rsidRPr="008759D5">
        <w:t xml:space="preserve">will result in a separate report.  The Assessment Report will contain a description of the proposed </w:t>
      </w:r>
      <w:r>
        <w:t>sub-project</w:t>
      </w:r>
      <w:r w:rsidRPr="008759D5">
        <w:t xml:space="preserve">, a description of the baseline work done, an assessment of expected impacts on the basis thereof, a description of impact reduction or compensation measures that are recommended, if any, and a description of monitoring that may be required </w:t>
      </w:r>
      <w:proofErr w:type="gramStart"/>
      <w:r w:rsidRPr="008759D5">
        <w:t>as a consequence</w:t>
      </w:r>
      <w:proofErr w:type="gramEnd"/>
      <w:r w:rsidRPr="008759D5">
        <w:t xml:space="preserve">. The report should be concise, details of any baseline field studies are to be included in appendices. </w:t>
      </w:r>
      <w:r w:rsidRPr="00BF52A8">
        <w:t xml:space="preserve">The Assessment Report must clearly describe </w:t>
      </w:r>
      <w:r w:rsidRPr="00BF52A8">
        <w:rPr>
          <w:lang w:val="en-US"/>
        </w:rPr>
        <w:t>any measures needed to prevent, minimize or mitigate adverse impacts, or to compensate for residual impacts; it must also describe monitoring action, if any is required, and can propose measures to improve overall environmental and social performance</w:t>
      </w:r>
      <w:r w:rsidRPr="008759D5">
        <w:rPr>
          <w:b/>
          <w:lang w:val="en-US"/>
        </w:rPr>
        <w:t>.</w:t>
      </w:r>
    </w:p>
    <w:p w14:paraId="52AC9D20" w14:textId="77777777" w:rsidR="00D22362" w:rsidRPr="008759D5" w:rsidRDefault="00D22362" w:rsidP="00203F2A">
      <w:pPr>
        <w:pStyle w:val="NoSpacing"/>
        <w:jc w:val="both"/>
      </w:pPr>
    </w:p>
    <w:p w14:paraId="4314B07D" w14:textId="77777777" w:rsidR="00D22362" w:rsidRPr="0043002D" w:rsidRDefault="00D22362" w:rsidP="00203F2A">
      <w:pPr>
        <w:pStyle w:val="NoSpacing"/>
        <w:jc w:val="both"/>
        <w:rPr>
          <w:b/>
          <w:u w:val="single"/>
        </w:rPr>
      </w:pPr>
      <w:r>
        <w:rPr>
          <w:b/>
          <w:u w:val="single"/>
        </w:rPr>
        <w:t>Step 4:</w:t>
      </w:r>
      <w:r>
        <w:rPr>
          <w:b/>
          <w:u w:val="single"/>
        </w:rPr>
        <w:tab/>
      </w:r>
      <w:r w:rsidRPr="0043002D">
        <w:rPr>
          <w:b/>
          <w:u w:val="single"/>
        </w:rPr>
        <w:t>Disclosure, Review and Decision Making</w:t>
      </w:r>
    </w:p>
    <w:p w14:paraId="0BC3796A" w14:textId="77777777" w:rsidR="00D22362" w:rsidRPr="008759D5" w:rsidRDefault="00D22362" w:rsidP="00203F2A">
      <w:pPr>
        <w:pStyle w:val="NoSpacing"/>
        <w:jc w:val="both"/>
        <w:rPr>
          <w:b/>
        </w:rPr>
      </w:pPr>
    </w:p>
    <w:p w14:paraId="65158E5A" w14:textId="4507FA61" w:rsidR="00D22362" w:rsidRPr="008759D5" w:rsidRDefault="00D22362" w:rsidP="00203F2A">
      <w:pPr>
        <w:pStyle w:val="NoSpacing"/>
        <w:ind w:left="708"/>
        <w:jc w:val="both"/>
      </w:pPr>
      <w:r w:rsidRPr="008759D5">
        <w:rPr>
          <w:b/>
        </w:rPr>
        <w:t xml:space="preserve">A public disclosure meeting will be </w:t>
      </w:r>
      <w:r w:rsidRPr="002B134A">
        <w:rPr>
          <w:b/>
        </w:rPr>
        <w:t xml:space="preserve">held </w:t>
      </w:r>
      <w:r w:rsidR="002B134A" w:rsidRPr="002B134A">
        <w:rPr>
          <w:b/>
        </w:rPr>
        <w:t>by the contractor (and the E&amp;S expert)</w:t>
      </w:r>
      <w:r w:rsidR="002B134A">
        <w:t xml:space="preserve"> </w:t>
      </w:r>
      <w:r w:rsidRPr="008759D5">
        <w:t>at the site where the activit</w:t>
      </w:r>
      <w:r>
        <w:t>ies are</w:t>
      </w:r>
      <w:r w:rsidRPr="008759D5">
        <w:t xml:space="preserve"> planned and/or at nearby communities, as appropriate to ensure that (potential) stakeholders are informed of any modification </w:t>
      </w:r>
      <w:r>
        <w:t>of</w:t>
      </w:r>
      <w:r w:rsidRPr="008759D5">
        <w:t xml:space="preserve"> the </w:t>
      </w:r>
      <w:r>
        <w:t>sub-project</w:t>
      </w:r>
      <w:r w:rsidRPr="008759D5">
        <w:t xml:space="preserve">, the expected impacts, proposed impact reduction and compensation measures, and proposed monitoring action. The results of this public meeting </w:t>
      </w:r>
      <w:r w:rsidR="003C721A" w:rsidRPr="008759D5">
        <w:t>are</w:t>
      </w:r>
      <w:r w:rsidRPr="008759D5">
        <w:t xml:space="preserve"> a comprehensive summary, by the </w:t>
      </w:r>
      <w:r w:rsidR="002B134A">
        <w:t xml:space="preserve">contractor / </w:t>
      </w:r>
      <w:r w:rsidRPr="008759D5">
        <w:t>E</w:t>
      </w:r>
      <w:r w:rsidR="002B134A">
        <w:t>&amp;</w:t>
      </w:r>
      <w:r w:rsidRPr="008759D5">
        <w:t xml:space="preserve">S </w:t>
      </w:r>
      <w:r>
        <w:t>expert</w:t>
      </w:r>
      <w:r w:rsidRPr="008759D5">
        <w:t xml:space="preserve">, of public remarks and responses at the meeting, and any comments after the meeting by the </w:t>
      </w:r>
      <w:r w:rsidR="000321B8">
        <w:t>contractor</w:t>
      </w:r>
      <w:r>
        <w:t xml:space="preserve"> / </w:t>
      </w:r>
      <w:r w:rsidRPr="008759D5">
        <w:t>E</w:t>
      </w:r>
      <w:r w:rsidR="002B134A">
        <w:t>&amp;</w:t>
      </w:r>
      <w:r w:rsidRPr="008759D5">
        <w:t xml:space="preserve">S </w:t>
      </w:r>
      <w:r>
        <w:t>expert</w:t>
      </w:r>
      <w:r w:rsidRPr="008759D5">
        <w:t xml:space="preserve"> on the relevance</w:t>
      </w:r>
      <w:r>
        <w:t xml:space="preserve"> </w:t>
      </w:r>
      <w:r w:rsidRPr="008759D5">
        <w:t>/</w:t>
      </w:r>
      <w:r>
        <w:t xml:space="preserve"> </w:t>
      </w:r>
      <w:r w:rsidRPr="008759D5">
        <w:t>legitimacy of specific public remarks</w:t>
      </w:r>
      <w:r>
        <w:t>,</w:t>
      </w:r>
      <w:r w:rsidRPr="008759D5">
        <w:t xml:space="preserve"> and how these </w:t>
      </w:r>
      <w:r>
        <w:t xml:space="preserve">are </w:t>
      </w:r>
      <w:r w:rsidRPr="008759D5">
        <w:t xml:space="preserve">addressed. This will be included as an appendix to the Assessment Report. If appropriate, the proposed </w:t>
      </w:r>
      <w:r>
        <w:t xml:space="preserve">sub-project </w:t>
      </w:r>
      <w:r w:rsidRPr="008759D5">
        <w:t xml:space="preserve">and Assessment Report can be adjusted based on the outcome of the public disclosure meeting. </w:t>
      </w:r>
    </w:p>
    <w:p w14:paraId="07031167" w14:textId="77777777" w:rsidR="00D22362" w:rsidRPr="008759D5" w:rsidRDefault="00D22362" w:rsidP="00203F2A">
      <w:pPr>
        <w:pStyle w:val="NoSpacing"/>
        <w:ind w:left="708"/>
        <w:jc w:val="both"/>
        <w:rPr>
          <w:b/>
        </w:rPr>
      </w:pPr>
    </w:p>
    <w:p w14:paraId="1BBF55D1" w14:textId="50495EC3" w:rsidR="00D22362" w:rsidRPr="008759D5" w:rsidRDefault="00D22362" w:rsidP="00203F2A">
      <w:pPr>
        <w:pStyle w:val="NoSpacing"/>
        <w:ind w:left="708"/>
        <w:jc w:val="both"/>
      </w:pPr>
      <w:r w:rsidRPr="008759D5">
        <w:rPr>
          <w:b/>
        </w:rPr>
        <w:t xml:space="preserve">Complete Assessment Reports will be submitted to and reviewed by the </w:t>
      </w:r>
      <w:r w:rsidR="002B134A">
        <w:rPr>
          <w:b/>
        </w:rPr>
        <w:t>MTIT/</w:t>
      </w:r>
      <w:r w:rsidR="00E62A4B">
        <w:rPr>
          <w:b/>
        </w:rPr>
        <w:t>PIU’s Safeguards</w:t>
      </w:r>
      <w:r w:rsidRPr="008759D5">
        <w:rPr>
          <w:b/>
        </w:rPr>
        <w:t xml:space="preserve"> Team. Upon initial submission these reports are considered drafts</w:t>
      </w:r>
      <w:r w:rsidRPr="008759D5">
        <w:t xml:space="preserve"> (‘Draft Assessment Report’; which is how they must be described on the report cover page). The S</w:t>
      </w:r>
      <w:r w:rsidR="00E62A4B">
        <w:t>afeguards</w:t>
      </w:r>
      <w:r w:rsidRPr="008759D5">
        <w:t xml:space="preserve"> Team will deliberate on the adequacy of the (</w:t>
      </w:r>
      <w:r w:rsidR="00E6405D">
        <w:t>d</w:t>
      </w:r>
      <w:r w:rsidRPr="008759D5">
        <w:t>raft) Assessment Report, on major shortcomings, if any, and on how these may be addressed. The results of these deliberation will be laid down by the S</w:t>
      </w:r>
      <w:r w:rsidR="00E62A4B">
        <w:t>afeguards</w:t>
      </w:r>
      <w:r w:rsidRPr="008759D5">
        <w:t xml:space="preserve"> Team in a concise Initial Review Report. </w:t>
      </w:r>
    </w:p>
    <w:p w14:paraId="164BEBA6" w14:textId="77777777" w:rsidR="00D22362" w:rsidRPr="008759D5" w:rsidRDefault="00D22362" w:rsidP="00203F2A">
      <w:pPr>
        <w:pStyle w:val="NoSpacing"/>
        <w:ind w:left="708"/>
        <w:jc w:val="both"/>
      </w:pPr>
    </w:p>
    <w:p w14:paraId="799C0609" w14:textId="1DA423C2" w:rsidR="00D22362" w:rsidRPr="008759D5" w:rsidRDefault="00D22362" w:rsidP="00203F2A">
      <w:pPr>
        <w:pStyle w:val="NoSpacing"/>
        <w:ind w:left="708"/>
        <w:jc w:val="both"/>
      </w:pPr>
      <w:r w:rsidRPr="008759D5">
        <w:rPr>
          <w:b/>
        </w:rPr>
        <w:t xml:space="preserve">If major shortcomings are identified by the </w:t>
      </w:r>
      <w:r w:rsidR="002B134A">
        <w:rPr>
          <w:b/>
        </w:rPr>
        <w:t>MTIT/</w:t>
      </w:r>
      <w:r w:rsidR="00E62A4B">
        <w:rPr>
          <w:b/>
        </w:rPr>
        <w:t>PIU’s Safeguards</w:t>
      </w:r>
      <w:r w:rsidRPr="008759D5">
        <w:rPr>
          <w:b/>
        </w:rPr>
        <w:t xml:space="preserve"> Team these are to be addressed by the </w:t>
      </w:r>
      <w:r w:rsidR="002B134A">
        <w:rPr>
          <w:b/>
        </w:rPr>
        <w:t>sub-</w:t>
      </w:r>
      <w:r w:rsidRPr="008759D5">
        <w:rPr>
          <w:b/>
        </w:rPr>
        <w:t xml:space="preserve">project </w:t>
      </w:r>
      <w:r w:rsidR="000321B8">
        <w:rPr>
          <w:b/>
        </w:rPr>
        <w:t>contractor</w:t>
      </w:r>
      <w:r w:rsidRPr="008759D5">
        <w:rPr>
          <w:b/>
        </w:rPr>
        <w:t xml:space="preserve"> </w:t>
      </w:r>
      <w:r w:rsidR="002B134A">
        <w:rPr>
          <w:b/>
        </w:rPr>
        <w:t>/</w:t>
      </w:r>
      <w:r w:rsidRPr="008759D5">
        <w:rPr>
          <w:b/>
        </w:rPr>
        <w:t xml:space="preserve"> E</w:t>
      </w:r>
      <w:r w:rsidR="002B134A">
        <w:rPr>
          <w:b/>
        </w:rPr>
        <w:t>&amp;</w:t>
      </w:r>
      <w:r w:rsidRPr="008759D5">
        <w:rPr>
          <w:b/>
        </w:rPr>
        <w:t xml:space="preserve">S </w:t>
      </w:r>
      <w:r>
        <w:rPr>
          <w:b/>
        </w:rPr>
        <w:t>expert</w:t>
      </w:r>
      <w:r w:rsidRPr="008759D5">
        <w:rPr>
          <w:b/>
        </w:rPr>
        <w:t>.</w:t>
      </w:r>
      <w:r w:rsidRPr="008759D5">
        <w:t xml:space="preserve"> This means that changes in the proposed </w:t>
      </w:r>
      <w:r>
        <w:t>sub-project</w:t>
      </w:r>
      <w:r w:rsidRPr="008759D5">
        <w:t xml:space="preserve"> may be required and/or changes in the assessment of impacts and/or the way they are proposed to be addressed. An adjusted Second Draft Assessment Report </w:t>
      </w:r>
      <w:r>
        <w:t xml:space="preserve">must then </w:t>
      </w:r>
      <w:r w:rsidRPr="008759D5">
        <w:t xml:space="preserve">be submitted to the </w:t>
      </w:r>
      <w:r w:rsidR="002B134A">
        <w:t xml:space="preserve">PIU’s </w:t>
      </w:r>
      <w:r w:rsidRPr="008759D5">
        <w:t>S</w:t>
      </w:r>
      <w:r w:rsidR="00E62A4B">
        <w:t>afeguards</w:t>
      </w:r>
      <w:r w:rsidRPr="008759D5">
        <w:t xml:space="preserve"> Team and will be processed similarly; changes vis-à-vis the original </w:t>
      </w:r>
      <w:r>
        <w:t>sub-project</w:t>
      </w:r>
      <w:r w:rsidRPr="008759D5">
        <w:t xml:space="preserve"> description and the (first) Draft Assessment Report must be summarily clarified in an accompanying note. </w:t>
      </w:r>
      <w:r>
        <w:t xml:space="preserve"> </w:t>
      </w:r>
      <w:r w:rsidRPr="008759D5">
        <w:t xml:space="preserve">If the identified shortcomings </w:t>
      </w:r>
      <w:proofErr w:type="gramStart"/>
      <w:r w:rsidRPr="008759D5">
        <w:t>are considered to be</w:t>
      </w:r>
      <w:proofErr w:type="gramEnd"/>
      <w:r w:rsidRPr="008759D5">
        <w:t xml:space="preserve"> addressed adequately, then the </w:t>
      </w:r>
      <w:r w:rsidR="002B134A">
        <w:t xml:space="preserve">PIU’s </w:t>
      </w:r>
      <w:r w:rsidRPr="008759D5">
        <w:t>S</w:t>
      </w:r>
      <w:r w:rsidR="00E62A4B">
        <w:t>afeguards</w:t>
      </w:r>
      <w:r w:rsidRPr="008759D5">
        <w:t xml:space="preserve"> Team releases a Final Review Report</w:t>
      </w:r>
      <w:r>
        <w:t xml:space="preserve">, and </w:t>
      </w:r>
      <w:r w:rsidRPr="008759D5">
        <w:t xml:space="preserve">the Assessment Report is then considered ‘final’ and the </w:t>
      </w:r>
      <w:r>
        <w:t>sub-project</w:t>
      </w:r>
      <w:r w:rsidRPr="008759D5">
        <w:t xml:space="preserve"> is green-lighted for implementation. If shortcoming were not considered to be addressed adequately, the review process cycle is repeated. Additional repeats of the review process cycle may be required until the Assessment Report is considered adequate (‘final’) or the </w:t>
      </w:r>
      <w:r w:rsidR="000321B8">
        <w:t>contractor</w:t>
      </w:r>
      <w:r w:rsidRPr="008759D5">
        <w:t xml:space="preserve"> abandons </w:t>
      </w:r>
      <w:r>
        <w:t xml:space="preserve">his </w:t>
      </w:r>
      <w:r w:rsidRPr="008759D5">
        <w:t>planned activit</w:t>
      </w:r>
      <w:r>
        <w:t>ies</w:t>
      </w:r>
      <w:r w:rsidRPr="008759D5">
        <w:t xml:space="preserve">. The </w:t>
      </w:r>
      <w:r w:rsidR="000321B8">
        <w:t>contractor</w:t>
      </w:r>
      <w:r w:rsidRPr="008759D5">
        <w:t xml:space="preserve"> and E</w:t>
      </w:r>
      <w:r w:rsidR="002B134A">
        <w:t>&amp;</w:t>
      </w:r>
      <w:r w:rsidRPr="008759D5">
        <w:t xml:space="preserve">S </w:t>
      </w:r>
      <w:r>
        <w:t>expert</w:t>
      </w:r>
      <w:r w:rsidRPr="008759D5">
        <w:t xml:space="preserve"> can be received for a meeting with the </w:t>
      </w:r>
      <w:r w:rsidR="002B134A">
        <w:t xml:space="preserve">MTIT/PIU </w:t>
      </w:r>
      <w:r w:rsidRPr="008759D5">
        <w:t>S</w:t>
      </w:r>
      <w:r w:rsidR="00E62A4B">
        <w:t>afeguards</w:t>
      </w:r>
      <w:r w:rsidRPr="008759D5">
        <w:t xml:space="preserve"> Team during each review cycle to </w:t>
      </w:r>
      <w:r>
        <w:t>get / provide</w:t>
      </w:r>
      <w:r w:rsidRPr="008759D5">
        <w:t xml:space="preserve"> clarification. </w:t>
      </w:r>
    </w:p>
    <w:p w14:paraId="71A07317" w14:textId="77777777" w:rsidR="00D22362" w:rsidRPr="008759D5" w:rsidRDefault="00D22362" w:rsidP="00203F2A">
      <w:pPr>
        <w:pStyle w:val="NoSpacing"/>
        <w:jc w:val="both"/>
      </w:pPr>
    </w:p>
    <w:p w14:paraId="336C21E2" w14:textId="77777777" w:rsidR="00D22362" w:rsidRPr="0043002D" w:rsidRDefault="00D22362" w:rsidP="00203F2A">
      <w:pPr>
        <w:pStyle w:val="NoSpacing"/>
        <w:jc w:val="both"/>
        <w:rPr>
          <w:b/>
          <w:u w:val="single"/>
        </w:rPr>
      </w:pPr>
      <w:r>
        <w:rPr>
          <w:b/>
          <w:u w:val="single"/>
        </w:rPr>
        <w:t>Step 5:</w:t>
      </w:r>
      <w:r>
        <w:rPr>
          <w:b/>
          <w:u w:val="single"/>
        </w:rPr>
        <w:tab/>
      </w:r>
      <w:r w:rsidRPr="0043002D">
        <w:rPr>
          <w:b/>
          <w:u w:val="single"/>
        </w:rPr>
        <w:t>Monitoring</w:t>
      </w:r>
    </w:p>
    <w:p w14:paraId="565C9D90" w14:textId="77777777" w:rsidR="00D22362" w:rsidRPr="008759D5" w:rsidRDefault="00D22362" w:rsidP="00203F2A">
      <w:pPr>
        <w:pStyle w:val="NoSpacing"/>
        <w:jc w:val="both"/>
      </w:pPr>
    </w:p>
    <w:p w14:paraId="3A157B93" w14:textId="546C4334" w:rsidR="00D22362" w:rsidRPr="008759D5" w:rsidRDefault="00D22362" w:rsidP="00203F2A">
      <w:pPr>
        <w:pStyle w:val="NoSpacing"/>
        <w:ind w:left="708"/>
        <w:jc w:val="both"/>
      </w:pPr>
      <w:r w:rsidRPr="002B134A">
        <w:rPr>
          <w:b/>
        </w:rPr>
        <w:t xml:space="preserve">The </w:t>
      </w:r>
      <w:r w:rsidR="000321B8" w:rsidRPr="002B134A">
        <w:rPr>
          <w:b/>
        </w:rPr>
        <w:t>contractor</w:t>
      </w:r>
      <w:r w:rsidRPr="002B134A">
        <w:rPr>
          <w:b/>
        </w:rPr>
        <w:t xml:space="preserve"> is required to implement the sub-project in line with its (modified) description in the Final Assessment Report</w:t>
      </w:r>
      <w:r w:rsidRPr="008759D5">
        <w:t xml:space="preserve">, </w:t>
      </w:r>
      <w:r>
        <w:t>i</w:t>
      </w:r>
      <w:r w:rsidRPr="008759D5">
        <w:t xml:space="preserve">ntegrating all the necessary </w:t>
      </w:r>
      <w:r w:rsidR="006C0A07">
        <w:t xml:space="preserve">mitigating </w:t>
      </w:r>
      <w:r w:rsidRPr="008759D5">
        <w:t>measures to reduce impacts and compensate for residual impact, if any, as recommended in th</w:t>
      </w:r>
      <w:r>
        <w:t>is report</w:t>
      </w:r>
      <w:r w:rsidRPr="008759D5">
        <w:t xml:space="preserve">. </w:t>
      </w:r>
    </w:p>
    <w:p w14:paraId="65327D35" w14:textId="77777777" w:rsidR="00D22362" w:rsidRPr="008759D5" w:rsidRDefault="00D22362" w:rsidP="00203F2A">
      <w:pPr>
        <w:pStyle w:val="NoSpacing"/>
        <w:ind w:left="708"/>
        <w:jc w:val="both"/>
      </w:pPr>
    </w:p>
    <w:p w14:paraId="5CFA4D0B" w14:textId="595F15E2" w:rsidR="00D22362" w:rsidRPr="002E5483" w:rsidRDefault="00A909CC" w:rsidP="00203F2A">
      <w:pPr>
        <w:pStyle w:val="NoSpacing"/>
        <w:ind w:left="708"/>
        <w:jc w:val="both"/>
        <w:rPr>
          <w:b/>
        </w:rPr>
      </w:pPr>
      <w:bookmarkStart w:id="39" w:name="_Toc528178705"/>
      <w:bookmarkStart w:id="40" w:name="_Toc528178835"/>
      <w:bookmarkStart w:id="41" w:name="_Toc528179278"/>
      <w:bookmarkStart w:id="42" w:name="_Toc528179682"/>
      <w:r w:rsidRPr="006C0A07">
        <w:rPr>
          <w:b/>
        </w:rPr>
        <w:t>The PIU</w:t>
      </w:r>
      <w:r w:rsidR="00E62A4B" w:rsidRPr="006C0A07">
        <w:rPr>
          <w:b/>
        </w:rPr>
        <w:t xml:space="preserve">’s Safeguards Team </w:t>
      </w:r>
      <w:r w:rsidRPr="006C0A07">
        <w:rPr>
          <w:b/>
        </w:rPr>
        <w:t xml:space="preserve">will </w:t>
      </w:r>
      <w:r w:rsidR="006C0A07">
        <w:rPr>
          <w:b/>
        </w:rPr>
        <w:t>oversee the</w:t>
      </w:r>
      <w:r w:rsidRPr="006C0A07">
        <w:rPr>
          <w:b/>
        </w:rPr>
        <w:t xml:space="preserve"> overall monitoring and supervision of the implementation </w:t>
      </w:r>
      <w:r w:rsidR="006C0A07">
        <w:rPr>
          <w:b/>
        </w:rPr>
        <w:t>of</w:t>
      </w:r>
      <w:r w:rsidRPr="006C0A07">
        <w:rPr>
          <w:b/>
        </w:rPr>
        <w:t xml:space="preserve"> impact </w:t>
      </w:r>
      <w:r w:rsidR="006C0A07">
        <w:rPr>
          <w:b/>
        </w:rPr>
        <w:t>mitigating measures and their effectiveness</w:t>
      </w:r>
      <w:r w:rsidRPr="006C0A07">
        <w:rPr>
          <w:b/>
        </w:rPr>
        <w:t>.</w:t>
      </w:r>
      <w:r w:rsidRPr="00454543">
        <w:t xml:space="preserve"> The </w:t>
      </w:r>
      <w:r w:rsidR="002B134A">
        <w:t xml:space="preserve">Safeguards </w:t>
      </w:r>
      <w:r w:rsidR="00E62A4B">
        <w:t>Team</w:t>
      </w:r>
      <w:r w:rsidRPr="00454543">
        <w:t xml:space="preserve"> will also supervise implementation of the overall environment and social safeguards and review and monitor the specific social and environmental management plans</w:t>
      </w:r>
      <w:bookmarkEnd w:id="39"/>
      <w:bookmarkEnd w:id="40"/>
      <w:bookmarkEnd w:id="41"/>
      <w:bookmarkEnd w:id="42"/>
      <w:r w:rsidR="006C0A07">
        <w:t xml:space="preserve">. </w:t>
      </w:r>
      <w:r w:rsidR="00D22362" w:rsidRPr="008759D5">
        <w:t>If monitoring reveals that impacts of the activit</w:t>
      </w:r>
      <w:r w:rsidR="00D22362">
        <w:t>ies</w:t>
      </w:r>
      <w:r w:rsidR="00D22362" w:rsidRPr="008759D5">
        <w:t xml:space="preserve"> are more significant</w:t>
      </w:r>
      <w:r w:rsidR="00D22362">
        <w:t>ly adverse</w:t>
      </w:r>
      <w:r w:rsidR="00D22362" w:rsidRPr="008759D5">
        <w:t xml:space="preserve"> than initially predicted, then the </w:t>
      </w:r>
      <w:r>
        <w:t>sub</w:t>
      </w:r>
      <w:r w:rsidR="00BE1A79">
        <w:t>-</w:t>
      </w:r>
      <w:r>
        <w:t xml:space="preserve">project activities </w:t>
      </w:r>
      <w:r w:rsidR="00D22362" w:rsidRPr="008759D5">
        <w:t xml:space="preserve">must </w:t>
      </w:r>
      <w:r>
        <w:t xml:space="preserve">be </w:t>
      </w:r>
      <w:r w:rsidR="00D22362" w:rsidRPr="008759D5">
        <w:t>adjust</w:t>
      </w:r>
      <w:r>
        <w:t>ed</w:t>
      </w:r>
      <w:r w:rsidR="00D22362" w:rsidRPr="008759D5">
        <w:t xml:space="preserve"> </w:t>
      </w:r>
      <w:r>
        <w:t>to obtain</w:t>
      </w:r>
      <w:r w:rsidR="00D22362" w:rsidRPr="008759D5">
        <w:t xml:space="preserve"> impact reduction measures accordingly,</w:t>
      </w:r>
      <w:r w:rsidR="004A2E68">
        <w:t xml:space="preserve"> and</w:t>
      </w:r>
      <w:r w:rsidR="00D22362" w:rsidRPr="008759D5">
        <w:t xml:space="preserve"> to keep the</w:t>
      </w:r>
      <w:r w:rsidR="00D22362">
        <w:t xml:space="preserve"> adverse</w:t>
      </w:r>
      <w:r w:rsidR="00D22362" w:rsidRPr="008759D5">
        <w:t xml:space="preserve"> impacts within acceptable limits. </w:t>
      </w:r>
      <w:r w:rsidR="00D22362">
        <w:t>If, i</w:t>
      </w:r>
      <w:r w:rsidR="00D22362" w:rsidRPr="008759D5">
        <w:t>n an adaptive management context, this cannot be achieved, cessation of activities</w:t>
      </w:r>
      <w:r w:rsidR="004A2E68">
        <w:t xml:space="preserve"> could be considered</w:t>
      </w:r>
      <w:r w:rsidR="00D22362" w:rsidRPr="008759D5">
        <w:t xml:space="preserve">.  </w:t>
      </w:r>
    </w:p>
    <w:p w14:paraId="096A8354" w14:textId="77777777" w:rsidR="00D22362" w:rsidRPr="008759D5" w:rsidRDefault="00D22362" w:rsidP="00203F2A">
      <w:pPr>
        <w:pStyle w:val="NoSpacing"/>
        <w:ind w:left="708"/>
        <w:jc w:val="both"/>
      </w:pPr>
    </w:p>
    <w:p w14:paraId="563CE94F" w14:textId="3DA7D290" w:rsidR="00D22362" w:rsidRPr="008759D5" w:rsidRDefault="00D22362" w:rsidP="00203F2A">
      <w:pPr>
        <w:pStyle w:val="NoSpacing"/>
        <w:ind w:left="708"/>
        <w:jc w:val="both"/>
      </w:pPr>
      <w:r w:rsidRPr="008759D5">
        <w:rPr>
          <w:b/>
        </w:rPr>
        <w:t xml:space="preserve">Updated Monitoring Reports need to be drafted </w:t>
      </w:r>
      <w:r w:rsidR="004A2E68">
        <w:rPr>
          <w:b/>
        </w:rPr>
        <w:t>bi-</w:t>
      </w:r>
      <w:r w:rsidRPr="008759D5">
        <w:rPr>
          <w:b/>
        </w:rPr>
        <w:t xml:space="preserve">annually by the </w:t>
      </w:r>
      <w:r>
        <w:rPr>
          <w:b/>
        </w:rPr>
        <w:t>sub-project</w:t>
      </w:r>
      <w:r w:rsidRPr="008759D5">
        <w:rPr>
          <w:b/>
        </w:rPr>
        <w:t xml:space="preserve"> </w:t>
      </w:r>
      <w:r w:rsidR="004A2E68">
        <w:rPr>
          <w:b/>
        </w:rPr>
        <w:t xml:space="preserve">contractor </w:t>
      </w:r>
      <w:r w:rsidR="002B134A">
        <w:rPr>
          <w:b/>
        </w:rPr>
        <w:t xml:space="preserve">(or the E&amp;S expert) </w:t>
      </w:r>
      <w:r w:rsidRPr="008759D5">
        <w:rPr>
          <w:b/>
        </w:rPr>
        <w:t xml:space="preserve">and submitted to the </w:t>
      </w:r>
      <w:r w:rsidR="000321B8">
        <w:rPr>
          <w:b/>
        </w:rPr>
        <w:t>MTIT/PIU Safeguards Team</w:t>
      </w:r>
      <w:r w:rsidR="00A46D34">
        <w:rPr>
          <w:b/>
        </w:rPr>
        <w:t xml:space="preserve"> </w:t>
      </w:r>
      <w:r w:rsidRPr="008759D5">
        <w:rPr>
          <w:b/>
        </w:rPr>
        <w:t>for review.</w:t>
      </w:r>
      <w:r w:rsidRPr="008759D5">
        <w:t xml:space="preserve"> These reports must describe the monitoring that was proposed in the Final Assessment Report</w:t>
      </w:r>
      <w:r>
        <w:t>;</w:t>
      </w:r>
      <w:r w:rsidRPr="008759D5">
        <w:t xml:space="preserve"> the monitoring that was </w:t>
      </w:r>
      <w:proofErr w:type="gramStart"/>
      <w:r w:rsidRPr="008759D5">
        <w:t>actually implemented</w:t>
      </w:r>
      <w:proofErr w:type="gramEnd"/>
      <w:r>
        <w:t>;</w:t>
      </w:r>
      <w:r w:rsidRPr="008759D5">
        <w:t xml:space="preserve"> the results thereof, incl</w:t>
      </w:r>
      <w:r>
        <w:t>uding</w:t>
      </w:r>
      <w:r w:rsidRPr="008759D5">
        <w:t xml:space="preserve"> an evaluation of acceptability of impacts</w:t>
      </w:r>
      <w:r>
        <w:t>,</w:t>
      </w:r>
      <w:r w:rsidRPr="008759D5">
        <w:t xml:space="preserve"> and </w:t>
      </w:r>
      <w:r>
        <w:t xml:space="preserve">a description of </w:t>
      </w:r>
      <w:r w:rsidRPr="008759D5">
        <w:t xml:space="preserve">any measures that were taken in the context of adaptive management to make/keep impacts acceptable or are proposed for subsequent implementation (in the following year).  The </w:t>
      </w:r>
      <w:r w:rsidR="006C0A07">
        <w:t>PIU’s Safeguards Team</w:t>
      </w:r>
      <w:r w:rsidR="00A46D34">
        <w:t xml:space="preserve"> </w:t>
      </w:r>
      <w:r w:rsidRPr="008759D5">
        <w:t>will evaluate these reports and may require them to be upgraded; it may also suggest additional or alternative measures to be taken in case impacts exceed acceptable limits.</w:t>
      </w:r>
    </w:p>
    <w:p w14:paraId="4CD6D693" w14:textId="77777777" w:rsidR="00261FB8" w:rsidRDefault="00261FB8" w:rsidP="00203F2A">
      <w:pPr>
        <w:pStyle w:val="NoSpacing"/>
        <w:jc w:val="both"/>
      </w:pPr>
    </w:p>
    <w:p w14:paraId="21C6A42B" w14:textId="55C049AA" w:rsidR="00D22362" w:rsidRDefault="00D22362" w:rsidP="00203F2A">
      <w:pPr>
        <w:pStyle w:val="NoSpacing"/>
        <w:jc w:val="both"/>
      </w:pPr>
      <w:r>
        <w:t>For the</w:t>
      </w:r>
      <w:r w:rsidRPr="008A5F41">
        <w:t xml:space="preserve"> </w:t>
      </w:r>
      <w:r>
        <w:t>initial screening of proposed sub-projects and identification</w:t>
      </w:r>
      <w:r w:rsidRPr="008A5F41">
        <w:t xml:space="preserve"> of potential </w:t>
      </w:r>
      <w:r>
        <w:t xml:space="preserve">social and </w:t>
      </w:r>
      <w:r w:rsidRPr="00E6405D">
        <w:t>environmental impacts of sub-project activities, a screening tool is designed (</w:t>
      </w:r>
      <w:r w:rsidR="00E6405D" w:rsidRPr="00E6405D">
        <w:t xml:space="preserve">see </w:t>
      </w:r>
      <w:r w:rsidRPr="00E6405D">
        <w:t>Annex 1) of which</w:t>
      </w:r>
      <w:r>
        <w:t xml:space="preserve"> the screening outcomes provide the reference for the Environmental and Social Management Plan (ESMP).</w:t>
      </w:r>
    </w:p>
    <w:p w14:paraId="5C94D711" w14:textId="77777777" w:rsidR="00D22362" w:rsidRPr="008A5F41" w:rsidRDefault="00D22362" w:rsidP="00203F2A">
      <w:pPr>
        <w:pStyle w:val="NoSpacing"/>
        <w:jc w:val="both"/>
      </w:pPr>
    </w:p>
    <w:p w14:paraId="550B9206" w14:textId="77777777" w:rsidR="00D22362" w:rsidRDefault="00D22362" w:rsidP="00203F2A">
      <w:pPr>
        <w:pStyle w:val="NoSpacing"/>
        <w:jc w:val="both"/>
      </w:pPr>
      <w:r w:rsidRPr="009D0303">
        <w:rPr>
          <w:b/>
        </w:rPr>
        <w:t xml:space="preserve">The </w:t>
      </w:r>
      <w:r>
        <w:rPr>
          <w:b/>
        </w:rPr>
        <w:t>ESM</w:t>
      </w:r>
      <w:r w:rsidRPr="009D0303">
        <w:rPr>
          <w:b/>
        </w:rPr>
        <w:t>P identifies feasible and cost-effective mitigating measures that may reduce potentially significant adverse environmental and social impacts to acceptable levels.</w:t>
      </w:r>
      <w:r>
        <w:t xml:space="preserve"> The plan includes compensatory measures if mitigation measures are not feasible, cost-effective, or sufficient.  Specifically, the ESMP:</w:t>
      </w:r>
    </w:p>
    <w:p w14:paraId="37EDCAC5" w14:textId="77777777" w:rsidR="00D22362" w:rsidRDefault="00D22362" w:rsidP="00203F2A">
      <w:pPr>
        <w:pStyle w:val="NoSpacing"/>
        <w:jc w:val="both"/>
      </w:pPr>
    </w:p>
    <w:p w14:paraId="3888B232" w14:textId="77777777" w:rsidR="00D22362" w:rsidRDefault="00D22362" w:rsidP="00203F2A">
      <w:pPr>
        <w:pStyle w:val="NoSpacing"/>
        <w:numPr>
          <w:ilvl w:val="0"/>
          <w:numId w:val="11"/>
        </w:numPr>
        <w:jc w:val="both"/>
      </w:pPr>
      <w:r>
        <w:t>identifies and summarizes all anticipated significant adverse environmental impacts (including those involving indigenous people or involuntary resettlement);</w:t>
      </w:r>
    </w:p>
    <w:p w14:paraId="6F28FEB4" w14:textId="77777777" w:rsidR="00D22362" w:rsidRDefault="00D22362" w:rsidP="00203F2A">
      <w:pPr>
        <w:pStyle w:val="NoSpacing"/>
        <w:numPr>
          <w:ilvl w:val="0"/>
          <w:numId w:val="11"/>
        </w:numPr>
        <w:jc w:val="both"/>
      </w:pPr>
      <w:r>
        <w:t>describes each mitigation measure, including the type of impact to which it relates and the conditions under which it is required, together with designs, equipment descriptions, and operating procedures, as appropriate;</w:t>
      </w:r>
    </w:p>
    <w:p w14:paraId="12C037BB" w14:textId="77777777" w:rsidR="00D22362" w:rsidRDefault="00D22362" w:rsidP="00203F2A">
      <w:pPr>
        <w:pStyle w:val="NoSpacing"/>
        <w:numPr>
          <w:ilvl w:val="0"/>
          <w:numId w:val="11"/>
        </w:numPr>
        <w:jc w:val="both"/>
      </w:pPr>
      <w:r>
        <w:t>estimates any potential environmental (positive) impacts of these measures; and</w:t>
      </w:r>
    </w:p>
    <w:p w14:paraId="7326A99E" w14:textId="77777777" w:rsidR="00D22362" w:rsidRDefault="00D22362" w:rsidP="00203F2A">
      <w:pPr>
        <w:pStyle w:val="NoSpacing"/>
        <w:numPr>
          <w:ilvl w:val="0"/>
          <w:numId w:val="11"/>
        </w:numPr>
        <w:jc w:val="both"/>
      </w:pPr>
      <w:r>
        <w:t>provides linkage with any other mitigation plans (e.g., for Involuntary Resettlement, Indigenous Peoples, or Cultural Property) required for the project.</w:t>
      </w:r>
    </w:p>
    <w:p w14:paraId="2D460471" w14:textId="77777777" w:rsidR="00D22362" w:rsidRDefault="00D22362" w:rsidP="00203F2A">
      <w:pPr>
        <w:pStyle w:val="NoSpacing"/>
        <w:jc w:val="both"/>
        <w:rPr>
          <w:b/>
        </w:rPr>
      </w:pPr>
    </w:p>
    <w:p w14:paraId="72252835" w14:textId="1564AFAA" w:rsidR="00D22362" w:rsidRDefault="00D22362" w:rsidP="00203F2A">
      <w:pPr>
        <w:pStyle w:val="NoSpacing"/>
        <w:jc w:val="both"/>
      </w:pPr>
      <w:r w:rsidRPr="00EB755F">
        <w:rPr>
          <w:b/>
        </w:rPr>
        <w:t>All proposed mitigation measures will be based on the Mitigation Hierarchy</w:t>
      </w:r>
      <w:r w:rsidRPr="00EB755F">
        <w:rPr>
          <w:rStyle w:val="FootnoteReference"/>
          <w:b/>
        </w:rPr>
        <w:footnoteReference w:id="26"/>
      </w:r>
      <w:r w:rsidRPr="00EB755F">
        <w:rPr>
          <w:b/>
        </w:rPr>
        <w:t xml:space="preserve"> which is considered crucial for all sub-</w:t>
      </w:r>
      <w:r w:rsidR="003C721A" w:rsidRPr="00EB755F">
        <w:rPr>
          <w:b/>
        </w:rPr>
        <w:t>project’s</w:t>
      </w:r>
      <w:r w:rsidRPr="00EB755F">
        <w:rPr>
          <w:b/>
        </w:rPr>
        <w:t xml:space="preserve"> activities aiming to achieve no overall </w:t>
      </w:r>
      <w:r>
        <w:rPr>
          <w:b/>
        </w:rPr>
        <w:t>adverse</w:t>
      </w:r>
      <w:r w:rsidRPr="00EB755F">
        <w:rPr>
          <w:b/>
        </w:rPr>
        <w:t xml:space="preserve"> impact on biodiversity.</w:t>
      </w:r>
      <w:r>
        <w:t xml:space="preserve"> </w:t>
      </w:r>
    </w:p>
    <w:p w14:paraId="16846C32" w14:textId="643BD0B7" w:rsidR="00D22362" w:rsidRDefault="00D22362" w:rsidP="00203F2A">
      <w:pPr>
        <w:pStyle w:val="NoSpacing"/>
        <w:jc w:val="both"/>
      </w:pPr>
      <w:r>
        <w:t xml:space="preserve">The approach is based on a series of steps that must be taken throughout the project’s life cycle </w:t>
      </w:r>
      <w:proofErr w:type="gramStart"/>
      <w:r>
        <w:t xml:space="preserve">in </w:t>
      </w:r>
      <w:r w:rsidRPr="00E6405D">
        <w:t>order to</w:t>
      </w:r>
      <w:proofErr w:type="gramEnd"/>
      <w:r w:rsidRPr="00E6405D">
        <w:t xml:space="preserve"> limit any negative impacts on biodiversity (see </w:t>
      </w:r>
      <w:r w:rsidR="006A4158">
        <w:t>b</w:t>
      </w:r>
      <w:r w:rsidRPr="00E6405D">
        <w:t>ox</w:t>
      </w:r>
      <w:r w:rsidR="006A4158">
        <w:t xml:space="preserve"> below</w:t>
      </w:r>
      <w:r w:rsidRPr="00E6405D">
        <w:t>).</w:t>
      </w:r>
    </w:p>
    <w:p w14:paraId="4E52CFB5" w14:textId="77777777" w:rsidR="006A4158" w:rsidRDefault="006A4158" w:rsidP="00203F2A">
      <w:pPr>
        <w:pStyle w:val="NoSpacing"/>
        <w:jc w:val="both"/>
      </w:pPr>
    </w:p>
    <w:p w14:paraId="59F73EE0" w14:textId="3C13A0B4" w:rsidR="006A4158" w:rsidRDefault="006A4158" w:rsidP="00203F2A">
      <w:pPr>
        <w:pStyle w:val="NoSpacing"/>
        <w:jc w:val="both"/>
      </w:pPr>
      <w:r>
        <w:rPr>
          <w:b/>
        </w:rPr>
        <w:t xml:space="preserve">One specific mitigation measure has to do with the </w:t>
      </w:r>
      <w:r w:rsidRPr="006D7A90">
        <w:rPr>
          <w:b/>
        </w:rPr>
        <w:t>case the felling of trees</w:t>
      </w:r>
      <w:r>
        <w:rPr>
          <w:b/>
        </w:rPr>
        <w:t>.</w:t>
      </w:r>
      <w:r w:rsidRPr="006D7A90">
        <w:rPr>
          <w:b/>
        </w:rPr>
        <w:t xml:space="preserve"> </w:t>
      </w:r>
      <w:r>
        <w:rPr>
          <w:b/>
        </w:rPr>
        <w:t xml:space="preserve">When </w:t>
      </w:r>
      <w:r w:rsidRPr="006D7A90">
        <w:rPr>
          <w:b/>
        </w:rPr>
        <w:t>site-specific deforestation or land clearing cannot be avoided, the following requirements apply:</w:t>
      </w:r>
    </w:p>
    <w:p w14:paraId="7D33F555" w14:textId="77777777" w:rsidR="006A4158" w:rsidRDefault="006A4158" w:rsidP="00203F2A">
      <w:pPr>
        <w:pStyle w:val="NoSpacing"/>
        <w:numPr>
          <w:ilvl w:val="0"/>
          <w:numId w:val="39"/>
        </w:numPr>
        <w:jc w:val="both"/>
      </w:pPr>
      <w:r>
        <w:t>Land preparation involving the clearing of forest</w:t>
      </w:r>
      <w:r>
        <w:rPr>
          <w:rStyle w:val="FootnoteReference"/>
        </w:rPr>
        <w:footnoteReference w:id="27"/>
      </w:r>
      <w:r>
        <w:t xml:space="preserve"> should be limited to a maximum of 10 ha.;</w:t>
      </w:r>
    </w:p>
    <w:p w14:paraId="4D57B58A" w14:textId="77777777" w:rsidR="006A4158" w:rsidRDefault="006A4158" w:rsidP="00203F2A">
      <w:pPr>
        <w:pStyle w:val="NoSpacing"/>
        <w:numPr>
          <w:ilvl w:val="0"/>
          <w:numId w:val="39"/>
        </w:numPr>
        <w:jc w:val="both"/>
      </w:pPr>
      <w:r>
        <w:t>Land clearing should be preceded by a ‘quick scan’ biodiversity assessment, aiming to avoid the disturbance of nesting birds and breeding animals; in which case the land clearing needs to be temporarily postponed;</w:t>
      </w:r>
    </w:p>
    <w:p w14:paraId="38DC4C1F" w14:textId="77777777" w:rsidR="006A4158" w:rsidRDefault="006A4158" w:rsidP="00203F2A">
      <w:pPr>
        <w:pStyle w:val="NoSpacing"/>
        <w:numPr>
          <w:ilvl w:val="0"/>
          <w:numId w:val="39"/>
        </w:numPr>
        <w:jc w:val="both"/>
      </w:pPr>
      <w:r>
        <w:t>In all cases, also within the area to be cleared, sacred trees and trees/plantings with significant cultural or ornamental values should be protected (see also ITPPF Safeguard document) or replaced after the sub-project construction phase;</w:t>
      </w:r>
    </w:p>
    <w:p w14:paraId="766104B2" w14:textId="77777777" w:rsidR="006A4158" w:rsidRDefault="006A4158" w:rsidP="00203F2A">
      <w:pPr>
        <w:pStyle w:val="NoSpacing"/>
        <w:numPr>
          <w:ilvl w:val="0"/>
          <w:numId w:val="39"/>
        </w:numPr>
        <w:jc w:val="both"/>
      </w:pPr>
      <w:r>
        <w:t xml:space="preserve">In case of tree felling </w:t>
      </w:r>
      <w:proofErr w:type="gramStart"/>
      <w:r>
        <w:t>id</w:t>
      </w:r>
      <w:proofErr w:type="gramEnd"/>
      <w:r>
        <w:t xml:space="preserve"> forest stands, directional felling should be applied, aiming to reduce damage to remaining trees and adjacent vegetation;</w:t>
      </w:r>
    </w:p>
    <w:p w14:paraId="02FE0CCA" w14:textId="77777777" w:rsidR="006A4158" w:rsidRDefault="006A4158" w:rsidP="00203F2A">
      <w:pPr>
        <w:pStyle w:val="NoSpacing"/>
        <w:numPr>
          <w:ilvl w:val="0"/>
          <w:numId w:val="39"/>
        </w:numPr>
        <w:jc w:val="both"/>
      </w:pPr>
      <w:r>
        <w:t>All commercial trees to be felled should be brought to market (sawmills);</w:t>
      </w:r>
    </w:p>
    <w:p w14:paraId="673D590D" w14:textId="77777777" w:rsidR="006A4158" w:rsidRDefault="006A4158" w:rsidP="00203F2A">
      <w:pPr>
        <w:pStyle w:val="NoSpacing"/>
        <w:numPr>
          <w:ilvl w:val="0"/>
          <w:numId w:val="39"/>
        </w:numPr>
        <w:jc w:val="both"/>
      </w:pPr>
      <w:r>
        <w:t>In or close to urban areas, rural villages and compounds, remaining biomass after land clearing should not be burned;</w:t>
      </w:r>
    </w:p>
    <w:p w14:paraId="378E465B" w14:textId="77777777" w:rsidR="006A4158" w:rsidRDefault="006A4158" w:rsidP="00203F2A">
      <w:pPr>
        <w:pStyle w:val="NoSpacing"/>
        <w:numPr>
          <w:ilvl w:val="0"/>
          <w:numId w:val="39"/>
        </w:numPr>
        <w:jc w:val="both"/>
      </w:pPr>
      <w:r>
        <w:t>All remaining woody biomass after land clearing should be available for recycling (whenever feasible/ possible).</w:t>
      </w:r>
    </w:p>
    <w:p w14:paraId="06282CFE" w14:textId="77777777" w:rsidR="006A4158" w:rsidRDefault="006A4158" w:rsidP="00203F2A">
      <w:pPr>
        <w:pStyle w:val="NoSpacing"/>
        <w:jc w:val="both"/>
      </w:pPr>
    </w:p>
    <w:p w14:paraId="324D869B" w14:textId="6331C2D2" w:rsidR="00B6792B" w:rsidRDefault="00D22362" w:rsidP="00203F2A">
      <w:pPr>
        <w:pStyle w:val="NoSpacing"/>
        <w:jc w:val="both"/>
        <w:rPr>
          <w:b/>
        </w:rPr>
      </w:pPr>
      <w:r>
        <w:rPr>
          <w:noProof/>
          <w:lang w:val="en-US"/>
        </w:rPr>
        <mc:AlternateContent>
          <mc:Choice Requires="wps">
            <w:drawing>
              <wp:anchor distT="45720" distB="45720" distL="114300" distR="114300" simplePos="0" relativeHeight="251674624" behindDoc="0" locked="0" layoutInCell="1" allowOverlap="1" wp14:anchorId="68DBC718" wp14:editId="5271D95B">
                <wp:simplePos x="0" y="0"/>
                <wp:positionH relativeFrom="margin">
                  <wp:posOffset>-11430</wp:posOffset>
                </wp:positionH>
                <wp:positionV relativeFrom="page">
                  <wp:posOffset>819150</wp:posOffset>
                </wp:positionV>
                <wp:extent cx="5743575" cy="512445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124450"/>
                        </a:xfrm>
                        <a:prstGeom prst="rect">
                          <a:avLst/>
                        </a:prstGeom>
                        <a:solidFill>
                          <a:srgbClr val="FFFFFF"/>
                        </a:solidFill>
                        <a:ln w="9525">
                          <a:solidFill>
                            <a:srgbClr val="000000"/>
                          </a:solidFill>
                          <a:miter lim="800000"/>
                          <a:headEnd/>
                          <a:tailEnd/>
                        </a:ln>
                      </wps:spPr>
                      <wps:txbx>
                        <w:txbxContent>
                          <w:p w14:paraId="5F6365F0" w14:textId="419C9308" w:rsidR="00FD7791" w:rsidRPr="00E6405D" w:rsidRDefault="00FD7791" w:rsidP="00D22362">
                            <w:pPr>
                              <w:pStyle w:val="NoSpacing"/>
                              <w:rPr>
                                <w:b/>
                                <w:i/>
                                <w:sz w:val="24"/>
                                <w:szCs w:val="24"/>
                              </w:rPr>
                            </w:pPr>
                            <w:r w:rsidRPr="00E6405D">
                              <w:rPr>
                                <w:b/>
                                <w:i/>
                                <w:sz w:val="24"/>
                                <w:szCs w:val="24"/>
                              </w:rPr>
                              <w:t>The sequential steps of the WBG mitigation hierarchy</w:t>
                            </w:r>
                          </w:p>
                          <w:p w14:paraId="034AA2B3" w14:textId="77777777" w:rsidR="00FD7791" w:rsidRPr="00EB755F" w:rsidRDefault="00FD7791" w:rsidP="00D22362">
                            <w:pPr>
                              <w:pStyle w:val="NoSpacing"/>
                              <w:rPr>
                                <w:i/>
                                <w:sz w:val="20"/>
                                <w:szCs w:val="20"/>
                              </w:rPr>
                            </w:pPr>
                          </w:p>
                          <w:p w14:paraId="61505FD4" w14:textId="77777777" w:rsidR="00FD7791" w:rsidRPr="00113D22" w:rsidRDefault="00FD7791" w:rsidP="00D22362">
                            <w:pPr>
                              <w:pStyle w:val="NoSpacing"/>
                              <w:rPr>
                                <w:i/>
                                <w:sz w:val="20"/>
                                <w:szCs w:val="20"/>
                                <w:u w:val="single"/>
                              </w:rPr>
                            </w:pPr>
                            <w:r w:rsidRPr="0061043A">
                              <w:rPr>
                                <w:i/>
                                <w:sz w:val="20"/>
                                <w:szCs w:val="20"/>
                                <w:u w:val="single"/>
                              </w:rPr>
                              <w:t>Anticipate and avoid risks and impacts</w:t>
                            </w:r>
                            <w:r w:rsidRPr="00113D22">
                              <w:rPr>
                                <w:i/>
                                <w:sz w:val="20"/>
                                <w:szCs w:val="20"/>
                                <w:u w:val="single"/>
                              </w:rPr>
                              <w:t>:</w:t>
                            </w:r>
                          </w:p>
                          <w:p w14:paraId="637927B3" w14:textId="77777777" w:rsidR="00FD7791" w:rsidRPr="00EB755F" w:rsidRDefault="00FD7791" w:rsidP="00D22362">
                            <w:pPr>
                              <w:pStyle w:val="NoSpacing"/>
                              <w:rPr>
                                <w:i/>
                                <w:sz w:val="20"/>
                                <w:szCs w:val="20"/>
                              </w:rPr>
                            </w:pPr>
                            <w:r>
                              <w:rPr>
                                <w:i/>
                                <w:sz w:val="20"/>
                                <w:szCs w:val="20"/>
                              </w:rPr>
                              <w:t>T</w:t>
                            </w:r>
                            <w:r w:rsidRPr="00EB755F">
                              <w:rPr>
                                <w:i/>
                                <w:sz w:val="20"/>
                                <w:szCs w:val="20"/>
                              </w:rPr>
                              <w:t xml:space="preserve">he first step of the mitigation hierarchy comprises measures taken to avoid creating impacts from the outset, such as careful spatial or temporal placement of infrastructure or disturbance. For example, placement of roads outside of rare habitats or key species’ breeding grounds. Avoidance is often the easiest, cheapest and most effective way of reducing potential negative impacts, but it requires </w:t>
                            </w:r>
                            <w:r>
                              <w:rPr>
                                <w:i/>
                                <w:sz w:val="20"/>
                                <w:szCs w:val="20"/>
                              </w:rPr>
                              <w:t xml:space="preserve">social and </w:t>
                            </w:r>
                            <w:r w:rsidRPr="00EB755F">
                              <w:rPr>
                                <w:i/>
                                <w:sz w:val="20"/>
                                <w:szCs w:val="20"/>
                              </w:rPr>
                              <w:t xml:space="preserve">biodiversity </w:t>
                            </w:r>
                            <w:r>
                              <w:rPr>
                                <w:i/>
                                <w:sz w:val="20"/>
                                <w:szCs w:val="20"/>
                              </w:rPr>
                              <w:t xml:space="preserve">related issues </w:t>
                            </w:r>
                            <w:r w:rsidRPr="00EB755F">
                              <w:rPr>
                                <w:i/>
                                <w:sz w:val="20"/>
                                <w:szCs w:val="20"/>
                              </w:rPr>
                              <w:t>to be considered in the early stages of a project.</w:t>
                            </w:r>
                          </w:p>
                          <w:p w14:paraId="39F4ED26" w14:textId="77777777" w:rsidR="00FD7791" w:rsidRPr="00EB755F" w:rsidRDefault="00FD7791" w:rsidP="00D22362">
                            <w:pPr>
                              <w:pStyle w:val="NoSpacing"/>
                              <w:rPr>
                                <w:i/>
                                <w:sz w:val="20"/>
                                <w:szCs w:val="20"/>
                              </w:rPr>
                            </w:pPr>
                          </w:p>
                          <w:p w14:paraId="043A8C99" w14:textId="77777777" w:rsidR="00FD7791" w:rsidRPr="00113D22" w:rsidRDefault="00FD7791" w:rsidP="00D22362">
                            <w:pPr>
                              <w:pStyle w:val="NoSpacing"/>
                              <w:rPr>
                                <w:i/>
                                <w:sz w:val="20"/>
                                <w:szCs w:val="20"/>
                                <w:u w:val="single"/>
                              </w:rPr>
                            </w:pPr>
                            <w:r w:rsidRPr="0061043A">
                              <w:rPr>
                                <w:i/>
                                <w:sz w:val="20"/>
                                <w:szCs w:val="20"/>
                                <w:u w:val="single"/>
                              </w:rPr>
                              <w:t>Where avoidance is not possible, minimize or reduce risks and impacts to acceptable levels</w:t>
                            </w:r>
                          </w:p>
                          <w:p w14:paraId="55306920" w14:textId="77777777" w:rsidR="00FD7791" w:rsidRPr="00EB755F" w:rsidRDefault="00FD7791" w:rsidP="00D22362">
                            <w:pPr>
                              <w:pStyle w:val="NoSpacing"/>
                              <w:rPr>
                                <w:i/>
                                <w:sz w:val="20"/>
                                <w:szCs w:val="20"/>
                              </w:rPr>
                            </w:pPr>
                            <w:r>
                              <w:rPr>
                                <w:i/>
                                <w:sz w:val="20"/>
                                <w:szCs w:val="20"/>
                              </w:rPr>
                              <w:t xml:space="preserve">This includes </w:t>
                            </w:r>
                            <w:r w:rsidRPr="00EB755F">
                              <w:rPr>
                                <w:i/>
                                <w:sz w:val="20"/>
                                <w:szCs w:val="20"/>
                              </w:rPr>
                              <w:t>measures taken to reduce the duration, intensity and/or extent of impacts that cannot be completely avoided. Effective minimisation can eliminate some negative impacts. Examples include such measures as reducing noise and pollution, designing powerlines to reduce the likelihood of bird electrocutions, or building wildlife crossings on roads.</w:t>
                            </w:r>
                          </w:p>
                          <w:p w14:paraId="3D3DDC86" w14:textId="77777777" w:rsidR="00FD7791" w:rsidRPr="00EB755F" w:rsidRDefault="00FD7791" w:rsidP="00D22362">
                            <w:pPr>
                              <w:pStyle w:val="NoSpacing"/>
                              <w:rPr>
                                <w:i/>
                                <w:sz w:val="20"/>
                                <w:szCs w:val="20"/>
                              </w:rPr>
                            </w:pPr>
                          </w:p>
                          <w:p w14:paraId="0941C9BD" w14:textId="77777777" w:rsidR="00FD7791" w:rsidRPr="00113D22" w:rsidRDefault="00FD7791" w:rsidP="00D22362">
                            <w:pPr>
                              <w:pStyle w:val="NoSpacing"/>
                              <w:rPr>
                                <w:i/>
                                <w:sz w:val="20"/>
                                <w:szCs w:val="20"/>
                                <w:u w:val="single"/>
                              </w:rPr>
                            </w:pPr>
                            <w:r w:rsidRPr="0061043A">
                              <w:rPr>
                                <w:i/>
                                <w:sz w:val="20"/>
                                <w:szCs w:val="20"/>
                                <w:u w:val="single"/>
                              </w:rPr>
                              <w:t>Once risks and impacts have been minimized or reduced, mitigate</w:t>
                            </w:r>
                          </w:p>
                          <w:p w14:paraId="3BE50EF5" w14:textId="77777777" w:rsidR="00FD7791" w:rsidRDefault="00FD7791" w:rsidP="00D22362">
                            <w:pPr>
                              <w:pStyle w:val="NoSpacing"/>
                              <w:rPr>
                                <w:i/>
                                <w:sz w:val="20"/>
                                <w:szCs w:val="20"/>
                              </w:rPr>
                            </w:pPr>
                            <w:r>
                              <w:rPr>
                                <w:i/>
                                <w:sz w:val="20"/>
                                <w:szCs w:val="20"/>
                              </w:rPr>
                              <w:t xml:space="preserve">This includes </w:t>
                            </w:r>
                            <w:r w:rsidRPr="00EB755F">
                              <w:rPr>
                                <w:i/>
                                <w:sz w:val="20"/>
                                <w:szCs w:val="20"/>
                              </w:rPr>
                              <w:t xml:space="preserve">measures taken to improve degraded or removed ecosystems following exposure to impacts that cannot be completely avoided or minimised. </w:t>
                            </w:r>
                            <w:r>
                              <w:rPr>
                                <w:i/>
                                <w:sz w:val="20"/>
                                <w:szCs w:val="20"/>
                              </w:rPr>
                              <w:t>Mitigation/r</w:t>
                            </w:r>
                            <w:r w:rsidRPr="00EB755F">
                              <w:rPr>
                                <w:i/>
                                <w:sz w:val="20"/>
                                <w:szCs w:val="20"/>
                              </w:rPr>
                              <w:t xml:space="preserve">ehabilitation aims to restore basic ecological functions and/or ecosystem services (e.g. through planting trees to stabilise bare soil). Rehabilitation </w:t>
                            </w:r>
                            <w:r>
                              <w:rPr>
                                <w:i/>
                                <w:sz w:val="20"/>
                                <w:szCs w:val="20"/>
                              </w:rPr>
                              <w:t>is</w:t>
                            </w:r>
                            <w:r w:rsidRPr="00EB755F">
                              <w:rPr>
                                <w:i/>
                                <w:sz w:val="20"/>
                                <w:szCs w:val="20"/>
                              </w:rPr>
                              <w:t xml:space="preserve"> frequently needed towards the end of a project’s life-cycle, but may be possible in some areas during operation.</w:t>
                            </w:r>
                          </w:p>
                          <w:p w14:paraId="5D7BA8CA" w14:textId="77777777" w:rsidR="00FD7791" w:rsidRPr="00EB755F" w:rsidRDefault="00FD7791" w:rsidP="00D22362">
                            <w:pPr>
                              <w:pStyle w:val="NoSpacing"/>
                              <w:rPr>
                                <w:i/>
                                <w:sz w:val="20"/>
                                <w:szCs w:val="20"/>
                              </w:rPr>
                            </w:pPr>
                          </w:p>
                          <w:p w14:paraId="6C073AC7" w14:textId="77777777" w:rsidR="00FD7791" w:rsidRPr="00EB755F" w:rsidRDefault="00FD7791" w:rsidP="00D22362">
                            <w:pPr>
                              <w:pStyle w:val="NoSpacing"/>
                              <w:rPr>
                                <w:i/>
                                <w:sz w:val="20"/>
                                <w:szCs w:val="20"/>
                              </w:rPr>
                            </w:pPr>
                            <w:r w:rsidRPr="00EB755F">
                              <w:rPr>
                                <w:i/>
                                <w:sz w:val="20"/>
                                <w:szCs w:val="20"/>
                              </w:rPr>
                              <w:t xml:space="preserve">Collectively avoidance, minimisation and </w:t>
                            </w:r>
                            <w:r>
                              <w:rPr>
                                <w:i/>
                                <w:sz w:val="20"/>
                                <w:szCs w:val="20"/>
                              </w:rPr>
                              <w:t>mitigation</w:t>
                            </w:r>
                            <w:r w:rsidRPr="00EB755F">
                              <w:rPr>
                                <w:i/>
                                <w:sz w:val="20"/>
                                <w:szCs w:val="20"/>
                              </w:rPr>
                              <w:t xml:space="preserve"> serve to reduce, as far as possible, the residual impacts that a project has. Typically, however, even after their effective application, additional steps will be required to achieve no overall negative impact or a net gain for biodiversity.</w:t>
                            </w:r>
                          </w:p>
                          <w:p w14:paraId="6C66C59F" w14:textId="77777777" w:rsidR="00FD7791" w:rsidRPr="00EB755F" w:rsidRDefault="00FD7791" w:rsidP="00D22362">
                            <w:pPr>
                              <w:pStyle w:val="NoSpacing"/>
                              <w:rPr>
                                <w:i/>
                                <w:sz w:val="20"/>
                                <w:szCs w:val="20"/>
                              </w:rPr>
                            </w:pPr>
                          </w:p>
                          <w:p w14:paraId="3DB8632B" w14:textId="77777777" w:rsidR="00FD7791" w:rsidRPr="00113D22" w:rsidRDefault="00FD7791" w:rsidP="00D22362">
                            <w:pPr>
                              <w:pStyle w:val="NoSpacing"/>
                              <w:rPr>
                                <w:i/>
                                <w:sz w:val="20"/>
                                <w:szCs w:val="20"/>
                                <w:u w:val="single"/>
                              </w:rPr>
                            </w:pPr>
                            <w:r w:rsidRPr="00113D22">
                              <w:rPr>
                                <w:i/>
                                <w:sz w:val="20"/>
                                <w:szCs w:val="20"/>
                                <w:u w:val="single"/>
                              </w:rPr>
                              <w:t>Offset:</w:t>
                            </w:r>
                          </w:p>
                          <w:p w14:paraId="65C12C94" w14:textId="77777777" w:rsidR="00FD7791" w:rsidRPr="00EB755F" w:rsidRDefault="00FD7791" w:rsidP="00D22362">
                            <w:pPr>
                              <w:pStyle w:val="NoSpacing"/>
                              <w:rPr>
                                <w:i/>
                                <w:sz w:val="20"/>
                                <w:szCs w:val="20"/>
                              </w:rPr>
                            </w:pPr>
                            <w:r>
                              <w:rPr>
                                <w:i/>
                                <w:sz w:val="20"/>
                                <w:szCs w:val="20"/>
                              </w:rPr>
                              <w:t xml:space="preserve">This includes </w:t>
                            </w:r>
                            <w:r w:rsidRPr="00EB755F">
                              <w:rPr>
                                <w:i/>
                                <w:sz w:val="20"/>
                                <w:szCs w:val="20"/>
                              </w:rPr>
                              <w:t>measures taken to compensate for any residual, adverse impacts after full implementation of the previous three steps of the mitigation hierarchy. Biodiversity offsets are of two main types: ‘restoration offsets’ which aim to rehabilitate or restore degraded habitat, and ‘averted loss offsets’ which aim to reduce or stop biodiversity loss (e.g. future habitat degradation) in areas where this is predicted. Offsets are often complex and expensive, so attention to earlier steps in the mitigation hierarchy is usually preferable.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BC718" id="_x0000_t202" coordsize="21600,21600" o:spt="202" path="m,l,21600r21600,l21600,xe">
                <v:stroke joinstyle="miter"/>
                <v:path gradientshapeok="t" o:connecttype="rect"/>
              </v:shapetype>
              <v:shape id="Tekstvak 2" o:spid="_x0000_s1026" type="#_x0000_t202" style="position:absolute;left:0;text-align:left;margin-left:-.9pt;margin-top:64.5pt;width:452.25pt;height:40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">
                <v:textbox>
                  <w:txbxContent>
                    <w:p w14:paraId="5F6365F0" w14:textId="419C9308" w:rsidR="00FD7791" w:rsidRPr="00E6405D" w:rsidRDefault="00FD7791" w:rsidP="00D22362">
                      <w:pPr>
                        <w:pStyle w:val="NoSpacing"/>
                        <w:rPr>
                          <w:b/>
                          <w:i/>
                          <w:sz w:val="24"/>
                          <w:szCs w:val="24"/>
                        </w:rPr>
                      </w:pPr>
                      <w:r w:rsidRPr="00E6405D">
                        <w:rPr>
                          <w:b/>
                          <w:i/>
                          <w:sz w:val="24"/>
                          <w:szCs w:val="24"/>
                        </w:rPr>
                        <w:t>The sequential steps of the WBG mitigation hierarchy</w:t>
                      </w:r>
                    </w:p>
                    <w:p w14:paraId="034AA2B3" w14:textId="77777777" w:rsidR="00FD7791" w:rsidRPr="00EB755F" w:rsidRDefault="00FD7791" w:rsidP="00D22362">
                      <w:pPr>
                        <w:pStyle w:val="NoSpacing"/>
                        <w:rPr>
                          <w:i/>
                          <w:sz w:val="20"/>
                          <w:szCs w:val="20"/>
                        </w:rPr>
                      </w:pPr>
                    </w:p>
                    <w:p w14:paraId="61505FD4" w14:textId="77777777" w:rsidR="00FD7791" w:rsidRPr="00113D22" w:rsidRDefault="00FD7791" w:rsidP="00D22362">
                      <w:pPr>
                        <w:pStyle w:val="NoSpacing"/>
                        <w:rPr>
                          <w:i/>
                          <w:sz w:val="20"/>
                          <w:szCs w:val="20"/>
                          <w:u w:val="single"/>
                        </w:rPr>
                      </w:pPr>
                      <w:r w:rsidRPr="0061043A">
                        <w:rPr>
                          <w:i/>
                          <w:sz w:val="20"/>
                          <w:szCs w:val="20"/>
                          <w:u w:val="single"/>
                        </w:rPr>
                        <w:t>Anticipate and avoid risks and impacts</w:t>
                      </w:r>
                      <w:r w:rsidRPr="00113D22">
                        <w:rPr>
                          <w:i/>
                          <w:sz w:val="20"/>
                          <w:szCs w:val="20"/>
                          <w:u w:val="single"/>
                        </w:rPr>
                        <w:t>:</w:t>
                      </w:r>
                    </w:p>
                    <w:p w14:paraId="637927B3" w14:textId="77777777" w:rsidR="00FD7791" w:rsidRPr="00EB755F" w:rsidRDefault="00FD7791" w:rsidP="00D22362">
                      <w:pPr>
                        <w:pStyle w:val="NoSpacing"/>
                        <w:rPr>
                          <w:i/>
                          <w:sz w:val="20"/>
                          <w:szCs w:val="20"/>
                        </w:rPr>
                      </w:pPr>
                      <w:r>
                        <w:rPr>
                          <w:i/>
                          <w:sz w:val="20"/>
                          <w:szCs w:val="20"/>
                        </w:rPr>
                        <w:t>T</w:t>
                      </w:r>
                      <w:r w:rsidRPr="00EB755F">
                        <w:rPr>
                          <w:i/>
                          <w:sz w:val="20"/>
                          <w:szCs w:val="20"/>
                        </w:rPr>
                        <w:t xml:space="preserve">he first step of the mitigation hierarchy comprises measures taken to avoid creating impacts from the outset, such as careful spatial or temporal placement of infrastructure or disturbance. For example, placement of roads outside of rare habitats or key species’ breeding grounds. Avoidance is often the easiest, cheapest and most effective way of reducing potential negative impacts, but it requires </w:t>
                      </w:r>
                      <w:r>
                        <w:rPr>
                          <w:i/>
                          <w:sz w:val="20"/>
                          <w:szCs w:val="20"/>
                        </w:rPr>
                        <w:t xml:space="preserve">social and </w:t>
                      </w:r>
                      <w:r w:rsidRPr="00EB755F">
                        <w:rPr>
                          <w:i/>
                          <w:sz w:val="20"/>
                          <w:szCs w:val="20"/>
                        </w:rPr>
                        <w:t xml:space="preserve">biodiversity </w:t>
                      </w:r>
                      <w:r>
                        <w:rPr>
                          <w:i/>
                          <w:sz w:val="20"/>
                          <w:szCs w:val="20"/>
                        </w:rPr>
                        <w:t xml:space="preserve">related issues </w:t>
                      </w:r>
                      <w:r w:rsidRPr="00EB755F">
                        <w:rPr>
                          <w:i/>
                          <w:sz w:val="20"/>
                          <w:szCs w:val="20"/>
                        </w:rPr>
                        <w:t>to be considered in the early stages of a project.</w:t>
                      </w:r>
                    </w:p>
                    <w:p w14:paraId="39F4ED26" w14:textId="77777777" w:rsidR="00FD7791" w:rsidRPr="00EB755F" w:rsidRDefault="00FD7791" w:rsidP="00D22362">
                      <w:pPr>
                        <w:pStyle w:val="NoSpacing"/>
                        <w:rPr>
                          <w:i/>
                          <w:sz w:val="20"/>
                          <w:szCs w:val="20"/>
                        </w:rPr>
                      </w:pPr>
                    </w:p>
                    <w:p w14:paraId="043A8C99" w14:textId="77777777" w:rsidR="00FD7791" w:rsidRPr="00113D22" w:rsidRDefault="00FD7791" w:rsidP="00D22362">
                      <w:pPr>
                        <w:pStyle w:val="NoSpacing"/>
                        <w:rPr>
                          <w:i/>
                          <w:sz w:val="20"/>
                          <w:szCs w:val="20"/>
                          <w:u w:val="single"/>
                        </w:rPr>
                      </w:pPr>
                      <w:r w:rsidRPr="0061043A">
                        <w:rPr>
                          <w:i/>
                          <w:sz w:val="20"/>
                          <w:szCs w:val="20"/>
                          <w:u w:val="single"/>
                        </w:rPr>
                        <w:t>Where avoidance is not possible, minimize or reduce risks and impacts to acceptable levels</w:t>
                      </w:r>
                    </w:p>
                    <w:p w14:paraId="55306920" w14:textId="77777777" w:rsidR="00FD7791" w:rsidRPr="00EB755F" w:rsidRDefault="00FD7791" w:rsidP="00D22362">
                      <w:pPr>
                        <w:pStyle w:val="NoSpacing"/>
                        <w:rPr>
                          <w:i/>
                          <w:sz w:val="20"/>
                          <w:szCs w:val="20"/>
                        </w:rPr>
                      </w:pPr>
                      <w:r>
                        <w:rPr>
                          <w:i/>
                          <w:sz w:val="20"/>
                          <w:szCs w:val="20"/>
                        </w:rPr>
                        <w:t xml:space="preserve">This includes </w:t>
                      </w:r>
                      <w:r w:rsidRPr="00EB755F">
                        <w:rPr>
                          <w:i/>
                          <w:sz w:val="20"/>
                          <w:szCs w:val="20"/>
                        </w:rPr>
                        <w:t>measures taken to reduce the duration, intensity and/or extent of impacts that cannot be completely avoided. Effective minimisation can eliminate some negative impacts. Examples include such measures as reducing noise and pollution, designing powerlines to reduce the likelihood of bird electrocutions, or building wildlife crossings on roads.</w:t>
                      </w:r>
                    </w:p>
                    <w:p w14:paraId="3D3DDC86" w14:textId="77777777" w:rsidR="00FD7791" w:rsidRPr="00EB755F" w:rsidRDefault="00FD7791" w:rsidP="00D22362">
                      <w:pPr>
                        <w:pStyle w:val="NoSpacing"/>
                        <w:rPr>
                          <w:i/>
                          <w:sz w:val="20"/>
                          <w:szCs w:val="20"/>
                        </w:rPr>
                      </w:pPr>
                    </w:p>
                    <w:p w14:paraId="0941C9BD" w14:textId="77777777" w:rsidR="00FD7791" w:rsidRPr="00113D22" w:rsidRDefault="00FD7791" w:rsidP="00D22362">
                      <w:pPr>
                        <w:pStyle w:val="NoSpacing"/>
                        <w:rPr>
                          <w:i/>
                          <w:sz w:val="20"/>
                          <w:szCs w:val="20"/>
                          <w:u w:val="single"/>
                        </w:rPr>
                      </w:pPr>
                      <w:r w:rsidRPr="0061043A">
                        <w:rPr>
                          <w:i/>
                          <w:sz w:val="20"/>
                          <w:szCs w:val="20"/>
                          <w:u w:val="single"/>
                        </w:rPr>
                        <w:t>Once risks and impacts have been minimized or reduced, mitigate</w:t>
                      </w:r>
                    </w:p>
                    <w:p w14:paraId="3BE50EF5" w14:textId="77777777" w:rsidR="00FD7791" w:rsidRDefault="00FD7791" w:rsidP="00D22362">
                      <w:pPr>
                        <w:pStyle w:val="NoSpacing"/>
                        <w:rPr>
                          <w:i/>
                          <w:sz w:val="20"/>
                          <w:szCs w:val="20"/>
                        </w:rPr>
                      </w:pPr>
                      <w:r>
                        <w:rPr>
                          <w:i/>
                          <w:sz w:val="20"/>
                          <w:szCs w:val="20"/>
                        </w:rPr>
                        <w:t xml:space="preserve">This includes </w:t>
                      </w:r>
                      <w:r w:rsidRPr="00EB755F">
                        <w:rPr>
                          <w:i/>
                          <w:sz w:val="20"/>
                          <w:szCs w:val="20"/>
                        </w:rPr>
                        <w:t xml:space="preserve">measures taken to improve degraded or removed ecosystems following exposure to impacts that cannot be completely avoided or minimised. </w:t>
                      </w:r>
                      <w:r>
                        <w:rPr>
                          <w:i/>
                          <w:sz w:val="20"/>
                          <w:szCs w:val="20"/>
                        </w:rPr>
                        <w:t>Mitigation/r</w:t>
                      </w:r>
                      <w:r w:rsidRPr="00EB755F">
                        <w:rPr>
                          <w:i/>
                          <w:sz w:val="20"/>
                          <w:szCs w:val="20"/>
                        </w:rPr>
                        <w:t xml:space="preserve">ehabilitation aims to restore basic ecological functions and/or ecosystem services (e.g. through planting trees to stabilise bare soil). Rehabilitation </w:t>
                      </w:r>
                      <w:r>
                        <w:rPr>
                          <w:i/>
                          <w:sz w:val="20"/>
                          <w:szCs w:val="20"/>
                        </w:rPr>
                        <w:t>is</w:t>
                      </w:r>
                      <w:r w:rsidRPr="00EB755F">
                        <w:rPr>
                          <w:i/>
                          <w:sz w:val="20"/>
                          <w:szCs w:val="20"/>
                        </w:rPr>
                        <w:t xml:space="preserve"> frequently needed towards the end of a project’s life-cycle, but may be possible in some areas during operation.</w:t>
                      </w:r>
                    </w:p>
                    <w:p w14:paraId="5D7BA8CA" w14:textId="77777777" w:rsidR="00FD7791" w:rsidRPr="00EB755F" w:rsidRDefault="00FD7791" w:rsidP="00D22362">
                      <w:pPr>
                        <w:pStyle w:val="NoSpacing"/>
                        <w:rPr>
                          <w:i/>
                          <w:sz w:val="20"/>
                          <w:szCs w:val="20"/>
                        </w:rPr>
                      </w:pPr>
                    </w:p>
                    <w:p w14:paraId="6C073AC7" w14:textId="77777777" w:rsidR="00FD7791" w:rsidRPr="00EB755F" w:rsidRDefault="00FD7791" w:rsidP="00D22362">
                      <w:pPr>
                        <w:pStyle w:val="NoSpacing"/>
                        <w:rPr>
                          <w:i/>
                          <w:sz w:val="20"/>
                          <w:szCs w:val="20"/>
                        </w:rPr>
                      </w:pPr>
                      <w:r w:rsidRPr="00EB755F">
                        <w:rPr>
                          <w:i/>
                          <w:sz w:val="20"/>
                          <w:szCs w:val="20"/>
                        </w:rPr>
                        <w:t xml:space="preserve">Collectively avoidance, minimisation and </w:t>
                      </w:r>
                      <w:r>
                        <w:rPr>
                          <w:i/>
                          <w:sz w:val="20"/>
                          <w:szCs w:val="20"/>
                        </w:rPr>
                        <w:t>mitigation</w:t>
                      </w:r>
                      <w:r w:rsidRPr="00EB755F">
                        <w:rPr>
                          <w:i/>
                          <w:sz w:val="20"/>
                          <w:szCs w:val="20"/>
                        </w:rPr>
                        <w:t xml:space="preserve"> serve to reduce, as far as possible, the residual impacts that a project has. Typically, however, even after their effective application, additional steps will be required to achieve no overall negative impact or a net gain for biodiversity.</w:t>
                      </w:r>
                    </w:p>
                    <w:p w14:paraId="6C66C59F" w14:textId="77777777" w:rsidR="00FD7791" w:rsidRPr="00EB755F" w:rsidRDefault="00FD7791" w:rsidP="00D22362">
                      <w:pPr>
                        <w:pStyle w:val="NoSpacing"/>
                        <w:rPr>
                          <w:i/>
                          <w:sz w:val="20"/>
                          <w:szCs w:val="20"/>
                        </w:rPr>
                      </w:pPr>
                    </w:p>
                    <w:p w14:paraId="3DB8632B" w14:textId="77777777" w:rsidR="00FD7791" w:rsidRPr="00113D22" w:rsidRDefault="00FD7791" w:rsidP="00D22362">
                      <w:pPr>
                        <w:pStyle w:val="NoSpacing"/>
                        <w:rPr>
                          <w:i/>
                          <w:sz w:val="20"/>
                          <w:szCs w:val="20"/>
                          <w:u w:val="single"/>
                        </w:rPr>
                      </w:pPr>
                      <w:r w:rsidRPr="00113D22">
                        <w:rPr>
                          <w:i/>
                          <w:sz w:val="20"/>
                          <w:szCs w:val="20"/>
                          <w:u w:val="single"/>
                        </w:rPr>
                        <w:t>Offset:</w:t>
                      </w:r>
                    </w:p>
                    <w:p w14:paraId="65C12C94" w14:textId="77777777" w:rsidR="00FD7791" w:rsidRPr="00EB755F" w:rsidRDefault="00FD7791" w:rsidP="00D22362">
                      <w:pPr>
                        <w:pStyle w:val="NoSpacing"/>
                        <w:rPr>
                          <w:i/>
                          <w:sz w:val="20"/>
                          <w:szCs w:val="20"/>
                        </w:rPr>
                      </w:pPr>
                      <w:r>
                        <w:rPr>
                          <w:i/>
                          <w:sz w:val="20"/>
                          <w:szCs w:val="20"/>
                        </w:rPr>
                        <w:t xml:space="preserve">This includes </w:t>
                      </w:r>
                      <w:r w:rsidRPr="00EB755F">
                        <w:rPr>
                          <w:i/>
                          <w:sz w:val="20"/>
                          <w:szCs w:val="20"/>
                        </w:rPr>
                        <w:t>measures taken to compensate for any residual, adverse impacts after full implementation of the previous three steps of the mitigation hierarchy. Biodiversity offsets are of two main types: ‘restoration offsets’ which aim to rehabilitate or restore degraded habitat, and ‘averted loss offsets’ which aim to reduce or stop biodiversity loss (e.g. future habitat degradation) in areas where this is predicted. Offsets are often complex and expensive, so attention to earlier steps in the mitigation hierarchy is usually preferable.</w:t>
                      </w:r>
                    </w:p>
                  </w:txbxContent>
                </v:textbox>
                <w10:wrap type="square" anchorx="margin" anchory="page"/>
              </v:shape>
            </w:pict>
          </mc:Fallback>
        </mc:AlternateContent>
      </w:r>
    </w:p>
    <w:p w14:paraId="1CD57259" w14:textId="77777777" w:rsidR="00D22362" w:rsidRDefault="00D22362" w:rsidP="00203F2A">
      <w:pPr>
        <w:pStyle w:val="NoSpacing"/>
        <w:jc w:val="both"/>
      </w:pPr>
      <w:r w:rsidRPr="00DC681E">
        <w:rPr>
          <w:b/>
        </w:rPr>
        <w:t>Additional to the World Bank Operational Policies on Environmental Management and Suriname’s national l</w:t>
      </w:r>
      <w:r>
        <w:rPr>
          <w:b/>
        </w:rPr>
        <w:t>egal requirements</w:t>
      </w:r>
      <w:r w:rsidRPr="00DC681E">
        <w:rPr>
          <w:b/>
        </w:rPr>
        <w:t>, several internationally recognised ‘Best Practice’ guidelines should be considered</w:t>
      </w:r>
      <w:r>
        <w:t xml:space="preserve"> regarding (i) the collection and processing of NTFPs, (ii) sustainable fishery and (iii) aiming at sustainable tourism development.</w:t>
      </w:r>
    </w:p>
    <w:p w14:paraId="43908950" w14:textId="77777777" w:rsidR="00D22362" w:rsidRPr="00DC681E" w:rsidRDefault="00D22362" w:rsidP="00203F2A">
      <w:pPr>
        <w:pStyle w:val="NoSpacing"/>
        <w:jc w:val="both"/>
      </w:pPr>
    </w:p>
    <w:p w14:paraId="1AF098C2" w14:textId="1457239D" w:rsidR="00D22362" w:rsidRDefault="00D22362" w:rsidP="00203F2A">
      <w:pPr>
        <w:pStyle w:val="NoSpacing"/>
        <w:jc w:val="both"/>
      </w:pPr>
      <w:r w:rsidRPr="007646FC">
        <w:rPr>
          <w:b/>
        </w:rPr>
        <w:t>In 2014, NEPC</w:t>
      </w:r>
      <w:r w:rsidR="009F6ED1">
        <w:rPr>
          <w:b/>
        </w:rPr>
        <w:t xml:space="preserve"> </w:t>
      </w:r>
      <w:r w:rsidRPr="007646FC">
        <w:rPr>
          <w:b/>
        </w:rPr>
        <w:t xml:space="preserve">on launched its standard ‘Global </w:t>
      </w:r>
      <w:r w:rsidR="009F6ED1" w:rsidRPr="007646FC">
        <w:rPr>
          <w:b/>
        </w:rPr>
        <w:t>Non-Timber</w:t>
      </w:r>
      <w:r w:rsidRPr="007646FC">
        <w:rPr>
          <w:b/>
        </w:rPr>
        <w:t xml:space="preserve"> Forest Product Certification</w:t>
      </w:r>
      <w:r>
        <w:rPr>
          <w:b/>
        </w:rPr>
        <w:t>’</w:t>
      </w:r>
      <w:r w:rsidRPr="007646FC">
        <w:rPr>
          <w:rStyle w:val="FootnoteReference"/>
          <w:b/>
        </w:rPr>
        <w:footnoteReference w:id="28"/>
      </w:r>
      <w:r w:rsidRPr="007646FC">
        <w:rPr>
          <w:b/>
        </w:rPr>
        <w:t xml:space="preserve"> as an addendum to FSC</w:t>
      </w:r>
      <w:r w:rsidRPr="007646FC">
        <w:rPr>
          <w:rStyle w:val="FootnoteReference"/>
          <w:b/>
        </w:rPr>
        <w:footnoteReference w:id="29"/>
      </w:r>
      <w:r w:rsidRPr="007646FC">
        <w:rPr>
          <w:b/>
        </w:rPr>
        <w:t xml:space="preserve"> </w:t>
      </w:r>
      <w:r>
        <w:rPr>
          <w:b/>
        </w:rPr>
        <w:t>S</w:t>
      </w:r>
      <w:r w:rsidRPr="007646FC">
        <w:rPr>
          <w:b/>
        </w:rPr>
        <w:t xml:space="preserve">ustainable </w:t>
      </w:r>
      <w:r>
        <w:rPr>
          <w:b/>
        </w:rPr>
        <w:t>F</w:t>
      </w:r>
      <w:r w:rsidRPr="007646FC">
        <w:rPr>
          <w:b/>
        </w:rPr>
        <w:t xml:space="preserve">orest </w:t>
      </w:r>
      <w:r>
        <w:rPr>
          <w:b/>
        </w:rPr>
        <w:t xml:space="preserve">Management (SFM) </w:t>
      </w:r>
      <w:r w:rsidRPr="007646FC">
        <w:rPr>
          <w:b/>
        </w:rPr>
        <w:t>certification, which now is widely used as a reference for sustainable NTFP harvesting.</w:t>
      </w:r>
      <w:r>
        <w:t xml:space="preserve"> T</w:t>
      </w:r>
      <w:r w:rsidRPr="00B467ED">
        <w:t>he intent of this standard is to outline requirements</w:t>
      </w:r>
      <w:r>
        <w:t xml:space="preserve"> </w:t>
      </w:r>
      <w:r w:rsidRPr="00B467ED">
        <w:t xml:space="preserve">which pertain to non-timber forest products (NTFP) and complement the FSC certification </w:t>
      </w:r>
      <w:r>
        <w:t xml:space="preserve">principles and criteria </w:t>
      </w:r>
      <w:r w:rsidRPr="00B467ED">
        <w:t xml:space="preserve">for </w:t>
      </w:r>
      <w:r>
        <w:t xml:space="preserve">SFM. Although not meant to be used as a ‘stand-alone’ standard, the following principles are to be considered for NFTP value chain development projects under the </w:t>
      </w:r>
      <w:r w:rsidR="00190610">
        <w:t>SCSD</w:t>
      </w:r>
      <w:r>
        <w:t xml:space="preserve"> Project:</w:t>
      </w:r>
    </w:p>
    <w:p w14:paraId="1B210406" w14:textId="77777777" w:rsidR="00D22362" w:rsidRDefault="00D22362" w:rsidP="00203F2A">
      <w:pPr>
        <w:pStyle w:val="NoSpacing"/>
        <w:jc w:val="both"/>
      </w:pPr>
    </w:p>
    <w:p w14:paraId="5CA420D6" w14:textId="77777777" w:rsidR="00D22362" w:rsidRDefault="00D22362" w:rsidP="00203F2A">
      <w:pPr>
        <w:pStyle w:val="NoSpacing"/>
        <w:jc w:val="both"/>
      </w:pPr>
      <w:r w:rsidRPr="00B467ED">
        <w:t>PRINCIPLE #</w:t>
      </w:r>
      <w:r>
        <w:t xml:space="preserve"> </w:t>
      </w:r>
      <w:r w:rsidRPr="00B467ED">
        <w:t>2: T</w:t>
      </w:r>
      <w:r>
        <w:t>enure and use rights and responsibilities</w:t>
      </w:r>
    </w:p>
    <w:p w14:paraId="1F8C9699" w14:textId="77777777" w:rsidR="00D22362" w:rsidRDefault="00D22362" w:rsidP="00203F2A">
      <w:pPr>
        <w:pStyle w:val="NoSpacing"/>
        <w:ind w:left="708"/>
        <w:jc w:val="both"/>
      </w:pPr>
      <w:r w:rsidRPr="007646FC">
        <w:t>Long</w:t>
      </w:r>
      <w:r>
        <w:t>-</w:t>
      </w:r>
      <w:r w:rsidRPr="007646FC">
        <w:t>term tenure and use rights to the land and forest resources shall be clearly defined, documented and legally established</w:t>
      </w:r>
      <w:r>
        <w:t>.</w:t>
      </w:r>
    </w:p>
    <w:p w14:paraId="6F7A31CA" w14:textId="4B71B62B" w:rsidR="00D22362" w:rsidRDefault="00D22362" w:rsidP="00203F2A">
      <w:pPr>
        <w:pStyle w:val="NoSpacing"/>
        <w:jc w:val="both"/>
      </w:pPr>
    </w:p>
    <w:p w14:paraId="64665B39" w14:textId="77777777" w:rsidR="005B2449" w:rsidRDefault="005B2449" w:rsidP="00203F2A">
      <w:pPr>
        <w:pStyle w:val="NoSpacing"/>
        <w:jc w:val="both"/>
      </w:pPr>
    </w:p>
    <w:p w14:paraId="3DD4F3CA" w14:textId="77777777" w:rsidR="00D22362" w:rsidRDefault="00D22362" w:rsidP="00203F2A">
      <w:pPr>
        <w:pStyle w:val="NoSpacing"/>
        <w:jc w:val="both"/>
      </w:pPr>
      <w:r w:rsidRPr="00B467ED">
        <w:t>PRINCIPLE #</w:t>
      </w:r>
      <w:r>
        <w:t xml:space="preserve"> </w:t>
      </w:r>
      <w:r w:rsidRPr="00B467ED">
        <w:t>3: I</w:t>
      </w:r>
      <w:r>
        <w:t>ndigenous peoples rights</w:t>
      </w:r>
      <w:r w:rsidRPr="00B467ED">
        <w:t xml:space="preserve"> </w:t>
      </w:r>
    </w:p>
    <w:p w14:paraId="2D996B52" w14:textId="77777777" w:rsidR="00D22362" w:rsidRDefault="00D22362" w:rsidP="00203F2A">
      <w:pPr>
        <w:pStyle w:val="NoSpacing"/>
        <w:ind w:left="708"/>
        <w:jc w:val="both"/>
      </w:pPr>
      <w:r w:rsidRPr="007646FC">
        <w:t>The legal and customary rights of indigenous peoples to own, use and manage their lands, territories, and resources shall be recognised and respected.</w:t>
      </w:r>
    </w:p>
    <w:p w14:paraId="71B6E195" w14:textId="77777777" w:rsidR="00D22362" w:rsidRDefault="00D22362" w:rsidP="00203F2A">
      <w:pPr>
        <w:pStyle w:val="NoSpacing"/>
        <w:jc w:val="both"/>
      </w:pPr>
    </w:p>
    <w:p w14:paraId="0FF90532" w14:textId="77777777" w:rsidR="00D22362" w:rsidRDefault="00D22362" w:rsidP="00203F2A">
      <w:pPr>
        <w:pStyle w:val="NoSpacing"/>
        <w:jc w:val="both"/>
      </w:pPr>
      <w:r w:rsidRPr="00B467ED">
        <w:t>PRINCIPLE #</w:t>
      </w:r>
      <w:r>
        <w:t xml:space="preserve"> </w:t>
      </w:r>
      <w:r w:rsidRPr="00B467ED">
        <w:t>6: E</w:t>
      </w:r>
      <w:r>
        <w:t>nvironmental impact</w:t>
      </w:r>
    </w:p>
    <w:p w14:paraId="5F491093" w14:textId="77777777" w:rsidR="00D22362" w:rsidRDefault="00D22362" w:rsidP="00203F2A">
      <w:pPr>
        <w:pStyle w:val="NoSpacing"/>
        <w:ind w:left="708"/>
        <w:jc w:val="both"/>
      </w:pPr>
      <w:r>
        <w:t>NTFP collection</w:t>
      </w:r>
      <w:r w:rsidRPr="007646FC">
        <w:t xml:space="preserve"> shall conserve biological diversity and its associated values, water resources, soils, and unique and fragile ecosystems and landscapes, and, by so doing, maintain the ecological functions and the integrity of the forest.</w:t>
      </w:r>
    </w:p>
    <w:p w14:paraId="110DC733" w14:textId="77777777" w:rsidR="00D22362" w:rsidRDefault="00D22362" w:rsidP="00203F2A">
      <w:pPr>
        <w:pStyle w:val="NoSpacing"/>
        <w:jc w:val="both"/>
      </w:pPr>
    </w:p>
    <w:p w14:paraId="589FA34D" w14:textId="77777777" w:rsidR="00D22362" w:rsidRDefault="00D22362" w:rsidP="00203F2A">
      <w:pPr>
        <w:pStyle w:val="NoSpacing"/>
        <w:jc w:val="both"/>
      </w:pPr>
      <w:r w:rsidRPr="00B467ED">
        <w:t>PRINCIPLE #</w:t>
      </w:r>
      <w:r>
        <w:t xml:space="preserve"> </w:t>
      </w:r>
      <w:r w:rsidRPr="00B467ED">
        <w:t>8:   M</w:t>
      </w:r>
      <w:r>
        <w:t>onitoring and assessment</w:t>
      </w:r>
    </w:p>
    <w:p w14:paraId="7F48AE84" w14:textId="77777777" w:rsidR="00D22362" w:rsidRDefault="00D22362" w:rsidP="00203F2A">
      <w:pPr>
        <w:pStyle w:val="NoSpacing"/>
        <w:ind w:left="708"/>
        <w:jc w:val="both"/>
      </w:pPr>
      <w:r w:rsidRPr="007646FC">
        <w:t xml:space="preserve">Monitoring shall be conducted - appropriate to the scale and intensity of </w:t>
      </w:r>
      <w:r>
        <w:t>NTFP</w:t>
      </w:r>
      <w:r w:rsidRPr="007646FC">
        <w:t xml:space="preserve"> management - to assess the condition of the forest, yields of forest products, chain of custody, management activities and their social and environmental impacts.</w:t>
      </w:r>
    </w:p>
    <w:p w14:paraId="225BED39" w14:textId="77777777" w:rsidR="00D22362" w:rsidRDefault="00D22362" w:rsidP="00203F2A">
      <w:pPr>
        <w:pStyle w:val="NoSpacing"/>
        <w:jc w:val="both"/>
      </w:pPr>
    </w:p>
    <w:p w14:paraId="3BA87382" w14:textId="77777777" w:rsidR="00D22362" w:rsidRDefault="00D22362" w:rsidP="00203F2A">
      <w:pPr>
        <w:pStyle w:val="NoSpacing"/>
        <w:jc w:val="both"/>
      </w:pPr>
      <w:r>
        <w:t xml:space="preserve">PRINCIPLE # 9:  Maintenance of high conservation value forests </w:t>
      </w:r>
    </w:p>
    <w:p w14:paraId="486406DC" w14:textId="77777777" w:rsidR="00D22362" w:rsidRDefault="00D22362" w:rsidP="00203F2A">
      <w:pPr>
        <w:pStyle w:val="NoSpacing"/>
        <w:ind w:left="708"/>
        <w:jc w:val="both"/>
      </w:pPr>
      <w:r>
        <w:t>NTFP collection activities in high conservation value forests shall maintain or enhance the attributes, which define such forests.  Decisions regarding high conservation value forests shall always be considered in the context of a precautionary approach.</w:t>
      </w:r>
    </w:p>
    <w:p w14:paraId="40680E72" w14:textId="77777777" w:rsidR="00D22362" w:rsidRDefault="00D22362" w:rsidP="00203F2A">
      <w:pPr>
        <w:pStyle w:val="NoSpacing"/>
        <w:jc w:val="both"/>
      </w:pPr>
    </w:p>
    <w:p w14:paraId="72FF1429" w14:textId="10BFE3EC" w:rsidR="00D22362" w:rsidRDefault="00D22362" w:rsidP="00203F2A">
      <w:pPr>
        <w:pStyle w:val="NoSpacing"/>
        <w:jc w:val="both"/>
      </w:pPr>
      <w:r w:rsidRPr="00177FB2">
        <w:rPr>
          <w:b/>
        </w:rPr>
        <w:t>Sustainable fishing means leaving enough fish in the ocean, respecting habitats and ensuring people who depend on fishing can maintain their livelihoods.</w:t>
      </w:r>
      <w:r>
        <w:t xml:space="preserve"> Independent ‘third party’ assessment of sustainable fishery may be based on the MSC Fisheries Standard</w:t>
      </w:r>
      <w:r>
        <w:rPr>
          <w:rStyle w:val="FootnoteReference"/>
        </w:rPr>
        <w:footnoteReference w:id="30"/>
      </w:r>
      <w:r>
        <w:t xml:space="preserve"> </w:t>
      </w:r>
      <w:r w:rsidR="009F6ED1">
        <w:t>which -</w:t>
      </w:r>
      <w:r>
        <w:t xml:space="preserve"> in turn - is based on the UN FAO Code of Conduct for Responsible Fishing. This Code was established in 1995 as a framework for international efforts to encourage fishing activity that is sustainable and in harmony with the environment. It </w:t>
      </w:r>
      <w:r w:rsidRPr="00177FB2">
        <w:t>serve</w:t>
      </w:r>
      <w:r>
        <w:t>s</w:t>
      </w:r>
      <w:r w:rsidRPr="00177FB2">
        <w:t xml:space="preserve"> as an instrument of reference to help States to establish or to improve the legal and institutional framework required for responsible fisheries</w:t>
      </w:r>
      <w:r>
        <w:t>.</w:t>
      </w:r>
    </w:p>
    <w:p w14:paraId="3EB5668D" w14:textId="77777777" w:rsidR="00D22362" w:rsidRDefault="00D22362" w:rsidP="00203F2A">
      <w:pPr>
        <w:pStyle w:val="NoSpacing"/>
        <w:jc w:val="both"/>
      </w:pPr>
    </w:p>
    <w:p w14:paraId="502BFA3A" w14:textId="0A8B5234" w:rsidR="00D22362" w:rsidRDefault="00D22362" w:rsidP="00203F2A">
      <w:pPr>
        <w:pStyle w:val="NoSpacing"/>
        <w:jc w:val="both"/>
      </w:pPr>
      <w:r w:rsidRPr="00FF2CC8">
        <w:rPr>
          <w:b/>
        </w:rPr>
        <w:t>Because Suriname lacks formal policies and practices on ‘stock management’, sustainability of fisheries is hard to assess.</w:t>
      </w:r>
      <w:r>
        <w:t xml:space="preserve"> Given these concerns, </w:t>
      </w:r>
      <w:r w:rsidR="00190610">
        <w:t>SCSD</w:t>
      </w:r>
      <w:r>
        <w:t xml:space="preserve"> Project support will primarily focus on the value chain support activities e.g. </w:t>
      </w:r>
      <w:r w:rsidRPr="00E5561D">
        <w:t xml:space="preserve">improved </w:t>
      </w:r>
      <w:r>
        <w:t xml:space="preserve">(efficiency of) processing and fish product diversification, improved </w:t>
      </w:r>
      <w:r w:rsidRPr="00E5561D">
        <w:t>food safety</w:t>
      </w:r>
      <w:r>
        <w:t xml:space="preserve"> and </w:t>
      </w:r>
      <w:r w:rsidRPr="00E5561D">
        <w:t>improved management</w:t>
      </w:r>
      <w:r>
        <w:t xml:space="preserve">. Project support </w:t>
      </w:r>
      <w:r w:rsidRPr="00E5561D">
        <w:t>towards increasing fish catch</w:t>
      </w:r>
      <w:r>
        <w:t xml:space="preserve"> may be considered in case fishery companies engage in sustainable practices</w:t>
      </w:r>
      <w:r>
        <w:rPr>
          <w:rStyle w:val="FootnoteReference"/>
        </w:rPr>
        <w:footnoteReference w:id="31"/>
      </w:r>
      <w:r>
        <w:t xml:space="preserve">. Although this full standard will not apply, proposed sub-activities in the fishery industry </w:t>
      </w:r>
      <w:r w:rsidRPr="00F06CB5">
        <w:t xml:space="preserve">under the </w:t>
      </w:r>
      <w:r w:rsidR="00190610">
        <w:t>SCSD</w:t>
      </w:r>
      <w:r w:rsidRPr="00F06CB5">
        <w:t xml:space="preserve"> Project </w:t>
      </w:r>
      <w:r>
        <w:t xml:space="preserve">should comply with the ‘spirit’ of the following </w:t>
      </w:r>
      <w:r w:rsidRPr="00F06CB5">
        <w:t>principles:</w:t>
      </w:r>
    </w:p>
    <w:p w14:paraId="422B5617" w14:textId="77777777" w:rsidR="00D22362" w:rsidRDefault="00D22362" w:rsidP="00203F2A">
      <w:pPr>
        <w:pStyle w:val="NoSpacing"/>
        <w:jc w:val="both"/>
      </w:pPr>
    </w:p>
    <w:p w14:paraId="13929417" w14:textId="77777777" w:rsidR="00D22362" w:rsidRDefault="00D22362" w:rsidP="00203F2A">
      <w:pPr>
        <w:pStyle w:val="NoSpacing"/>
        <w:jc w:val="both"/>
      </w:pPr>
      <w:r>
        <w:t>PRINCIPLE # 1: Sustainable target fish stock</w:t>
      </w:r>
    </w:p>
    <w:p w14:paraId="7947E0C3" w14:textId="77777777" w:rsidR="00D22362" w:rsidRDefault="00D22362" w:rsidP="00203F2A">
      <w:pPr>
        <w:pStyle w:val="NoSpacing"/>
        <w:ind w:left="708"/>
        <w:jc w:val="both"/>
      </w:pPr>
      <w:r>
        <w:t>Fishery must be conducted in a manner that does not lead to over-fishing or depletion of the exploited populations and, for those populations that are depleted, the fishery must be conducted in a manner that demonstrably leads to their recovery.</w:t>
      </w:r>
    </w:p>
    <w:p w14:paraId="558691B3" w14:textId="77777777" w:rsidR="00D22362" w:rsidRDefault="00D22362" w:rsidP="00203F2A">
      <w:pPr>
        <w:pStyle w:val="NoSpacing"/>
        <w:jc w:val="both"/>
      </w:pPr>
    </w:p>
    <w:p w14:paraId="2690596B" w14:textId="77777777" w:rsidR="00D22362" w:rsidRDefault="00D22362" w:rsidP="00203F2A">
      <w:pPr>
        <w:pStyle w:val="NoSpacing"/>
        <w:jc w:val="both"/>
      </w:pPr>
      <w:r>
        <w:t>PRINCIPLE # 2: Environmental impact of fishing</w:t>
      </w:r>
    </w:p>
    <w:p w14:paraId="0AC32C1A" w14:textId="77777777" w:rsidR="00D22362" w:rsidRDefault="00D22362" w:rsidP="00203F2A">
      <w:pPr>
        <w:pStyle w:val="NoSpacing"/>
        <w:ind w:left="708"/>
        <w:jc w:val="both"/>
      </w:pPr>
      <w:r>
        <w:t xml:space="preserve">Fishing operations should allow for the maintenance of the structure, productivity, function and diversity of the ecosystem (including habitat and associated dependent and ecologically related species) on which the fishery depends. </w:t>
      </w:r>
    </w:p>
    <w:p w14:paraId="7C7F86D5" w14:textId="77777777" w:rsidR="00D22362" w:rsidRDefault="00D22362" w:rsidP="00203F2A">
      <w:pPr>
        <w:pStyle w:val="NoSpacing"/>
        <w:jc w:val="both"/>
      </w:pPr>
    </w:p>
    <w:p w14:paraId="43648BB8" w14:textId="77777777" w:rsidR="00D22362" w:rsidRDefault="00D22362" w:rsidP="00203F2A">
      <w:pPr>
        <w:pStyle w:val="NoSpacing"/>
        <w:jc w:val="both"/>
      </w:pPr>
      <w:r>
        <w:t>PRINCIPLE # 3: Effective management</w:t>
      </w:r>
    </w:p>
    <w:p w14:paraId="0350F2E1" w14:textId="77777777" w:rsidR="00D22362" w:rsidRDefault="00D22362" w:rsidP="00203F2A">
      <w:pPr>
        <w:pStyle w:val="NoSpacing"/>
        <w:ind w:left="708"/>
        <w:jc w:val="both"/>
      </w:pPr>
      <w:r>
        <w:t>The fishery is subject to an effective management system that respects local, national and international laws and standards and incorporates institutional and operational frameworks that require use of the resource to be responsible and sustainable.</w:t>
      </w:r>
    </w:p>
    <w:p w14:paraId="53825DD4" w14:textId="77777777" w:rsidR="00D22362" w:rsidRDefault="00D22362" w:rsidP="00203F2A">
      <w:pPr>
        <w:pStyle w:val="NoSpacing"/>
        <w:jc w:val="both"/>
      </w:pPr>
    </w:p>
    <w:p w14:paraId="4B5681C8" w14:textId="77777777" w:rsidR="00D22362" w:rsidRDefault="00D22362" w:rsidP="00203F2A">
      <w:pPr>
        <w:pStyle w:val="NoSpacing"/>
        <w:jc w:val="both"/>
      </w:pPr>
      <w:r w:rsidRPr="0024745F">
        <w:rPr>
          <w:b/>
        </w:rPr>
        <w:t>As more regions and countries develop their tourism industry, it produces significant impacts on natural resources, natural environments and social systems</w:t>
      </w:r>
      <w:r>
        <w:rPr>
          <w:rStyle w:val="FootnoteReference"/>
        </w:rPr>
        <w:footnoteReference w:id="32"/>
      </w:r>
      <w:r>
        <w:t>. In 2000, t</w:t>
      </w:r>
      <w:r w:rsidRPr="00A47F4C">
        <w:t>he</w:t>
      </w:r>
      <w:r>
        <w:t xml:space="preserve"> so called</w:t>
      </w:r>
      <w:r w:rsidRPr="00A47F4C">
        <w:t xml:space="preserve"> </w:t>
      </w:r>
      <w:proofErr w:type="spellStart"/>
      <w:r w:rsidRPr="00A47F4C">
        <w:t>Mohonk</w:t>
      </w:r>
      <w:proofErr w:type="spellEnd"/>
      <w:r w:rsidRPr="00A47F4C">
        <w:t xml:space="preserve"> Agreement was developed among most of the world's important certification programs at that </w:t>
      </w:r>
      <w:proofErr w:type="gramStart"/>
      <w:r w:rsidRPr="00A47F4C">
        <w:t xml:space="preserve">time, </w:t>
      </w:r>
      <w:r>
        <w:t>and</w:t>
      </w:r>
      <w:proofErr w:type="gramEnd"/>
      <w:r>
        <w:t xml:space="preserve"> became the basis</w:t>
      </w:r>
      <w:r w:rsidRPr="00A47F4C">
        <w:t xml:space="preserve"> for the harmonization and development of a common baseline for sustainable tourism and ecotourism certification. It </w:t>
      </w:r>
      <w:r>
        <w:t>i</w:t>
      </w:r>
      <w:r w:rsidRPr="00A47F4C">
        <w:t>s the first consensus agreement that clearly differentiates between sustainable tourism, whose principles can be applied to any kind of tourism at any scale, and ecotourism, which is a subset of sustainable tourism with a clearly defined relationship with nature, conservation</w:t>
      </w:r>
      <w:r>
        <w:t xml:space="preserve"> and</w:t>
      </w:r>
      <w:r w:rsidRPr="00A47F4C">
        <w:t xml:space="preserve"> local culture.</w:t>
      </w:r>
      <w:r>
        <w:t xml:space="preserve"> </w:t>
      </w:r>
      <w:r w:rsidRPr="009E013C">
        <w:t>It has since served as a fundamental reference for the World Tourism Organizations</w:t>
      </w:r>
      <w:r>
        <w:t>’</w:t>
      </w:r>
      <w:r w:rsidRPr="009E013C">
        <w:t xml:space="preserve"> (UN-WTO) indicators for certification</w:t>
      </w:r>
      <w:r>
        <w:t xml:space="preserve"> </w:t>
      </w:r>
      <w:proofErr w:type="gramStart"/>
      <w:r>
        <w:t>and also</w:t>
      </w:r>
      <w:proofErr w:type="gramEnd"/>
      <w:r>
        <w:t xml:space="preserve"> forms </w:t>
      </w:r>
      <w:r w:rsidRPr="009E013C">
        <w:t xml:space="preserve">the baseline criteria for </w:t>
      </w:r>
      <w:r>
        <w:t xml:space="preserve">the Global </w:t>
      </w:r>
      <w:r w:rsidRPr="009E013C">
        <w:t>Sustainable Tourism Council.</w:t>
      </w:r>
      <w:r>
        <w:t xml:space="preserve"> </w:t>
      </w:r>
    </w:p>
    <w:p w14:paraId="50BDB87C" w14:textId="77777777" w:rsidR="00D22362" w:rsidRDefault="00D22362" w:rsidP="00203F2A">
      <w:pPr>
        <w:pStyle w:val="NoSpacing"/>
        <w:jc w:val="both"/>
      </w:pPr>
    </w:p>
    <w:p w14:paraId="195B5D4B" w14:textId="4DDA880F" w:rsidR="00D22362" w:rsidRDefault="00D22362" w:rsidP="00203F2A">
      <w:pPr>
        <w:pStyle w:val="NoSpacing"/>
        <w:jc w:val="both"/>
      </w:pPr>
      <w:r w:rsidRPr="00C432C4">
        <w:rPr>
          <w:b/>
        </w:rPr>
        <w:t>The Global Sustainable Tourism Council (GSTC)</w:t>
      </w:r>
      <w:r w:rsidRPr="0024745F">
        <w:rPr>
          <w:rStyle w:val="FootnoteReference"/>
        </w:rPr>
        <w:t xml:space="preserve"> </w:t>
      </w:r>
      <w:r>
        <w:rPr>
          <w:rStyle w:val="FootnoteReference"/>
        </w:rPr>
        <w:footnoteReference w:id="33"/>
      </w:r>
      <w:r w:rsidRPr="00C432C4">
        <w:rPr>
          <w:b/>
        </w:rPr>
        <w:t xml:space="preserve"> establishes and manages global sustainable </w:t>
      </w:r>
      <w:r>
        <w:rPr>
          <w:b/>
        </w:rPr>
        <w:t xml:space="preserve">tourism </w:t>
      </w:r>
      <w:r w:rsidRPr="00C432C4">
        <w:rPr>
          <w:b/>
        </w:rPr>
        <w:t>standards, known as the GSTC Criteria.</w:t>
      </w:r>
      <w:r w:rsidRPr="009E013C">
        <w:t xml:space="preserve"> There are two sets: Destination Criteria for public policy-makers and destination managers, and Industry Criteria for hotels and tour operators. These are the guiding principles and minimum requirements that any tourism business should aspire </w:t>
      </w:r>
      <w:proofErr w:type="gramStart"/>
      <w:r w:rsidRPr="009E013C">
        <w:t>in order to</w:t>
      </w:r>
      <w:proofErr w:type="gramEnd"/>
      <w:r w:rsidRPr="009E013C">
        <w:t xml:space="preserve"> protect and sustain the world’s natural and cultural resources, while ensuring tourism meets its potential as a tool for conservation and poverty alleviation.</w:t>
      </w:r>
      <w:r>
        <w:t xml:space="preserve"> </w:t>
      </w:r>
      <w:r w:rsidRPr="00C432C4">
        <w:t>proposed sub-</w:t>
      </w:r>
      <w:r>
        <w:t>projects</w:t>
      </w:r>
      <w:r w:rsidRPr="00C432C4">
        <w:t xml:space="preserve"> in the </w:t>
      </w:r>
      <w:r>
        <w:t>tourism sector</w:t>
      </w:r>
      <w:r w:rsidRPr="00C432C4">
        <w:t xml:space="preserve"> under the </w:t>
      </w:r>
      <w:r w:rsidR="00190610">
        <w:t>SCSD</w:t>
      </w:r>
      <w:r w:rsidRPr="00C432C4">
        <w:t xml:space="preserve"> Project should comply with the ‘spirit’ of the following principles:</w:t>
      </w:r>
    </w:p>
    <w:p w14:paraId="6116BD77" w14:textId="77777777" w:rsidR="00D22362" w:rsidRDefault="00D22362" w:rsidP="00203F2A">
      <w:pPr>
        <w:pStyle w:val="NoSpacing"/>
        <w:jc w:val="both"/>
      </w:pPr>
    </w:p>
    <w:p w14:paraId="406F796A" w14:textId="77777777" w:rsidR="00D22362" w:rsidRDefault="00D22362" w:rsidP="00203F2A">
      <w:pPr>
        <w:pStyle w:val="NoSpacing"/>
        <w:jc w:val="both"/>
      </w:pPr>
      <w:r>
        <w:t xml:space="preserve">PRINCIPLE # 2 - </w:t>
      </w:r>
      <w:r w:rsidRPr="00C432C4">
        <w:t xml:space="preserve">SECTION </w:t>
      </w:r>
      <w:r>
        <w:t>B</w:t>
      </w:r>
      <w:r w:rsidRPr="00C432C4">
        <w:t>:</w:t>
      </w:r>
    </w:p>
    <w:p w14:paraId="0F91A2AA" w14:textId="77777777" w:rsidR="00D22362" w:rsidRDefault="00D22362" w:rsidP="00203F2A">
      <w:pPr>
        <w:pStyle w:val="NoSpacing"/>
        <w:jc w:val="both"/>
      </w:pPr>
      <w:r>
        <w:t>Maximize social and economic benefits to the local community and minimize negative impacts.</w:t>
      </w:r>
    </w:p>
    <w:p w14:paraId="611A0E5A" w14:textId="77777777" w:rsidR="00D22362" w:rsidRDefault="00D22362" w:rsidP="00203F2A">
      <w:pPr>
        <w:pStyle w:val="NoSpacing"/>
        <w:jc w:val="both"/>
      </w:pPr>
    </w:p>
    <w:p w14:paraId="3FA56E2F" w14:textId="77777777" w:rsidR="00D22362" w:rsidRDefault="00D22362" w:rsidP="00203F2A">
      <w:pPr>
        <w:pStyle w:val="NoSpacing"/>
        <w:jc w:val="both"/>
      </w:pPr>
      <w:r>
        <w:t xml:space="preserve">PRINCIPLE # 3 - SECTION C: </w:t>
      </w:r>
    </w:p>
    <w:p w14:paraId="4880D299" w14:textId="77777777" w:rsidR="00D22362" w:rsidRDefault="00D22362" w:rsidP="00203F2A">
      <w:pPr>
        <w:pStyle w:val="NoSpacing"/>
        <w:jc w:val="both"/>
      </w:pPr>
      <w:r>
        <w:t>Maximize benefits to cultural heritage and minimize negative impacts.</w:t>
      </w:r>
    </w:p>
    <w:p w14:paraId="111C030A" w14:textId="77777777" w:rsidR="00D22362" w:rsidRPr="00A47F4C" w:rsidRDefault="00D22362" w:rsidP="00203F2A">
      <w:pPr>
        <w:pStyle w:val="NoSpacing"/>
        <w:jc w:val="both"/>
      </w:pPr>
    </w:p>
    <w:p w14:paraId="7AAD46BC" w14:textId="77777777" w:rsidR="00D22362" w:rsidRDefault="00D22362" w:rsidP="00203F2A">
      <w:pPr>
        <w:pStyle w:val="NoSpacing"/>
        <w:jc w:val="both"/>
      </w:pPr>
      <w:r>
        <w:t>PRINCIPLE # 4 - SECTION D:</w:t>
      </w:r>
    </w:p>
    <w:p w14:paraId="647F8BA9" w14:textId="77777777" w:rsidR="00D22362" w:rsidRDefault="00D22362" w:rsidP="00203F2A">
      <w:pPr>
        <w:pStyle w:val="NoSpacing"/>
        <w:jc w:val="both"/>
      </w:pPr>
      <w:r>
        <w:t>Maximize benefits to the environment and minimize negative impacts.</w:t>
      </w:r>
    </w:p>
    <w:p w14:paraId="0C1DCBDB" w14:textId="77777777" w:rsidR="00D22362" w:rsidRDefault="00D22362" w:rsidP="00203F2A">
      <w:pPr>
        <w:pStyle w:val="NoSpacing"/>
        <w:ind w:left="708"/>
        <w:jc w:val="both"/>
      </w:pPr>
      <w:r w:rsidRPr="0094256E">
        <w:t>D1 Conserving resources</w:t>
      </w:r>
      <w:r>
        <w:t>;</w:t>
      </w:r>
    </w:p>
    <w:p w14:paraId="6E2254E4" w14:textId="77777777" w:rsidR="00D22362" w:rsidRDefault="00D22362" w:rsidP="00203F2A">
      <w:pPr>
        <w:pStyle w:val="NoSpacing"/>
        <w:ind w:left="708"/>
        <w:jc w:val="both"/>
      </w:pPr>
      <w:r w:rsidRPr="0094256E">
        <w:t>D2 Reducing pollution</w:t>
      </w:r>
      <w:r>
        <w:t>;</w:t>
      </w:r>
    </w:p>
    <w:p w14:paraId="361FA1D8" w14:textId="77777777" w:rsidR="00D22362" w:rsidRDefault="00D22362" w:rsidP="00203F2A">
      <w:pPr>
        <w:pStyle w:val="NoSpacing"/>
        <w:ind w:left="708"/>
        <w:jc w:val="both"/>
      </w:pPr>
      <w:r w:rsidRPr="0094256E">
        <w:t>D3 Conserving biodiversity, ecosystems and landscapes</w:t>
      </w:r>
      <w:r>
        <w:t>.</w:t>
      </w:r>
    </w:p>
    <w:p w14:paraId="7690AE69" w14:textId="77777777" w:rsidR="00D22362" w:rsidRDefault="00D22362" w:rsidP="00203F2A">
      <w:pPr>
        <w:pStyle w:val="NoSpacing"/>
        <w:jc w:val="both"/>
      </w:pPr>
    </w:p>
    <w:p w14:paraId="277FF545" w14:textId="7A09C180" w:rsidR="00D22362" w:rsidRDefault="00D22362" w:rsidP="00203F2A">
      <w:pPr>
        <w:pStyle w:val="NoSpacing"/>
        <w:jc w:val="both"/>
      </w:pPr>
      <w:r w:rsidRPr="00F86269">
        <w:rPr>
          <w:b/>
        </w:rPr>
        <w:t xml:space="preserve">Although all three abovementioned ‘best practices’ and certification schemes are voluntary based, all sub-project activities under the </w:t>
      </w:r>
      <w:r w:rsidR="00D14173">
        <w:rPr>
          <w:b/>
        </w:rPr>
        <w:t>SCSD</w:t>
      </w:r>
      <w:r w:rsidRPr="00F86269">
        <w:rPr>
          <w:b/>
        </w:rPr>
        <w:t xml:space="preserve"> Project should be in the spirit </w:t>
      </w:r>
      <w:r>
        <w:rPr>
          <w:b/>
        </w:rPr>
        <w:t>o</w:t>
      </w:r>
      <w:r w:rsidRPr="00F86269">
        <w:rPr>
          <w:b/>
        </w:rPr>
        <w:t>f these guidelines.</w:t>
      </w:r>
      <w:r>
        <w:t xml:space="preserve"> For the evaluation of sub-project proposals and the proposed mitigating and monitoring actions these principles will apply. </w:t>
      </w:r>
    </w:p>
    <w:p w14:paraId="72F12D1B" w14:textId="77777777" w:rsidR="00D22362" w:rsidRDefault="00D22362" w:rsidP="00203F2A">
      <w:pPr>
        <w:pStyle w:val="NoSpacing"/>
        <w:jc w:val="both"/>
      </w:pPr>
    </w:p>
    <w:p w14:paraId="295C6B3B" w14:textId="77777777" w:rsidR="00D22362" w:rsidRDefault="00D22362" w:rsidP="00203F2A">
      <w:pPr>
        <w:pStyle w:val="NoSpacing"/>
        <w:jc w:val="both"/>
      </w:pPr>
      <w:r w:rsidRPr="000A40ED">
        <w:rPr>
          <w:b/>
        </w:rPr>
        <w:t xml:space="preserve">Related to OP 4.11 dealing with ‘Physical Cultural Resources’ a Chance Finds procedure is </w:t>
      </w:r>
      <w:r w:rsidRPr="00E6405D">
        <w:rPr>
          <w:b/>
        </w:rPr>
        <w:t>proposed.</w:t>
      </w:r>
      <w:r w:rsidRPr="00E6405D">
        <w:t xml:space="preserve"> This procedure in included in Annex 3 of this document.</w:t>
      </w:r>
    </w:p>
    <w:p w14:paraId="598A8B2D" w14:textId="77777777" w:rsidR="00D22362" w:rsidRDefault="00D22362" w:rsidP="00203F2A">
      <w:pPr>
        <w:pStyle w:val="NoSpacing"/>
        <w:jc w:val="both"/>
      </w:pPr>
    </w:p>
    <w:p w14:paraId="330A27E6" w14:textId="365DC8C9" w:rsidR="00D22362" w:rsidRPr="0060528F" w:rsidRDefault="00D22362" w:rsidP="00203F2A">
      <w:pPr>
        <w:pStyle w:val="NoSpacing"/>
        <w:jc w:val="both"/>
      </w:pPr>
      <w:r w:rsidRPr="000A40ED">
        <w:rPr>
          <w:b/>
        </w:rPr>
        <w:t>Related to OP 4.1</w:t>
      </w:r>
      <w:r>
        <w:rPr>
          <w:b/>
        </w:rPr>
        <w:t>2</w:t>
      </w:r>
      <w:r w:rsidRPr="000A40ED">
        <w:rPr>
          <w:b/>
        </w:rPr>
        <w:t xml:space="preserve"> dealing with ‘Involuntary Resettlement’ a </w:t>
      </w:r>
      <w:r>
        <w:rPr>
          <w:b/>
        </w:rPr>
        <w:t>R</w:t>
      </w:r>
      <w:r w:rsidRPr="000A40ED">
        <w:rPr>
          <w:b/>
        </w:rPr>
        <w:t xml:space="preserve">esettlement </w:t>
      </w:r>
      <w:r>
        <w:rPr>
          <w:b/>
        </w:rPr>
        <w:t>Policy F</w:t>
      </w:r>
      <w:r w:rsidRPr="000A40ED">
        <w:rPr>
          <w:b/>
        </w:rPr>
        <w:t xml:space="preserve">ramework </w:t>
      </w:r>
      <w:r>
        <w:rPr>
          <w:b/>
        </w:rPr>
        <w:t xml:space="preserve">(RPF) </w:t>
      </w:r>
      <w:r w:rsidRPr="000A40ED">
        <w:rPr>
          <w:b/>
        </w:rPr>
        <w:t>is proposed</w:t>
      </w:r>
      <w:r>
        <w:rPr>
          <w:rStyle w:val="FootnoteReference"/>
          <w:b/>
        </w:rPr>
        <w:footnoteReference w:id="34"/>
      </w:r>
      <w:r w:rsidRPr="000A40ED">
        <w:rPr>
          <w:b/>
        </w:rPr>
        <w:t>.</w:t>
      </w:r>
      <w:r>
        <w:t xml:space="preserve"> </w:t>
      </w:r>
      <w:r w:rsidRPr="0060528F">
        <w:t xml:space="preserve">This </w:t>
      </w:r>
      <w:r>
        <w:t>RPF has been prepared as a separate safeguard document</w:t>
      </w:r>
      <w:r>
        <w:rPr>
          <w:rStyle w:val="FootnoteReference"/>
        </w:rPr>
        <w:footnoteReference w:id="35"/>
      </w:r>
      <w:r>
        <w:t>.</w:t>
      </w:r>
      <w:r w:rsidRPr="0060528F">
        <w:t xml:space="preserve"> </w:t>
      </w:r>
    </w:p>
    <w:p w14:paraId="27A96145" w14:textId="77777777" w:rsidR="00D22362" w:rsidRDefault="00D22362" w:rsidP="00203F2A">
      <w:pPr>
        <w:pStyle w:val="NoSpacing"/>
        <w:jc w:val="both"/>
      </w:pPr>
    </w:p>
    <w:p w14:paraId="28056F2E" w14:textId="77777777" w:rsidR="00D22362" w:rsidRPr="0060528F" w:rsidRDefault="00D22362" w:rsidP="00203F2A">
      <w:pPr>
        <w:pStyle w:val="NoSpacing"/>
        <w:jc w:val="both"/>
      </w:pPr>
      <w:r w:rsidRPr="00280F82">
        <w:rPr>
          <w:b/>
        </w:rPr>
        <w:t>Related to OP 4.10 dealing with ‘Indigenous People’ a separate Indigenous and Tribal Peoples Planning Framework (ITPPF) is proposed.</w:t>
      </w:r>
      <w:r>
        <w:t xml:space="preserve"> This framework however is not within the scope of the ESMF; it is presented in an additional safeguards document</w:t>
      </w:r>
      <w:r w:rsidRPr="0060528F">
        <w:t>.</w:t>
      </w:r>
    </w:p>
    <w:p w14:paraId="73870CC0" w14:textId="77777777" w:rsidR="00D22362" w:rsidRDefault="00D22362" w:rsidP="00203F2A">
      <w:pPr>
        <w:pStyle w:val="NoSpacing"/>
        <w:jc w:val="both"/>
        <w:rPr>
          <w:highlight w:val="yellow"/>
        </w:rPr>
      </w:pPr>
    </w:p>
    <w:p w14:paraId="1F01282C" w14:textId="1F65E19B" w:rsidR="00D22362" w:rsidRDefault="00D22362" w:rsidP="00203F2A">
      <w:pPr>
        <w:pStyle w:val="NoSpacing"/>
        <w:jc w:val="both"/>
      </w:pPr>
      <w:r w:rsidRPr="002B3B49">
        <w:t xml:space="preserve">Because the </w:t>
      </w:r>
      <w:r w:rsidR="00190610">
        <w:t>SCSD</w:t>
      </w:r>
      <w:r w:rsidRPr="002B3B49">
        <w:t xml:space="preserve"> Project has a strong focus on supporting agricultural development related to and enhancing </w:t>
      </w:r>
      <w:r>
        <w:t xml:space="preserve">of </w:t>
      </w:r>
      <w:r w:rsidRPr="002B3B49">
        <w:t xml:space="preserve">private investments and sector diversification, </w:t>
      </w:r>
      <w:r w:rsidRPr="002B3B49">
        <w:rPr>
          <w:b/>
        </w:rPr>
        <w:t>the WBG Operational Policy (OP) 4.09, dealing with Pest (and disease) Management in agriculture, requires specific a</w:t>
      </w:r>
      <w:r>
        <w:rPr>
          <w:b/>
        </w:rPr>
        <w:t xml:space="preserve">ttention; it </w:t>
      </w:r>
      <w:r w:rsidRPr="002B3B49">
        <w:rPr>
          <w:b/>
        </w:rPr>
        <w:t xml:space="preserve">will be </w:t>
      </w:r>
      <w:r w:rsidRPr="00E6405D">
        <w:rPr>
          <w:b/>
        </w:rPr>
        <w:t>dealt with in the following section</w:t>
      </w:r>
      <w:r w:rsidRPr="00E6405D">
        <w:t xml:space="preserve"> of this document (Section 8).</w:t>
      </w:r>
    </w:p>
    <w:p w14:paraId="0A6EF4BB" w14:textId="11756E08" w:rsidR="00D22362" w:rsidRDefault="00D22362" w:rsidP="00203F2A">
      <w:pPr>
        <w:pStyle w:val="NoSpacing"/>
        <w:jc w:val="both"/>
      </w:pPr>
    </w:p>
    <w:p w14:paraId="5DAF6E1E" w14:textId="0A38AA6B" w:rsidR="00D22362" w:rsidRDefault="00D22362" w:rsidP="00203F2A">
      <w:pPr>
        <w:pStyle w:val="NoSpacing"/>
        <w:jc w:val="both"/>
      </w:pPr>
      <w:r w:rsidRPr="002B3B49">
        <w:rPr>
          <w:noProof/>
          <w:lang w:val="en-US"/>
        </w:rPr>
        <w:drawing>
          <wp:anchor distT="0" distB="0" distL="114300" distR="114300" simplePos="0" relativeHeight="251675648" behindDoc="0" locked="0" layoutInCell="1" allowOverlap="1" wp14:anchorId="74AC58A3" wp14:editId="23C8EEB6">
            <wp:simplePos x="0" y="0"/>
            <wp:positionH relativeFrom="margin">
              <wp:posOffset>2845435</wp:posOffset>
            </wp:positionH>
            <wp:positionV relativeFrom="paragraph">
              <wp:posOffset>121285</wp:posOffset>
            </wp:positionV>
            <wp:extent cx="2915285" cy="1724025"/>
            <wp:effectExtent l="0" t="0" r="0" b="9525"/>
            <wp:wrapSquare wrapText="bothSides"/>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28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B49">
        <w:t>Finally</w:t>
      </w:r>
      <w:r w:rsidR="00673B95">
        <w:t xml:space="preserve">, </w:t>
      </w:r>
      <w:r w:rsidR="00673B95" w:rsidRPr="00673B95">
        <w:rPr>
          <w:b/>
        </w:rPr>
        <w:t>w</w:t>
      </w:r>
      <w:r w:rsidRPr="00673B95">
        <w:rPr>
          <w:b/>
        </w:rPr>
        <w:t xml:space="preserve">orkers and other persons that might be engaged in and affected by the works related to implementation, construction, maintenance and operations of </w:t>
      </w:r>
      <w:r w:rsidR="00190610">
        <w:rPr>
          <w:b/>
        </w:rPr>
        <w:t>SCSD</w:t>
      </w:r>
      <w:r w:rsidRPr="00673B95">
        <w:rPr>
          <w:b/>
        </w:rPr>
        <w:t xml:space="preserve"> sub-project activities should adhere to a pre-defined set of ‘Safety and Health’ regulations.</w:t>
      </w:r>
      <w:r>
        <w:t xml:space="preserve"> These regulations all aim to eliminate or minimize the potential </w:t>
      </w:r>
      <w:r w:rsidR="00673B95">
        <w:t>adverse</w:t>
      </w:r>
      <w:r>
        <w:t xml:space="preserve"> impact of these works on human health and safety.</w:t>
      </w:r>
    </w:p>
    <w:p w14:paraId="2E2059FA" w14:textId="3126EC7D" w:rsidR="00D22362" w:rsidRPr="00DE4CBB" w:rsidRDefault="00D22362" w:rsidP="00203F2A">
      <w:pPr>
        <w:pStyle w:val="NoSpacing"/>
        <w:jc w:val="both"/>
      </w:pPr>
      <w:r w:rsidRPr="002B3B49">
        <w:t>All proposed mitigating actions aiming at healthy and safe working conditions should be selected, prioritised and implemented according the Hierarchy of Controls</w:t>
      </w:r>
      <w:r>
        <w:t>.</w:t>
      </w:r>
    </w:p>
    <w:p w14:paraId="2A28A6EF" w14:textId="39DB3A0A" w:rsidR="00D22362" w:rsidRDefault="00D22362" w:rsidP="00203F2A">
      <w:pPr>
        <w:pStyle w:val="NoSpacing"/>
        <w:jc w:val="both"/>
      </w:pPr>
    </w:p>
    <w:p w14:paraId="15FE8258" w14:textId="0239D752" w:rsidR="00124E08" w:rsidRDefault="00810C1C" w:rsidP="00203F2A">
      <w:pPr>
        <w:pStyle w:val="NoSpacing"/>
        <w:jc w:val="both"/>
      </w:pPr>
      <w:r w:rsidRPr="00673B95">
        <w:rPr>
          <w:b/>
        </w:rPr>
        <w:t xml:space="preserve">Measures relating to </w:t>
      </w:r>
      <w:r w:rsidR="00673B95" w:rsidRPr="00673B95">
        <w:rPr>
          <w:b/>
        </w:rPr>
        <w:t>O</w:t>
      </w:r>
      <w:r w:rsidRPr="00673B95">
        <w:rPr>
          <w:b/>
        </w:rPr>
        <w:t xml:space="preserve">ccupational </w:t>
      </w:r>
      <w:r w:rsidR="00673B95" w:rsidRPr="00673B95">
        <w:rPr>
          <w:b/>
        </w:rPr>
        <w:t>H</w:t>
      </w:r>
      <w:r w:rsidRPr="00673B95">
        <w:rPr>
          <w:b/>
        </w:rPr>
        <w:t xml:space="preserve">ealth and </w:t>
      </w:r>
      <w:r w:rsidR="00673B95" w:rsidRPr="00673B95">
        <w:rPr>
          <w:b/>
        </w:rPr>
        <w:t>S</w:t>
      </w:r>
      <w:r w:rsidRPr="00673B95">
        <w:rPr>
          <w:b/>
        </w:rPr>
        <w:t xml:space="preserve">afety </w:t>
      </w:r>
      <w:r w:rsidR="00673B95" w:rsidRPr="00673B95">
        <w:rPr>
          <w:b/>
        </w:rPr>
        <w:t xml:space="preserve">(OHS) </w:t>
      </w:r>
      <w:r w:rsidRPr="00673B95">
        <w:rPr>
          <w:b/>
        </w:rPr>
        <w:t xml:space="preserve">will be applied to the </w:t>
      </w:r>
      <w:r w:rsidR="00673B95" w:rsidRPr="00673B95">
        <w:rPr>
          <w:b/>
        </w:rPr>
        <w:t>P</w:t>
      </w:r>
      <w:r w:rsidRPr="00673B95">
        <w:rPr>
          <w:b/>
        </w:rPr>
        <w:t>roject</w:t>
      </w:r>
      <w:r w:rsidR="00DC733B">
        <w:rPr>
          <w:rStyle w:val="FootnoteReference"/>
          <w:b/>
        </w:rPr>
        <w:footnoteReference w:id="36"/>
      </w:r>
      <w:r w:rsidRPr="00673B95">
        <w:rPr>
          <w:b/>
        </w:rPr>
        <w:t>.</w:t>
      </w:r>
      <w:r>
        <w:t xml:space="preserve"> The OHS measures applying to the </w:t>
      </w:r>
      <w:r w:rsidR="00673B95">
        <w:t>P</w:t>
      </w:r>
      <w:r>
        <w:t xml:space="preserve">roject </w:t>
      </w:r>
      <w:r w:rsidR="00673B95">
        <w:t xml:space="preserve">and each sub-project under it, </w:t>
      </w:r>
      <w:r>
        <w:t>will be set out in the legal agreement</w:t>
      </w:r>
      <w:r w:rsidR="00673B95">
        <w:t xml:space="preserve"> as part of the bidding process. </w:t>
      </w:r>
      <w:r>
        <w:t>The OHS measures will be designed and implemented to address:</w:t>
      </w:r>
    </w:p>
    <w:p w14:paraId="19272F2C" w14:textId="516FDF9D" w:rsidR="00124E08" w:rsidRDefault="00124E08" w:rsidP="00203F2A">
      <w:pPr>
        <w:pStyle w:val="NoSpacing"/>
        <w:numPr>
          <w:ilvl w:val="0"/>
          <w:numId w:val="38"/>
        </w:numPr>
        <w:jc w:val="both"/>
      </w:pPr>
      <w:r>
        <w:t>I</w:t>
      </w:r>
      <w:r w:rsidR="00810C1C">
        <w:t>dentification of potential hazards to project workers;</w:t>
      </w:r>
    </w:p>
    <w:p w14:paraId="6C6E1568" w14:textId="46D0BD8A" w:rsidR="00124E08" w:rsidRDefault="00124E08" w:rsidP="00203F2A">
      <w:pPr>
        <w:pStyle w:val="NoSpacing"/>
        <w:numPr>
          <w:ilvl w:val="0"/>
          <w:numId w:val="38"/>
        </w:numPr>
        <w:jc w:val="both"/>
      </w:pPr>
      <w:r>
        <w:t>P</w:t>
      </w:r>
      <w:r w:rsidR="00810C1C">
        <w:t>rovision of preventive and protective measures, including modification, substitution, or elimination of hazardous conditions or substances;</w:t>
      </w:r>
    </w:p>
    <w:p w14:paraId="30B88E14" w14:textId="2833B981" w:rsidR="00124E08" w:rsidRDefault="00124E08" w:rsidP="00203F2A">
      <w:pPr>
        <w:pStyle w:val="NoSpacing"/>
        <w:numPr>
          <w:ilvl w:val="0"/>
          <w:numId w:val="38"/>
        </w:numPr>
        <w:jc w:val="both"/>
      </w:pPr>
      <w:r>
        <w:t>T</w:t>
      </w:r>
      <w:r w:rsidR="00810C1C">
        <w:t>raining of project workers and maintenance of training records;</w:t>
      </w:r>
    </w:p>
    <w:p w14:paraId="5A4516AB" w14:textId="7EC1DCE7" w:rsidR="00124E08" w:rsidRDefault="00124E08" w:rsidP="00203F2A">
      <w:pPr>
        <w:pStyle w:val="NoSpacing"/>
        <w:numPr>
          <w:ilvl w:val="0"/>
          <w:numId w:val="38"/>
        </w:numPr>
        <w:jc w:val="both"/>
      </w:pPr>
      <w:r>
        <w:t>D</w:t>
      </w:r>
      <w:r w:rsidR="00810C1C">
        <w:t>ocumentation and reporting of occupational accidents, diseases and incidents;</w:t>
      </w:r>
    </w:p>
    <w:p w14:paraId="7D7F2183" w14:textId="55AD4202" w:rsidR="00124E08" w:rsidRDefault="00124E08" w:rsidP="00203F2A">
      <w:pPr>
        <w:pStyle w:val="NoSpacing"/>
        <w:numPr>
          <w:ilvl w:val="0"/>
          <w:numId w:val="38"/>
        </w:numPr>
        <w:jc w:val="both"/>
      </w:pPr>
      <w:r>
        <w:t>E</w:t>
      </w:r>
      <w:r w:rsidR="00810C1C">
        <w:t>mergency prevention and preparedness and response arrangements to emergency situations; and</w:t>
      </w:r>
    </w:p>
    <w:p w14:paraId="4927CB41" w14:textId="4DF73BDE" w:rsidR="0082309E" w:rsidRDefault="00124E08" w:rsidP="00203F2A">
      <w:pPr>
        <w:pStyle w:val="NoSpacing"/>
        <w:numPr>
          <w:ilvl w:val="0"/>
          <w:numId w:val="38"/>
        </w:numPr>
        <w:jc w:val="both"/>
      </w:pPr>
      <w:r>
        <w:t>R</w:t>
      </w:r>
      <w:r w:rsidR="00810C1C">
        <w:t>emedies for adverse impacts such as occupational injuries, deaths, disability and disease.</w:t>
      </w:r>
      <w:r w:rsidR="0082309E">
        <w:t xml:space="preserve"> </w:t>
      </w:r>
    </w:p>
    <w:p w14:paraId="52C4DC73" w14:textId="77777777" w:rsidR="001464DD" w:rsidRDefault="001464DD" w:rsidP="00203F2A">
      <w:pPr>
        <w:pStyle w:val="NoSpacing"/>
        <w:jc w:val="both"/>
      </w:pPr>
    </w:p>
    <w:p w14:paraId="293E6FC5" w14:textId="213E9404" w:rsidR="006C0A07" w:rsidRDefault="001464DD" w:rsidP="00203F2A">
      <w:pPr>
        <w:pStyle w:val="NoSpacing"/>
        <w:jc w:val="both"/>
      </w:pPr>
      <w:r w:rsidRPr="001464DD">
        <w:rPr>
          <w:b/>
        </w:rPr>
        <w:t xml:space="preserve">Sub-project applicants / contractors </w:t>
      </w:r>
      <w:r w:rsidR="00673B95" w:rsidRPr="001464DD">
        <w:rPr>
          <w:b/>
        </w:rPr>
        <w:t>who employ or engage workers will develop and implement procedures to establish and maintain a safe working environment,</w:t>
      </w:r>
      <w:r w:rsidR="00673B95">
        <w:t xml:space="preserve"> including that workplaces, machinery, equipment and processes under their control are safe and without risk to health. </w:t>
      </w:r>
      <w:r w:rsidR="0082309E">
        <w:t xml:space="preserve">All parties </w:t>
      </w:r>
      <w:r w:rsidR="00673B95">
        <w:t xml:space="preserve">will actively collaborate for implementation of OHS requirements, training on occupational safety and health, and provision </w:t>
      </w:r>
      <w:r w:rsidR="00124E08">
        <w:t xml:space="preserve">and use </w:t>
      </w:r>
      <w:r w:rsidR="00673B95">
        <w:t>of personal protective equipment without expense to the project workers.</w:t>
      </w:r>
    </w:p>
    <w:p w14:paraId="6235B2A6" w14:textId="41136D23" w:rsidR="00673B95" w:rsidRDefault="00673B95" w:rsidP="00203F2A">
      <w:pPr>
        <w:pStyle w:val="NoSpacing"/>
        <w:jc w:val="both"/>
      </w:pPr>
    </w:p>
    <w:p w14:paraId="33FAC963" w14:textId="742ABFA4" w:rsidR="0082309E" w:rsidRDefault="00673B95" w:rsidP="00203F2A">
      <w:pPr>
        <w:pStyle w:val="NoSpacing"/>
        <w:jc w:val="both"/>
      </w:pPr>
      <w:r w:rsidRPr="001464DD">
        <w:rPr>
          <w:b/>
        </w:rPr>
        <w:t xml:space="preserve">A system for regular review of </w:t>
      </w:r>
      <w:r w:rsidR="0082309E" w:rsidRPr="001464DD">
        <w:rPr>
          <w:b/>
        </w:rPr>
        <w:t>OSH</w:t>
      </w:r>
      <w:r w:rsidRPr="001464DD">
        <w:rPr>
          <w:b/>
        </w:rPr>
        <w:t xml:space="preserve"> performance and the working environment will be put in place</w:t>
      </w:r>
      <w:r>
        <w:t xml:space="preserve"> and include identification of safety and health hazards and risks, implementation of effective methods for responding to identified hazards and risks, setting priorities for </w:t>
      </w:r>
      <w:proofErr w:type="gramStart"/>
      <w:r>
        <w:t>taking action</w:t>
      </w:r>
      <w:proofErr w:type="gramEnd"/>
      <w:r>
        <w:t xml:space="preserve">, and evaluation of results. </w:t>
      </w:r>
      <w:r w:rsidR="00124E08">
        <w:t xml:space="preserve">Bi-annual OSH performance reports will be prepared by the contractor and submitted for review and approval to the MTIT/PIU. </w:t>
      </w:r>
    </w:p>
    <w:p w14:paraId="7CDD3BE0" w14:textId="77777777" w:rsidR="0082309E" w:rsidRDefault="0082309E" w:rsidP="00203F2A">
      <w:pPr>
        <w:pStyle w:val="NoSpacing"/>
        <w:jc w:val="both"/>
      </w:pPr>
    </w:p>
    <w:p w14:paraId="214EA199" w14:textId="0C6F7DB8" w:rsidR="00673B95" w:rsidRDefault="00673B95" w:rsidP="00203F2A">
      <w:pPr>
        <w:pStyle w:val="NoSpacing"/>
        <w:jc w:val="both"/>
      </w:pPr>
      <w:r w:rsidRPr="009B59D0">
        <w:rPr>
          <w:b/>
        </w:rPr>
        <w:t xml:space="preserve">The </w:t>
      </w:r>
      <w:r w:rsidR="001464DD" w:rsidRPr="009B59D0">
        <w:rPr>
          <w:b/>
        </w:rPr>
        <w:t xml:space="preserve">MTIT/PIU </w:t>
      </w:r>
      <w:r w:rsidRPr="009B59D0">
        <w:rPr>
          <w:b/>
        </w:rPr>
        <w:t>will make reasonable efforts to ascertain that third parties who engage contracted workers are legitimate and reliable entities</w:t>
      </w:r>
      <w:r>
        <w:t xml:space="preserve"> and have in place </w:t>
      </w:r>
      <w:r w:rsidR="001464DD">
        <w:t>labour</w:t>
      </w:r>
      <w:r>
        <w:t xml:space="preserve"> management procedures applicable to the </w:t>
      </w:r>
      <w:r w:rsidR="009B59D0">
        <w:t xml:space="preserve">Project and all envisioned </w:t>
      </w:r>
      <w:r w:rsidR="001464DD">
        <w:t>sub-</w:t>
      </w:r>
      <w:r>
        <w:t xml:space="preserve">project </w:t>
      </w:r>
      <w:r w:rsidR="009B59D0">
        <w:t xml:space="preserve">activities </w:t>
      </w:r>
      <w:r>
        <w:t xml:space="preserve">that will allow them to operate in accordance with </w:t>
      </w:r>
      <w:r w:rsidR="00DC733B">
        <w:t xml:space="preserve">Suriname’s legal </w:t>
      </w:r>
      <w:r>
        <w:t xml:space="preserve">requirements </w:t>
      </w:r>
      <w:r w:rsidR="00DC733B">
        <w:t xml:space="preserve">and the WBG </w:t>
      </w:r>
      <w:r w:rsidR="009B59D0">
        <w:t>standards on OSH. The Project</w:t>
      </w:r>
      <w:r>
        <w:t xml:space="preserve"> will incorporate the</w:t>
      </w:r>
      <w:r w:rsidR="009B59D0">
        <w:t>se</w:t>
      </w:r>
      <w:r>
        <w:t xml:space="preserve"> </w:t>
      </w:r>
      <w:r w:rsidR="009B59D0">
        <w:t xml:space="preserve">OHS </w:t>
      </w:r>
      <w:r>
        <w:t xml:space="preserve">requirements into contractual agreements with </w:t>
      </w:r>
      <w:r w:rsidR="009B59D0">
        <w:t>contractors</w:t>
      </w:r>
      <w:r>
        <w:t>, together with appropriate non</w:t>
      </w:r>
      <w:r w:rsidR="009B59D0">
        <w:t>-</w:t>
      </w:r>
      <w:r>
        <w:t>compliance remedies.</w:t>
      </w:r>
    </w:p>
    <w:p w14:paraId="3B8907A5" w14:textId="12F71E2F" w:rsidR="006C0A07" w:rsidRDefault="006C0A07" w:rsidP="00203F2A">
      <w:pPr>
        <w:pStyle w:val="NoSpacing"/>
        <w:jc w:val="both"/>
      </w:pPr>
    </w:p>
    <w:p w14:paraId="2D4DB15D" w14:textId="77777777" w:rsidR="006C0A07" w:rsidRDefault="006C0A07" w:rsidP="00203F2A">
      <w:pPr>
        <w:pStyle w:val="NoSpacing"/>
        <w:jc w:val="both"/>
      </w:pPr>
    </w:p>
    <w:p w14:paraId="0A969F5E" w14:textId="4F6C9158" w:rsidR="006C0A07" w:rsidRDefault="006C0A07" w:rsidP="00203F2A">
      <w:pPr>
        <w:pStyle w:val="NoSpacing"/>
        <w:jc w:val="both"/>
      </w:pPr>
    </w:p>
    <w:p w14:paraId="7498F3DD" w14:textId="5E30672C" w:rsidR="00D22362" w:rsidRDefault="00D22362" w:rsidP="00203F2A">
      <w:pPr>
        <w:pStyle w:val="NoSpacing"/>
        <w:jc w:val="both"/>
      </w:pPr>
      <w:r>
        <w:t xml:space="preserve">In Table </w:t>
      </w:r>
      <w:r w:rsidR="00BE1A79">
        <w:t>5</w:t>
      </w:r>
      <w:r>
        <w:t xml:space="preserve"> all at this stage of </w:t>
      </w:r>
      <w:r w:rsidR="00190610">
        <w:t>SCSD</w:t>
      </w:r>
      <w:r>
        <w:t xml:space="preserve"> Project preparation, for all identified categories of </w:t>
      </w:r>
      <w:r w:rsidR="00190610">
        <w:t>SCSD</w:t>
      </w:r>
      <w:r>
        <w:t xml:space="preserve"> Project interventions and support, </w:t>
      </w:r>
      <w:r w:rsidR="009F6ED1">
        <w:t>and associated</w:t>
      </w:r>
      <w:r>
        <w:t xml:space="preserve"> potential environmental and social impacts at a Substantial / Moderate level, suggestions for mitigating actions are proposed, thus providing a kind of guidance for the design of the ESMP.</w:t>
      </w:r>
    </w:p>
    <w:p w14:paraId="2A1D40AE" w14:textId="77777777" w:rsidR="00BE1A79" w:rsidRDefault="00BE1A79" w:rsidP="00203F2A">
      <w:pPr>
        <w:pStyle w:val="NoSpacing"/>
        <w:jc w:val="both"/>
        <w:rPr>
          <w:b/>
        </w:rPr>
      </w:pPr>
    </w:p>
    <w:p w14:paraId="387E99AF" w14:textId="4BB64260" w:rsidR="00D22362" w:rsidRPr="00E6405D" w:rsidRDefault="00D22362" w:rsidP="00203F2A">
      <w:pPr>
        <w:pStyle w:val="NoSpacing"/>
        <w:jc w:val="both"/>
        <w:rPr>
          <w:b/>
        </w:rPr>
      </w:pPr>
      <w:r w:rsidRPr="00E6405D">
        <w:rPr>
          <w:b/>
        </w:rPr>
        <w:t>Table</w:t>
      </w:r>
      <w:r w:rsidR="00BE1A79">
        <w:rPr>
          <w:b/>
        </w:rPr>
        <w:t xml:space="preserve"> 5</w:t>
      </w:r>
      <w:r w:rsidRPr="00E6405D">
        <w:rPr>
          <w:b/>
        </w:rPr>
        <w:t xml:space="preserve">: Examples of </w:t>
      </w:r>
      <w:r w:rsidR="00115B0D">
        <w:rPr>
          <w:b/>
        </w:rPr>
        <w:t>M</w:t>
      </w:r>
      <w:r w:rsidRPr="00E6405D">
        <w:rPr>
          <w:b/>
        </w:rPr>
        <w:t xml:space="preserve">itigating </w:t>
      </w:r>
      <w:r w:rsidR="00115B0D">
        <w:rPr>
          <w:b/>
        </w:rPr>
        <w:t>A</w:t>
      </w:r>
      <w:r w:rsidRPr="00E6405D">
        <w:rPr>
          <w:b/>
        </w:rPr>
        <w:t>ctions</w:t>
      </w:r>
    </w:p>
    <w:p w14:paraId="6BDAB3A6" w14:textId="77777777" w:rsidR="00D22362" w:rsidRDefault="00D22362" w:rsidP="00203F2A">
      <w:pPr>
        <w:pStyle w:val="NoSpacing"/>
        <w:jc w:val="both"/>
      </w:pPr>
    </w:p>
    <w:tbl>
      <w:tblPr>
        <w:tblStyle w:val="TableGrid"/>
        <w:tblW w:w="9493" w:type="dxa"/>
        <w:tblLook w:val="04A0" w:firstRow="1" w:lastRow="0" w:firstColumn="1" w:lastColumn="0" w:noHBand="0" w:noVBand="1"/>
      </w:tblPr>
      <w:tblGrid>
        <w:gridCol w:w="1525"/>
        <w:gridCol w:w="2430"/>
        <w:gridCol w:w="1198"/>
        <w:gridCol w:w="4340"/>
      </w:tblGrid>
      <w:tr w:rsidR="00D22362" w:rsidRPr="001132F8" w14:paraId="724111A2" w14:textId="77777777" w:rsidTr="007E4EB7">
        <w:trPr>
          <w:tblHeader/>
        </w:trPr>
        <w:tc>
          <w:tcPr>
            <w:tcW w:w="1525" w:type="dxa"/>
            <w:shd w:val="clear" w:color="auto" w:fill="D9D9D9" w:themeFill="background1" w:themeFillShade="D9"/>
          </w:tcPr>
          <w:p w14:paraId="402AE8C8" w14:textId="5FDFDBDD" w:rsidR="00D22362" w:rsidRPr="001132F8" w:rsidRDefault="00D22362" w:rsidP="007E4EB7">
            <w:pPr>
              <w:pStyle w:val="NoSpacing"/>
              <w:rPr>
                <w:b/>
                <w:sz w:val="20"/>
                <w:szCs w:val="20"/>
              </w:rPr>
            </w:pPr>
            <w:r w:rsidRPr="001132F8">
              <w:rPr>
                <w:b/>
                <w:sz w:val="20"/>
                <w:szCs w:val="20"/>
              </w:rPr>
              <w:t xml:space="preserve">Categories of </w:t>
            </w:r>
            <w:r w:rsidR="00190610">
              <w:rPr>
                <w:b/>
                <w:sz w:val="20"/>
                <w:szCs w:val="20"/>
              </w:rPr>
              <w:t>SCSD</w:t>
            </w:r>
            <w:r w:rsidRPr="001132F8">
              <w:rPr>
                <w:b/>
                <w:sz w:val="20"/>
                <w:szCs w:val="20"/>
              </w:rPr>
              <w:t xml:space="preserve"> Project interventions and support</w:t>
            </w:r>
          </w:p>
        </w:tc>
        <w:tc>
          <w:tcPr>
            <w:tcW w:w="2430" w:type="dxa"/>
            <w:shd w:val="clear" w:color="auto" w:fill="D9D9D9" w:themeFill="background1" w:themeFillShade="D9"/>
          </w:tcPr>
          <w:p w14:paraId="493115B3" w14:textId="77777777" w:rsidR="00D22362" w:rsidRPr="001132F8" w:rsidRDefault="00D22362" w:rsidP="007E4EB7">
            <w:pPr>
              <w:pStyle w:val="NoSpacing"/>
              <w:rPr>
                <w:b/>
                <w:sz w:val="20"/>
                <w:szCs w:val="20"/>
              </w:rPr>
            </w:pPr>
            <w:r w:rsidRPr="001132F8">
              <w:rPr>
                <w:b/>
                <w:sz w:val="20"/>
                <w:szCs w:val="20"/>
              </w:rPr>
              <w:t>Potential Environmental</w:t>
            </w:r>
          </w:p>
          <w:p w14:paraId="7B1A5415" w14:textId="77777777" w:rsidR="00D22362" w:rsidRPr="001132F8" w:rsidRDefault="00D22362" w:rsidP="007E4EB7">
            <w:pPr>
              <w:pStyle w:val="NoSpacing"/>
              <w:rPr>
                <w:b/>
                <w:sz w:val="20"/>
                <w:szCs w:val="20"/>
              </w:rPr>
            </w:pPr>
            <w:r w:rsidRPr="001132F8">
              <w:rPr>
                <w:b/>
                <w:sz w:val="20"/>
                <w:szCs w:val="20"/>
              </w:rPr>
              <w:t>and Social Impact</w:t>
            </w:r>
          </w:p>
        </w:tc>
        <w:tc>
          <w:tcPr>
            <w:tcW w:w="1198" w:type="dxa"/>
            <w:shd w:val="clear" w:color="auto" w:fill="D9D9D9" w:themeFill="background1" w:themeFillShade="D9"/>
          </w:tcPr>
          <w:p w14:paraId="3C18A496" w14:textId="77777777" w:rsidR="00D22362" w:rsidRPr="001132F8" w:rsidRDefault="00D22362" w:rsidP="007E4EB7">
            <w:pPr>
              <w:pStyle w:val="NoSpacing"/>
              <w:rPr>
                <w:b/>
                <w:sz w:val="20"/>
                <w:szCs w:val="20"/>
              </w:rPr>
            </w:pPr>
            <w:r w:rsidRPr="001132F8">
              <w:rPr>
                <w:b/>
                <w:sz w:val="20"/>
                <w:szCs w:val="20"/>
              </w:rPr>
              <w:t>Expected Significance</w:t>
            </w:r>
          </w:p>
        </w:tc>
        <w:tc>
          <w:tcPr>
            <w:tcW w:w="4340" w:type="dxa"/>
            <w:shd w:val="clear" w:color="auto" w:fill="D9D9D9" w:themeFill="background1" w:themeFillShade="D9"/>
          </w:tcPr>
          <w:p w14:paraId="186EEB2E" w14:textId="77777777" w:rsidR="00D22362" w:rsidRPr="001132F8" w:rsidRDefault="00D22362" w:rsidP="007E4EB7">
            <w:pPr>
              <w:pStyle w:val="NoSpacing"/>
              <w:rPr>
                <w:b/>
                <w:sz w:val="20"/>
                <w:szCs w:val="20"/>
              </w:rPr>
            </w:pPr>
            <w:r>
              <w:rPr>
                <w:b/>
                <w:sz w:val="20"/>
                <w:szCs w:val="20"/>
              </w:rPr>
              <w:t>E</w:t>
            </w:r>
            <w:r w:rsidRPr="00FF2CC8">
              <w:rPr>
                <w:b/>
                <w:sz w:val="20"/>
                <w:szCs w:val="20"/>
              </w:rPr>
              <w:t xml:space="preserve">xamples of </w:t>
            </w:r>
            <w:r>
              <w:rPr>
                <w:b/>
                <w:sz w:val="20"/>
                <w:szCs w:val="20"/>
              </w:rPr>
              <w:t>possible impact reduction and compensation measures</w:t>
            </w:r>
          </w:p>
        </w:tc>
      </w:tr>
      <w:tr w:rsidR="00705A75" w:rsidRPr="001132F8" w14:paraId="63FC5E5C" w14:textId="77777777" w:rsidTr="00B825E1">
        <w:tc>
          <w:tcPr>
            <w:tcW w:w="1525" w:type="dxa"/>
            <w:vMerge w:val="restart"/>
            <w:shd w:val="clear" w:color="auto" w:fill="auto"/>
          </w:tcPr>
          <w:p w14:paraId="454E7075" w14:textId="46CD2519" w:rsidR="00705A75" w:rsidRPr="00D93462" w:rsidRDefault="00705A75" w:rsidP="007E4EB7">
            <w:pPr>
              <w:pStyle w:val="NoSpacing"/>
              <w:rPr>
                <w:sz w:val="20"/>
                <w:szCs w:val="20"/>
              </w:rPr>
            </w:pPr>
            <w:r w:rsidRPr="00D93462">
              <w:rPr>
                <w:sz w:val="20"/>
                <w:szCs w:val="20"/>
              </w:rPr>
              <w:t>Agribusiness development</w:t>
            </w:r>
          </w:p>
        </w:tc>
        <w:tc>
          <w:tcPr>
            <w:tcW w:w="2430" w:type="dxa"/>
            <w:shd w:val="clear" w:color="auto" w:fill="auto"/>
          </w:tcPr>
          <w:p w14:paraId="6D3D150A" w14:textId="77777777" w:rsidR="00705A75" w:rsidRPr="00D93462" w:rsidRDefault="00705A75" w:rsidP="007E4EB7">
            <w:pPr>
              <w:pStyle w:val="NoSpacing"/>
              <w:rPr>
                <w:sz w:val="20"/>
                <w:szCs w:val="20"/>
              </w:rPr>
            </w:pPr>
            <w:r w:rsidRPr="00D93462">
              <w:rPr>
                <w:sz w:val="20"/>
                <w:szCs w:val="20"/>
              </w:rPr>
              <w:t>Groundwater pollution</w:t>
            </w:r>
          </w:p>
        </w:tc>
        <w:tc>
          <w:tcPr>
            <w:tcW w:w="1198" w:type="dxa"/>
            <w:shd w:val="clear" w:color="auto" w:fill="auto"/>
            <w:vAlign w:val="center"/>
          </w:tcPr>
          <w:p w14:paraId="5B5D06FC" w14:textId="77777777" w:rsidR="00705A75" w:rsidRPr="001132F8" w:rsidRDefault="00705A75" w:rsidP="007E4EB7">
            <w:pPr>
              <w:pStyle w:val="NoSpacing"/>
              <w:rPr>
                <w:b/>
                <w:sz w:val="20"/>
                <w:szCs w:val="20"/>
              </w:rPr>
            </w:pPr>
            <w:r w:rsidRPr="0020781E">
              <w:rPr>
                <w:sz w:val="20"/>
                <w:szCs w:val="20"/>
              </w:rPr>
              <w:t>Substantial</w:t>
            </w:r>
          </w:p>
        </w:tc>
        <w:tc>
          <w:tcPr>
            <w:tcW w:w="4340" w:type="dxa"/>
          </w:tcPr>
          <w:p w14:paraId="1AE1D02F" w14:textId="77777777" w:rsidR="00705A75" w:rsidRPr="00D0383E" w:rsidRDefault="00705A75" w:rsidP="007E4EB7">
            <w:pPr>
              <w:pStyle w:val="NoSpacing"/>
              <w:rPr>
                <w:sz w:val="20"/>
                <w:szCs w:val="20"/>
              </w:rPr>
            </w:pPr>
            <w:r w:rsidRPr="00D0383E">
              <w:rPr>
                <w:sz w:val="20"/>
                <w:szCs w:val="20"/>
              </w:rPr>
              <w:t xml:space="preserve">install impermeable lining on/below soil </w:t>
            </w:r>
          </w:p>
        </w:tc>
      </w:tr>
      <w:tr w:rsidR="00705A75" w:rsidRPr="001132F8" w14:paraId="14BF5EF4" w14:textId="77777777" w:rsidTr="00B825E1">
        <w:tc>
          <w:tcPr>
            <w:tcW w:w="1525" w:type="dxa"/>
            <w:vMerge/>
            <w:shd w:val="clear" w:color="auto" w:fill="auto"/>
            <w:vAlign w:val="center"/>
          </w:tcPr>
          <w:p w14:paraId="63BCCD9B" w14:textId="77777777" w:rsidR="00705A75" w:rsidRPr="00D93462" w:rsidRDefault="00705A75" w:rsidP="0070504F">
            <w:pPr>
              <w:pStyle w:val="NoSpacing"/>
              <w:rPr>
                <w:sz w:val="20"/>
                <w:szCs w:val="20"/>
              </w:rPr>
            </w:pPr>
          </w:p>
        </w:tc>
        <w:tc>
          <w:tcPr>
            <w:tcW w:w="2430" w:type="dxa"/>
            <w:shd w:val="clear" w:color="auto" w:fill="auto"/>
          </w:tcPr>
          <w:p w14:paraId="5D289982" w14:textId="77777777" w:rsidR="00705A75" w:rsidRPr="00D93462" w:rsidRDefault="00705A75" w:rsidP="0070504F">
            <w:pPr>
              <w:pStyle w:val="NoSpacing"/>
              <w:rPr>
                <w:sz w:val="20"/>
                <w:szCs w:val="20"/>
              </w:rPr>
            </w:pPr>
            <w:r w:rsidRPr="00D93462">
              <w:rPr>
                <w:sz w:val="20"/>
                <w:szCs w:val="20"/>
              </w:rPr>
              <w:t>Surface water pollution</w:t>
            </w:r>
          </w:p>
        </w:tc>
        <w:tc>
          <w:tcPr>
            <w:tcW w:w="1198" w:type="dxa"/>
            <w:shd w:val="clear" w:color="auto" w:fill="auto"/>
            <w:vAlign w:val="center"/>
          </w:tcPr>
          <w:p w14:paraId="79960722" w14:textId="77777777" w:rsidR="00705A75" w:rsidRPr="001132F8" w:rsidRDefault="00705A75" w:rsidP="0070504F">
            <w:pPr>
              <w:pStyle w:val="NoSpacing"/>
              <w:rPr>
                <w:b/>
                <w:sz w:val="20"/>
                <w:szCs w:val="20"/>
              </w:rPr>
            </w:pPr>
            <w:r w:rsidRPr="0020781E">
              <w:rPr>
                <w:sz w:val="20"/>
                <w:szCs w:val="20"/>
              </w:rPr>
              <w:t>Substantial</w:t>
            </w:r>
          </w:p>
        </w:tc>
        <w:tc>
          <w:tcPr>
            <w:tcW w:w="4340" w:type="dxa"/>
          </w:tcPr>
          <w:p w14:paraId="0B9CADAC" w14:textId="77777777" w:rsidR="00705A75" w:rsidRPr="00D0383E" w:rsidRDefault="00705A75" w:rsidP="0070504F">
            <w:pPr>
              <w:pStyle w:val="NoSpacing"/>
              <w:rPr>
                <w:sz w:val="20"/>
                <w:szCs w:val="20"/>
              </w:rPr>
            </w:pPr>
            <w:r w:rsidRPr="00D0383E">
              <w:rPr>
                <w:sz w:val="20"/>
                <w:szCs w:val="20"/>
              </w:rPr>
              <w:t>create containment basis at vulnerable spots</w:t>
            </w:r>
          </w:p>
        </w:tc>
      </w:tr>
      <w:tr w:rsidR="00705A75" w:rsidRPr="001132F8" w14:paraId="2C863BC7" w14:textId="77777777" w:rsidTr="00B825E1">
        <w:tc>
          <w:tcPr>
            <w:tcW w:w="1525" w:type="dxa"/>
            <w:vMerge/>
            <w:shd w:val="clear" w:color="auto" w:fill="auto"/>
            <w:vAlign w:val="center"/>
          </w:tcPr>
          <w:p w14:paraId="0CAA645A" w14:textId="77777777" w:rsidR="00705A75" w:rsidRPr="00D93462" w:rsidRDefault="00705A75" w:rsidP="0070504F">
            <w:pPr>
              <w:pStyle w:val="NoSpacing"/>
              <w:rPr>
                <w:sz w:val="20"/>
                <w:szCs w:val="20"/>
              </w:rPr>
            </w:pPr>
          </w:p>
        </w:tc>
        <w:tc>
          <w:tcPr>
            <w:tcW w:w="2430" w:type="dxa"/>
            <w:shd w:val="clear" w:color="auto" w:fill="auto"/>
          </w:tcPr>
          <w:p w14:paraId="7FD87C86" w14:textId="77777777" w:rsidR="00705A75" w:rsidRPr="00D93462" w:rsidRDefault="00705A75" w:rsidP="0070504F">
            <w:pPr>
              <w:pStyle w:val="NoSpacing"/>
              <w:rPr>
                <w:sz w:val="20"/>
                <w:szCs w:val="20"/>
              </w:rPr>
            </w:pPr>
            <w:r w:rsidRPr="00D93462">
              <w:rPr>
                <w:sz w:val="20"/>
                <w:szCs w:val="20"/>
              </w:rPr>
              <w:t xml:space="preserve">Alteration of hydrological regime </w:t>
            </w:r>
          </w:p>
        </w:tc>
        <w:tc>
          <w:tcPr>
            <w:tcW w:w="1198" w:type="dxa"/>
            <w:shd w:val="clear" w:color="auto" w:fill="auto"/>
            <w:vAlign w:val="center"/>
          </w:tcPr>
          <w:p w14:paraId="2F2E2AD9" w14:textId="77777777" w:rsidR="00705A75" w:rsidRPr="001132F8" w:rsidRDefault="00705A75" w:rsidP="0070504F">
            <w:pPr>
              <w:pStyle w:val="NoSpacing"/>
              <w:rPr>
                <w:b/>
                <w:sz w:val="20"/>
                <w:szCs w:val="20"/>
              </w:rPr>
            </w:pPr>
            <w:r w:rsidRPr="0020781E">
              <w:rPr>
                <w:sz w:val="20"/>
                <w:szCs w:val="20"/>
              </w:rPr>
              <w:t>Low</w:t>
            </w:r>
          </w:p>
        </w:tc>
        <w:tc>
          <w:tcPr>
            <w:tcW w:w="4340" w:type="dxa"/>
          </w:tcPr>
          <w:p w14:paraId="192E9E93" w14:textId="77777777" w:rsidR="00705A75" w:rsidRPr="00D0383E" w:rsidRDefault="00705A75" w:rsidP="0070504F">
            <w:pPr>
              <w:pStyle w:val="NoSpacing"/>
              <w:rPr>
                <w:sz w:val="20"/>
                <w:szCs w:val="20"/>
              </w:rPr>
            </w:pPr>
            <w:r w:rsidRPr="00D0383E">
              <w:rPr>
                <w:sz w:val="20"/>
                <w:szCs w:val="20"/>
              </w:rPr>
              <w:t>promote herbaceous plant cover of large areas of cleared soil</w:t>
            </w:r>
            <w:r>
              <w:rPr>
                <w:sz w:val="20"/>
                <w:szCs w:val="20"/>
              </w:rPr>
              <w:t>,</w:t>
            </w:r>
            <w:r w:rsidRPr="00D0383E">
              <w:rPr>
                <w:sz w:val="20"/>
                <w:szCs w:val="20"/>
              </w:rPr>
              <w:t xml:space="preserve"> or cover bare soil with fibrous mats</w:t>
            </w:r>
          </w:p>
        </w:tc>
      </w:tr>
      <w:tr w:rsidR="00705A75" w:rsidRPr="001132F8" w14:paraId="170374B8" w14:textId="77777777" w:rsidTr="00B825E1">
        <w:tc>
          <w:tcPr>
            <w:tcW w:w="1525" w:type="dxa"/>
            <w:vMerge/>
            <w:shd w:val="clear" w:color="auto" w:fill="auto"/>
            <w:vAlign w:val="center"/>
          </w:tcPr>
          <w:p w14:paraId="34B01AFC" w14:textId="77777777" w:rsidR="00705A75" w:rsidRPr="00D93462" w:rsidRDefault="00705A75" w:rsidP="0070504F">
            <w:pPr>
              <w:pStyle w:val="NoSpacing"/>
              <w:rPr>
                <w:sz w:val="20"/>
                <w:szCs w:val="20"/>
              </w:rPr>
            </w:pPr>
          </w:p>
        </w:tc>
        <w:tc>
          <w:tcPr>
            <w:tcW w:w="2430" w:type="dxa"/>
            <w:shd w:val="clear" w:color="auto" w:fill="auto"/>
          </w:tcPr>
          <w:p w14:paraId="6307F948" w14:textId="77777777" w:rsidR="00705A75" w:rsidRPr="00D93462" w:rsidRDefault="00705A75" w:rsidP="0070504F">
            <w:pPr>
              <w:pStyle w:val="NoSpacing"/>
              <w:rPr>
                <w:sz w:val="20"/>
                <w:szCs w:val="20"/>
              </w:rPr>
            </w:pPr>
            <w:r w:rsidRPr="00D93462">
              <w:rPr>
                <w:sz w:val="20"/>
                <w:szCs w:val="20"/>
              </w:rPr>
              <w:t xml:space="preserve">Destruction of flora and fauna habitat  </w:t>
            </w:r>
          </w:p>
        </w:tc>
        <w:tc>
          <w:tcPr>
            <w:tcW w:w="1198" w:type="dxa"/>
            <w:shd w:val="clear" w:color="auto" w:fill="auto"/>
            <w:vAlign w:val="center"/>
          </w:tcPr>
          <w:p w14:paraId="43F320CA" w14:textId="77777777" w:rsidR="00705A75" w:rsidRPr="001132F8" w:rsidRDefault="00705A75" w:rsidP="0070504F">
            <w:pPr>
              <w:pStyle w:val="NoSpacing"/>
              <w:rPr>
                <w:b/>
                <w:sz w:val="20"/>
                <w:szCs w:val="20"/>
              </w:rPr>
            </w:pPr>
            <w:r w:rsidRPr="0020781E">
              <w:rPr>
                <w:sz w:val="20"/>
                <w:szCs w:val="20"/>
              </w:rPr>
              <w:t>Moderate</w:t>
            </w:r>
          </w:p>
        </w:tc>
        <w:tc>
          <w:tcPr>
            <w:tcW w:w="4340" w:type="dxa"/>
          </w:tcPr>
          <w:p w14:paraId="613DB2DB" w14:textId="4714F970" w:rsidR="00705A75" w:rsidRPr="00D0383E" w:rsidRDefault="00705A75" w:rsidP="0070504F">
            <w:pPr>
              <w:pStyle w:val="NoSpacing"/>
              <w:rPr>
                <w:sz w:val="20"/>
                <w:szCs w:val="20"/>
              </w:rPr>
            </w:pPr>
            <w:r w:rsidRPr="00D0383E">
              <w:rPr>
                <w:sz w:val="20"/>
                <w:szCs w:val="20"/>
              </w:rPr>
              <w:t xml:space="preserve">avoid pristine habitat, relocate to land with already converted or degraded habitat </w:t>
            </w:r>
          </w:p>
        </w:tc>
      </w:tr>
      <w:tr w:rsidR="00705A75" w:rsidRPr="001132F8" w14:paraId="34BC955E" w14:textId="77777777" w:rsidTr="00B825E1">
        <w:tc>
          <w:tcPr>
            <w:tcW w:w="1525" w:type="dxa"/>
            <w:vMerge/>
            <w:shd w:val="clear" w:color="auto" w:fill="auto"/>
            <w:vAlign w:val="center"/>
          </w:tcPr>
          <w:p w14:paraId="7AA185AA" w14:textId="77777777" w:rsidR="00705A75" w:rsidRPr="00D93462" w:rsidRDefault="00705A75" w:rsidP="0070504F">
            <w:pPr>
              <w:pStyle w:val="NoSpacing"/>
              <w:rPr>
                <w:sz w:val="20"/>
                <w:szCs w:val="20"/>
              </w:rPr>
            </w:pPr>
          </w:p>
        </w:tc>
        <w:tc>
          <w:tcPr>
            <w:tcW w:w="2430" w:type="dxa"/>
            <w:shd w:val="clear" w:color="auto" w:fill="auto"/>
          </w:tcPr>
          <w:p w14:paraId="2191CE42" w14:textId="77777777" w:rsidR="00705A75" w:rsidRPr="00D93462" w:rsidRDefault="00705A75" w:rsidP="0070504F">
            <w:pPr>
              <w:pStyle w:val="NoSpacing"/>
              <w:rPr>
                <w:sz w:val="20"/>
                <w:szCs w:val="20"/>
              </w:rPr>
            </w:pPr>
            <w:r w:rsidRPr="00D93462">
              <w:rPr>
                <w:sz w:val="20"/>
                <w:szCs w:val="20"/>
              </w:rPr>
              <w:t xml:space="preserve">Soil and land degradation </w:t>
            </w:r>
          </w:p>
        </w:tc>
        <w:tc>
          <w:tcPr>
            <w:tcW w:w="1198" w:type="dxa"/>
            <w:shd w:val="clear" w:color="auto" w:fill="auto"/>
            <w:vAlign w:val="center"/>
          </w:tcPr>
          <w:p w14:paraId="71A28B6C" w14:textId="77777777" w:rsidR="00705A75" w:rsidRPr="001132F8" w:rsidRDefault="00705A75" w:rsidP="0070504F">
            <w:pPr>
              <w:pStyle w:val="NoSpacing"/>
              <w:rPr>
                <w:b/>
                <w:sz w:val="20"/>
                <w:szCs w:val="20"/>
              </w:rPr>
            </w:pPr>
            <w:r w:rsidRPr="0020781E">
              <w:rPr>
                <w:sz w:val="20"/>
                <w:szCs w:val="20"/>
              </w:rPr>
              <w:t>Moderate</w:t>
            </w:r>
          </w:p>
        </w:tc>
        <w:tc>
          <w:tcPr>
            <w:tcW w:w="4340" w:type="dxa"/>
          </w:tcPr>
          <w:p w14:paraId="03CB9916" w14:textId="77777777" w:rsidR="00705A75" w:rsidRPr="00D0383E" w:rsidRDefault="00705A75" w:rsidP="0070504F">
            <w:pPr>
              <w:pStyle w:val="NoSpacing"/>
              <w:rPr>
                <w:sz w:val="20"/>
                <w:szCs w:val="20"/>
              </w:rPr>
            </w:pPr>
            <w:r w:rsidRPr="00D0383E">
              <w:rPr>
                <w:sz w:val="20"/>
                <w:szCs w:val="20"/>
              </w:rPr>
              <w:t>land contouring and slope stabilisation</w:t>
            </w:r>
          </w:p>
        </w:tc>
      </w:tr>
      <w:tr w:rsidR="00705A75" w:rsidRPr="001132F8" w14:paraId="7354AAF9" w14:textId="77777777" w:rsidTr="00B825E1">
        <w:tc>
          <w:tcPr>
            <w:tcW w:w="1525" w:type="dxa"/>
            <w:vMerge/>
            <w:shd w:val="clear" w:color="auto" w:fill="auto"/>
            <w:vAlign w:val="center"/>
          </w:tcPr>
          <w:p w14:paraId="41BB0FB7" w14:textId="77777777" w:rsidR="00705A75" w:rsidRPr="00D93462" w:rsidRDefault="00705A75" w:rsidP="0070504F">
            <w:pPr>
              <w:pStyle w:val="NoSpacing"/>
              <w:rPr>
                <w:sz w:val="20"/>
                <w:szCs w:val="20"/>
              </w:rPr>
            </w:pPr>
          </w:p>
        </w:tc>
        <w:tc>
          <w:tcPr>
            <w:tcW w:w="2430" w:type="dxa"/>
            <w:shd w:val="clear" w:color="auto" w:fill="auto"/>
          </w:tcPr>
          <w:p w14:paraId="4056ADC8" w14:textId="77777777" w:rsidR="00705A75" w:rsidRPr="00D93462" w:rsidRDefault="00705A75" w:rsidP="0070504F">
            <w:pPr>
              <w:pStyle w:val="NoSpacing"/>
              <w:rPr>
                <w:sz w:val="20"/>
                <w:szCs w:val="20"/>
              </w:rPr>
            </w:pPr>
            <w:r w:rsidRPr="00D93462">
              <w:rPr>
                <w:sz w:val="20"/>
                <w:szCs w:val="20"/>
              </w:rPr>
              <w:t>Excessive agrochemical use (pest / disease control)</w:t>
            </w:r>
          </w:p>
        </w:tc>
        <w:tc>
          <w:tcPr>
            <w:tcW w:w="1198" w:type="dxa"/>
            <w:shd w:val="clear" w:color="auto" w:fill="auto"/>
            <w:vAlign w:val="center"/>
          </w:tcPr>
          <w:p w14:paraId="5855A460" w14:textId="77777777" w:rsidR="00705A75" w:rsidRPr="001132F8" w:rsidRDefault="00705A75" w:rsidP="0070504F">
            <w:pPr>
              <w:pStyle w:val="NoSpacing"/>
              <w:rPr>
                <w:b/>
                <w:sz w:val="20"/>
                <w:szCs w:val="20"/>
              </w:rPr>
            </w:pPr>
            <w:r w:rsidRPr="0020781E">
              <w:rPr>
                <w:sz w:val="20"/>
                <w:szCs w:val="20"/>
              </w:rPr>
              <w:t>Substantial</w:t>
            </w:r>
          </w:p>
        </w:tc>
        <w:tc>
          <w:tcPr>
            <w:tcW w:w="4340" w:type="dxa"/>
          </w:tcPr>
          <w:p w14:paraId="688FE518" w14:textId="6052153F" w:rsidR="00705A75" w:rsidRPr="00D0383E" w:rsidRDefault="00705A75" w:rsidP="0070504F">
            <w:pPr>
              <w:pStyle w:val="NoSpacing"/>
              <w:rPr>
                <w:sz w:val="20"/>
                <w:szCs w:val="20"/>
              </w:rPr>
            </w:pPr>
            <w:r w:rsidRPr="00D0383E">
              <w:rPr>
                <w:sz w:val="20"/>
                <w:szCs w:val="20"/>
              </w:rPr>
              <w:t>use only when necessary and switch to</w:t>
            </w:r>
            <w:r>
              <w:rPr>
                <w:sz w:val="20"/>
                <w:szCs w:val="20"/>
              </w:rPr>
              <w:t xml:space="preserve"> IPM</w:t>
            </w:r>
            <w:r w:rsidRPr="00D0383E">
              <w:rPr>
                <w:sz w:val="20"/>
                <w:szCs w:val="20"/>
              </w:rPr>
              <w:t xml:space="preserve"> (bio-logical) alternatives (less toxic / more targeted)</w:t>
            </w:r>
          </w:p>
        </w:tc>
      </w:tr>
      <w:tr w:rsidR="00705A75" w:rsidRPr="001132F8" w14:paraId="47DE9468" w14:textId="77777777" w:rsidTr="00B825E1">
        <w:tc>
          <w:tcPr>
            <w:tcW w:w="1525" w:type="dxa"/>
            <w:vMerge/>
            <w:shd w:val="clear" w:color="auto" w:fill="auto"/>
            <w:vAlign w:val="center"/>
          </w:tcPr>
          <w:p w14:paraId="123009D2" w14:textId="77777777" w:rsidR="00705A75" w:rsidRPr="00D93462" w:rsidRDefault="00705A75" w:rsidP="0070504F">
            <w:pPr>
              <w:pStyle w:val="NoSpacing"/>
              <w:rPr>
                <w:sz w:val="20"/>
                <w:szCs w:val="20"/>
              </w:rPr>
            </w:pPr>
          </w:p>
        </w:tc>
        <w:tc>
          <w:tcPr>
            <w:tcW w:w="2430" w:type="dxa"/>
            <w:shd w:val="clear" w:color="auto" w:fill="auto"/>
          </w:tcPr>
          <w:p w14:paraId="57F57E67" w14:textId="77777777" w:rsidR="00705A75" w:rsidRPr="00D93462" w:rsidRDefault="00705A75" w:rsidP="0070504F">
            <w:pPr>
              <w:pStyle w:val="NoSpacing"/>
              <w:rPr>
                <w:sz w:val="20"/>
                <w:szCs w:val="20"/>
              </w:rPr>
            </w:pPr>
            <w:r w:rsidRPr="00D93462">
              <w:rPr>
                <w:sz w:val="20"/>
                <w:szCs w:val="20"/>
              </w:rPr>
              <w:t>Inadequate solid waste disposal</w:t>
            </w:r>
          </w:p>
        </w:tc>
        <w:tc>
          <w:tcPr>
            <w:tcW w:w="1198" w:type="dxa"/>
            <w:shd w:val="clear" w:color="auto" w:fill="auto"/>
            <w:vAlign w:val="center"/>
          </w:tcPr>
          <w:p w14:paraId="7FFF0956" w14:textId="77777777" w:rsidR="00705A75" w:rsidRPr="001132F8" w:rsidRDefault="00705A75" w:rsidP="0070504F">
            <w:pPr>
              <w:pStyle w:val="NoSpacing"/>
              <w:rPr>
                <w:b/>
                <w:sz w:val="20"/>
                <w:szCs w:val="20"/>
              </w:rPr>
            </w:pPr>
            <w:r w:rsidRPr="0020781E">
              <w:rPr>
                <w:sz w:val="20"/>
                <w:szCs w:val="20"/>
              </w:rPr>
              <w:t>Moderate</w:t>
            </w:r>
          </w:p>
        </w:tc>
        <w:tc>
          <w:tcPr>
            <w:tcW w:w="4340" w:type="dxa"/>
          </w:tcPr>
          <w:p w14:paraId="761612DD" w14:textId="77777777" w:rsidR="00705A75" w:rsidRPr="00D0383E" w:rsidRDefault="00705A75" w:rsidP="0070504F">
            <w:pPr>
              <w:pStyle w:val="NoSpacing"/>
              <w:rPr>
                <w:sz w:val="20"/>
                <w:szCs w:val="20"/>
              </w:rPr>
            </w:pPr>
            <w:r w:rsidRPr="00D0383E">
              <w:rPr>
                <w:sz w:val="20"/>
                <w:szCs w:val="20"/>
              </w:rPr>
              <w:t>incorporate solid waste disposal procedures in work plans / procedures, incl. of contractors</w:t>
            </w:r>
          </w:p>
        </w:tc>
      </w:tr>
      <w:tr w:rsidR="00705A75" w:rsidRPr="001132F8" w14:paraId="67C2892B" w14:textId="77777777" w:rsidTr="00B825E1">
        <w:tc>
          <w:tcPr>
            <w:tcW w:w="1525" w:type="dxa"/>
            <w:vMerge/>
            <w:shd w:val="clear" w:color="auto" w:fill="auto"/>
            <w:vAlign w:val="center"/>
          </w:tcPr>
          <w:p w14:paraId="40F037D1" w14:textId="77777777" w:rsidR="00705A75" w:rsidRPr="00D93462" w:rsidRDefault="00705A75" w:rsidP="0070504F">
            <w:pPr>
              <w:pStyle w:val="NoSpacing"/>
              <w:rPr>
                <w:sz w:val="20"/>
                <w:szCs w:val="20"/>
              </w:rPr>
            </w:pPr>
          </w:p>
        </w:tc>
        <w:tc>
          <w:tcPr>
            <w:tcW w:w="2430" w:type="dxa"/>
            <w:shd w:val="clear" w:color="auto" w:fill="auto"/>
          </w:tcPr>
          <w:p w14:paraId="5A9A2531" w14:textId="77777777" w:rsidR="00705A75" w:rsidRPr="00D93462" w:rsidRDefault="00705A75" w:rsidP="0070504F">
            <w:pPr>
              <w:pStyle w:val="NoSpacing"/>
              <w:rPr>
                <w:sz w:val="20"/>
                <w:szCs w:val="20"/>
              </w:rPr>
            </w:pPr>
            <w:r w:rsidRPr="00D93462">
              <w:rPr>
                <w:sz w:val="20"/>
                <w:szCs w:val="20"/>
              </w:rPr>
              <w:t>Air pollution</w:t>
            </w:r>
          </w:p>
        </w:tc>
        <w:tc>
          <w:tcPr>
            <w:tcW w:w="1198" w:type="dxa"/>
            <w:shd w:val="clear" w:color="auto" w:fill="auto"/>
            <w:vAlign w:val="center"/>
          </w:tcPr>
          <w:p w14:paraId="6691A197" w14:textId="77777777" w:rsidR="00705A75" w:rsidRPr="001132F8" w:rsidRDefault="00705A75" w:rsidP="0070504F">
            <w:pPr>
              <w:pStyle w:val="NoSpacing"/>
              <w:rPr>
                <w:b/>
                <w:sz w:val="20"/>
                <w:szCs w:val="20"/>
              </w:rPr>
            </w:pPr>
            <w:r w:rsidRPr="0020781E">
              <w:rPr>
                <w:sz w:val="20"/>
                <w:szCs w:val="20"/>
              </w:rPr>
              <w:t>Low</w:t>
            </w:r>
          </w:p>
        </w:tc>
        <w:tc>
          <w:tcPr>
            <w:tcW w:w="4340" w:type="dxa"/>
          </w:tcPr>
          <w:p w14:paraId="7BF1010F" w14:textId="77777777" w:rsidR="00705A75" w:rsidRPr="00D0383E" w:rsidRDefault="00705A75" w:rsidP="0070504F">
            <w:pPr>
              <w:pStyle w:val="NoSpacing"/>
              <w:rPr>
                <w:sz w:val="20"/>
                <w:szCs w:val="20"/>
              </w:rPr>
            </w:pPr>
            <w:r w:rsidRPr="00D0383E">
              <w:rPr>
                <w:sz w:val="20"/>
                <w:szCs w:val="20"/>
              </w:rPr>
              <w:t>use low-emission equipment</w:t>
            </w:r>
          </w:p>
        </w:tc>
      </w:tr>
      <w:tr w:rsidR="00705A75" w:rsidRPr="001132F8" w14:paraId="36D8834E" w14:textId="77777777" w:rsidTr="00B825E1">
        <w:tc>
          <w:tcPr>
            <w:tcW w:w="1525" w:type="dxa"/>
            <w:vMerge/>
            <w:shd w:val="clear" w:color="auto" w:fill="auto"/>
            <w:vAlign w:val="center"/>
          </w:tcPr>
          <w:p w14:paraId="2D15260A" w14:textId="77777777" w:rsidR="00705A75" w:rsidRPr="00D93462" w:rsidRDefault="00705A75" w:rsidP="0070504F">
            <w:pPr>
              <w:pStyle w:val="NoSpacing"/>
              <w:rPr>
                <w:sz w:val="20"/>
                <w:szCs w:val="20"/>
              </w:rPr>
            </w:pPr>
          </w:p>
        </w:tc>
        <w:tc>
          <w:tcPr>
            <w:tcW w:w="2430" w:type="dxa"/>
            <w:shd w:val="clear" w:color="auto" w:fill="auto"/>
          </w:tcPr>
          <w:p w14:paraId="1F612B4C" w14:textId="77777777" w:rsidR="00705A75" w:rsidRPr="00D93462" w:rsidRDefault="00705A75" w:rsidP="0070504F">
            <w:pPr>
              <w:pStyle w:val="NoSpacing"/>
              <w:rPr>
                <w:sz w:val="20"/>
                <w:szCs w:val="20"/>
              </w:rPr>
            </w:pPr>
            <w:r w:rsidRPr="00D93462">
              <w:rPr>
                <w:sz w:val="20"/>
                <w:szCs w:val="20"/>
              </w:rPr>
              <w:t>Noise pollution</w:t>
            </w:r>
          </w:p>
        </w:tc>
        <w:tc>
          <w:tcPr>
            <w:tcW w:w="1198" w:type="dxa"/>
            <w:shd w:val="clear" w:color="auto" w:fill="auto"/>
            <w:vAlign w:val="center"/>
          </w:tcPr>
          <w:p w14:paraId="6DC6B808" w14:textId="77777777" w:rsidR="00705A75" w:rsidRPr="001132F8" w:rsidRDefault="00705A75" w:rsidP="0070504F">
            <w:pPr>
              <w:pStyle w:val="NoSpacing"/>
              <w:rPr>
                <w:b/>
                <w:sz w:val="20"/>
                <w:szCs w:val="20"/>
              </w:rPr>
            </w:pPr>
            <w:r w:rsidRPr="0020781E">
              <w:rPr>
                <w:sz w:val="20"/>
                <w:szCs w:val="20"/>
              </w:rPr>
              <w:t>Low</w:t>
            </w:r>
          </w:p>
        </w:tc>
        <w:tc>
          <w:tcPr>
            <w:tcW w:w="4340" w:type="dxa"/>
          </w:tcPr>
          <w:p w14:paraId="7B8EF84C" w14:textId="77777777" w:rsidR="00705A75" w:rsidRPr="00D0383E" w:rsidRDefault="00705A75" w:rsidP="0070504F">
            <w:pPr>
              <w:pStyle w:val="NoSpacing"/>
              <w:rPr>
                <w:sz w:val="20"/>
                <w:szCs w:val="20"/>
              </w:rPr>
            </w:pPr>
            <w:r w:rsidRPr="00D0383E">
              <w:rPr>
                <w:sz w:val="20"/>
                <w:szCs w:val="20"/>
              </w:rPr>
              <w:t>use low-noise equipment</w:t>
            </w:r>
          </w:p>
        </w:tc>
      </w:tr>
      <w:tr w:rsidR="00705A75" w:rsidRPr="001132F8" w14:paraId="64A64E94" w14:textId="77777777" w:rsidTr="00B825E1">
        <w:tc>
          <w:tcPr>
            <w:tcW w:w="1525" w:type="dxa"/>
            <w:vMerge/>
            <w:shd w:val="clear" w:color="auto" w:fill="auto"/>
            <w:vAlign w:val="center"/>
          </w:tcPr>
          <w:p w14:paraId="2B321F61" w14:textId="77777777" w:rsidR="00705A75" w:rsidRPr="00D93462" w:rsidRDefault="00705A75" w:rsidP="0070504F">
            <w:pPr>
              <w:pStyle w:val="NoSpacing"/>
              <w:rPr>
                <w:sz w:val="20"/>
                <w:szCs w:val="20"/>
              </w:rPr>
            </w:pPr>
          </w:p>
        </w:tc>
        <w:tc>
          <w:tcPr>
            <w:tcW w:w="2430" w:type="dxa"/>
            <w:shd w:val="clear" w:color="auto" w:fill="auto"/>
          </w:tcPr>
          <w:p w14:paraId="3CEA9020" w14:textId="77777777" w:rsidR="00705A75" w:rsidRPr="00D93462" w:rsidRDefault="00705A75" w:rsidP="0070504F">
            <w:pPr>
              <w:pStyle w:val="NoSpacing"/>
              <w:rPr>
                <w:sz w:val="20"/>
                <w:szCs w:val="20"/>
              </w:rPr>
            </w:pPr>
            <w:r w:rsidRPr="00D93462">
              <w:rPr>
                <w:sz w:val="20"/>
                <w:szCs w:val="20"/>
              </w:rPr>
              <w:t>Involuntary resettlement</w:t>
            </w:r>
          </w:p>
        </w:tc>
        <w:tc>
          <w:tcPr>
            <w:tcW w:w="1198" w:type="dxa"/>
            <w:shd w:val="clear" w:color="auto" w:fill="auto"/>
            <w:vAlign w:val="center"/>
          </w:tcPr>
          <w:p w14:paraId="0DA7E4D5" w14:textId="77777777" w:rsidR="00705A75" w:rsidRPr="001132F8" w:rsidRDefault="00705A75" w:rsidP="0070504F">
            <w:pPr>
              <w:pStyle w:val="NoSpacing"/>
              <w:rPr>
                <w:b/>
                <w:sz w:val="20"/>
                <w:szCs w:val="20"/>
              </w:rPr>
            </w:pPr>
            <w:r w:rsidRPr="0020781E">
              <w:rPr>
                <w:sz w:val="20"/>
                <w:szCs w:val="20"/>
              </w:rPr>
              <w:t>Low</w:t>
            </w:r>
          </w:p>
        </w:tc>
        <w:tc>
          <w:tcPr>
            <w:tcW w:w="4340" w:type="dxa"/>
          </w:tcPr>
          <w:p w14:paraId="7D02849C" w14:textId="77777777" w:rsidR="00705A75" w:rsidRPr="00D0383E" w:rsidRDefault="00705A75" w:rsidP="0070504F">
            <w:pPr>
              <w:pStyle w:val="NoSpacing"/>
              <w:rPr>
                <w:sz w:val="20"/>
                <w:szCs w:val="20"/>
              </w:rPr>
            </w:pPr>
            <w:r w:rsidRPr="00D0383E">
              <w:rPr>
                <w:sz w:val="20"/>
                <w:szCs w:val="20"/>
              </w:rPr>
              <w:t xml:space="preserve">relocate </w:t>
            </w:r>
            <w:r>
              <w:rPr>
                <w:sz w:val="20"/>
                <w:szCs w:val="20"/>
              </w:rPr>
              <w:t xml:space="preserve">activity </w:t>
            </w:r>
            <w:r w:rsidRPr="00D0383E">
              <w:rPr>
                <w:sz w:val="20"/>
                <w:szCs w:val="20"/>
              </w:rPr>
              <w:t xml:space="preserve">to land that </w:t>
            </w:r>
            <w:r>
              <w:rPr>
                <w:sz w:val="20"/>
                <w:szCs w:val="20"/>
              </w:rPr>
              <w:t>is not yet s</w:t>
            </w:r>
            <w:r w:rsidRPr="00D0383E">
              <w:rPr>
                <w:sz w:val="20"/>
                <w:szCs w:val="20"/>
              </w:rPr>
              <w:t>ettled</w:t>
            </w:r>
          </w:p>
        </w:tc>
      </w:tr>
      <w:tr w:rsidR="00705A75" w:rsidRPr="001132F8" w14:paraId="06FFEB9D" w14:textId="77777777" w:rsidTr="00B825E1">
        <w:tc>
          <w:tcPr>
            <w:tcW w:w="1525" w:type="dxa"/>
            <w:vMerge/>
            <w:shd w:val="clear" w:color="auto" w:fill="auto"/>
            <w:vAlign w:val="center"/>
          </w:tcPr>
          <w:p w14:paraId="5B2171FC" w14:textId="77777777" w:rsidR="00705A75" w:rsidRPr="00D93462" w:rsidRDefault="00705A75" w:rsidP="0070504F">
            <w:pPr>
              <w:pStyle w:val="NoSpacing"/>
              <w:rPr>
                <w:sz w:val="20"/>
                <w:szCs w:val="20"/>
              </w:rPr>
            </w:pPr>
          </w:p>
        </w:tc>
        <w:tc>
          <w:tcPr>
            <w:tcW w:w="2430" w:type="dxa"/>
            <w:shd w:val="clear" w:color="auto" w:fill="auto"/>
          </w:tcPr>
          <w:p w14:paraId="2D1EB1CE" w14:textId="74F31587" w:rsidR="00705A75" w:rsidRPr="00D93462" w:rsidRDefault="00705A75"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0D97FCD6" w14:textId="5D1DB2E4" w:rsidR="00705A75" w:rsidRPr="001132F8" w:rsidRDefault="00705A75" w:rsidP="0070504F">
            <w:pPr>
              <w:pStyle w:val="NoSpacing"/>
              <w:rPr>
                <w:b/>
                <w:sz w:val="20"/>
                <w:szCs w:val="20"/>
              </w:rPr>
            </w:pPr>
            <w:r w:rsidRPr="007E4EB7">
              <w:rPr>
                <w:sz w:val="20"/>
                <w:szCs w:val="20"/>
              </w:rPr>
              <w:t>Moderate</w:t>
            </w:r>
          </w:p>
        </w:tc>
        <w:tc>
          <w:tcPr>
            <w:tcW w:w="4340" w:type="dxa"/>
          </w:tcPr>
          <w:p w14:paraId="1ACB5EC8" w14:textId="13FBAC8C" w:rsidR="00705A75" w:rsidRPr="00D0383E" w:rsidRDefault="00705A75" w:rsidP="0070504F">
            <w:pPr>
              <w:pStyle w:val="NoSpacing"/>
              <w:rPr>
                <w:sz w:val="20"/>
                <w:szCs w:val="20"/>
              </w:rPr>
            </w:pPr>
            <w:r>
              <w:rPr>
                <w:sz w:val="20"/>
                <w:szCs w:val="20"/>
              </w:rPr>
              <w:t>Machinery and equipment accidents.in processing and warehouses. First aid and OHS training</w:t>
            </w:r>
          </w:p>
        </w:tc>
      </w:tr>
      <w:tr w:rsidR="00FA1E9E" w:rsidRPr="001132F8" w14:paraId="60F9F388" w14:textId="77777777" w:rsidTr="00B825E1">
        <w:tc>
          <w:tcPr>
            <w:tcW w:w="1525" w:type="dxa"/>
            <w:vMerge/>
            <w:shd w:val="clear" w:color="auto" w:fill="auto"/>
            <w:vAlign w:val="center"/>
          </w:tcPr>
          <w:p w14:paraId="60696772" w14:textId="77777777" w:rsidR="00FA1E9E" w:rsidRPr="00D93462" w:rsidRDefault="00FA1E9E" w:rsidP="00FA1E9E">
            <w:pPr>
              <w:pStyle w:val="NoSpacing"/>
              <w:rPr>
                <w:sz w:val="20"/>
                <w:szCs w:val="20"/>
              </w:rPr>
            </w:pPr>
          </w:p>
        </w:tc>
        <w:tc>
          <w:tcPr>
            <w:tcW w:w="2430" w:type="dxa"/>
            <w:shd w:val="clear" w:color="auto" w:fill="auto"/>
          </w:tcPr>
          <w:p w14:paraId="46B27C7F" w14:textId="2889BB82" w:rsidR="00FA1E9E" w:rsidRPr="008252C5" w:rsidRDefault="00FA1E9E" w:rsidP="00FA1E9E">
            <w:pPr>
              <w:pStyle w:val="NoSpacing"/>
              <w:rPr>
                <w:sz w:val="20"/>
                <w:szCs w:val="20"/>
                <w:lang w:val="en-US"/>
              </w:rPr>
            </w:pPr>
            <w:r>
              <w:rPr>
                <w:sz w:val="20"/>
                <w:szCs w:val="20"/>
              </w:rPr>
              <w:t xml:space="preserve">Labor influx induced </w:t>
            </w:r>
            <w:proofErr w:type="gramStart"/>
            <w:r>
              <w:rPr>
                <w:sz w:val="20"/>
                <w:szCs w:val="20"/>
              </w:rPr>
              <w:t>gender based</w:t>
            </w:r>
            <w:proofErr w:type="gramEnd"/>
            <w:r>
              <w:rPr>
                <w:sz w:val="20"/>
                <w:szCs w:val="20"/>
              </w:rPr>
              <w:t xml:space="preserve"> violence</w:t>
            </w:r>
          </w:p>
        </w:tc>
        <w:tc>
          <w:tcPr>
            <w:tcW w:w="1198" w:type="dxa"/>
            <w:shd w:val="clear" w:color="auto" w:fill="auto"/>
            <w:vAlign w:val="center"/>
          </w:tcPr>
          <w:p w14:paraId="485EE62F" w14:textId="46EB3408" w:rsidR="00FA1E9E" w:rsidRPr="007E4EB7" w:rsidRDefault="00FA1E9E" w:rsidP="00FA1E9E">
            <w:pPr>
              <w:pStyle w:val="NoSpacing"/>
              <w:rPr>
                <w:sz w:val="20"/>
                <w:szCs w:val="20"/>
              </w:rPr>
            </w:pPr>
            <w:r w:rsidRPr="00F465E8">
              <w:rPr>
                <w:sz w:val="20"/>
                <w:szCs w:val="20"/>
              </w:rPr>
              <w:t>Low</w:t>
            </w:r>
          </w:p>
        </w:tc>
        <w:tc>
          <w:tcPr>
            <w:tcW w:w="4340" w:type="dxa"/>
          </w:tcPr>
          <w:p w14:paraId="7BB16EF0" w14:textId="2B91C6B4"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042DE329" w14:textId="77777777" w:rsidTr="00B825E1">
        <w:tc>
          <w:tcPr>
            <w:tcW w:w="1525" w:type="dxa"/>
            <w:vMerge/>
            <w:shd w:val="clear" w:color="auto" w:fill="auto"/>
            <w:vAlign w:val="center"/>
          </w:tcPr>
          <w:p w14:paraId="246C7048" w14:textId="77777777" w:rsidR="00FA1E9E" w:rsidRPr="00D93462" w:rsidRDefault="00FA1E9E" w:rsidP="00FA1E9E">
            <w:pPr>
              <w:pStyle w:val="NoSpacing"/>
              <w:rPr>
                <w:sz w:val="20"/>
                <w:szCs w:val="20"/>
              </w:rPr>
            </w:pPr>
          </w:p>
        </w:tc>
        <w:tc>
          <w:tcPr>
            <w:tcW w:w="2430" w:type="dxa"/>
            <w:shd w:val="clear" w:color="auto" w:fill="auto"/>
          </w:tcPr>
          <w:p w14:paraId="6F1C4695" w14:textId="4ADCB618" w:rsidR="00FA1E9E" w:rsidRPr="008252C5" w:rsidRDefault="00435E6D" w:rsidP="00FA1E9E">
            <w:pPr>
              <w:pStyle w:val="NoSpacing"/>
              <w:rPr>
                <w:sz w:val="20"/>
                <w:szCs w:val="20"/>
                <w:lang w:val="en-US"/>
              </w:rPr>
            </w:pPr>
            <w:r>
              <w:rPr>
                <w:sz w:val="20"/>
                <w:szCs w:val="20"/>
              </w:rPr>
              <w:t>Child labo</w:t>
            </w:r>
            <w:r w:rsidR="00FA1E9E">
              <w:rPr>
                <w:sz w:val="20"/>
                <w:szCs w:val="20"/>
              </w:rPr>
              <w:t>r</w:t>
            </w:r>
          </w:p>
        </w:tc>
        <w:tc>
          <w:tcPr>
            <w:tcW w:w="1198" w:type="dxa"/>
            <w:shd w:val="clear" w:color="auto" w:fill="auto"/>
            <w:vAlign w:val="center"/>
          </w:tcPr>
          <w:p w14:paraId="2ACCA676" w14:textId="2A2ACC8B" w:rsidR="00FA1E9E" w:rsidRPr="007E4EB7" w:rsidRDefault="00FA1E9E" w:rsidP="00FA1E9E">
            <w:pPr>
              <w:pStyle w:val="NoSpacing"/>
              <w:rPr>
                <w:sz w:val="20"/>
                <w:szCs w:val="20"/>
              </w:rPr>
            </w:pPr>
            <w:r w:rsidRPr="00F465E8">
              <w:rPr>
                <w:sz w:val="20"/>
                <w:szCs w:val="20"/>
              </w:rPr>
              <w:t>Low</w:t>
            </w:r>
          </w:p>
        </w:tc>
        <w:tc>
          <w:tcPr>
            <w:tcW w:w="4340" w:type="dxa"/>
          </w:tcPr>
          <w:p w14:paraId="081AB8BD" w14:textId="63DEB90F" w:rsidR="00FA1E9E" w:rsidRDefault="00FA1E9E" w:rsidP="00FA1E9E">
            <w:pPr>
              <w:pStyle w:val="NoSpacing"/>
              <w:rPr>
                <w:sz w:val="20"/>
                <w:szCs w:val="20"/>
              </w:rPr>
            </w:pPr>
            <w:r>
              <w:rPr>
                <w:sz w:val="20"/>
                <w:szCs w:val="20"/>
              </w:rPr>
              <w:t>Include in the regulatory imp</w:t>
            </w:r>
            <w:r w:rsidR="00435E6D">
              <w:rPr>
                <w:sz w:val="20"/>
                <w:szCs w:val="20"/>
              </w:rPr>
              <w:t>rovements rules on child labo</w:t>
            </w:r>
            <w:r>
              <w:rPr>
                <w:sz w:val="20"/>
                <w:szCs w:val="20"/>
              </w:rPr>
              <w:t xml:space="preserve">r. </w:t>
            </w:r>
          </w:p>
        </w:tc>
      </w:tr>
      <w:tr w:rsidR="00FA1E9E" w:rsidRPr="001132F8" w14:paraId="6D80421C" w14:textId="77777777" w:rsidTr="00B825E1">
        <w:tc>
          <w:tcPr>
            <w:tcW w:w="1525" w:type="dxa"/>
            <w:vMerge w:val="restart"/>
          </w:tcPr>
          <w:p w14:paraId="70C36D95" w14:textId="77777777" w:rsidR="00FA1E9E" w:rsidRPr="001132F8" w:rsidRDefault="00FA1E9E" w:rsidP="00FA1E9E">
            <w:pPr>
              <w:pStyle w:val="NoSpacing"/>
              <w:rPr>
                <w:sz w:val="20"/>
                <w:szCs w:val="20"/>
              </w:rPr>
            </w:pPr>
            <w:r w:rsidRPr="001132F8">
              <w:rPr>
                <w:sz w:val="20"/>
                <w:szCs w:val="20"/>
              </w:rPr>
              <w:t>NTFP business development</w:t>
            </w:r>
          </w:p>
        </w:tc>
        <w:tc>
          <w:tcPr>
            <w:tcW w:w="2430" w:type="dxa"/>
          </w:tcPr>
          <w:p w14:paraId="144FCE3D" w14:textId="77777777" w:rsidR="00FA1E9E" w:rsidRPr="001132F8" w:rsidRDefault="00FA1E9E" w:rsidP="00FA1E9E">
            <w:pPr>
              <w:pStyle w:val="NoSpacing"/>
              <w:rPr>
                <w:sz w:val="20"/>
                <w:szCs w:val="20"/>
              </w:rPr>
            </w:pPr>
            <w:r w:rsidRPr="001132F8">
              <w:rPr>
                <w:sz w:val="20"/>
                <w:szCs w:val="20"/>
              </w:rPr>
              <w:t>Overexploitation</w:t>
            </w:r>
          </w:p>
        </w:tc>
        <w:tc>
          <w:tcPr>
            <w:tcW w:w="1198" w:type="dxa"/>
          </w:tcPr>
          <w:p w14:paraId="54A7BD38" w14:textId="77777777" w:rsidR="00FA1E9E" w:rsidRPr="001132F8" w:rsidRDefault="00FA1E9E" w:rsidP="00FA1E9E">
            <w:pPr>
              <w:pStyle w:val="NoSpacing"/>
              <w:rPr>
                <w:sz w:val="20"/>
                <w:szCs w:val="20"/>
              </w:rPr>
            </w:pPr>
            <w:r>
              <w:rPr>
                <w:sz w:val="20"/>
                <w:szCs w:val="20"/>
              </w:rPr>
              <w:t xml:space="preserve">Low to </w:t>
            </w:r>
            <w:r w:rsidRPr="001132F8">
              <w:rPr>
                <w:sz w:val="20"/>
                <w:szCs w:val="20"/>
              </w:rPr>
              <w:t>Moderate</w:t>
            </w:r>
          </w:p>
        </w:tc>
        <w:tc>
          <w:tcPr>
            <w:tcW w:w="4340" w:type="dxa"/>
          </w:tcPr>
          <w:p w14:paraId="4212FCFD" w14:textId="77777777" w:rsidR="00FA1E9E" w:rsidRPr="001132F8" w:rsidRDefault="00FA1E9E" w:rsidP="00FA1E9E">
            <w:pPr>
              <w:pStyle w:val="NoSpacing"/>
              <w:rPr>
                <w:sz w:val="20"/>
                <w:szCs w:val="20"/>
              </w:rPr>
            </w:pPr>
            <w:r>
              <w:rPr>
                <w:sz w:val="20"/>
                <w:szCs w:val="20"/>
              </w:rPr>
              <w:t>Adjust harvest rate to replenishment / growth rates based on trials and monitoring</w:t>
            </w:r>
          </w:p>
        </w:tc>
      </w:tr>
      <w:tr w:rsidR="00FA1E9E" w:rsidRPr="001132F8" w14:paraId="61C9A2AC" w14:textId="77777777" w:rsidTr="00B825E1">
        <w:tc>
          <w:tcPr>
            <w:tcW w:w="1525" w:type="dxa"/>
            <w:vMerge/>
          </w:tcPr>
          <w:p w14:paraId="6C7521F5" w14:textId="77777777" w:rsidR="00FA1E9E" w:rsidRPr="001132F8" w:rsidRDefault="00FA1E9E" w:rsidP="0070504F">
            <w:pPr>
              <w:pStyle w:val="NoSpacing"/>
              <w:rPr>
                <w:sz w:val="20"/>
                <w:szCs w:val="20"/>
              </w:rPr>
            </w:pPr>
          </w:p>
        </w:tc>
        <w:tc>
          <w:tcPr>
            <w:tcW w:w="2430" w:type="dxa"/>
          </w:tcPr>
          <w:p w14:paraId="64A4A285" w14:textId="77777777" w:rsidR="00FA1E9E" w:rsidRPr="001132F8" w:rsidRDefault="00FA1E9E" w:rsidP="0070504F">
            <w:pPr>
              <w:pStyle w:val="NoSpacing"/>
              <w:rPr>
                <w:sz w:val="20"/>
                <w:szCs w:val="20"/>
              </w:rPr>
            </w:pPr>
            <w:r w:rsidRPr="001132F8">
              <w:rPr>
                <w:sz w:val="20"/>
                <w:szCs w:val="20"/>
              </w:rPr>
              <w:t>Biodiversity loss</w:t>
            </w:r>
          </w:p>
        </w:tc>
        <w:tc>
          <w:tcPr>
            <w:tcW w:w="1198" w:type="dxa"/>
          </w:tcPr>
          <w:p w14:paraId="1AFBC586" w14:textId="77777777" w:rsidR="00FA1E9E" w:rsidRPr="001132F8" w:rsidRDefault="00FA1E9E" w:rsidP="0070504F">
            <w:pPr>
              <w:pStyle w:val="NoSpacing"/>
              <w:rPr>
                <w:sz w:val="20"/>
                <w:szCs w:val="20"/>
              </w:rPr>
            </w:pPr>
            <w:r w:rsidRPr="001132F8">
              <w:rPr>
                <w:sz w:val="20"/>
                <w:szCs w:val="20"/>
              </w:rPr>
              <w:t>Low</w:t>
            </w:r>
          </w:p>
        </w:tc>
        <w:tc>
          <w:tcPr>
            <w:tcW w:w="4340" w:type="dxa"/>
          </w:tcPr>
          <w:p w14:paraId="47D56D29" w14:textId="77777777" w:rsidR="00FA1E9E" w:rsidRPr="001132F8" w:rsidRDefault="00FA1E9E" w:rsidP="0070504F">
            <w:pPr>
              <w:pStyle w:val="NoSpacing"/>
              <w:rPr>
                <w:sz w:val="20"/>
                <w:szCs w:val="20"/>
              </w:rPr>
            </w:pPr>
            <w:r>
              <w:rPr>
                <w:sz w:val="20"/>
                <w:szCs w:val="20"/>
              </w:rPr>
              <w:t>Reduce collateral damage during harvest</w:t>
            </w:r>
          </w:p>
        </w:tc>
      </w:tr>
      <w:tr w:rsidR="00FA1E9E" w:rsidRPr="001132F8" w14:paraId="1885A678" w14:textId="77777777" w:rsidTr="00B825E1">
        <w:tc>
          <w:tcPr>
            <w:tcW w:w="1525" w:type="dxa"/>
            <w:vMerge/>
          </w:tcPr>
          <w:p w14:paraId="0F728617" w14:textId="77777777" w:rsidR="00FA1E9E" w:rsidRPr="001132F8" w:rsidRDefault="00FA1E9E" w:rsidP="0070504F">
            <w:pPr>
              <w:pStyle w:val="NoSpacing"/>
              <w:rPr>
                <w:sz w:val="20"/>
                <w:szCs w:val="20"/>
              </w:rPr>
            </w:pPr>
          </w:p>
        </w:tc>
        <w:tc>
          <w:tcPr>
            <w:tcW w:w="2430" w:type="dxa"/>
          </w:tcPr>
          <w:p w14:paraId="378EDF85" w14:textId="77777777" w:rsidR="00FA1E9E" w:rsidRPr="001132F8" w:rsidRDefault="00FA1E9E" w:rsidP="0070504F">
            <w:pPr>
              <w:pStyle w:val="NoSpacing"/>
              <w:rPr>
                <w:sz w:val="20"/>
                <w:szCs w:val="20"/>
              </w:rPr>
            </w:pPr>
            <w:r w:rsidRPr="001132F8">
              <w:rPr>
                <w:sz w:val="20"/>
                <w:szCs w:val="20"/>
              </w:rPr>
              <w:t>Intrusion of unintended activities</w:t>
            </w:r>
          </w:p>
        </w:tc>
        <w:tc>
          <w:tcPr>
            <w:tcW w:w="1198" w:type="dxa"/>
          </w:tcPr>
          <w:p w14:paraId="7F21CFDF" w14:textId="77777777" w:rsidR="00FA1E9E" w:rsidRPr="001132F8" w:rsidRDefault="00FA1E9E" w:rsidP="0070504F">
            <w:pPr>
              <w:pStyle w:val="NoSpacing"/>
              <w:rPr>
                <w:sz w:val="20"/>
                <w:szCs w:val="20"/>
              </w:rPr>
            </w:pPr>
            <w:r>
              <w:rPr>
                <w:sz w:val="20"/>
                <w:szCs w:val="20"/>
              </w:rPr>
              <w:t xml:space="preserve">Low to </w:t>
            </w:r>
            <w:r w:rsidRPr="001132F8">
              <w:rPr>
                <w:sz w:val="20"/>
                <w:szCs w:val="20"/>
              </w:rPr>
              <w:t>Moderate</w:t>
            </w:r>
          </w:p>
        </w:tc>
        <w:tc>
          <w:tcPr>
            <w:tcW w:w="4340" w:type="dxa"/>
          </w:tcPr>
          <w:p w14:paraId="4F30A70E" w14:textId="77777777" w:rsidR="00FA1E9E" w:rsidRPr="001132F8" w:rsidRDefault="00FA1E9E" w:rsidP="0070504F">
            <w:pPr>
              <w:pStyle w:val="NoSpacing"/>
              <w:rPr>
                <w:sz w:val="20"/>
                <w:szCs w:val="20"/>
              </w:rPr>
            </w:pPr>
            <w:r>
              <w:rPr>
                <w:sz w:val="20"/>
                <w:szCs w:val="20"/>
              </w:rPr>
              <w:t>Limit access to sub-project location (guarded gate; blocking of alternative access routes)</w:t>
            </w:r>
          </w:p>
        </w:tc>
      </w:tr>
      <w:tr w:rsidR="00FA1E9E" w:rsidRPr="001132F8" w14:paraId="72A900D2" w14:textId="77777777" w:rsidTr="00B825E1">
        <w:tc>
          <w:tcPr>
            <w:tcW w:w="1525" w:type="dxa"/>
            <w:vMerge/>
          </w:tcPr>
          <w:p w14:paraId="5A501006" w14:textId="77777777" w:rsidR="00FA1E9E" w:rsidRPr="001132F8" w:rsidRDefault="00FA1E9E" w:rsidP="0070504F">
            <w:pPr>
              <w:pStyle w:val="NoSpacing"/>
              <w:rPr>
                <w:sz w:val="20"/>
                <w:szCs w:val="20"/>
              </w:rPr>
            </w:pPr>
          </w:p>
        </w:tc>
        <w:tc>
          <w:tcPr>
            <w:tcW w:w="2430" w:type="dxa"/>
          </w:tcPr>
          <w:p w14:paraId="4C83AC7E" w14:textId="77777777" w:rsidR="00FA1E9E" w:rsidRPr="001132F8" w:rsidRDefault="00FA1E9E" w:rsidP="0070504F">
            <w:pPr>
              <w:pStyle w:val="NoSpacing"/>
              <w:rPr>
                <w:sz w:val="20"/>
                <w:szCs w:val="20"/>
              </w:rPr>
            </w:pPr>
            <w:r>
              <w:rPr>
                <w:sz w:val="20"/>
                <w:szCs w:val="20"/>
              </w:rPr>
              <w:t>Inadequate s</w:t>
            </w:r>
            <w:r w:rsidRPr="001132F8">
              <w:rPr>
                <w:sz w:val="20"/>
                <w:szCs w:val="20"/>
              </w:rPr>
              <w:t>olid waste disposal</w:t>
            </w:r>
          </w:p>
        </w:tc>
        <w:tc>
          <w:tcPr>
            <w:tcW w:w="1198" w:type="dxa"/>
          </w:tcPr>
          <w:p w14:paraId="727D3057" w14:textId="77777777" w:rsidR="00FA1E9E" w:rsidRPr="001132F8" w:rsidRDefault="00FA1E9E" w:rsidP="0070504F">
            <w:pPr>
              <w:pStyle w:val="NoSpacing"/>
              <w:rPr>
                <w:sz w:val="20"/>
                <w:szCs w:val="20"/>
              </w:rPr>
            </w:pPr>
            <w:r w:rsidRPr="001132F8">
              <w:rPr>
                <w:sz w:val="20"/>
                <w:szCs w:val="20"/>
              </w:rPr>
              <w:t>Low</w:t>
            </w:r>
          </w:p>
        </w:tc>
        <w:tc>
          <w:tcPr>
            <w:tcW w:w="4340" w:type="dxa"/>
          </w:tcPr>
          <w:p w14:paraId="47B48040" w14:textId="77777777" w:rsidR="00FA1E9E" w:rsidRPr="001132F8" w:rsidRDefault="00FA1E9E" w:rsidP="0070504F">
            <w:pPr>
              <w:pStyle w:val="NoSpacing"/>
              <w:rPr>
                <w:sz w:val="20"/>
                <w:szCs w:val="20"/>
              </w:rPr>
            </w:pPr>
            <w:r>
              <w:rPr>
                <w:sz w:val="20"/>
                <w:szCs w:val="20"/>
              </w:rPr>
              <w:t xml:space="preserve">organise regular clean-up of most affected locations </w:t>
            </w:r>
          </w:p>
        </w:tc>
      </w:tr>
      <w:tr w:rsidR="00FA1E9E" w:rsidRPr="001132F8" w14:paraId="2D54EDA7" w14:textId="77777777" w:rsidTr="00B825E1">
        <w:tc>
          <w:tcPr>
            <w:tcW w:w="1525" w:type="dxa"/>
            <w:vMerge/>
          </w:tcPr>
          <w:p w14:paraId="589175DE" w14:textId="77777777" w:rsidR="00FA1E9E" w:rsidRPr="001132F8" w:rsidRDefault="00FA1E9E" w:rsidP="0070504F">
            <w:pPr>
              <w:pStyle w:val="NoSpacing"/>
              <w:rPr>
                <w:sz w:val="20"/>
                <w:szCs w:val="20"/>
              </w:rPr>
            </w:pPr>
          </w:p>
        </w:tc>
        <w:tc>
          <w:tcPr>
            <w:tcW w:w="2430" w:type="dxa"/>
          </w:tcPr>
          <w:p w14:paraId="5F63AFF8" w14:textId="77777777" w:rsidR="00FA1E9E" w:rsidRPr="001132F8" w:rsidRDefault="00FA1E9E" w:rsidP="0070504F">
            <w:pPr>
              <w:pStyle w:val="NoSpacing"/>
              <w:rPr>
                <w:sz w:val="20"/>
                <w:szCs w:val="20"/>
              </w:rPr>
            </w:pPr>
            <w:r w:rsidRPr="001132F8">
              <w:rPr>
                <w:sz w:val="20"/>
                <w:szCs w:val="20"/>
              </w:rPr>
              <w:t>Waste water spill</w:t>
            </w:r>
          </w:p>
        </w:tc>
        <w:tc>
          <w:tcPr>
            <w:tcW w:w="1198" w:type="dxa"/>
          </w:tcPr>
          <w:p w14:paraId="0E62B3A2" w14:textId="77777777" w:rsidR="00FA1E9E" w:rsidRPr="001132F8" w:rsidRDefault="00FA1E9E" w:rsidP="0070504F">
            <w:pPr>
              <w:pStyle w:val="NoSpacing"/>
              <w:rPr>
                <w:sz w:val="20"/>
                <w:szCs w:val="20"/>
              </w:rPr>
            </w:pPr>
            <w:r>
              <w:rPr>
                <w:sz w:val="20"/>
                <w:szCs w:val="20"/>
              </w:rPr>
              <w:t>Low</w:t>
            </w:r>
          </w:p>
        </w:tc>
        <w:tc>
          <w:tcPr>
            <w:tcW w:w="4340" w:type="dxa"/>
          </w:tcPr>
          <w:p w14:paraId="7B920EF6" w14:textId="77777777" w:rsidR="00FA1E9E" w:rsidRPr="001132F8" w:rsidRDefault="00FA1E9E" w:rsidP="0070504F">
            <w:pPr>
              <w:pStyle w:val="NoSpacing"/>
              <w:rPr>
                <w:sz w:val="20"/>
                <w:szCs w:val="20"/>
              </w:rPr>
            </w:pPr>
            <w:r>
              <w:rPr>
                <w:sz w:val="20"/>
                <w:szCs w:val="20"/>
              </w:rPr>
              <w:t>treat waste water before release</w:t>
            </w:r>
          </w:p>
        </w:tc>
      </w:tr>
      <w:tr w:rsidR="00FA1E9E" w:rsidRPr="001132F8" w14:paraId="7F8E058E" w14:textId="77777777" w:rsidTr="00B825E1">
        <w:tc>
          <w:tcPr>
            <w:tcW w:w="1525" w:type="dxa"/>
            <w:vMerge/>
          </w:tcPr>
          <w:p w14:paraId="2E2DE3EE" w14:textId="77777777" w:rsidR="00FA1E9E" w:rsidRPr="001132F8" w:rsidRDefault="00FA1E9E" w:rsidP="0070504F">
            <w:pPr>
              <w:pStyle w:val="NoSpacing"/>
              <w:rPr>
                <w:sz w:val="20"/>
                <w:szCs w:val="20"/>
              </w:rPr>
            </w:pPr>
          </w:p>
        </w:tc>
        <w:tc>
          <w:tcPr>
            <w:tcW w:w="2430" w:type="dxa"/>
          </w:tcPr>
          <w:p w14:paraId="318DE725" w14:textId="77777777" w:rsidR="00FA1E9E" w:rsidRPr="001132F8" w:rsidRDefault="00FA1E9E" w:rsidP="0070504F">
            <w:pPr>
              <w:pStyle w:val="NoSpacing"/>
              <w:rPr>
                <w:sz w:val="20"/>
                <w:szCs w:val="20"/>
              </w:rPr>
            </w:pPr>
            <w:r w:rsidRPr="001132F8">
              <w:rPr>
                <w:sz w:val="20"/>
                <w:szCs w:val="20"/>
              </w:rPr>
              <w:t>Conflict over land use and resources</w:t>
            </w:r>
          </w:p>
        </w:tc>
        <w:tc>
          <w:tcPr>
            <w:tcW w:w="1198" w:type="dxa"/>
          </w:tcPr>
          <w:p w14:paraId="2BE94D6F" w14:textId="77777777" w:rsidR="00FA1E9E" w:rsidRPr="001132F8" w:rsidRDefault="00FA1E9E" w:rsidP="0070504F">
            <w:pPr>
              <w:pStyle w:val="NoSpacing"/>
              <w:rPr>
                <w:sz w:val="20"/>
                <w:szCs w:val="20"/>
              </w:rPr>
            </w:pPr>
            <w:r w:rsidRPr="001132F8">
              <w:rPr>
                <w:sz w:val="20"/>
                <w:szCs w:val="20"/>
              </w:rPr>
              <w:t>Substantial</w:t>
            </w:r>
          </w:p>
        </w:tc>
        <w:tc>
          <w:tcPr>
            <w:tcW w:w="4340" w:type="dxa"/>
          </w:tcPr>
          <w:p w14:paraId="304C70BE" w14:textId="77777777" w:rsidR="00FA1E9E" w:rsidRPr="001132F8" w:rsidRDefault="00FA1E9E" w:rsidP="0070504F">
            <w:pPr>
              <w:pStyle w:val="NoSpacing"/>
              <w:rPr>
                <w:sz w:val="20"/>
                <w:szCs w:val="20"/>
              </w:rPr>
            </w:pPr>
            <w:r>
              <w:rPr>
                <w:sz w:val="20"/>
                <w:szCs w:val="20"/>
              </w:rPr>
              <w:t>negotiate a compensation with party affected</w:t>
            </w:r>
          </w:p>
        </w:tc>
      </w:tr>
      <w:tr w:rsidR="00FA1E9E" w:rsidRPr="001132F8" w14:paraId="021EF0B8" w14:textId="77777777" w:rsidTr="00D16102">
        <w:tc>
          <w:tcPr>
            <w:tcW w:w="1525" w:type="dxa"/>
            <w:vMerge/>
          </w:tcPr>
          <w:p w14:paraId="0678254E" w14:textId="77777777" w:rsidR="00FA1E9E" w:rsidRPr="001132F8" w:rsidRDefault="00FA1E9E" w:rsidP="0070504F">
            <w:pPr>
              <w:pStyle w:val="NoSpacing"/>
              <w:rPr>
                <w:sz w:val="20"/>
                <w:szCs w:val="20"/>
              </w:rPr>
            </w:pPr>
          </w:p>
        </w:tc>
        <w:tc>
          <w:tcPr>
            <w:tcW w:w="2430" w:type="dxa"/>
            <w:shd w:val="clear" w:color="auto" w:fill="auto"/>
          </w:tcPr>
          <w:p w14:paraId="4A3BD99B" w14:textId="2C8DC671" w:rsidR="00FA1E9E" w:rsidRPr="001132F8" w:rsidRDefault="00FA1E9E"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7517F8F4" w14:textId="5C8A8C8C" w:rsidR="00FA1E9E" w:rsidRPr="001132F8" w:rsidRDefault="00FA1E9E" w:rsidP="0070504F">
            <w:pPr>
              <w:pStyle w:val="NoSpacing"/>
              <w:rPr>
                <w:sz w:val="20"/>
                <w:szCs w:val="20"/>
              </w:rPr>
            </w:pPr>
            <w:r w:rsidRPr="00D07E3C">
              <w:rPr>
                <w:sz w:val="20"/>
                <w:szCs w:val="20"/>
              </w:rPr>
              <w:t>Moderate</w:t>
            </w:r>
          </w:p>
        </w:tc>
        <w:tc>
          <w:tcPr>
            <w:tcW w:w="4340" w:type="dxa"/>
          </w:tcPr>
          <w:p w14:paraId="33B6AD31" w14:textId="4A3EAB74" w:rsidR="00FA1E9E" w:rsidRPr="001132F8" w:rsidRDefault="00FA1E9E" w:rsidP="0070504F">
            <w:pPr>
              <w:pStyle w:val="NoSpacing"/>
              <w:rPr>
                <w:sz w:val="20"/>
                <w:szCs w:val="20"/>
              </w:rPr>
            </w:pPr>
            <w:r>
              <w:rPr>
                <w:sz w:val="20"/>
                <w:szCs w:val="20"/>
              </w:rPr>
              <w:t>Machinery and equipment accidents.in processing and warehouses. First aid and OHS training</w:t>
            </w:r>
          </w:p>
        </w:tc>
      </w:tr>
      <w:tr w:rsidR="00FA1E9E" w:rsidRPr="001132F8" w14:paraId="70F490E2" w14:textId="77777777" w:rsidTr="00AA3F08">
        <w:tc>
          <w:tcPr>
            <w:tcW w:w="1525" w:type="dxa"/>
            <w:vMerge/>
          </w:tcPr>
          <w:p w14:paraId="4722B6B3" w14:textId="77777777" w:rsidR="00FA1E9E" w:rsidRPr="001132F8" w:rsidRDefault="00FA1E9E" w:rsidP="00FA1E9E">
            <w:pPr>
              <w:pStyle w:val="NoSpacing"/>
              <w:rPr>
                <w:sz w:val="20"/>
                <w:szCs w:val="20"/>
              </w:rPr>
            </w:pPr>
          </w:p>
        </w:tc>
        <w:tc>
          <w:tcPr>
            <w:tcW w:w="2430" w:type="dxa"/>
            <w:shd w:val="clear" w:color="auto" w:fill="auto"/>
          </w:tcPr>
          <w:p w14:paraId="19C7BEA8" w14:textId="67CF2A73" w:rsidR="00FA1E9E" w:rsidRPr="008252C5" w:rsidRDefault="00FA1E9E" w:rsidP="00FA1E9E">
            <w:pPr>
              <w:pStyle w:val="NoSpacing"/>
              <w:rPr>
                <w:sz w:val="20"/>
                <w:szCs w:val="20"/>
                <w:lang w:val="en-US"/>
              </w:rPr>
            </w:pPr>
            <w:r>
              <w:rPr>
                <w:sz w:val="20"/>
                <w:szCs w:val="20"/>
              </w:rPr>
              <w:t xml:space="preserve">Labor influx induced </w:t>
            </w:r>
            <w:proofErr w:type="gramStart"/>
            <w:r>
              <w:rPr>
                <w:sz w:val="20"/>
                <w:szCs w:val="20"/>
              </w:rPr>
              <w:t>gender based</w:t>
            </w:r>
            <w:proofErr w:type="gramEnd"/>
            <w:r>
              <w:rPr>
                <w:sz w:val="20"/>
                <w:szCs w:val="20"/>
              </w:rPr>
              <w:t xml:space="preserve"> violence</w:t>
            </w:r>
          </w:p>
        </w:tc>
        <w:tc>
          <w:tcPr>
            <w:tcW w:w="1198" w:type="dxa"/>
            <w:shd w:val="clear" w:color="auto" w:fill="auto"/>
            <w:vAlign w:val="center"/>
          </w:tcPr>
          <w:p w14:paraId="1EE9ED67" w14:textId="119C6B7A" w:rsidR="00FA1E9E" w:rsidRPr="00D07E3C" w:rsidRDefault="00FA1E9E" w:rsidP="00FA1E9E">
            <w:pPr>
              <w:pStyle w:val="NoSpacing"/>
              <w:rPr>
                <w:sz w:val="20"/>
                <w:szCs w:val="20"/>
              </w:rPr>
            </w:pPr>
            <w:r w:rsidRPr="00F465E8">
              <w:rPr>
                <w:sz w:val="20"/>
                <w:szCs w:val="20"/>
              </w:rPr>
              <w:t>Low</w:t>
            </w:r>
          </w:p>
        </w:tc>
        <w:tc>
          <w:tcPr>
            <w:tcW w:w="4340" w:type="dxa"/>
          </w:tcPr>
          <w:p w14:paraId="0F454F01" w14:textId="04562AF5"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47B0179E" w14:textId="77777777" w:rsidTr="00AA3F08">
        <w:tc>
          <w:tcPr>
            <w:tcW w:w="1525" w:type="dxa"/>
            <w:vMerge/>
          </w:tcPr>
          <w:p w14:paraId="3C81D224" w14:textId="77777777" w:rsidR="00FA1E9E" w:rsidRPr="001132F8" w:rsidRDefault="00FA1E9E" w:rsidP="00FA1E9E">
            <w:pPr>
              <w:pStyle w:val="NoSpacing"/>
              <w:rPr>
                <w:sz w:val="20"/>
                <w:szCs w:val="20"/>
              </w:rPr>
            </w:pPr>
          </w:p>
        </w:tc>
        <w:tc>
          <w:tcPr>
            <w:tcW w:w="2430" w:type="dxa"/>
            <w:shd w:val="clear" w:color="auto" w:fill="auto"/>
          </w:tcPr>
          <w:p w14:paraId="5B677403" w14:textId="1183E798" w:rsidR="00FA1E9E" w:rsidRPr="008252C5" w:rsidRDefault="00435E6D" w:rsidP="00FA1E9E">
            <w:pPr>
              <w:pStyle w:val="NoSpacing"/>
              <w:rPr>
                <w:sz w:val="20"/>
                <w:szCs w:val="20"/>
                <w:lang w:val="en-US"/>
              </w:rPr>
            </w:pPr>
            <w:r>
              <w:rPr>
                <w:sz w:val="20"/>
                <w:szCs w:val="20"/>
              </w:rPr>
              <w:t>Child labo</w:t>
            </w:r>
            <w:r w:rsidR="00FA1E9E">
              <w:rPr>
                <w:sz w:val="20"/>
                <w:szCs w:val="20"/>
              </w:rPr>
              <w:t>r</w:t>
            </w:r>
          </w:p>
        </w:tc>
        <w:tc>
          <w:tcPr>
            <w:tcW w:w="1198" w:type="dxa"/>
            <w:shd w:val="clear" w:color="auto" w:fill="auto"/>
            <w:vAlign w:val="center"/>
          </w:tcPr>
          <w:p w14:paraId="2ADA7520" w14:textId="1A5863DB" w:rsidR="00FA1E9E" w:rsidRPr="00D07E3C" w:rsidRDefault="00FA1E9E" w:rsidP="00FA1E9E">
            <w:pPr>
              <w:pStyle w:val="NoSpacing"/>
              <w:rPr>
                <w:sz w:val="20"/>
                <w:szCs w:val="20"/>
              </w:rPr>
            </w:pPr>
            <w:r w:rsidRPr="00F465E8">
              <w:rPr>
                <w:sz w:val="20"/>
                <w:szCs w:val="20"/>
              </w:rPr>
              <w:t>Low</w:t>
            </w:r>
          </w:p>
        </w:tc>
        <w:tc>
          <w:tcPr>
            <w:tcW w:w="4340" w:type="dxa"/>
          </w:tcPr>
          <w:p w14:paraId="19CC24E5" w14:textId="38309918" w:rsidR="00FA1E9E" w:rsidRDefault="00FA1E9E" w:rsidP="00FA1E9E">
            <w:pPr>
              <w:pStyle w:val="NoSpacing"/>
              <w:rPr>
                <w:sz w:val="20"/>
                <w:szCs w:val="20"/>
              </w:rPr>
            </w:pPr>
            <w:r>
              <w:rPr>
                <w:sz w:val="20"/>
                <w:szCs w:val="20"/>
              </w:rPr>
              <w:t>Include in the regulatory imp</w:t>
            </w:r>
            <w:r w:rsidR="00435E6D">
              <w:rPr>
                <w:sz w:val="20"/>
                <w:szCs w:val="20"/>
              </w:rPr>
              <w:t>rovements rules on child labo</w:t>
            </w:r>
            <w:r>
              <w:rPr>
                <w:sz w:val="20"/>
                <w:szCs w:val="20"/>
              </w:rPr>
              <w:t xml:space="preserve">r. </w:t>
            </w:r>
          </w:p>
        </w:tc>
      </w:tr>
      <w:tr w:rsidR="00FA1E9E" w:rsidRPr="001132F8" w14:paraId="2B6C1286" w14:textId="77777777" w:rsidTr="00B825E1">
        <w:tc>
          <w:tcPr>
            <w:tcW w:w="1525" w:type="dxa"/>
            <w:vMerge w:val="restart"/>
          </w:tcPr>
          <w:p w14:paraId="6B2CCB24" w14:textId="77777777" w:rsidR="00FA1E9E" w:rsidRPr="001132F8" w:rsidRDefault="00FA1E9E" w:rsidP="00FA1E9E">
            <w:pPr>
              <w:pStyle w:val="NoSpacing"/>
              <w:rPr>
                <w:sz w:val="20"/>
                <w:szCs w:val="20"/>
              </w:rPr>
            </w:pPr>
            <w:r w:rsidRPr="001132F8">
              <w:rPr>
                <w:sz w:val="20"/>
                <w:szCs w:val="20"/>
              </w:rPr>
              <w:t>Tourism development</w:t>
            </w:r>
          </w:p>
        </w:tc>
        <w:tc>
          <w:tcPr>
            <w:tcW w:w="2430" w:type="dxa"/>
          </w:tcPr>
          <w:p w14:paraId="307A179E" w14:textId="77777777" w:rsidR="00FA1E9E" w:rsidRPr="001132F8" w:rsidRDefault="00FA1E9E" w:rsidP="00FA1E9E">
            <w:pPr>
              <w:pStyle w:val="NoSpacing"/>
              <w:rPr>
                <w:sz w:val="20"/>
                <w:szCs w:val="20"/>
              </w:rPr>
            </w:pPr>
            <w:r w:rsidRPr="001132F8">
              <w:rPr>
                <w:sz w:val="20"/>
                <w:szCs w:val="20"/>
              </w:rPr>
              <w:t>Degradation of heritage sites</w:t>
            </w:r>
          </w:p>
        </w:tc>
        <w:tc>
          <w:tcPr>
            <w:tcW w:w="1198" w:type="dxa"/>
          </w:tcPr>
          <w:p w14:paraId="56E8E5D5" w14:textId="77777777" w:rsidR="00FA1E9E" w:rsidRPr="001132F8" w:rsidRDefault="00FA1E9E" w:rsidP="00FA1E9E">
            <w:pPr>
              <w:pStyle w:val="NoSpacing"/>
              <w:rPr>
                <w:sz w:val="20"/>
                <w:szCs w:val="20"/>
              </w:rPr>
            </w:pPr>
            <w:r>
              <w:rPr>
                <w:sz w:val="20"/>
                <w:szCs w:val="20"/>
              </w:rPr>
              <w:t xml:space="preserve">Low to </w:t>
            </w:r>
            <w:r w:rsidRPr="001132F8">
              <w:rPr>
                <w:sz w:val="20"/>
                <w:szCs w:val="20"/>
              </w:rPr>
              <w:t>Moderate</w:t>
            </w:r>
          </w:p>
        </w:tc>
        <w:tc>
          <w:tcPr>
            <w:tcW w:w="4340" w:type="dxa"/>
          </w:tcPr>
          <w:p w14:paraId="3FC609A0" w14:textId="77777777" w:rsidR="00FA1E9E" w:rsidRPr="001132F8" w:rsidRDefault="00FA1E9E" w:rsidP="00FA1E9E">
            <w:pPr>
              <w:pStyle w:val="NoSpacing"/>
              <w:rPr>
                <w:sz w:val="20"/>
                <w:szCs w:val="20"/>
              </w:rPr>
            </w:pPr>
            <w:r>
              <w:rPr>
                <w:sz w:val="20"/>
                <w:szCs w:val="20"/>
              </w:rPr>
              <w:t>relocate activity to avoid such sensitive site</w:t>
            </w:r>
          </w:p>
        </w:tc>
      </w:tr>
      <w:tr w:rsidR="00FA1E9E" w:rsidRPr="001132F8" w14:paraId="3D92659C" w14:textId="77777777" w:rsidTr="00B825E1">
        <w:tc>
          <w:tcPr>
            <w:tcW w:w="1525" w:type="dxa"/>
            <w:vMerge/>
          </w:tcPr>
          <w:p w14:paraId="6C0F5886" w14:textId="77777777" w:rsidR="00FA1E9E" w:rsidRPr="001132F8" w:rsidRDefault="00FA1E9E" w:rsidP="0070504F">
            <w:pPr>
              <w:pStyle w:val="NoSpacing"/>
              <w:rPr>
                <w:sz w:val="20"/>
                <w:szCs w:val="20"/>
              </w:rPr>
            </w:pPr>
          </w:p>
        </w:tc>
        <w:tc>
          <w:tcPr>
            <w:tcW w:w="2430" w:type="dxa"/>
          </w:tcPr>
          <w:p w14:paraId="23C3EF36" w14:textId="77777777" w:rsidR="00FA1E9E" w:rsidRPr="001132F8" w:rsidRDefault="00FA1E9E" w:rsidP="0070504F">
            <w:pPr>
              <w:pStyle w:val="NoSpacing"/>
              <w:rPr>
                <w:sz w:val="20"/>
                <w:szCs w:val="20"/>
              </w:rPr>
            </w:pPr>
            <w:r w:rsidRPr="001132F8">
              <w:rPr>
                <w:sz w:val="20"/>
                <w:szCs w:val="20"/>
              </w:rPr>
              <w:t>Loss of biodiversity</w:t>
            </w:r>
          </w:p>
        </w:tc>
        <w:tc>
          <w:tcPr>
            <w:tcW w:w="1198" w:type="dxa"/>
          </w:tcPr>
          <w:p w14:paraId="2EBCBF10" w14:textId="77777777" w:rsidR="00FA1E9E" w:rsidRPr="001132F8" w:rsidRDefault="00FA1E9E" w:rsidP="0070504F">
            <w:pPr>
              <w:pStyle w:val="NoSpacing"/>
              <w:rPr>
                <w:sz w:val="20"/>
                <w:szCs w:val="20"/>
              </w:rPr>
            </w:pPr>
            <w:r>
              <w:rPr>
                <w:sz w:val="20"/>
                <w:szCs w:val="20"/>
              </w:rPr>
              <w:t>Low</w:t>
            </w:r>
          </w:p>
        </w:tc>
        <w:tc>
          <w:tcPr>
            <w:tcW w:w="4340" w:type="dxa"/>
          </w:tcPr>
          <w:p w14:paraId="19FA977D" w14:textId="77777777" w:rsidR="00FA1E9E" w:rsidRPr="001132F8" w:rsidRDefault="00FA1E9E" w:rsidP="0070504F">
            <w:pPr>
              <w:pStyle w:val="NoSpacing"/>
              <w:rPr>
                <w:sz w:val="20"/>
                <w:szCs w:val="20"/>
              </w:rPr>
            </w:pPr>
            <w:r>
              <w:rPr>
                <w:sz w:val="20"/>
                <w:szCs w:val="20"/>
              </w:rPr>
              <w:t>compensate local loss by gain at other location</w:t>
            </w:r>
          </w:p>
        </w:tc>
      </w:tr>
      <w:tr w:rsidR="00FA1E9E" w:rsidRPr="001132F8" w14:paraId="4B23C38A" w14:textId="77777777" w:rsidTr="00B825E1">
        <w:tc>
          <w:tcPr>
            <w:tcW w:w="1525" w:type="dxa"/>
            <w:vMerge/>
          </w:tcPr>
          <w:p w14:paraId="3450EB4A" w14:textId="77777777" w:rsidR="00FA1E9E" w:rsidRPr="001132F8" w:rsidRDefault="00FA1E9E" w:rsidP="0070504F">
            <w:pPr>
              <w:pStyle w:val="NoSpacing"/>
              <w:rPr>
                <w:sz w:val="20"/>
                <w:szCs w:val="20"/>
              </w:rPr>
            </w:pPr>
          </w:p>
        </w:tc>
        <w:tc>
          <w:tcPr>
            <w:tcW w:w="2430" w:type="dxa"/>
          </w:tcPr>
          <w:p w14:paraId="1F5F32A7" w14:textId="77777777" w:rsidR="00FA1E9E" w:rsidRPr="001132F8" w:rsidRDefault="00FA1E9E" w:rsidP="0070504F">
            <w:pPr>
              <w:pStyle w:val="NoSpacing"/>
              <w:rPr>
                <w:sz w:val="20"/>
                <w:szCs w:val="20"/>
              </w:rPr>
            </w:pPr>
            <w:r w:rsidRPr="001132F8">
              <w:rPr>
                <w:sz w:val="20"/>
                <w:szCs w:val="20"/>
              </w:rPr>
              <w:t>Community ‘lifestyle’ disruption</w:t>
            </w:r>
          </w:p>
        </w:tc>
        <w:tc>
          <w:tcPr>
            <w:tcW w:w="1198" w:type="dxa"/>
          </w:tcPr>
          <w:p w14:paraId="2226F00F" w14:textId="77777777" w:rsidR="00FA1E9E" w:rsidRPr="001132F8" w:rsidRDefault="00FA1E9E" w:rsidP="0070504F">
            <w:pPr>
              <w:pStyle w:val="NoSpacing"/>
              <w:rPr>
                <w:sz w:val="20"/>
                <w:szCs w:val="20"/>
              </w:rPr>
            </w:pPr>
            <w:r w:rsidRPr="001132F8">
              <w:rPr>
                <w:sz w:val="20"/>
                <w:szCs w:val="20"/>
              </w:rPr>
              <w:t>Low</w:t>
            </w:r>
          </w:p>
        </w:tc>
        <w:tc>
          <w:tcPr>
            <w:tcW w:w="4340" w:type="dxa"/>
          </w:tcPr>
          <w:p w14:paraId="4AD43C8D" w14:textId="77777777" w:rsidR="00FA1E9E" w:rsidRPr="001132F8" w:rsidRDefault="00FA1E9E" w:rsidP="0070504F">
            <w:pPr>
              <w:pStyle w:val="NoSpacing"/>
              <w:rPr>
                <w:sz w:val="20"/>
                <w:szCs w:val="20"/>
              </w:rPr>
            </w:pPr>
            <w:r>
              <w:rPr>
                <w:sz w:val="20"/>
                <w:szCs w:val="20"/>
              </w:rPr>
              <w:t>discuss with community ways to avoid or mitigate, and agree on adequate measures + monitoring</w:t>
            </w:r>
          </w:p>
        </w:tc>
      </w:tr>
      <w:tr w:rsidR="00FA1E9E" w:rsidRPr="001132F8" w14:paraId="45C4B637" w14:textId="77777777" w:rsidTr="00B825E1">
        <w:tc>
          <w:tcPr>
            <w:tcW w:w="1525" w:type="dxa"/>
            <w:vMerge/>
          </w:tcPr>
          <w:p w14:paraId="36116890" w14:textId="77777777" w:rsidR="00FA1E9E" w:rsidRPr="001132F8" w:rsidRDefault="00FA1E9E" w:rsidP="0070504F">
            <w:pPr>
              <w:pStyle w:val="NoSpacing"/>
              <w:rPr>
                <w:sz w:val="20"/>
                <w:szCs w:val="20"/>
              </w:rPr>
            </w:pPr>
          </w:p>
        </w:tc>
        <w:tc>
          <w:tcPr>
            <w:tcW w:w="2430" w:type="dxa"/>
          </w:tcPr>
          <w:p w14:paraId="54E53793" w14:textId="77777777" w:rsidR="00FA1E9E" w:rsidRPr="001132F8" w:rsidRDefault="00FA1E9E" w:rsidP="0070504F">
            <w:pPr>
              <w:pStyle w:val="NoSpacing"/>
              <w:rPr>
                <w:sz w:val="20"/>
                <w:szCs w:val="20"/>
              </w:rPr>
            </w:pPr>
            <w:r w:rsidRPr="001132F8">
              <w:rPr>
                <w:sz w:val="20"/>
                <w:szCs w:val="20"/>
              </w:rPr>
              <w:t>Conflict over the land use and resources</w:t>
            </w:r>
          </w:p>
        </w:tc>
        <w:tc>
          <w:tcPr>
            <w:tcW w:w="1198" w:type="dxa"/>
          </w:tcPr>
          <w:p w14:paraId="7891E561"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1019B86C" w14:textId="77777777" w:rsidR="00FA1E9E" w:rsidRPr="001132F8" w:rsidRDefault="00FA1E9E" w:rsidP="0070504F">
            <w:pPr>
              <w:pStyle w:val="NoSpacing"/>
              <w:rPr>
                <w:sz w:val="20"/>
                <w:szCs w:val="20"/>
              </w:rPr>
            </w:pPr>
            <w:r>
              <w:rPr>
                <w:sz w:val="20"/>
                <w:szCs w:val="20"/>
              </w:rPr>
              <w:t>relocate or negotiate to identify an acceptable win-win solution, possibly a compensation</w:t>
            </w:r>
          </w:p>
        </w:tc>
      </w:tr>
      <w:tr w:rsidR="00FA1E9E" w:rsidRPr="001132F8" w14:paraId="1356C91D" w14:textId="77777777" w:rsidTr="00B825E1">
        <w:tc>
          <w:tcPr>
            <w:tcW w:w="1525" w:type="dxa"/>
            <w:vMerge/>
          </w:tcPr>
          <w:p w14:paraId="268F318D" w14:textId="77777777" w:rsidR="00FA1E9E" w:rsidRPr="001132F8" w:rsidRDefault="00FA1E9E" w:rsidP="0070504F">
            <w:pPr>
              <w:pStyle w:val="NoSpacing"/>
              <w:rPr>
                <w:sz w:val="20"/>
                <w:szCs w:val="20"/>
              </w:rPr>
            </w:pPr>
          </w:p>
        </w:tc>
        <w:tc>
          <w:tcPr>
            <w:tcW w:w="2430" w:type="dxa"/>
          </w:tcPr>
          <w:p w14:paraId="5E6CB255" w14:textId="77777777" w:rsidR="00FA1E9E" w:rsidRPr="001132F8" w:rsidRDefault="00FA1E9E" w:rsidP="0070504F">
            <w:pPr>
              <w:pStyle w:val="NoSpacing"/>
              <w:rPr>
                <w:sz w:val="20"/>
                <w:szCs w:val="20"/>
              </w:rPr>
            </w:pPr>
            <w:r w:rsidRPr="001132F8">
              <w:rPr>
                <w:sz w:val="20"/>
                <w:szCs w:val="20"/>
              </w:rPr>
              <w:t>Intrusion of unintended activities</w:t>
            </w:r>
          </w:p>
        </w:tc>
        <w:tc>
          <w:tcPr>
            <w:tcW w:w="1198" w:type="dxa"/>
          </w:tcPr>
          <w:p w14:paraId="0B0244FE"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711D7D24" w14:textId="77777777" w:rsidR="00FA1E9E" w:rsidRPr="001132F8" w:rsidRDefault="00FA1E9E" w:rsidP="0070504F">
            <w:pPr>
              <w:pStyle w:val="NoSpacing"/>
              <w:rPr>
                <w:sz w:val="20"/>
                <w:szCs w:val="20"/>
              </w:rPr>
            </w:pPr>
            <w:r>
              <w:rPr>
                <w:sz w:val="20"/>
                <w:szCs w:val="20"/>
              </w:rPr>
              <w:t>patrolling of sensitive area</w:t>
            </w:r>
          </w:p>
        </w:tc>
      </w:tr>
      <w:tr w:rsidR="00FA1E9E" w:rsidRPr="001132F8" w14:paraId="0AD773DC" w14:textId="77777777" w:rsidTr="00B825E1">
        <w:tc>
          <w:tcPr>
            <w:tcW w:w="1525" w:type="dxa"/>
            <w:vMerge/>
          </w:tcPr>
          <w:p w14:paraId="036E1AE8" w14:textId="77777777" w:rsidR="00FA1E9E" w:rsidRPr="001132F8" w:rsidRDefault="00FA1E9E" w:rsidP="0070504F">
            <w:pPr>
              <w:pStyle w:val="NoSpacing"/>
              <w:rPr>
                <w:sz w:val="20"/>
                <w:szCs w:val="20"/>
              </w:rPr>
            </w:pPr>
          </w:p>
        </w:tc>
        <w:tc>
          <w:tcPr>
            <w:tcW w:w="2430" w:type="dxa"/>
          </w:tcPr>
          <w:p w14:paraId="320AE0B1" w14:textId="77777777" w:rsidR="00FA1E9E" w:rsidRPr="001132F8" w:rsidRDefault="00FA1E9E" w:rsidP="0070504F">
            <w:pPr>
              <w:pStyle w:val="NoSpacing"/>
              <w:rPr>
                <w:sz w:val="20"/>
                <w:szCs w:val="20"/>
              </w:rPr>
            </w:pPr>
            <w:r>
              <w:rPr>
                <w:sz w:val="20"/>
                <w:szCs w:val="20"/>
              </w:rPr>
              <w:t>Inadequate s</w:t>
            </w:r>
            <w:r w:rsidRPr="001132F8">
              <w:rPr>
                <w:sz w:val="20"/>
                <w:szCs w:val="20"/>
              </w:rPr>
              <w:t>olid waste disposal</w:t>
            </w:r>
          </w:p>
        </w:tc>
        <w:tc>
          <w:tcPr>
            <w:tcW w:w="1198" w:type="dxa"/>
          </w:tcPr>
          <w:p w14:paraId="665AB8CB" w14:textId="77777777" w:rsidR="00FA1E9E" w:rsidRPr="001132F8" w:rsidRDefault="00FA1E9E" w:rsidP="0070504F">
            <w:pPr>
              <w:pStyle w:val="NoSpacing"/>
              <w:rPr>
                <w:sz w:val="20"/>
                <w:szCs w:val="20"/>
              </w:rPr>
            </w:pPr>
            <w:r w:rsidRPr="001132F8">
              <w:rPr>
                <w:sz w:val="20"/>
                <w:szCs w:val="20"/>
              </w:rPr>
              <w:t>Substantial</w:t>
            </w:r>
          </w:p>
        </w:tc>
        <w:tc>
          <w:tcPr>
            <w:tcW w:w="4340" w:type="dxa"/>
          </w:tcPr>
          <w:p w14:paraId="4170436D" w14:textId="77777777" w:rsidR="00FA1E9E" w:rsidRPr="001132F8" w:rsidRDefault="00FA1E9E" w:rsidP="0070504F">
            <w:pPr>
              <w:pStyle w:val="NoSpacing"/>
              <w:rPr>
                <w:sz w:val="20"/>
                <w:szCs w:val="20"/>
              </w:rPr>
            </w:pPr>
            <w:r>
              <w:rPr>
                <w:sz w:val="20"/>
                <w:szCs w:val="20"/>
              </w:rPr>
              <w:t xml:space="preserve">develop and implement targeted awareness campaign </w:t>
            </w:r>
          </w:p>
        </w:tc>
      </w:tr>
      <w:tr w:rsidR="00FA1E9E" w:rsidRPr="001132F8" w14:paraId="5AACD9E5" w14:textId="77777777" w:rsidTr="00B825E1">
        <w:tc>
          <w:tcPr>
            <w:tcW w:w="1525" w:type="dxa"/>
            <w:vMerge/>
          </w:tcPr>
          <w:p w14:paraId="06846870" w14:textId="77777777" w:rsidR="00FA1E9E" w:rsidRPr="001132F8" w:rsidRDefault="00FA1E9E" w:rsidP="0070504F">
            <w:pPr>
              <w:pStyle w:val="NoSpacing"/>
              <w:rPr>
                <w:sz w:val="20"/>
                <w:szCs w:val="20"/>
              </w:rPr>
            </w:pPr>
          </w:p>
        </w:tc>
        <w:tc>
          <w:tcPr>
            <w:tcW w:w="2430" w:type="dxa"/>
          </w:tcPr>
          <w:p w14:paraId="20A735EE" w14:textId="77777777" w:rsidR="00FA1E9E" w:rsidRPr="001132F8" w:rsidRDefault="00FA1E9E" w:rsidP="0070504F">
            <w:pPr>
              <w:pStyle w:val="NoSpacing"/>
              <w:rPr>
                <w:sz w:val="20"/>
                <w:szCs w:val="20"/>
              </w:rPr>
            </w:pPr>
            <w:r>
              <w:rPr>
                <w:sz w:val="20"/>
                <w:szCs w:val="20"/>
              </w:rPr>
              <w:t>Poor s</w:t>
            </w:r>
            <w:r w:rsidRPr="001132F8">
              <w:rPr>
                <w:sz w:val="20"/>
                <w:szCs w:val="20"/>
              </w:rPr>
              <w:t>anitation / hygiene</w:t>
            </w:r>
          </w:p>
        </w:tc>
        <w:tc>
          <w:tcPr>
            <w:tcW w:w="1198" w:type="dxa"/>
          </w:tcPr>
          <w:p w14:paraId="49CCA980" w14:textId="77777777" w:rsidR="00FA1E9E" w:rsidRPr="001132F8" w:rsidRDefault="00FA1E9E" w:rsidP="0070504F">
            <w:pPr>
              <w:pStyle w:val="NoSpacing"/>
              <w:rPr>
                <w:sz w:val="20"/>
                <w:szCs w:val="20"/>
              </w:rPr>
            </w:pPr>
            <w:r w:rsidRPr="001132F8">
              <w:rPr>
                <w:sz w:val="20"/>
                <w:szCs w:val="20"/>
              </w:rPr>
              <w:t>Low</w:t>
            </w:r>
          </w:p>
        </w:tc>
        <w:tc>
          <w:tcPr>
            <w:tcW w:w="4340" w:type="dxa"/>
          </w:tcPr>
          <w:p w14:paraId="4B8F7CA0" w14:textId="77777777" w:rsidR="00FA1E9E" w:rsidRPr="001132F8" w:rsidRDefault="00FA1E9E" w:rsidP="0070504F">
            <w:pPr>
              <w:pStyle w:val="NoSpacing"/>
              <w:rPr>
                <w:sz w:val="20"/>
                <w:szCs w:val="20"/>
              </w:rPr>
            </w:pPr>
            <w:r>
              <w:rPr>
                <w:sz w:val="20"/>
                <w:szCs w:val="20"/>
              </w:rPr>
              <w:t>inspection; incentivise cleanliness</w:t>
            </w:r>
          </w:p>
        </w:tc>
      </w:tr>
      <w:tr w:rsidR="00FA1E9E" w:rsidRPr="001132F8" w14:paraId="4C678540" w14:textId="77777777" w:rsidTr="00B825E1">
        <w:tc>
          <w:tcPr>
            <w:tcW w:w="1525" w:type="dxa"/>
            <w:vMerge/>
          </w:tcPr>
          <w:p w14:paraId="343002E1" w14:textId="77777777" w:rsidR="00FA1E9E" w:rsidRPr="001132F8" w:rsidRDefault="00FA1E9E" w:rsidP="0070504F">
            <w:pPr>
              <w:pStyle w:val="NoSpacing"/>
              <w:rPr>
                <w:sz w:val="20"/>
                <w:szCs w:val="20"/>
              </w:rPr>
            </w:pPr>
          </w:p>
        </w:tc>
        <w:tc>
          <w:tcPr>
            <w:tcW w:w="2430" w:type="dxa"/>
          </w:tcPr>
          <w:p w14:paraId="30EB3FAA" w14:textId="77777777" w:rsidR="00FA1E9E" w:rsidRPr="001132F8" w:rsidRDefault="00FA1E9E" w:rsidP="0070504F">
            <w:pPr>
              <w:pStyle w:val="NoSpacing"/>
              <w:rPr>
                <w:sz w:val="20"/>
                <w:szCs w:val="20"/>
              </w:rPr>
            </w:pPr>
            <w:r w:rsidRPr="001132F8">
              <w:rPr>
                <w:sz w:val="20"/>
                <w:szCs w:val="20"/>
              </w:rPr>
              <w:t>Involuntary resettlement</w:t>
            </w:r>
          </w:p>
        </w:tc>
        <w:tc>
          <w:tcPr>
            <w:tcW w:w="1198" w:type="dxa"/>
          </w:tcPr>
          <w:p w14:paraId="4BF63300" w14:textId="77777777" w:rsidR="00FA1E9E" w:rsidRPr="001132F8" w:rsidRDefault="00FA1E9E" w:rsidP="0070504F">
            <w:pPr>
              <w:pStyle w:val="NoSpacing"/>
              <w:rPr>
                <w:sz w:val="20"/>
                <w:szCs w:val="20"/>
              </w:rPr>
            </w:pPr>
            <w:r w:rsidRPr="001132F8">
              <w:rPr>
                <w:sz w:val="20"/>
                <w:szCs w:val="20"/>
              </w:rPr>
              <w:t>Low</w:t>
            </w:r>
          </w:p>
        </w:tc>
        <w:tc>
          <w:tcPr>
            <w:tcW w:w="4340" w:type="dxa"/>
          </w:tcPr>
          <w:p w14:paraId="3F0F6376" w14:textId="77777777" w:rsidR="00FA1E9E" w:rsidRPr="001132F8" w:rsidRDefault="00FA1E9E" w:rsidP="0070504F">
            <w:pPr>
              <w:pStyle w:val="NoSpacing"/>
              <w:rPr>
                <w:sz w:val="20"/>
                <w:szCs w:val="20"/>
              </w:rPr>
            </w:pPr>
            <w:r>
              <w:rPr>
                <w:sz w:val="20"/>
                <w:szCs w:val="20"/>
              </w:rPr>
              <w:t>negotiate voluntary resettlement based on compensation</w:t>
            </w:r>
          </w:p>
        </w:tc>
      </w:tr>
      <w:tr w:rsidR="00FA1E9E" w:rsidRPr="001132F8" w14:paraId="72C8B5D6" w14:textId="77777777" w:rsidTr="00D16102">
        <w:tc>
          <w:tcPr>
            <w:tcW w:w="1525" w:type="dxa"/>
            <w:vMerge/>
          </w:tcPr>
          <w:p w14:paraId="3F46F022" w14:textId="77777777" w:rsidR="00FA1E9E" w:rsidRPr="001132F8" w:rsidRDefault="00FA1E9E" w:rsidP="0070504F">
            <w:pPr>
              <w:pStyle w:val="NoSpacing"/>
              <w:rPr>
                <w:sz w:val="20"/>
                <w:szCs w:val="20"/>
              </w:rPr>
            </w:pPr>
          </w:p>
        </w:tc>
        <w:tc>
          <w:tcPr>
            <w:tcW w:w="2430" w:type="dxa"/>
            <w:shd w:val="clear" w:color="auto" w:fill="auto"/>
          </w:tcPr>
          <w:p w14:paraId="1F771EF9" w14:textId="5602B431" w:rsidR="00FA1E9E" w:rsidRPr="001132F8" w:rsidRDefault="00FA1E9E"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37EBE909" w14:textId="42B64E2D" w:rsidR="00FA1E9E" w:rsidRPr="001132F8" w:rsidRDefault="00FA1E9E" w:rsidP="0070504F">
            <w:pPr>
              <w:pStyle w:val="NoSpacing"/>
              <w:rPr>
                <w:sz w:val="20"/>
                <w:szCs w:val="20"/>
              </w:rPr>
            </w:pPr>
            <w:r w:rsidRPr="00D07E3C">
              <w:rPr>
                <w:sz w:val="20"/>
                <w:szCs w:val="20"/>
              </w:rPr>
              <w:t>Moderate</w:t>
            </w:r>
          </w:p>
        </w:tc>
        <w:tc>
          <w:tcPr>
            <w:tcW w:w="4340" w:type="dxa"/>
          </w:tcPr>
          <w:p w14:paraId="7057C90C" w14:textId="27519777" w:rsidR="00FA1E9E" w:rsidRPr="001132F8" w:rsidRDefault="00FA1E9E" w:rsidP="0070504F">
            <w:pPr>
              <w:pStyle w:val="NoSpacing"/>
              <w:rPr>
                <w:sz w:val="20"/>
                <w:szCs w:val="20"/>
              </w:rPr>
            </w:pPr>
            <w:r>
              <w:rPr>
                <w:sz w:val="20"/>
                <w:szCs w:val="20"/>
              </w:rPr>
              <w:t>Machinery and equipment accidents during infrastructure constructions and operations. First aid and OHS training</w:t>
            </w:r>
          </w:p>
        </w:tc>
      </w:tr>
      <w:tr w:rsidR="00FA1E9E" w:rsidRPr="001132F8" w14:paraId="2F575239" w14:textId="77777777" w:rsidTr="00AA3F08">
        <w:tc>
          <w:tcPr>
            <w:tcW w:w="1525" w:type="dxa"/>
            <w:vMerge/>
          </w:tcPr>
          <w:p w14:paraId="0C2AC30A" w14:textId="77777777" w:rsidR="00FA1E9E" w:rsidRPr="001132F8" w:rsidRDefault="00FA1E9E" w:rsidP="00FA1E9E">
            <w:pPr>
              <w:pStyle w:val="NoSpacing"/>
              <w:rPr>
                <w:sz w:val="20"/>
                <w:szCs w:val="20"/>
              </w:rPr>
            </w:pPr>
          </w:p>
        </w:tc>
        <w:tc>
          <w:tcPr>
            <w:tcW w:w="2430" w:type="dxa"/>
            <w:shd w:val="clear" w:color="auto" w:fill="auto"/>
          </w:tcPr>
          <w:p w14:paraId="5F891186" w14:textId="0A889BE8" w:rsidR="00FA1E9E" w:rsidRPr="008252C5" w:rsidRDefault="00FA1E9E" w:rsidP="00FA1E9E">
            <w:pPr>
              <w:pStyle w:val="NoSpacing"/>
              <w:rPr>
                <w:sz w:val="20"/>
                <w:szCs w:val="20"/>
                <w:lang w:val="en-US"/>
              </w:rPr>
            </w:pPr>
            <w:r>
              <w:rPr>
                <w:sz w:val="20"/>
                <w:szCs w:val="20"/>
              </w:rPr>
              <w:t xml:space="preserve">Labor influx induced </w:t>
            </w:r>
            <w:proofErr w:type="gramStart"/>
            <w:r>
              <w:rPr>
                <w:sz w:val="20"/>
                <w:szCs w:val="20"/>
              </w:rPr>
              <w:t>gender based</w:t>
            </w:r>
            <w:proofErr w:type="gramEnd"/>
            <w:r>
              <w:rPr>
                <w:sz w:val="20"/>
                <w:szCs w:val="20"/>
              </w:rPr>
              <w:t xml:space="preserve"> violence</w:t>
            </w:r>
          </w:p>
        </w:tc>
        <w:tc>
          <w:tcPr>
            <w:tcW w:w="1198" w:type="dxa"/>
            <w:shd w:val="clear" w:color="auto" w:fill="auto"/>
            <w:vAlign w:val="center"/>
          </w:tcPr>
          <w:p w14:paraId="2872390B" w14:textId="35D1DBBD" w:rsidR="00FA1E9E" w:rsidRPr="00D07E3C" w:rsidRDefault="00FA1E9E" w:rsidP="00FA1E9E">
            <w:pPr>
              <w:pStyle w:val="NoSpacing"/>
              <w:rPr>
                <w:sz w:val="20"/>
                <w:szCs w:val="20"/>
              </w:rPr>
            </w:pPr>
            <w:r w:rsidRPr="00F465E8">
              <w:rPr>
                <w:sz w:val="20"/>
                <w:szCs w:val="20"/>
              </w:rPr>
              <w:t>Low</w:t>
            </w:r>
          </w:p>
        </w:tc>
        <w:tc>
          <w:tcPr>
            <w:tcW w:w="4340" w:type="dxa"/>
          </w:tcPr>
          <w:p w14:paraId="41031C09" w14:textId="6E206185"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012C3703" w14:textId="77777777" w:rsidTr="00B825E1">
        <w:tc>
          <w:tcPr>
            <w:tcW w:w="1525" w:type="dxa"/>
            <w:vMerge w:val="restart"/>
          </w:tcPr>
          <w:p w14:paraId="18F4C2EA" w14:textId="77777777" w:rsidR="00FA1E9E" w:rsidRPr="001132F8" w:rsidRDefault="00FA1E9E" w:rsidP="00FA1E9E">
            <w:pPr>
              <w:pStyle w:val="NoSpacing"/>
              <w:rPr>
                <w:sz w:val="20"/>
                <w:szCs w:val="20"/>
              </w:rPr>
            </w:pPr>
            <w:r w:rsidRPr="001132F8">
              <w:rPr>
                <w:sz w:val="20"/>
                <w:szCs w:val="20"/>
              </w:rPr>
              <w:t>(Last Mile) Access roads</w:t>
            </w:r>
          </w:p>
        </w:tc>
        <w:tc>
          <w:tcPr>
            <w:tcW w:w="2430" w:type="dxa"/>
          </w:tcPr>
          <w:p w14:paraId="00E63B57" w14:textId="77777777" w:rsidR="00FA1E9E" w:rsidRPr="001132F8" w:rsidRDefault="00FA1E9E" w:rsidP="00FA1E9E">
            <w:pPr>
              <w:pStyle w:val="NoSpacing"/>
              <w:rPr>
                <w:sz w:val="20"/>
                <w:szCs w:val="20"/>
              </w:rPr>
            </w:pPr>
            <w:r w:rsidRPr="001132F8">
              <w:rPr>
                <w:sz w:val="20"/>
                <w:szCs w:val="20"/>
              </w:rPr>
              <w:t>Air and noise pollution</w:t>
            </w:r>
          </w:p>
        </w:tc>
        <w:tc>
          <w:tcPr>
            <w:tcW w:w="1198" w:type="dxa"/>
          </w:tcPr>
          <w:p w14:paraId="1B7F3227" w14:textId="77777777" w:rsidR="00FA1E9E" w:rsidRPr="001132F8" w:rsidRDefault="00FA1E9E" w:rsidP="00FA1E9E">
            <w:pPr>
              <w:pStyle w:val="NoSpacing"/>
              <w:rPr>
                <w:sz w:val="20"/>
                <w:szCs w:val="20"/>
              </w:rPr>
            </w:pPr>
            <w:r w:rsidRPr="001132F8">
              <w:rPr>
                <w:sz w:val="20"/>
                <w:szCs w:val="20"/>
              </w:rPr>
              <w:t>Low</w:t>
            </w:r>
          </w:p>
        </w:tc>
        <w:tc>
          <w:tcPr>
            <w:tcW w:w="4340" w:type="dxa"/>
          </w:tcPr>
          <w:p w14:paraId="79B3C8D3" w14:textId="77777777" w:rsidR="00FA1E9E" w:rsidRPr="001132F8" w:rsidRDefault="00FA1E9E" w:rsidP="00FA1E9E">
            <w:pPr>
              <w:pStyle w:val="NoSpacing"/>
              <w:rPr>
                <w:sz w:val="20"/>
                <w:szCs w:val="20"/>
              </w:rPr>
            </w:pPr>
            <w:r>
              <w:rPr>
                <w:sz w:val="20"/>
                <w:szCs w:val="20"/>
              </w:rPr>
              <w:t>limit traffic speed</w:t>
            </w:r>
          </w:p>
        </w:tc>
      </w:tr>
      <w:tr w:rsidR="00FA1E9E" w:rsidRPr="001132F8" w14:paraId="0D4D54C0" w14:textId="77777777" w:rsidTr="00B825E1">
        <w:tc>
          <w:tcPr>
            <w:tcW w:w="1525" w:type="dxa"/>
            <w:vMerge/>
          </w:tcPr>
          <w:p w14:paraId="18471CA0" w14:textId="77777777" w:rsidR="00FA1E9E" w:rsidRPr="001132F8" w:rsidRDefault="00FA1E9E" w:rsidP="0070504F">
            <w:pPr>
              <w:pStyle w:val="NoSpacing"/>
              <w:rPr>
                <w:sz w:val="20"/>
                <w:szCs w:val="20"/>
              </w:rPr>
            </w:pPr>
          </w:p>
        </w:tc>
        <w:tc>
          <w:tcPr>
            <w:tcW w:w="2430" w:type="dxa"/>
          </w:tcPr>
          <w:p w14:paraId="7B21D1E2" w14:textId="77777777" w:rsidR="00FA1E9E" w:rsidRPr="001132F8" w:rsidRDefault="00FA1E9E" w:rsidP="0070504F">
            <w:pPr>
              <w:pStyle w:val="NoSpacing"/>
              <w:rPr>
                <w:sz w:val="20"/>
                <w:szCs w:val="20"/>
              </w:rPr>
            </w:pPr>
            <w:r w:rsidRPr="001132F8">
              <w:rPr>
                <w:sz w:val="20"/>
                <w:szCs w:val="20"/>
              </w:rPr>
              <w:t>Water pollution</w:t>
            </w:r>
          </w:p>
        </w:tc>
        <w:tc>
          <w:tcPr>
            <w:tcW w:w="1198" w:type="dxa"/>
          </w:tcPr>
          <w:p w14:paraId="5B7DB370" w14:textId="77777777" w:rsidR="00FA1E9E" w:rsidRPr="001132F8" w:rsidRDefault="00FA1E9E" w:rsidP="0070504F">
            <w:pPr>
              <w:pStyle w:val="NoSpacing"/>
              <w:rPr>
                <w:sz w:val="20"/>
                <w:szCs w:val="20"/>
              </w:rPr>
            </w:pPr>
            <w:r w:rsidRPr="001132F8">
              <w:rPr>
                <w:sz w:val="20"/>
                <w:szCs w:val="20"/>
              </w:rPr>
              <w:t>Low</w:t>
            </w:r>
          </w:p>
        </w:tc>
        <w:tc>
          <w:tcPr>
            <w:tcW w:w="4340" w:type="dxa"/>
          </w:tcPr>
          <w:p w14:paraId="0059BA51" w14:textId="77777777" w:rsidR="00FA1E9E" w:rsidRPr="001132F8" w:rsidRDefault="00FA1E9E" w:rsidP="0070504F">
            <w:pPr>
              <w:pStyle w:val="NoSpacing"/>
              <w:rPr>
                <w:sz w:val="20"/>
                <w:szCs w:val="20"/>
              </w:rPr>
            </w:pPr>
            <w:r>
              <w:rPr>
                <w:sz w:val="20"/>
                <w:szCs w:val="20"/>
              </w:rPr>
              <w:t>incorporate procedures in work to avoid such pollution</w:t>
            </w:r>
          </w:p>
        </w:tc>
      </w:tr>
      <w:tr w:rsidR="00FA1E9E" w:rsidRPr="001132F8" w14:paraId="67159E39" w14:textId="77777777" w:rsidTr="00B825E1">
        <w:tc>
          <w:tcPr>
            <w:tcW w:w="1525" w:type="dxa"/>
            <w:vMerge/>
          </w:tcPr>
          <w:p w14:paraId="6AB8FA61" w14:textId="77777777" w:rsidR="00FA1E9E" w:rsidRPr="001132F8" w:rsidRDefault="00FA1E9E" w:rsidP="0070504F">
            <w:pPr>
              <w:pStyle w:val="NoSpacing"/>
              <w:rPr>
                <w:sz w:val="20"/>
                <w:szCs w:val="20"/>
              </w:rPr>
            </w:pPr>
          </w:p>
        </w:tc>
        <w:tc>
          <w:tcPr>
            <w:tcW w:w="2430" w:type="dxa"/>
          </w:tcPr>
          <w:p w14:paraId="556A3F08" w14:textId="77777777" w:rsidR="00FA1E9E" w:rsidRPr="001132F8" w:rsidRDefault="00FA1E9E" w:rsidP="0070504F">
            <w:pPr>
              <w:pStyle w:val="NoSpacing"/>
              <w:rPr>
                <w:sz w:val="20"/>
                <w:szCs w:val="20"/>
              </w:rPr>
            </w:pPr>
            <w:r>
              <w:rPr>
                <w:sz w:val="20"/>
                <w:szCs w:val="20"/>
              </w:rPr>
              <w:t>Inadequate s</w:t>
            </w:r>
            <w:r w:rsidRPr="001132F8">
              <w:rPr>
                <w:sz w:val="20"/>
                <w:szCs w:val="20"/>
              </w:rPr>
              <w:t>olid waste disposal</w:t>
            </w:r>
          </w:p>
        </w:tc>
        <w:tc>
          <w:tcPr>
            <w:tcW w:w="1198" w:type="dxa"/>
          </w:tcPr>
          <w:p w14:paraId="680104B9"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0A1F1FDA" w14:textId="77777777" w:rsidR="00FA1E9E" w:rsidRPr="001132F8" w:rsidRDefault="00FA1E9E" w:rsidP="0070504F">
            <w:pPr>
              <w:pStyle w:val="NoSpacing"/>
              <w:rPr>
                <w:sz w:val="20"/>
                <w:szCs w:val="20"/>
              </w:rPr>
            </w:pPr>
            <w:r>
              <w:rPr>
                <w:sz w:val="20"/>
                <w:szCs w:val="20"/>
              </w:rPr>
              <w:t>contain / limit solid waste production to areas where it is easier to manage disposal</w:t>
            </w:r>
          </w:p>
        </w:tc>
      </w:tr>
      <w:tr w:rsidR="00FA1E9E" w:rsidRPr="001132F8" w14:paraId="3BA4EB9E" w14:textId="77777777" w:rsidTr="00B825E1">
        <w:tc>
          <w:tcPr>
            <w:tcW w:w="1525" w:type="dxa"/>
            <w:vMerge/>
          </w:tcPr>
          <w:p w14:paraId="4363DB1B" w14:textId="77777777" w:rsidR="00FA1E9E" w:rsidRPr="001132F8" w:rsidRDefault="00FA1E9E" w:rsidP="0070504F">
            <w:pPr>
              <w:pStyle w:val="NoSpacing"/>
              <w:rPr>
                <w:sz w:val="20"/>
                <w:szCs w:val="20"/>
              </w:rPr>
            </w:pPr>
          </w:p>
        </w:tc>
        <w:tc>
          <w:tcPr>
            <w:tcW w:w="2430" w:type="dxa"/>
          </w:tcPr>
          <w:p w14:paraId="68D971F3" w14:textId="77777777" w:rsidR="00FA1E9E" w:rsidRPr="001132F8" w:rsidRDefault="00FA1E9E" w:rsidP="0070504F">
            <w:pPr>
              <w:pStyle w:val="NoSpacing"/>
              <w:rPr>
                <w:sz w:val="20"/>
                <w:szCs w:val="20"/>
              </w:rPr>
            </w:pPr>
            <w:r>
              <w:rPr>
                <w:sz w:val="20"/>
                <w:szCs w:val="20"/>
              </w:rPr>
              <w:t>Inadequate w</w:t>
            </w:r>
            <w:r w:rsidRPr="001132F8">
              <w:rPr>
                <w:sz w:val="20"/>
                <w:szCs w:val="20"/>
              </w:rPr>
              <w:t>aste oil</w:t>
            </w:r>
            <w:r>
              <w:rPr>
                <w:sz w:val="20"/>
                <w:szCs w:val="20"/>
              </w:rPr>
              <w:t xml:space="preserve"> </w:t>
            </w:r>
            <w:r w:rsidRPr="001132F8">
              <w:rPr>
                <w:sz w:val="20"/>
                <w:szCs w:val="20"/>
              </w:rPr>
              <w:t>/ fuel disposal</w:t>
            </w:r>
          </w:p>
        </w:tc>
        <w:tc>
          <w:tcPr>
            <w:tcW w:w="1198" w:type="dxa"/>
          </w:tcPr>
          <w:p w14:paraId="78F55AA1"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77A2CD25" w14:textId="0D2918E0" w:rsidR="00FA1E9E" w:rsidRPr="001132F8" w:rsidRDefault="00FA1E9E" w:rsidP="0070504F">
            <w:pPr>
              <w:pStyle w:val="NoSpacing"/>
              <w:rPr>
                <w:sz w:val="20"/>
                <w:szCs w:val="20"/>
              </w:rPr>
            </w:pPr>
            <w:r>
              <w:rPr>
                <w:sz w:val="20"/>
                <w:szCs w:val="20"/>
              </w:rPr>
              <w:t xml:space="preserve">place and service waste storage tanks at vehicle fuelling / maintenance sites </w:t>
            </w:r>
          </w:p>
        </w:tc>
      </w:tr>
      <w:tr w:rsidR="00FA1E9E" w:rsidRPr="001132F8" w14:paraId="62E5FA60" w14:textId="77777777" w:rsidTr="00B825E1">
        <w:trPr>
          <w:trHeight w:val="300"/>
        </w:trPr>
        <w:tc>
          <w:tcPr>
            <w:tcW w:w="1525" w:type="dxa"/>
            <w:vMerge/>
          </w:tcPr>
          <w:p w14:paraId="40EFEAE2" w14:textId="77777777" w:rsidR="00FA1E9E" w:rsidRPr="001132F8" w:rsidRDefault="00FA1E9E" w:rsidP="0070504F">
            <w:pPr>
              <w:pStyle w:val="NoSpacing"/>
              <w:rPr>
                <w:sz w:val="20"/>
                <w:szCs w:val="20"/>
              </w:rPr>
            </w:pPr>
          </w:p>
        </w:tc>
        <w:tc>
          <w:tcPr>
            <w:tcW w:w="2430" w:type="dxa"/>
          </w:tcPr>
          <w:p w14:paraId="4F12BBD0" w14:textId="77777777" w:rsidR="00FA1E9E" w:rsidRPr="001132F8" w:rsidRDefault="00FA1E9E" w:rsidP="0070504F">
            <w:pPr>
              <w:pStyle w:val="NoSpacing"/>
              <w:rPr>
                <w:sz w:val="20"/>
                <w:szCs w:val="20"/>
              </w:rPr>
            </w:pPr>
            <w:r>
              <w:rPr>
                <w:sz w:val="20"/>
                <w:szCs w:val="20"/>
              </w:rPr>
              <w:t>Poor p</w:t>
            </w:r>
            <w:r w:rsidRPr="001132F8">
              <w:rPr>
                <w:sz w:val="20"/>
                <w:szCs w:val="20"/>
              </w:rPr>
              <w:t>ublic health and safety</w:t>
            </w:r>
          </w:p>
        </w:tc>
        <w:tc>
          <w:tcPr>
            <w:tcW w:w="1198" w:type="dxa"/>
          </w:tcPr>
          <w:p w14:paraId="1CBC00FE" w14:textId="77777777" w:rsidR="00FA1E9E" w:rsidRPr="001132F8" w:rsidRDefault="00FA1E9E" w:rsidP="0070504F">
            <w:pPr>
              <w:pStyle w:val="NoSpacing"/>
              <w:rPr>
                <w:sz w:val="20"/>
                <w:szCs w:val="20"/>
              </w:rPr>
            </w:pPr>
            <w:r w:rsidRPr="001132F8">
              <w:rPr>
                <w:sz w:val="20"/>
                <w:szCs w:val="20"/>
              </w:rPr>
              <w:t>Low</w:t>
            </w:r>
          </w:p>
        </w:tc>
        <w:tc>
          <w:tcPr>
            <w:tcW w:w="4340" w:type="dxa"/>
          </w:tcPr>
          <w:p w14:paraId="737ECF5C" w14:textId="77777777" w:rsidR="00FA1E9E" w:rsidRPr="001132F8" w:rsidRDefault="00FA1E9E" w:rsidP="0070504F">
            <w:pPr>
              <w:pStyle w:val="NoSpacing"/>
              <w:rPr>
                <w:sz w:val="20"/>
                <w:szCs w:val="20"/>
              </w:rPr>
            </w:pPr>
            <w:r>
              <w:rPr>
                <w:sz w:val="20"/>
                <w:szCs w:val="20"/>
              </w:rPr>
              <w:t>enhance road safety infrastructure</w:t>
            </w:r>
          </w:p>
        </w:tc>
      </w:tr>
      <w:tr w:rsidR="00FA1E9E" w:rsidRPr="001132F8" w14:paraId="3134352D" w14:textId="77777777" w:rsidTr="00B825E1">
        <w:tc>
          <w:tcPr>
            <w:tcW w:w="1525" w:type="dxa"/>
            <w:vMerge/>
          </w:tcPr>
          <w:p w14:paraId="2BC31BC1" w14:textId="77777777" w:rsidR="00FA1E9E" w:rsidRPr="001132F8" w:rsidRDefault="00FA1E9E" w:rsidP="0070504F">
            <w:pPr>
              <w:pStyle w:val="NoSpacing"/>
              <w:rPr>
                <w:sz w:val="20"/>
                <w:szCs w:val="20"/>
              </w:rPr>
            </w:pPr>
          </w:p>
        </w:tc>
        <w:tc>
          <w:tcPr>
            <w:tcW w:w="2430" w:type="dxa"/>
          </w:tcPr>
          <w:p w14:paraId="770C7DA6" w14:textId="77777777" w:rsidR="00FA1E9E" w:rsidRPr="001132F8" w:rsidRDefault="00FA1E9E" w:rsidP="0070504F">
            <w:pPr>
              <w:pStyle w:val="NoSpacing"/>
              <w:rPr>
                <w:sz w:val="20"/>
                <w:szCs w:val="20"/>
              </w:rPr>
            </w:pPr>
            <w:r w:rsidRPr="001132F8">
              <w:rPr>
                <w:sz w:val="20"/>
                <w:szCs w:val="20"/>
              </w:rPr>
              <w:t>Land take / Involuntary resettlement</w:t>
            </w:r>
          </w:p>
        </w:tc>
        <w:tc>
          <w:tcPr>
            <w:tcW w:w="1198" w:type="dxa"/>
          </w:tcPr>
          <w:p w14:paraId="353D2E89" w14:textId="77777777" w:rsidR="00FA1E9E" w:rsidRPr="001132F8" w:rsidRDefault="00FA1E9E" w:rsidP="0070504F">
            <w:pPr>
              <w:pStyle w:val="NoSpacing"/>
              <w:rPr>
                <w:sz w:val="20"/>
                <w:szCs w:val="20"/>
              </w:rPr>
            </w:pPr>
            <w:r w:rsidRPr="001132F8">
              <w:rPr>
                <w:sz w:val="20"/>
                <w:szCs w:val="20"/>
              </w:rPr>
              <w:t>Low</w:t>
            </w:r>
            <w:r>
              <w:rPr>
                <w:sz w:val="20"/>
                <w:szCs w:val="20"/>
              </w:rPr>
              <w:t xml:space="preserve"> to Moderate</w:t>
            </w:r>
          </w:p>
        </w:tc>
        <w:tc>
          <w:tcPr>
            <w:tcW w:w="4340" w:type="dxa"/>
          </w:tcPr>
          <w:p w14:paraId="072F0089" w14:textId="77777777" w:rsidR="00FA1E9E" w:rsidRPr="001132F8" w:rsidRDefault="00FA1E9E" w:rsidP="0070504F">
            <w:pPr>
              <w:pStyle w:val="NoSpacing"/>
              <w:rPr>
                <w:sz w:val="20"/>
                <w:szCs w:val="20"/>
              </w:rPr>
            </w:pPr>
            <w:r>
              <w:rPr>
                <w:sz w:val="20"/>
                <w:szCs w:val="20"/>
              </w:rPr>
              <w:t>engage person(s) affected and negotiate and implement a compensation</w:t>
            </w:r>
          </w:p>
        </w:tc>
      </w:tr>
      <w:tr w:rsidR="00FA1E9E" w:rsidRPr="001132F8" w14:paraId="5CBE8504" w14:textId="77777777" w:rsidTr="00D16102">
        <w:tc>
          <w:tcPr>
            <w:tcW w:w="1525" w:type="dxa"/>
            <w:vMerge/>
          </w:tcPr>
          <w:p w14:paraId="743A34E2" w14:textId="77777777" w:rsidR="00FA1E9E" w:rsidRPr="001132F8" w:rsidRDefault="00FA1E9E" w:rsidP="0070504F">
            <w:pPr>
              <w:pStyle w:val="NoSpacing"/>
              <w:rPr>
                <w:sz w:val="20"/>
                <w:szCs w:val="20"/>
              </w:rPr>
            </w:pPr>
          </w:p>
        </w:tc>
        <w:tc>
          <w:tcPr>
            <w:tcW w:w="2430" w:type="dxa"/>
            <w:shd w:val="clear" w:color="auto" w:fill="auto"/>
          </w:tcPr>
          <w:p w14:paraId="780BC3CD" w14:textId="40C79F28" w:rsidR="00FA1E9E" w:rsidRPr="001132F8" w:rsidRDefault="00FA1E9E"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7663797E" w14:textId="4E2F6C01" w:rsidR="00FA1E9E" w:rsidRPr="001132F8" w:rsidRDefault="00FA1E9E" w:rsidP="0070504F">
            <w:pPr>
              <w:pStyle w:val="NoSpacing"/>
              <w:rPr>
                <w:sz w:val="20"/>
                <w:szCs w:val="20"/>
              </w:rPr>
            </w:pPr>
            <w:r w:rsidRPr="00D07E3C">
              <w:rPr>
                <w:sz w:val="20"/>
                <w:szCs w:val="20"/>
              </w:rPr>
              <w:t>Moderate</w:t>
            </w:r>
          </w:p>
        </w:tc>
        <w:tc>
          <w:tcPr>
            <w:tcW w:w="4340" w:type="dxa"/>
          </w:tcPr>
          <w:p w14:paraId="6138D7E0" w14:textId="0C4F316B" w:rsidR="00FA1E9E" w:rsidRPr="001132F8" w:rsidRDefault="00FA1E9E" w:rsidP="0070504F">
            <w:pPr>
              <w:pStyle w:val="NoSpacing"/>
              <w:rPr>
                <w:sz w:val="20"/>
                <w:szCs w:val="20"/>
              </w:rPr>
            </w:pPr>
            <w:r>
              <w:rPr>
                <w:sz w:val="20"/>
                <w:szCs w:val="20"/>
              </w:rPr>
              <w:t>Machinery and equipment accidents during infrastructure constructions and operations. First aid and OHS training</w:t>
            </w:r>
          </w:p>
        </w:tc>
      </w:tr>
      <w:tr w:rsidR="00FA1E9E" w:rsidRPr="001132F8" w14:paraId="6B27A9F2" w14:textId="77777777" w:rsidTr="00AA3F08">
        <w:tc>
          <w:tcPr>
            <w:tcW w:w="1525" w:type="dxa"/>
            <w:vMerge/>
          </w:tcPr>
          <w:p w14:paraId="5747F7BD" w14:textId="77777777" w:rsidR="00FA1E9E" w:rsidRPr="001132F8" w:rsidRDefault="00FA1E9E" w:rsidP="00FA1E9E">
            <w:pPr>
              <w:pStyle w:val="NoSpacing"/>
              <w:rPr>
                <w:sz w:val="20"/>
                <w:szCs w:val="20"/>
              </w:rPr>
            </w:pPr>
          </w:p>
        </w:tc>
        <w:tc>
          <w:tcPr>
            <w:tcW w:w="2430" w:type="dxa"/>
            <w:shd w:val="clear" w:color="auto" w:fill="auto"/>
          </w:tcPr>
          <w:p w14:paraId="7EF7FC8D" w14:textId="0FEEA7D0" w:rsidR="00FA1E9E" w:rsidRPr="008252C5" w:rsidRDefault="00FA1E9E" w:rsidP="00FA1E9E">
            <w:pPr>
              <w:pStyle w:val="NoSpacing"/>
              <w:rPr>
                <w:sz w:val="20"/>
                <w:szCs w:val="20"/>
                <w:lang w:val="en-US"/>
              </w:rPr>
            </w:pPr>
            <w:r>
              <w:rPr>
                <w:sz w:val="20"/>
                <w:szCs w:val="20"/>
              </w:rPr>
              <w:t xml:space="preserve">Labor influx induced </w:t>
            </w:r>
            <w:proofErr w:type="gramStart"/>
            <w:r>
              <w:rPr>
                <w:sz w:val="20"/>
                <w:szCs w:val="20"/>
              </w:rPr>
              <w:t>gender based</w:t>
            </w:r>
            <w:proofErr w:type="gramEnd"/>
            <w:r>
              <w:rPr>
                <w:sz w:val="20"/>
                <w:szCs w:val="20"/>
              </w:rPr>
              <w:t xml:space="preserve"> violence</w:t>
            </w:r>
          </w:p>
        </w:tc>
        <w:tc>
          <w:tcPr>
            <w:tcW w:w="1198" w:type="dxa"/>
            <w:shd w:val="clear" w:color="auto" w:fill="auto"/>
            <w:vAlign w:val="center"/>
          </w:tcPr>
          <w:p w14:paraId="0AA0A6D6" w14:textId="51A89833" w:rsidR="00FA1E9E" w:rsidRPr="00D07E3C" w:rsidRDefault="00FA1E9E" w:rsidP="00FA1E9E">
            <w:pPr>
              <w:pStyle w:val="NoSpacing"/>
              <w:rPr>
                <w:sz w:val="20"/>
                <w:szCs w:val="20"/>
              </w:rPr>
            </w:pPr>
            <w:r w:rsidRPr="00F465E8">
              <w:rPr>
                <w:sz w:val="20"/>
                <w:szCs w:val="20"/>
              </w:rPr>
              <w:t>Low</w:t>
            </w:r>
          </w:p>
        </w:tc>
        <w:tc>
          <w:tcPr>
            <w:tcW w:w="4340" w:type="dxa"/>
          </w:tcPr>
          <w:p w14:paraId="502D0BB9" w14:textId="1615AED8"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4E4C6B7E" w14:textId="77777777" w:rsidTr="00B825E1">
        <w:tc>
          <w:tcPr>
            <w:tcW w:w="1525" w:type="dxa"/>
            <w:vMerge w:val="restart"/>
          </w:tcPr>
          <w:p w14:paraId="1401BFB9" w14:textId="77777777" w:rsidR="00FA1E9E" w:rsidRPr="001132F8" w:rsidRDefault="00FA1E9E" w:rsidP="00FA1E9E">
            <w:pPr>
              <w:pStyle w:val="NoSpacing"/>
              <w:rPr>
                <w:sz w:val="20"/>
                <w:szCs w:val="20"/>
              </w:rPr>
            </w:pPr>
            <w:r w:rsidRPr="001132F8">
              <w:rPr>
                <w:sz w:val="20"/>
                <w:szCs w:val="20"/>
              </w:rPr>
              <w:t>(Last Mile) Power supply</w:t>
            </w:r>
          </w:p>
        </w:tc>
        <w:tc>
          <w:tcPr>
            <w:tcW w:w="2430" w:type="dxa"/>
          </w:tcPr>
          <w:p w14:paraId="2224EACF" w14:textId="77777777" w:rsidR="00FA1E9E" w:rsidRPr="001132F8" w:rsidRDefault="00FA1E9E" w:rsidP="00FA1E9E">
            <w:pPr>
              <w:pStyle w:val="NoSpacing"/>
              <w:rPr>
                <w:sz w:val="20"/>
                <w:szCs w:val="20"/>
              </w:rPr>
            </w:pPr>
            <w:r w:rsidRPr="001132F8">
              <w:rPr>
                <w:sz w:val="20"/>
                <w:szCs w:val="20"/>
              </w:rPr>
              <w:t>Air and noise pollution</w:t>
            </w:r>
          </w:p>
        </w:tc>
        <w:tc>
          <w:tcPr>
            <w:tcW w:w="1198" w:type="dxa"/>
          </w:tcPr>
          <w:p w14:paraId="7D50CF6D" w14:textId="77777777" w:rsidR="00FA1E9E" w:rsidRPr="001132F8" w:rsidRDefault="00FA1E9E" w:rsidP="00FA1E9E">
            <w:pPr>
              <w:pStyle w:val="NoSpacing"/>
              <w:rPr>
                <w:sz w:val="20"/>
                <w:szCs w:val="20"/>
              </w:rPr>
            </w:pPr>
            <w:r w:rsidRPr="001132F8">
              <w:rPr>
                <w:sz w:val="20"/>
                <w:szCs w:val="20"/>
              </w:rPr>
              <w:t>Low</w:t>
            </w:r>
          </w:p>
        </w:tc>
        <w:tc>
          <w:tcPr>
            <w:tcW w:w="4340" w:type="dxa"/>
          </w:tcPr>
          <w:p w14:paraId="20328CB3" w14:textId="77777777" w:rsidR="00FA1E9E" w:rsidRPr="001132F8" w:rsidRDefault="00FA1E9E" w:rsidP="00FA1E9E">
            <w:pPr>
              <w:pStyle w:val="NoSpacing"/>
              <w:rPr>
                <w:sz w:val="20"/>
                <w:szCs w:val="20"/>
              </w:rPr>
            </w:pPr>
            <w:r>
              <w:rPr>
                <w:sz w:val="20"/>
                <w:szCs w:val="20"/>
              </w:rPr>
              <w:t>in residential areas, avoid major building activities outside office hours when residents are at home</w:t>
            </w:r>
          </w:p>
        </w:tc>
      </w:tr>
      <w:tr w:rsidR="00FA1E9E" w:rsidRPr="001132F8" w14:paraId="17073F35" w14:textId="77777777" w:rsidTr="00B825E1">
        <w:tc>
          <w:tcPr>
            <w:tcW w:w="1525" w:type="dxa"/>
            <w:vMerge/>
          </w:tcPr>
          <w:p w14:paraId="64C4B104" w14:textId="77777777" w:rsidR="00FA1E9E" w:rsidRPr="001132F8" w:rsidRDefault="00FA1E9E" w:rsidP="0070504F">
            <w:pPr>
              <w:pStyle w:val="NoSpacing"/>
              <w:rPr>
                <w:sz w:val="20"/>
                <w:szCs w:val="20"/>
              </w:rPr>
            </w:pPr>
          </w:p>
        </w:tc>
        <w:tc>
          <w:tcPr>
            <w:tcW w:w="2430" w:type="dxa"/>
          </w:tcPr>
          <w:p w14:paraId="68C7C409" w14:textId="77777777" w:rsidR="00FA1E9E" w:rsidRPr="001132F8" w:rsidRDefault="00FA1E9E" w:rsidP="0070504F">
            <w:pPr>
              <w:pStyle w:val="NoSpacing"/>
              <w:rPr>
                <w:sz w:val="20"/>
                <w:szCs w:val="20"/>
              </w:rPr>
            </w:pPr>
            <w:r w:rsidRPr="001132F8">
              <w:rPr>
                <w:sz w:val="20"/>
                <w:szCs w:val="20"/>
              </w:rPr>
              <w:t>Water pollution</w:t>
            </w:r>
          </w:p>
        </w:tc>
        <w:tc>
          <w:tcPr>
            <w:tcW w:w="1198" w:type="dxa"/>
          </w:tcPr>
          <w:p w14:paraId="52B88873" w14:textId="77777777" w:rsidR="00FA1E9E" w:rsidRPr="001132F8" w:rsidRDefault="00FA1E9E" w:rsidP="0070504F">
            <w:pPr>
              <w:pStyle w:val="NoSpacing"/>
              <w:rPr>
                <w:sz w:val="20"/>
                <w:szCs w:val="20"/>
              </w:rPr>
            </w:pPr>
            <w:r w:rsidRPr="001132F8">
              <w:rPr>
                <w:sz w:val="20"/>
                <w:szCs w:val="20"/>
              </w:rPr>
              <w:t>Low</w:t>
            </w:r>
          </w:p>
        </w:tc>
        <w:tc>
          <w:tcPr>
            <w:tcW w:w="4340" w:type="dxa"/>
          </w:tcPr>
          <w:p w14:paraId="0C57954C" w14:textId="77777777" w:rsidR="00FA1E9E" w:rsidRPr="001132F8" w:rsidRDefault="00FA1E9E" w:rsidP="0070504F">
            <w:pPr>
              <w:pStyle w:val="NoSpacing"/>
              <w:rPr>
                <w:sz w:val="20"/>
                <w:szCs w:val="20"/>
              </w:rPr>
            </w:pPr>
            <w:r>
              <w:rPr>
                <w:sz w:val="20"/>
                <w:szCs w:val="20"/>
              </w:rPr>
              <w:t>implement work procedures to avoid spills</w:t>
            </w:r>
          </w:p>
        </w:tc>
      </w:tr>
      <w:tr w:rsidR="00FA1E9E" w:rsidRPr="001132F8" w14:paraId="0F24BD5C" w14:textId="77777777" w:rsidTr="00B825E1">
        <w:tc>
          <w:tcPr>
            <w:tcW w:w="1525" w:type="dxa"/>
            <w:vMerge/>
          </w:tcPr>
          <w:p w14:paraId="0C108962" w14:textId="77777777" w:rsidR="00FA1E9E" w:rsidRPr="001132F8" w:rsidRDefault="00FA1E9E" w:rsidP="0070504F">
            <w:pPr>
              <w:pStyle w:val="NoSpacing"/>
              <w:rPr>
                <w:sz w:val="20"/>
                <w:szCs w:val="20"/>
              </w:rPr>
            </w:pPr>
          </w:p>
        </w:tc>
        <w:tc>
          <w:tcPr>
            <w:tcW w:w="2430" w:type="dxa"/>
          </w:tcPr>
          <w:p w14:paraId="71731FC2" w14:textId="77777777" w:rsidR="00FA1E9E" w:rsidRPr="001132F8" w:rsidRDefault="00FA1E9E" w:rsidP="0070504F">
            <w:pPr>
              <w:pStyle w:val="NoSpacing"/>
              <w:rPr>
                <w:sz w:val="20"/>
                <w:szCs w:val="20"/>
              </w:rPr>
            </w:pPr>
            <w:r>
              <w:rPr>
                <w:sz w:val="20"/>
                <w:szCs w:val="20"/>
              </w:rPr>
              <w:t>Inadequate s</w:t>
            </w:r>
            <w:r w:rsidRPr="001132F8">
              <w:rPr>
                <w:sz w:val="20"/>
                <w:szCs w:val="20"/>
              </w:rPr>
              <w:t>olid waste disposal</w:t>
            </w:r>
          </w:p>
        </w:tc>
        <w:tc>
          <w:tcPr>
            <w:tcW w:w="1198" w:type="dxa"/>
          </w:tcPr>
          <w:p w14:paraId="6896474A"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6839DEC9" w14:textId="77777777" w:rsidR="00FA1E9E" w:rsidRPr="001132F8" w:rsidRDefault="00FA1E9E" w:rsidP="0070504F">
            <w:pPr>
              <w:pStyle w:val="NoSpacing"/>
              <w:rPr>
                <w:sz w:val="20"/>
                <w:szCs w:val="20"/>
              </w:rPr>
            </w:pPr>
            <w:r>
              <w:rPr>
                <w:sz w:val="20"/>
                <w:szCs w:val="20"/>
              </w:rPr>
              <w:t>incentivise proper waste disposal by staff</w:t>
            </w:r>
          </w:p>
        </w:tc>
      </w:tr>
      <w:tr w:rsidR="00FA1E9E" w:rsidRPr="001132F8" w14:paraId="3708F599" w14:textId="77777777" w:rsidTr="00B825E1">
        <w:tc>
          <w:tcPr>
            <w:tcW w:w="1525" w:type="dxa"/>
            <w:vMerge/>
          </w:tcPr>
          <w:p w14:paraId="0F811AF6" w14:textId="77777777" w:rsidR="00FA1E9E" w:rsidRPr="001132F8" w:rsidRDefault="00FA1E9E" w:rsidP="0070504F">
            <w:pPr>
              <w:pStyle w:val="NoSpacing"/>
              <w:rPr>
                <w:sz w:val="20"/>
                <w:szCs w:val="20"/>
              </w:rPr>
            </w:pPr>
          </w:p>
        </w:tc>
        <w:tc>
          <w:tcPr>
            <w:tcW w:w="2430" w:type="dxa"/>
          </w:tcPr>
          <w:p w14:paraId="66F40D1B" w14:textId="77777777" w:rsidR="00FA1E9E" w:rsidRPr="001132F8" w:rsidRDefault="00FA1E9E" w:rsidP="0070504F">
            <w:pPr>
              <w:pStyle w:val="NoSpacing"/>
              <w:rPr>
                <w:sz w:val="20"/>
                <w:szCs w:val="20"/>
              </w:rPr>
            </w:pPr>
            <w:r>
              <w:rPr>
                <w:sz w:val="20"/>
                <w:szCs w:val="20"/>
              </w:rPr>
              <w:t>Inadequate w</w:t>
            </w:r>
            <w:r w:rsidRPr="001132F8">
              <w:rPr>
                <w:sz w:val="20"/>
                <w:szCs w:val="20"/>
              </w:rPr>
              <w:t>aste oil/ fuel disposal</w:t>
            </w:r>
          </w:p>
        </w:tc>
        <w:tc>
          <w:tcPr>
            <w:tcW w:w="1198" w:type="dxa"/>
          </w:tcPr>
          <w:p w14:paraId="3BA7B86C"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2C5AEB7D" w14:textId="77777777" w:rsidR="00FA1E9E" w:rsidRPr="001132F8" w:rsidRDefault="00FA1E9E" w:rsidP="0070504F">
            <w:pPr>
              <w:pStyle w:val="NoSpacing"/>
              <w:rPr>
                <w:sz w:val="20"/>
                <w:szCs w:val="20"/>
              </w:rPr>
            </w:pPr>
            <w:r>
              <w:rPr>
                <w:sz w:val="20"/>
                <w:szCs w:val="20"/>
              </w:rPr>
              <w:t>develop and implement an awareness campaign</w:t>
            </w:r>
          </w:p>
        </w:tc>
      </w:tr>
      <w:tr w:rsidR="00FA1E9E" w:rsidRPr="001132F8" w14:paraId="2CFC329D" w14:textId="77777777" w:rsidTr="00B825E1">
        <w:tc>
          <w:tcPr>
            <w:tcW w:w="1525" w:type="dxa"/>
            <w:vMerge/>
          </w:tcPr>
          <w:p w14:paraId="6DC2CA97" w14:textId="77777777" w:rsidR="00FA1E9E" w:rsidRPr="001132F8" w:rsidRDefault="00FA1E9E" w:rsidP="0070504F">
            <w:pPr>
              <w:pStyle w:val="NoSpacing"/>
              <w:rPr>
                <w:sz w:val="20"/>
                <w:szCs w:val="20"/>
              </w:rPr>
            </w:pPr>
          </w:p>
        </w:tc>
        <w:tc>
          <w:tcPr>
            <w:tcW w:w="2430" w:type="dxa"/>
          </w:tcPr>
          <w:p w14:paraId="64E30527" w14:textId="77777777" w:rsidR="00FA1E9E" w:rsidRPr="001132F8" w:rsidRDefault="00FA1E9E" w:rsidP="0070504F">
            <w:pPr>
              <w:pStyle w:val="NoSpacing"/>
              <w:rPr>
                <w:sz w:val="20"/>
                <w:szCs w:val="20"/>
              </w:rPr>
            </w:pPr>
            <w:r>
              <w:rPr>
                <w:sz w:val="20"/>
                <w:szCs w:val="20"/>
              </w:rPr>
              <w:t>Poor p</w:t>
            </w:r>
            <w:r w:rsidRPr="001132F8">
              <w:rPr>
                <w:sz w:val="20"/>
                <w:szCs w:val="20"/>
              </w:rPr>
              <w:t>ublic health and safety</w:t>
            </w:r>
          </w:p>
        </w:tc>
        <w:tc>
          <w:tcPr>
            <w:tcW w:w="1198" w:type="dxa"/>
          </w:tcPr>
          <w:p w14:paraId="7449A492" w14:textId="77777777" w:rsidR="00FA1E9E" w:rsidRPr="001132F8" w:rsidRDefault="00FA1E9E" w:rsidP="0070504F">
            <w:pPr>
              <w:pStyle w:val="NoSpacing"/>
              <w:rPr>
                <w:sz w:val="20"/>
                <w:szCs w:val="20"/>
              </w:rPr>
            </w:pPr>
            <w:r w:rsidRPr="001132F8">
              <w:rPr>
                <w:sz w:val="20"/>
                <w:szCs w:val="20"/>
              </w:rPr>
              <w:t>Low</w:t>
            </w:r>
          </w:p>
        </w:tc>
        <w:tc>
          <w:tcPr>
            <w:tcW w:w="4340" w:type="dxa"/>
          </w:tcPr>
          <w:p w14:paraId="483B7B76" w14:textId="77777777" w:rsidR="00FA1E9E" w:rsidRPr="001132F8" w:rsidRDefault="00FA1E9E" w:rsidP="0070504F">
            <w:pPr>
              <w:pStyle w:val="NoSpacing"/>
              <w:rPr>
                <w:sz w:val="20"/>
                <w:szCs w:val="20"/>
              </w:rPr>
            </w:pPr>
            <w:r>
              <w:rPr>
                <w:sz w:val="20"/>
                <w:szCs w:val="20"/>
              </w:rPr>
              <w:t>incorporate safety precautions in work procedures (e.g. signage, PPE, traffic rules &amp; regulations)</w:t>
            </w:r>
          </w:p>
        </w:tc>
      </w:tr>
      <w:tr w:rsidR="00FA1E9E" w:rsidRPr="001132F8" w14:paraId="52A0ADEF" w14:textId="77777777" w:rsidTr="00B825E1">
        <w:tc>
          <w:tcPr>
            <w:tcW w:w="1525" w:type="dxa"/>
            <w:vMerge/>
          </w:tcPr>
          <w:p w14:paraId="622E7538" w14:textId="77777777" w:rsidR="00FA1E9E" w:rsidRPr="001132F8" w:rsidRDefault="00FA1E9E" w:rsidP="0070504F">
            <w:pPr>
              <w:pStyle w:val="NoSpacing"/>
              <w:rPr>
                <w:sz w:val="20"/>
                <w:szCs w:val="20"/>
              </w:rPr>
            </w:pPr>
          </w:p>
        </w:tc>
        <w:tc>
          <w:tcPr>
            <w:tcW w:w="2430" w:type="dxa"/>
          </w:tcPr>
          <w:p w14:paraId="2B53CA6C" w14:textId="77777777" w:rsidR="00FA1E9E" w:rsidRPr="001132F8" w:rsidRDefault="00FA1E9E" w:rsidP="0070504F">
            <w:pPr>
              <w:pStyle w:val="NoSpacing"/>
              <w:rPr>
                <w:sz w:val="20"/>
                <w:szCs w:val="20"/>
              </w:rPr>
            </w:pPr>
            <w:r w:rsidRPr="001132F8">
              <w:rPr>
                <w:sz w:val="20"/>
                <w:szCs w:val="20"/>
              </w:rPr>
              <w:t>Land take / Involuntary resettlement</w:t>
            </w:r>
          </w:p>
        </w:tc>
        <w:tc>
          <w:tcPr>
            <w:tcW w:w="1198" w:type="dxa"/>
          </w:tcPr>
          <w:p w14:paraId="48896C59" w14:textId="77777777" w:rsidR="00FA1E9E" w:rsidRPr="001132F8" w:rsidRDefault="00FA1E9E" w:rsidP="0070504F">
            <w:pPr>
              <w:pStyle w:val="NoSpacing"/>
              <w:rPr>
                <w:sz w:val="20"/>
                <w:szCs w:val="20"/>
              </w:rPr>
            </w:pPr>
            <w:r w:rsidRPr="001132F8">
              <w:rPr>
                <w:sz w:val="20"/>
                <w:szCs w:val="20"/>
              </w:rPr>
              <w:t>Low</w:t>
            </w:r>
            <w:r>
              <w:rPr>
                <w:sz w:val="20"/>
                <w:szCs w:val="20"/>
              </w:rPr>
              <w:t xml:space="preserve"> to Moderate</w:t>
            </w:r>
          </w:p>
        </w:tc>
        <w:tc>
          <w:tcPr>
            <w:tcW w:w="4340" w:type="dxa"/>
          </w:tcPr>
          <w:p w14:paraId="5B0E6760" w14:textId="77777777" w:rsidR="00FA1E9E" w:rsidRPr="001132F8" w:rsidRDefault="00FA1E9E" w:rsidP="0070504F">
            <w:pPr>
              <w:pStyle w:val="NoSpacing"/>
              <w:rPr>
                <w:sz w:val="20"/>
                <w:szCs w:val="20"/>
              </w:rPr>
            </w:pPr>
            <w:r>
              <w:rPr>
                <w:sz w:val="20"/>
                <w:szCs w:val="20"/>
              </w:rPr>
              <w:t>use different route to avoid the issue</w:t>
            </w:r>
          </w:p>
        </w:tc>
      </w:tr>
      <w:tr w:rsidR="00FA1E9E" w:rsidRPr="001132F8" w14:paraId="5B08A567" w14:textId="77777777" w:rsidTr="00D16102">
        <w:tc>
          <w:tcPr>
            <w:tcW w:w="1525" w:type="dxa"/>
            <w:vMerge/>
          </w:tcPr>
          <w:p w14:paraId="239565F0" w14:textId="77777777" w:rsidR="00FA1E9E" w:rsidRPr="001132F8" w:rsidRDefault="00FA1E9E" w:rsidP="0070504F">
            <w:pPr>
              <w:pStyle w:val="NoSpacing"/>
              <w:rPr>
                <w:sz w:val="20"/>
                <w:szCs w:val="20"/>
              </w:rPr>
            </w:pPr>
          </w:p>
        </w:tc>
        <w:tc>
          <w:tcPr>
            <w:tcW w:w="2430" w:type="dxa"/>
            <w:shd w:val="clear" w:color="auto" w:fill="auto"/>
          </w:tcPr>
          <w:p w14:paraId="35747909" w14:textId="453195D3" w:rsidR="00FA1E9E" w:rsidRPr="001132F8" w:rsidRDefault="00FA1E9E"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505427BC" w14:textId="30D2421A" w:rsidR="00FA1E9E" w:rsidRPr="001132F8" w:rsidRDefault="00FA1E9E" w:rsidP="0070504F">
            <w:pPr>
              <w:pStyle w:val="NoSpacing"/>
              <w:rPr>
                <w:sz w:val="20"/>
                <w:szCs w:val="20"/>
              </w:rPr>
            </w:pPr>
            <w:r w:rsidRPr="00D07E3C">
              <w:rPr>
                <w:sz w:val="20"/>
                <w:szCs w:val="20"/>
              </w:rPr>
              <w:t>Moderate</w:t>
            </w:r>
          </w:p>
        </w:tc>
        <w:tc>
          <w:tcPr>
            <w:tcW w:w="4340" w:type="dxa"/>
          </w:tcPr>
          <w:p w14:paraId="47852C7D" w14:textId="0D3EB3F8" w:rsidR="00FA1E9E" w:rsidRPr="001132F8" w:rsidRDefault="00FA1E9E" w:rsidP="0070504F">
            <w:pPr>
              <w:pStyle w:val="NoSpacing"/>
              <w:rPr>
                <w:sz w:val="20"/>
                <w:szCs w:val="20"/>
              </w:rPr>
            </w:pPr>
            <w:r>
              <w:rPr>
                <w:sz w:val="20"/>
                <w:szCs w:val="20"/>
              </w:rPr>
              <w:t>Machinery and equipment accidents during infrastructure constructions and operations. First aid and OHS training</w:t>
            </w:r>
          </w:p>
        </w:tc>
      </w:tr>
      <w:tr w:rsidR="00FA1E9E" w:rsidRPr="001132F8" w14:paraId="462816F6" w14:textId="77777777" w:rsidTr="00AA3F08">
        <w:tc>
          <w:tcPr>
            <w:tcW w:w="1525" w:type="dxa"/>
            <w:vMerge/>
          </w:tcPr>
          <w:p w14:paraId="5BEFFF87" w14:textId="77777777" w:rsidR="00FA1E9E" w:rsidRPr="001132F8" w:rsidRDefault="00FA1E9E" w:rsidP="00FA1E9E">
            <w:pPr>
              <w:pStyle w:val="NoSpacing"/>
              <w:rPr>
                <w:sz w:val="20"/>
                <w:szCs w:val="20"/>
              </w:rPr>
            </w:pPr>
          </w:p>
        </w:tc>
        <w:tc>
          <w:tcPr>
            <w:tcW w:w="2430" w:type="dxa"/>
            <w:shd w:val="clear" w:color="auto" w:fill="auto"/>
          </w:tcPr>
          <w:p w14:paraId="212ABF3A" w14:textId="37F72523" w:rsidR="00FA1E9E" w:rsidRPr="008252C5" w:rsidRDefault="00FA1E9E" w:rsidP="00FA1E9E">
            <w:pPr>
              <w:pStyle w:val="NoSpacing"/>
              <w:rPr>
                <w:sz w:val="20"/>
                <w:szCs w:val="20"/>
                <w:lang w:val="en-US"/>
              </w:rPr>
            </w:pPr>
            <w:r>
              <w:rPr>
                <w:sz w:val="20"/>
                <w:szCs w:val="20"/>
              </w:rPr>
              <w:t xml:space="preserve">Labor influx induced </w:t>
            </w:r>
            <w:proofErr w:type="gramStart"/>
            <w:r>
              <w:rPr>
                <w:sz w:val="20"/>
                <w:szCs w:val="20"/>
              </w:rPr>
              <w:t>gender based</w:t>
            </w:r>
            <w:proofErr w:type="gramEnd"/>
            <w:r>
              <w:rPr>
                <w:sz w:val="20"/>
                <w:szCs w:val="20"/>
              </w:rPr>
              <w:t xml:space="preserve"> violence</w:t>
            </w:r>
          </w:p>
        </w:tc>
        <w:tc>
          <w:tcPr>
            <w:tcW w:w="1198" w:type="dxa"/>
            <w:shd w:val="clear" w:color="auto" w:fill="auto"/>
            <w:vAlign w:val="center"/>
          </w:tcPr>
          <w:p w14:paraId="7FF6DE19" w14:textId="1F5889EE" w:rsidR="00FA1E9E" w:rsidRPr="00D07E3C" w:rsidRDefault="00FA1E9E" w:rsidP="00FA1E9E">
            <w:pPr>
              <w:pStyle w:val="NoSpacing"/>
              <w:rPr>
                <w:sz w:val="20"/>
                <w:szCs w:val="20"/>
              </w:rPr>
            </w:pPr>
            <w:r w:rsidRPr="00F465E8">
              <w:rPr>
                <w:sz w:val="20"/>
                <w:szCs w:val="20"/>
              </w:rPr>
              <w:t>Low</w:t>
            </w:r>
          </w:p>
        </w:tc>
        <w:tc>
          <w:tcPr>
            <w:tcW w:w="4340" w:type="dxa"/>
          </w:tcPr>
          <w:p w14:paraId="3CB3509B" w14:textId="572A0E38"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58768F04" w14:textId="77777777" w:rsidTr="00B825E1">
        <w:tc>
          <w:tcPr>
            <w:tcW w:w="1525" w:type="dxa"/>
            <w:vMerge w:val="restart"/>
          </w:tcPr>
          <w:p w14:paraId="75BE5321" w14:textId="77777777" w:rsidR="00FA1E9E" w:rsidRPr="001132F8" w:rsidRDefault="00FA1E9E" w:rsidP="00FA1E9E">
            <w:pPr>
              <w:pStyle w:val="NoSpacing"/>
              <w:rPr>
                <w:sz w:val="20"/>
                <w:szCs w:val="20"/>
              </w:rPr>
            </w:pPr>
            <w:r>
              <w:rPr>
                <w:sz w:val="20"/>
                <w:szCs w:val="20"/>
              </w:rPr>
              <w:t xml:space="preserve">Cross-cutting </w:t>
            </w:r>
            <w:r w:rsidRPr="001132F8">
              <w:rPr>
                <w:sz w:val="20"/>
                <w:szCs w:val="20"/>
              </w:rPr>
              <w:t>social and cultural issues</w:t>
            </w:r>
          </w:p>
        </w:tc>
        <w:tc>
          <w:tcPr>
            <w:tcW w:w="2430" w:type="dxa"/>
          </w:tcPr>
          <w:p w14:paraId="21881CB7" w14:textId="77777777" w:rsidR="00FA1E9E" w:rsidRPr="001132F8" w:rsidRDefault="00FA1E9E" w:rsidP="00FA1E9E">
            <w:pPr>
              <w:pStyle w:val="NoSpacing"/>
              <w:rPr>
                <w:sz w:val="20"/>
                <w:szCs w:val="20"/>
              </w:rPr>
            </w:pPr>
            <w:r w:rsidRPr="001132F8">
              <w:rPr>
                <w:sz w:val="20"/>
                <w:szCs w:val="20"/>
              </w:rPr>
              <w:t>Livelihood loss</w:t>
            </w:r>
          </w:p>
        </w:tc>
        <w:tc>
          <w:tcPr>
            <w:tcW w:w="1198" w:type="dxa"/>
          </w:tcPr>
          <w:p w14:paraId="7DC2588A" w14:textId="77777777" w:rsidR="00FA1E9E" w:rsidRPr="001132F8" w:rsidRDefault="00FA1E9E" w:rsidP="00FA1E9E">
            <w:pPr>
              <w:pStyle w:val="NoSpacing"/>
              <w:rPr>
                <w:sz w:val="20"/>
                <w:szCs w:val="20"/>
              </w:rPr>
            </w:pPr>
            <w:r>
              <w:rPr>
                <w:sz w:val="20"/>
                <w:szCs w:val="20"/>
              </w:rPr>
              <w:t xml:space="preserve">Low to </w:t>
            </w:r>
            <w:r w:rsidRPr="001132F8">
              <w:rPr>
                <w:sz w:val="20"/>
                <w:szCs w:val="20"/>
              </w:rPr>
              <w:t>Moderate</w:t>
            </w:r>
          </w:p>
        </w:tc>
        <w:tc>
          <w:tcPr>
            <w:tcW w:w="4340" w:type="dxa"/>
          </w:tcPr>
          <w:p w14:paraId="23CBB1F3" w14:textId="77777777" w:rsidR="00FA1E9E" w:rsidRPr="001132F8" w:rsidRDefault="00FA1E9E" w:rsidP="00FA1E9E">
            <w:pPr>
              <w:pStyle w:val="NoSpacing"/>
              <w:rPr>
                <w:sz w:val="20"/>
                <w:szCs w:val="20"/>
              </w:rPr>
            </w:pPr>
            <w:r>
              <w:rPr>
                <w:sz w:val="20"/>
                <w:szCs w:val="20"/>
              </w:rPr>
              <w:t>engage person / community to negotiate and implement compensation</w:t>
            </w:r>
          </w:p>
        </w:tc>
      </w:tr>
      <w:tr w:rsidR="00FA1E9E" w:rsidRPr="001132F8" w14:paraId="2AE70466" w14:textId="77777777" w:rsidTr="00B825E1">
        <w:tc>
          <w:tcPr>
            <w:tcW w:w="1525" w:type="dxa"/>
            <w:vMerge/>
          </w:tcPr>
          <w:p w14:paraId="57598131" w14:textId="77777777" w:rsidR="00FA1E9E" w:rsidRPr="001132F8" w:rsidRDefault="00FA1E9E" w:rsidP="0070504F">
            <w:pPr>
              <w:pStyle w:val="NoSpacing"/>
              <w:rPr>
                <w:sz w:val="20"/>
                <w:szCs w:val="20"/>
              </w:rPr>
            </w:pPr>
          </w:p>
        </w:tc>
        <w:tc>
          <w:tcPr>
            <w:tcW w:w="2430" w:type="dxa"/>
          </w:tcPr>
          <w:p w14:paraId="1FBE0E7E" w14:textId="77777777" w:rsidR="00FA1E9E" w:rsidRPr="001132F8" w:rsidRDefault="00FA1E9E" w:rsidP="0070504F">
            <w:pPr>
              <w:pStyle w:val="NoSpacing"/>
              <w:rPr>
                <w:sz w:val="20"/>
                <w:szCs w:val="20"/>
              </w:rPr>
            </w:pPr>
            <w:r w:rsidRPr="001132F8">
              <w:rPr>
                <w:sz w:val="20"/>
                <w:szCs w:val="20"/>
              </w:rPr>
              <w:t>Community ‘lifestyle’ disruption</w:t>
            </w:r>
          </w:p>
        </w:tc>
        <w:tc>
          <w:tcPr>
            <w:tcW w:w="1198" w:type="dxa"/>
          </w:tcPr>
          <w:p w14:paraId="593EBB82" w14:textId="77777777" w:rsidR="00FA1E9E" w:rsidRPr="001132F8" w:rsidRDefault="00FA1E9E" w:rsidP="0070504F">
            <w:pPr>
              <w:pStyle w:val="NoSpacing"/>
              <w:rPr>
                <w:sz w:val="20"/>
                <w:szCs w:val="20"/>
              </w:rPr>
            </w:pPr>
            <w:r>
              <w:rPr>
                <w:sz w:val="20"/>
                <w:szCs w:val="20"/>
              </w:rPr>
              <w:t xml:space="preserve">Low to </w:t>
            </w:r>
            <w:r w:rsidRPr="001132F8">
              <w:rPr>
                <w:sz w:val="20"/>
                <w:szCs w:val="20"/>
              </w:rPr>
              <w:t>Moderate</w:t>
            </w:r>
          </w:p>
        </w:tc>
        <w:tc>
          <w:tcPr>
            <w:tcW w:w="4340" w:type="dxa"/>
          </w:tcPr>
          <w:p w14:paraId="56AC4BDB" w14:textId="77777777" w:rsidR="00FA1E9E" w:rsidRPr="001132F8" w:rsidRDefault="00FA1E9E" w:rsidP="0070504F">
            <w:pPr>
              <w:pStyle w:val="NoSpacing"/>
              <w:rPr>
                <w:sz w:val="20"/>
                <w:szCs w:val="20"/>
              </w:rPr>
            </w:pPr>
            <w:r>
              <w:rPr>
                <w:sz w:val="20"/>
                <w:szCs w:val="20"/>
              </w:rPr>
              <w:t>engage to identify and implement measures to limit the disruption</w:t>
            </w:r>
          </w:p>
        </w:tc>
      </w:tr>
      <w:tr w:rsidR="00FA1E9E" w:rsidRPr="001132F8" w14:paraId="03368DF9" w14:textId="77777777" w:rsidTr="00B825E1">
        <w:tc>
          <w:tcPr>
            <w:tcW w:w="1525" w:type="dxa"/>
            <w:vMerge/>
          </w:tcPr>
          <w:p w14:paraId="7BA08FD9" w14:textId="77777777" w:rsidR="00FA1E9E" w:rsidRPr="001132F8" w:rsidRDefault="00FA1E9E" w:rsidP="0070504F">
            <w:pPr>
              <w:pStyle w:val="NoSpacing"/>
              <w:rPr>
                <w:sz w:val="20"/>
                <w:szCs w:val="20"/>
              </w:rPr>
            </w:pPr>
          </w:p>
        </w:tc>
        <w:tc>
          <w:tcPr>
            <w:tcW w:w="2430" w:type="dxa"/>
          </w:tcPr>
          <w:p w14:paraId="59BB6D05" w14:textId="77777777" w:rsidR="00FA1E9E" w:rsidRPr="001132F8" w:rsidRDefault="00FA1E9E" w:rsidP="0070504F">
            <w:pPr>
              <w:pStyle w:val="NoSpacing"/>
              <w:rPr>
                <w:sz w:val="20"/>
                <w:szCs w:val="20"/>
              </w:rPr>
            </w:pPr>
            <w:r w:rsidRPr="001132F8">
              <w:rPr>
                <w:sz w:val="20"/>
                <w:szCs w:val="20"/>
              </w:rPr>
              <w:t>Cultural heritage site destruction</w:t>
            </w:r>
          </w:p>
        </w:tc>
        <w:tc>
          <w:tcPr>
            <w:tcW w:w="1198" w:type="dxa"/>
          </w:tcPr>
          <w:p w14:paraId="065235F5" w14:textId="77777777" w:rsidR="00FA1E9E" w:rsidRPr="001132F8" w:rsidRDefault="00FA1E9E" w:rsidP="0070504F">
            <w:pPr>
              <w:pStyle w:val="NoSpacing"/>
              <w:rPr>
                <w:sz w:val="20"/>
                <w:szCs w:val="20"/>
              </w:rPr>
            </w:pPr>
            <w:r>
              <w:rPr>
                <w:sz w:val="20"/>
                <w:szCs w:val="20"/>
              </w:rPr>
              <w:t xml:space="preserve">Low to </w:t>
            </w:r>
            <w:r w:rsidRPr="001132F8">
              <w:rPr>
                <w:sz w:val="20"/>
                <w:szCs w:val="20"/>
              </w:rPr>
              <w:t>Moderate</w:t>
            </w:r>
          </w:p>
        </w:tc>
        <w:tc>
          <w:tcPr>
            <w:tcW w:w="4340" w:type="dxa"/>
          </w:tcPr>
          <w:p w14:paraId="1AECA304" w14:textId="77777777" w:rsidR="00FA1E9E" w:rsidRPr="001132F8" w:rsidRDefault="00FA1E9E" w:rsidP="0070504F">
            <w:pPr>
              <w:pStyle w:val="NoSpacing"/>
              <w:rPr>
                <w:sz w:val="20"/>
                <w:szCs w:val="20"/>
              </w:rPr>
            </w:pPr>
            <w:r>
              <w:rPr>
                <w:sz w:val="20"/>
                <w:szCs w:val="20"/>
              </w:rPr>
              <w:t>relocate to avoid the issue</w:t>
            </w:r>
          </w:p>
        </w:tc>
      </w:tr>
      <w:tr w:rsidR="00FA1E9E" w:rsidRPr="001132F8" w14:paraId="1D72E23D" w14:textId="77777777" w:rsidTr="00B825E1">
        <w:tc>
          <w:tcPr>
            <w:tcW w:w="1525" w:type="dxa"/>
            <w:vMerge/>
          </w:tcPr>
          <w:p w14:paraId="5EF141CD" w14:textId="77777777" w:rsidR="00FA1E9E" w:rsidRPr="001132F8" w:rsidRDefault="00FA1E9E" w:rsidP="0070504F">
            <w:pPr>
              <w:pStyle w:val="NoSpacing"/>
              <w:rPr>
                <w:sz w:val="20"/>
                <w:szCs w:val="20"/>
              </w:rPr>
            </w:pPr>
          </w:p>
        </w:tc>
        <w:tc>
          <w:tcPr>
            <w:tcW w:w="2430" w:type="dxa"/>
          </w:tcPr>
          <w:p w14:paraId="68764617" w14:textId="77777777" w:rsidR="00FA1E9E" w:rsidRPr="001132F8" w:rsidRDefault="00FA1E9E" w:rsidP="0070504F">
            <w:pPr>
              <w:pStyle w:val="NoSpacing"/>
              <w:rPr>
                <w:sz w:val="20"/>
                <w:szCs w:val="20"/>
              </w:rPr>
            </w:pPr>
            <w:r w:rsidRPr="001132F8">
              <w:rPr>
                <w:sz w:val="20"/>
                <w:szCs w:val="20"/>
              </w:rPr>
              <w:t>Loss of access to biodiversity resources</w:t>
            </w:r>
          </w:p>
        </w:tc>
        <w:tc>
          <w:tcPr>
            <w:tcW w:w="1198" w:type="dxa"/>
          </w:tcPr>
          <w:p w14:paraId="1C6BD16D" w14:textId="77777777" w:rsidR="00FA1E9E" w:rsidRPr="001132F8" w:rsidRDefault="00FA1E9E" w:rsidP="0070504F">
            <w:pPr>
              <w:pStyle w:val="NoSpacing"/>
              <w:rPr>
                <w:sz w:val="20"/>
                <w:szCs w:val="20"/>
              </w:rPr>
            </w:pPr>
            <w:r w:rsidRPr="001132F8">
              <w:rPr>
                <w:sz w:val="20"/>
                <w:szCs w:val="20"/>
              </w:rPr>
              <w:t>Low</w:t>
            </w:r>
            <w:r>
              <w:rPr>
                <w:sz w:val="20"/>
                <w:szCs w:val="20"/>
              </w:rPr>
              <w:t xml:space="preserve"> to Moderate</w:t>
            </w:r>
          </w:p>
        </w:tc>
        <w:tc>
          <w:tcPr>
            <w:tcW w:w="4340" w:type="dxa"/>
          </w:tcPr>
          <w:p w14:paraId="6F4DF9BE" w14:textId="77777777" w:rsidR="00FA1E9E" w:rsidRPr="001132F8" w:rsidRDefault="00FA1E9E" w:rsidP="0070504F">
            <w:pPr>
              <w:pStyle w:val="NoSpacing"/>
              <w:rPr>
                <w:sz w:val="20"/>
                <w:szCs w:val="20"/>
              </w:rPr>
            </w:pPr>
            <w:r>
              <w:rPr>
                <w:sz w:val="20"/>
                <w:szCs w:val="20"/>
              </w:rPr>
              <w:t>allow specific person / community affected privileged access</w:t>
            </w:r>
          </w:p>
        </w:tc>
      </w:tr>
      <w:tr w:rsidR="00FA1E9E" w:rsidRPr="001132F8" w14:paraId="73D81F09" w14:textId="77777777" w:rsidTr="00B825E1">
        <w:tc>
          <w:tcPr>
            <w:tcW w:w="1525" w:type="dxa"/>
            <w:vMerge/>
          </w:tcPr>
          <w:p w14:paraId="5B5E0D82" w14:textId="77777777" w:rsidR="00FA1E9E" w:rsidRPr="001132F8" w:rsidRDefault="00FA1E9E" w:rsidP="0070504F">
            <w:pPr>
              <w:pStyle w:val="NoSpacing"/>
              <w:rPr>
                <w:sz w:val="20"/>
                <w:szCs w:val="20"/>
              </w:rPr>
            </w:pPr>
          </w:p>
        </w:tc>
        <w:tc>
          <w:tcPr>
            <w:tcW w:w="2430" w:type="dxa"/>
          </w:tcPr>
          <w:p w14:paraId="42391BC7" w14:textId="77777777" w:rsidR="00FA1E9E" w:rsidRPr="001132F8" w:rsidRDefault="00FA1E9E" w:rsidP="0070504F">
            <w:pPr>
              <w:pStyle w:val="NoSpacing"/>
              <w:rPr>
                <w:sz w:val="20"/>
                <w:szCs w:val="20"/>
              </w:rPr>
            </w:pPr>
            <w:r w:rsidRPr="001132F8">
              <w:rPr>
                <w:sz w:val="20"/>
                <w:szCs w:val="20"/>
              </w:rPr>
              <w:t>Marginalization of local communities</w:t>
            </w:r>
          </w:p>
        </w:tc>
        <w:tc>
          <w:tcPr>
            <w:tcW w:w="1198" w:type="dxa"/>
          </w:tcPr>
          <w:p w14:paraId="23EB7C2F" w14:textId="77777777" w:rsidR="00FA1E9E" w:rsidRPr="001132F8" w:rsidRDefault="00FA1E9E" w:rsidP="0070504F">
            <w:pPr>
              <w:pStyle w:val="NoSpacing"/>
              <w:rPr>
                <w:sz w:val="20"/>
                <w:szCs w:val="20"/>
              </w:rPr>
            </w:pPr>
            <w:r w:rsidRPr="001132F8">
              <w:rPr>
                <w:sz w:val="20"/>
                <w:szCs w:val="20"/>
              </w:rPr>
              <w:t>Low</w:t>
            </w:r>
          </w:p>
        </w:tc>
        <w:tc>
          <w:tcPr>
            <w:tcW w:w="4340" w:type="dxa"/>
          </w:tcPr>
          <w:p w14:paraId="1C07D737" w14:textId="77777777" w:rsidR="00FA1E9E" w:rsidRPr="001132F8" w:rsidRDefault="00FA1E9E" w:rsidP="0070504F">
            <w:pPr>
              <w:pStyle w:val="NoSpacing"/>
              <w:rPr>
                <w:sz w:val="20"/>
                <w:szCs w:val="20"/>
              </w:rPr>
            </w:pPr>
            <w:r>
              <w:rPr>
                <w:sz w:val="20"/>
                <w:szCs w:val="20"/>
              </w:rPr>
              <w:t>engage community to identify and implement ways to avoid this</w:t>
            </w:r>
          </w:p>
        </w:tc>
      </w:tr>
      <w:tr w:rsidR="00FA1E9E" w:rsidRPr="001132F8" w14:paraId="1BB4DA87" w14:textId="77777777" w:rsidTr="00B825E1">
        <w:tc>
          <w:tcPr>
            <w:tcW w:w="1525" w:type="dxa"/>
            <w:vMerge/>
          </w:tcPr>
          <w:p w14:paraId="452B961A" w14:textId="77777777" w:rsidR="00FA1E9E" w:rsidRPr="001132F8" w:rsidRDefault="00FA1E9E" w:rsidP="0070504F">
            <w:pPr>
              <w:pStyle w:val="NoSpacing"/>
              <w:rPr>
                <w:sz w:val="20"/>
                <w:szCs w:val="20"/>
              </w:rPr>
            </w:pPr>
          </w:p>
        </w:tc>
        <w:tc>
          <w:tcPr>
            <w:tcW w:w="2430" w:type="dxa"/>
          </w:tcPr>
          <w:p w14:paraId="342A4AC6" w14:textId="77777777" w:rsidR="00FA1E9E" w:rsidRPr="001132F8" w:rsidRDefault="00FA1E9E" w:rsidP="0070504F">
            <w:pPr>
              <w:pStyle w:val="NoSpacing"/>
              <w:rPr>
                <w:sz w:val="20"/>
                <w:szCs w:val="20"/>
              </w:rPr>
            </w:pPr>
            <w:r w:rsidRPr="001132F8">
              <w:rPr>
                <w:sz w:val="20"/>
                <w:szCs w:val="20"/>
              </w:rPr>
              <w:t>Increased spreading of diseases</w:t>
            </w:r>
          </w:p>
        </w:tc>
        <w:tc>
          <w:tcPr>
            <w:tcW w:w="1198" w:type="dxa"/>
          </w:tcPr>
          <w:p w14:paraId="558353E9" w14:textId="77777777" w:rsidR="00FA1E9E" w:rsidRPr="001132F8" w:rsidRDefault="00FA1E9E" w:rsidP="0070504F">
            <w:pPr>
              <w:pStyle w:val="NoSpacing"/>
              <w:rPr>
                <w:sz w:val="20"/>
                <w:szCs w:val="20"/>
              </w:rPr>
            </w:pPr>
            <w:r w:rsidRPr="001132F8">
              <w:rPr>
                <w:sz w:val="20"/>
                <w:szCs w:val="20"/>
              </w:rPr>
              <w:t>Low</w:t>
            </w:r>
          </w:p>
        </w:tc>
        <w:tc>
          <w:tcPr>
            <w:tcW w:w="4340" w:type="dxa"/>
          </w:tcPr>
          <w:p w14:paraId="2A370483" w14:textId="77777777" w:rsidR="00FA1E9E" w:rsidRPr="001132F8" w:rsidRDefault="00FA1E9E" w:rsidP="0070504F">
            <w:pPr>
              <w:pStyle w:val="NoSpacing"/>
              <w:rPr>
                <w:sz w:val="20"/>
                <w:szCs w:val="20"/>
              </w:rPr>
            </w:pPr>
            <w:r>
              <w:rPr>
                <w:sz w:val="20"/>
                <w:szCs w:val="20"/>
              </w:rPr>
              <w:t>develop and implement procedures to avoid / counter this, and ensure that there is treatment</w:t>
            </w:r>
          </w:p>
        </w:tc>
      </w:tr>
    </w:tbl>
    <w:p w14:paraId="34EE2FEF" w14:textId="2AB745C3" w:rsidR="002D75A5" w:rsidRDefault="002D75A5" w:rsidP="00203F2A">
      <w:pPr>
        <w:pStyle w:val="NoSpacing"/>
        <w:jc w:val="both"/>
      </w:pPr>
    </w:p>
    <w:p w14:paraId="48B1F6AA" w14:textId="1872B4E3" w:rsidR="000E72FC" w:rsidRPr="00C27D30" w:rsidRDefault="000E72FC" w:rsidP="00203F2A">
      <w:pPr>
        <w:pStyle w:val="Heading1"/>
        <w:jc w:val="both"/>
      </w:pPr>
      <w:bookmarkStart w:id="44" w:name="_Toc531965023"/>
      <w:r w:rsidRPr="00BA2631">
        <w:t xml:space="preserve">Section </w:t>
      </w:r>
      <w:r w:rsidR="002A6F57">
        <w:t>8</w:t>
      </w:r>
      <w:r w:rsidRPr="00BA2631">
        <w:t xml:space="preserve"> </w:t>
      </w:r>
      <w:r>
        <w:tab/>
      </w:r>
      <w:r w:rsidR="000F3E4B">
        <w:t>Agricultural pest management</w:t>
      </w:r>
      <w:r w:rsidR="006423D7">
        <w:t xml:space="preserve"> plans</w:t>
      </w:r>
      <w:bookmarkEnd w:id="44"/>
    </w:p>
    <w:p w14:paraId="5CA7AA29" w14:textId="77777777" w:rsidR="00207FD4" w:rsidRDefault="00207FD4" w:rsidP="00203F2A">
      <w:pPr>
        <w:pStyle w:val="NoSpacing"/>
        <w:jc w:val="both"/>
      </w:pPr>
    </w:p>
    <w:p w14:paraId="6B292369" w14:textId="3E2C1D9E" w:rsidR="00353AE7" w:rsidRDefault="00353AE7" w:rsidP="00203F2A">
      <w:pPr>
        <w:pStyle w:val="NoSpacing"/>
        <w:jc w:val="both"/>
      </w:pPr>
      <w:r w:rsidRPr="00603C76">
        <w:rPr>
          <w:b/>
        </w:rPr>
        <w:t>In assisting borrowers to manage pests that affect either agriculture or public health, the Bank</w:t>
      </w:r>
      <w:r w:rsidR="000D49E5" w:rsidRPr="00603C76">
        <w:rPr>
          <w:b/>
        </w:rPr>
        <w:t xml:space="preserve"> </w:t>
      </w:r>
      <w:r w:rsidRPr="00603C76">
        <w:rPr>
          <w:b/>
        </w:rPr>
        <w:t>supports a strategy that promotes the use of biological or environmental control methods and reduces reliance on synthetic chemical pesticides.</w:t>
      </w:r>
      <w:r>
        <w:t xml:space="preserve">  </w:t>
      </w:r>
      <w:r w:rsidR="004A2836">
        <w:t xml:space="preserve">For </w:t>
      </w:r>
      <w:r w:rsidR="00207FD4">
        <w:t xml:space="preserve">the </w:t>
      </w:r>
      <w:r w:rsidR="00190610">
        <w:t>SCSD</w:t>
      </w:r>
      <w:r w:rsidR="00A9098E">
        <w:t xml:space="preserve"> Project this means that </w:t>
      </w:r>
      <w:r>
        <w:t xml:space="preserve">pest management issues </w:t>
      </w:r>
      <w:r w:rsidR="004A2836">
        <w:t xml:space="preserve">are addressed </w:t>
      </w:r>
      <w:r>
        <w:t xml:space="preserve">in the context of the </w:t>
      </w:r>
      <w:r w:rsidR="00A9098E">
        <w:t>P</w:t>
      </w:r>
      <w:r>
        <w:t>roject's environmental assessment</w:t>
      </w:r>
      <w:r w:rsidR="00A9098E">
        <w:t xml:space="preserve"> (OP 4.01)</w:t>
      </w:r>
      <w:r>
        <w:t>.</w:t>
      </w:r>
      <w:r w:rsidR="00A9098E">
        <w:t xml:space="preserve"> </w:t>
      </w:r>
      <w:proofErr w:type="gramStart"/>
      <w:r w:rsidR="00A9098E">
        <w:t>As a consequence</w:t>
      </w:r>
      <w:proofErr w:type="gramEnd"/>
      <w:r w:rsidR="00A9098E">
        <w:t xml:space="preserve">, </w:t>
      </w:r>
      <w:r w:rsidR="00A9098E" w:rsidRPr="00A9098E">
        <w:t>given the focus on agribusiness value chains</w:t>
      </w:r>
      <w:r w:rsidR="00A9098E">
        <w:t>,</w:t>
      </w:r>
      <w:r w:rsidR="00A9098E" w:rsidRPr="00A9098E">
        <w:t xml:space="preserve"> </w:t>
      </w:r>
      <w:r w:rsidR="00A9098E">
        <w:t xml:space="preserve">the WBG Operational </w:t>
      </w:r>
      <w:r w:rsidR="00A9098E" w:rsidRPr="00A9098E">
        <w:t xml:space="preserve">Policy </w:t>
      </w:r>
      <w:r w:rsidR="00A9098E">
        <w:t xml:space="preserve">(OP) </w:t>
      </w:r>
      <w:r w:rsidR="00A9098E" w:rsidRPr="00A9098E">
        <w:t xml:space="preserve">4.09 is triggered. Activities financed by the </w:t>
      </w:r>
      <w:r w:rsidR="00A9098E">
        <w:t>P</w:t>
      </w:r>
      <w:r w:rsidR="00A9098E" w:rsidRPr="00A9098E">
        <w:t xml:space="preserve">roject </w:t>
      </w:r>
      <w:r w:rsidR="004A2836">
        <w:t xml:space="preserve">must </w:t>
      </w:r>
      <w:r w:rsidR="00A9098E" w:rsidRPr="00A9098E">
        <w:t>consider approved pest management policy provisions</w:t>
      </w:r>
      <w:r w:rsidR="00603C76">
        <w:t xml:space="preserve"> and practices</w:t>
      </w:r>
      <w:r w:rsidR="00A9098E" w:rsidRPr="00A9098E">
        <w:t xml:space="preserve"> which are incorporated into th</w:t>
      </w:r>
      <w:r w:rsidR="00A9098E">
        <w:t>is</w:t>
      </w:r>
      <w:r w:rsidR="00A9098E" w:rsidRPr="00A9098E">
        <w:t xml:space="preserve"> ESMF.</w:t>
      </w:r>
    </w:p>
    <w:p w14:paraId="523DBAAB" w14:textId="77777777" w:rsidR="000458F9" w:rsidRDefault="000458F9" w:rsidP="00203F2A">
      <w:pPr>
        <w:pStyle w:val="NoSpacing"/>
        <w:jc w:val="both"/>
      </w:pPr>
    </w:p>
    <w:p w14:paraId="69BDDBA6" w14:textId="6A7BEE4B" w:rsidR="00A9098E" w:rsidRDefault="00603C76" w:rsidP="00203F2A">
      <w:pPr>
        <w:pStyle w:val="NoSpacing"/>
        <w:jc w:val="both"/>
      </w:pPr>
      <w:r w:rsidRPr="004A2836">
        <w:rPr>
          <w:b/>
        </w:rPr>
        <w:t xml:space="preserve">In </w:t>
      </w:r>
      <w:r w:rsidR="00190610">
        <w:rPr>
          <w:b/>
        </w:rPr>
        <w:t>SCSD</w:t>
      </w:r>
      <w:r w:rsidR="000458F9" w:rsidRPr="004A2836">
        <w:rPr>
          <w:b/>
        </w:rPr>
        <w:t xml:space="preserve"> Project support to </w:t>
      </w:r>
      <w:r w:rsidR="004A2836">
        <w:rPr>
          <w:b/>
        </w:rPr>
        <w:t xml:space="preserve">SME </w:t>
      </w:r>
      <w:r w:rsidR="000458F9" w:rsidRPr="004A2836">
        <w:rPr>
          <w:b/>
        </w:rPr>
        <w:t xml:space="preserve">agriculture </w:t>
      </w:r>
      <w:r w:rsidR="004A2836">
        <w:rPr>
          <w:b/>
        </w:rPr>
        <w:t>investments</w:t>
      </w:r>
      <w:r w:rsidR="000458F9" w:rsidRPr="004A2836">
        <w:rPr>
          <w:b/>
        </w:rPr>
        <w:t>, pest populations are normally controlled through Integrated Pest Management</w:t>
      </w:r>
      <w:r w:rsidR="000458F9">
        <w:t xml:space="preserve"> (</w:t>
      </w:r>
      <w:r w:rsidR="000458F9" w:rsidRPr="000458F9">
        <w:t>IPM</w:t>
      </w:r>
      <w:r w:rsidR="000458F9">
        <w:t>)</w:t>
      </w:r>
      <w:r w:rsidR="000458F9">
        <w:rPr>
          <w:rStyle w:val="FootnoteReference"/>
        </w:rPr>
        <w:footnoteReference w:id="37"/>
      </w:r>
      <w:r w:rsidR="000458F9">
        <w:t xml:space="preserve"> </w:t>
      </w:r>
      <w:r w:rsidR="000458F9" w:rsidRPr="000458F9">
        <w:t>approaches, such as biological control, cultural practices, and the development and use of crop varieties that are resistant or tolerant to the pest.</w:t>
      </w:r>
    </w:p>
    <w:p w14:paraId="2A0B609F" w14:textId="51F5C34B" w:rsidR="00A9098E" w:rsidRDefault="00A9098E" w:rsidP="00203F2A">
      <w:pPr>
        <w:pStyle w:val="NoSpacing"/>
        <w:jc w:val="both"/>
      </w:pPr>
    </w:p>
    <w:p w14:paraId="61A760E7" w14:textId="08DA0996" w:rsidR="000458F9" w:rsidRDefault="00D64059" w:rsidP="00203F2A">
      <w:pPr>
        <w:pStyle w:val="NoSpacing"/>
        <w:jc w:val="both"/>
      </w:pPr>
      <w:r w:rsidRPr="00D64059">
        <w:rPr>
          <w:b/>
        </w:rPr>
        <w:t xml:space="preserve">In Suriname, at a national level, integrated pest management policies are </w:t>
      </w:r>
      <w:proofErr w:type="gramStart"/>
      <w:r w:rsidRPr="00D64059">
        <w:rPr>
          <w:b/>
        </w:rPr>
        <w:t>lacking</w:t>
      </w:r>
      <w:proofErr w:type="gramEnd"/>
      <w:r>
        <w:t xml:space="preserve"> and its </w:t>
      </w:r>
      <w:r w:rsidR="00036886">
        <w:t xml:space="preserve">legal and </w:t>
      </w:r>
      <w:r w:rsidR="000458F9">
        <w:t xml:space="preserve">regulatory framework related to IPM </w:t>
      </w:r>
      <w:r>
        <w:t xml:space="preserve">is virtually limited to the </w:t>
      </w:r>
      <w:r w:rsidR="00402E25">
        <w:t xml:space="preserve">following </w:t>
      </w:r>
      <w:r w:rsidR="00036886">
        <w:t xml:space="preserve">legislation, </w:t>
      </w:r>
      <w:r w:rsidR="00402E25">
        <w:t>guidelines and standards:</w:t>
      </w:r>
    </w:p>
    <w:p w14:paraId="5CD7C46B" w14:textId="77777777" w:rsidR="00953EC0" w:rsidRDefault="00953EC0" w:rsidP="00203F2A">
      <w:pPr>
        <w:pStyle w:val="NoSpacing"/>
        <w:numPr>
          <w:ilvl w:val="0"/>
          <w:numId w:val="25"/>
        </w:numPr>
        <w:jc w:val="both"/>
      </w:pPr>
      <w:r>
        <w:t>Plant Protection Act (1965)</w:t>
      </w:r>
    </w:p>
    <w:p w14:paraId="3043F004" w14:textId="0AB210DD" w:rsidR="00402E25" w:rsidRDefault="004451D0" w:rsidP="00203F2A">
      <w:pPr>
        <w:pStyle w:val="NoSpacing"/>
        <w:numPr>
          <w:ilvl w:val="0"/>
          <w:numId w:val="25"/>
        </w:numPr>
        <w:jc w:val="both"/>
      </w:pPr>
      <w:r w:rsidRPr="004451D0">
        <w:t xml:space="preserve">Pesticides Act G.B. 1972 no </w:t>
      </w:r>
      <w:r w:rsidR="009F6ED1" w:rsidRPr="004451D0">
        <w:t>151-last</w:t>
      </w:r>
      <w:r w:rsidRPr="004451D0">
        <w:t xml:space="preserve"> amended by S.B. 2005 no. 18</w:t>
      </w:r>
    </w:p>
    <w:p w14:paraId="17EDA60E" w14:textId="11116F65" w:rsidR="004451D0" w:rsidRDefault="004451D0" w:rsidP="00203F2A">
      <w:pPr>
        <w:pStyle w:val="NoSpacing"/>
        <w:numPr>
          <w:ilvl w:val="0"/>
          <w:numId w:val="25"/>
        </w:numPr>
        <w:jc w:val="both"/>
      </w:pPr>
      <w:r w:rsidRPr="004451D0">
        <w:t>State Order on Pesticides S.B. 2005 no. 21</w:t>
      </w:r>
      <w:r w:rsidR="00036886">
        <w:t xml:space="preserve"> </w:t>
      </w:r>
      <w:r w:rsidRPr="004451D0">
        <w:t>(Implementation Regulation of the Pesticide Act)</w:t>
      </w:r>
    </w:p>
    <w:p w14:paraId="3C7B32D8" w14:textId="51098001" w:rsidR="00036886" w:rsidRDefault="00036886" w:rsidP="00203F2A">
      <w:pPr>
        <w:pStyle w:val="NoSpacing"/>
        <w:numPr>
          <w:ilvl w:val="0"/>
          <w:numId w:val="25"/>
        </w:numPr>
        <w:jc w:val="both"/>
      </w:pPr>
      <w:r w:rsidRPr="00036886">
        <w:t>NIMOS ESIA Guideline Volume VII: Agricultural Projects (May 2013)</w:t>
      </w:r>
    </w:p>
    <w:p w14:paraId="5F239438" w14:textId="77777777" w:rsidR="000B5345" w:rsidRDefault="00036886" w:rsidP="00203F2A">
      <w:pPr>
        <w:pStyle w:val="NoSpacing"/>
        <w:numPr>
          <w:ilvl w:val="0"/>
          <w:numId w:val="25"/>
        </w:numPr>
        <w:jc w:val="both"/>
      </w:pPr>
      <w:r w:rsidRPr="00E249C9">
        <w:t>SSB (MTIT) Good Agricultural Practice Standard (August 2018)</w:t>
      </w:r>
      <w:r>
        <w:rPr>
          <w:rStyle w:val="FootnoteReference"/>
          <w:lang w:val="nl-NL"/>
        </w:rPr>
        <w:footnoteReference w:id="38"/>
      </w:r>
    </w:p>
    <w:p w14:paraId="17B77379" w14:textId="4B1426DC" w:rsidR="00953EC0" w:rsidRDefault="00953EC0" w:rsidP="00203F2A">
      <w:pPr>
        <w:pStyle w:val="NoSpacing"/>
        <w:numPr>
          <w:ilvl w:val="0"/>
          <w:numId w:val="25"/>
        </w:numPr>
        <w:jc w:val="both"/>
      </w:pPr>
      <w:r>
        <w:t>‘</w:t>
      </w:r>
      <w:r w:rsidR="00CB64E1" w:rsidRPr="00953EC0">
        <w:t>Stockholm Convention on Persistent Organic Pollutants’</w:t>
      </w:r>
      <w:r w:rsidR="00CB64E1">
        <w:t xml:space="preserve"> (</w:t>
      </w:r>
      <w:r>
        <w:t xml:space="preserve">ratified </w:t>
      </w:r>
      <w:r w:rsidR="00CB64E1">
        <w:t>in 2011</w:t>
      </w:r>
      <w:r>
        <w:t>)</w:t>
      </w:r>
    </w:p>
    <w:p w14:paraId="56ECA73D" w14:textId="509134CC" w:rsidR="00CB64E1" w:rsidRDefault="00CB64E1" w:rsidP="00203F2A">
      <w:pPr>
        <w:pStyle w:val="NoSpacing"/>
        <w:jc w:val="both"/>
      </w:pPr>
    </w:p>
    <w:p w14:paraId="5E703ED3" w14:textId="32B8149C" w:rsidR="00B90DDD" w:rsidRDefault="0075445F" w:rsidP="00203F2A">
      <w:pPr>
        <w:pStyle w:val="NoSpacing"/>
        <w:jc w:val="both"/>
      </w:pPr>
      <w:r>
        <w:t>As part of the country’s commitment to the Stockholm Convention, a</w:t>
      </w:r>
      <w:r w:rsidR="00B90DDD">
        <w:t>dapted to the FAO List of prohibited chemicals and i</w:t>
      </w:r>
      <w:r w:rsidR="00B90DDD" w:rsidRPr="00B90DDD">
        <w:t xml:space="preserve">n accordance with the State Order on </w:t>
      </w:r>
      <w:r w:rsidR="00B90DDD">
        <w:t>P</w:t>
      </w:r>
      <w:r w:rsidR="00B90DDD" w:rsidRPr="00B90DDD">
        <w:t>esticides (S.B.no 18, 2005)</w:t>
      </w:r>
      <w:r>
        <w:t>,</w:t>
      </w:r>
      <w:r w:rsidR="00B90DDD" w:rsidRPr="00B90DDD">
        <w:t xml:space="preserve"> </w:t>
      </w:r>
      <w:r w:rsidR="00B90DDD">
        <w:t>Suriname listed (</w:t>
      </w:r>
      <w:proofErr w:type="spellStart"/>
      <w:r w:rsidR="00B90DDD">
        <w:t>agro</w:t>
      </w:r>
      <w:proofErr w:type="spellEnd"/>
      <w:r w:rsidR="00B90DDD">
        <w:t xml:space="preserve">-) pesticides </w:t>
      </w:r>
      <w:r w:rsidR="00B90DDD" w:rsidRPr="00B90DDD">
        <w:t>prohibited to store, possess, sell and use</w:t>
      </w:r>
      <w:r>
        <w:rPr>
          <w:rStyle w:val="FootnoteReference"/>
        </w:rPr>
        <w:footnoteReference w:id="39"/>
      </w:r>
      <w:r w:rsidR="00B90DDD" w:rsidRPr="00B90DDD">
        <w:t xml:space="preserve">. </w:t>
      </w:r>
    </w:p>
    <w:p w14:paraId="5AFB6CFA" w14:textId="2FAE7092" w:rsidR="000B5345" w:rsidRDefault="000B5345" w:rsidP="00203F2A">
      <w:pPr>
        <w:pStyle w:val="NoSpacing"/>
        <w:jc w:val="both"/>
      </w:pPr>
    </w:p>
    <w:p w14:paraId="122BADEF" w14:textId="7BAB18FA" w:rsidR="00285A17" w:rsidRDefault="000B5345" w:rsidP="00203F2A">
      <w:pPr>
        <w:pStyle w:val="NoSpacing"/>
        <w:jc w:val="both"/>
      </w:pPr>
      <w:r w:rsidRPr="00603C76">
        <w:rPr>
          <w:b/>
        </w:rPr>
        <w:t xml:space="preserve">While </w:t>
      </w:r>
      <w:r w:rsidR="00D64059">
        <w:rPr>
          <w:b/>
        </w:rPr>
        <w:t>most o</w:t>
      </w:r>
      <w:r w:rsidRPr="00603C76">
        <w:rPr>
          <w:b/>
        </w:rPr>
        <w:t>f the above listed legislation, guidelines and standards mainly relate to (the limitation of the) use of pesticide in agriculture</w:t>
      </w:r>
      <w:r w:rsidR="009669AA">
        <w:rPr>
          <w:b/>
        </w:rPr>
        <w:t xml:space="preserve"> and the elimination of POPs</w:t>
      </w:r>
      <w:r w:rsidRPr="00603C76">
        <w:rPr>
          <w:b/>
        </w:rPr>
        <w:t xml:space="preserve">, knowledge on the concept of IPM is </w:t>
      </w:r>
      <w:r w:rsidR="00D47F03" w:rsidRPr="00603C76">
        <w:rPr>
          <w:b/>
        </w:rPr>
        <w:t>virtually lacking</w:t>
      </w:r>
      <w:r w:rsidR="00D47F03">
        <w:t xml:space="preserve"> </w:t>
      </w:r>
      <w:r>
        <w:t xml:space="preserve">and the practical implementation of IPM principles is limited to just a very few </w:t>
      </w:r>
      <w:r w:rsidR="00285A17">
        <w:t xml:space="preserve">initiatives and some </w:t>
      </w:r>
      <w:r w:rsidR="00E37F37">
        <w:t xml:space="preserve">individual </w:t>
      </w:r>
      <w:r>
        <w:t xml:space="preserve">growers. </w:t>
      </w:r>
      <w:r w:rsidR="00E37F37">
        <w:t>O</w:t>
      </w:r>
      <w:r w:rsidR="00D64059">
        <w:t xml:space="preserve">ver </w:t>
      </w:r>
      <w:r w:rsidR="00E37F37">
        <w:t xml:space="preserve">recent </w:t>
      </w:r>
      <w:r w:rsidR="00D64059">
        <w:t>years</w:t>
      </w:r>
      <w:r w:rsidR="00E37F37">
        <w:t>,</w:t>
      </w:r>
      <w:r w:rsidR="00D64059">
        <w:t xml:space="preserve"> some NGOs (e.g. </w:t>
      </w:r>
      <w:proofErr w:type="spellStart"/>
      <w:r w:rsidR="00D64059">
        <w:t>d’ONS</w:t>
      </w:r>
      <w:proofErr w:type="spellEnd"/>
      <w:r w:rsidR="00D64059">
        <w:t xml:space="preserve">, STEPS) have been working on the </w:t>
      </w:r>
      <w:r w:rsidR="009132C9">
        <w:t xml:space="preserve">promotion and </w:t>
      </w:r>
      <w:r w:rsidR="00D64059">
        <w:t>introduction of the concepts of biological production practices in agriculture, mainly in horticulture.</w:t>
      </w:r>
      <w:r w:rsidR="009132C9">
        <w:t xml:space="preserve"> </w:t>
      </w:r>
      <w:r w:rsidR="009F6ED1">
        <w:t>Also,</w:t>
      </w:r>
      <w:r w:rsidR="009669AA">
        <w:t xml:space="preserve"> the Ministry of </w:t>
      </w:r>
      <w:r w:rsidR="00B705DA">
        <w:t>AAF</w:t>
      </w:r>
      <w:r w:rsidR="009669AA">
        <w:t xml:space="preserve"> supports these promotional activities. </w:t>
      </w:r>
      <w:r w:rsidR="009132C9">
        <w:t>All t</w:t>
      </w:r>
      <w:r w:rsidR="00E37F37">
        <w:t xml:space="preserve">hese initiatives include elements of </w:t>
      </w:r>
      <w:proofErr w:type="gramStart"/>
      <w:r w:rsidR="00E37F37">
        <w:t>IPM</w:t>
      </w:r>
      <w:proofErr w:type="gramEnd"/>
      <w:r w:rsidR="00E37F37">
        <w:t xml:space="preserve"> but the practical use of these concepts is still limited to a small group of </w:t>
      </w:r>
      <w:r w:rsidR="00285A17">
        <w:t xml:space="preserve">commercial </w:t>
      </w:r>
      <w:r w:rsidR="00E37F37">
        <w:t xml:space="preserve">growers (e.g. </w:t>
      </w:r>
      <w:proofErr w:type="spellStart"/>
      <w:r w:rsidR="00E37F37">
        <w:t>Kwatta</w:t>
      </w:r>
      <w:proofErr w:type="spellEnd"/>
      <w:r w:rsidR="00E37F37">
        <w:t xml:space="preserve"> Farmers Association) and those engaged in small scale commercial agriculture and/or shifting cultivation in the interior. </w:t>
      </w:r>
      <w:r w:rsidR="00285A17">
        <w:t>However, i</w:t>
      </w:r>
      <w:r w:rsidR="00E37F37">
        <w:t xml:space="preserve">n shifting cultivation (slash and burn) the </w:t>
      </w:r>
      <w:proofErr w:type="gramStart"/>
      <w:r w:rsidR="00E37F37">
        <w:t>main focus</w:t>
      </w:r>
      <w:proofErr w:type="gramEnd"/>
      <w:r w:rsidR="00E37F37">
        <w:t xml:space="preserve"> </w:t>
      </w:r>
      <w:r w:rsidR="00285A17">
        <w:t xml:space="preserve">is on increasing soil fertility and general growing conditions through the </w:t>
      </w:r>
      <w:r w:rsidR="00E37F37">
        <w:t xml:space="preserve">introduction of biological </w:t>
      </w:r>
      <w:r w:rsidR="00285A17">
        <w:t xml:space="preserve">farming </w:t>
      </w:r>
      <w:r w:rsidR="00E37F37">
        <w:t>concepts</w:t>
      </w:r>
      <w:r w:rsidR="00285A17">
        <w:t xml:space="preserve">, including </w:t>
      </w:r>
      <w:r w:rsidR="00E37F37">
        <w:t>IPM principles</w:t>
      </w:r>
      <w:r w:rsidR="009669AA">
        <w:t>, thus enlarging the cycle of ‘slash and burn’.</w:t>
      </w:r>
      <w:r w:rsidR="009132C9">
        <w:t xml:space="preserve"> </w:t>
      </w:r>
      <w:r w:rsidR="00285A17">
        <w:t xml:space="preserve">At a larger scale of operation, </w:t>
      </w:r>
      <w:r w:rsidR="009132C9">
        <w:t>some SME in agriculture aim at biological production, including IPM, and s</w:t>
      </w:r>
      <w:r w:rsidR="009132C9" w:rsidRPr="009132C9">
        <w:t xml:space="preserve">ince 2014, the Foundation </w:t>
      </w:r>
      <w:proofErr w:type="spellStart"/>
      <w:r w:rsidR="009132C9" w:rsidRPr="009132C9">
        <w:t>d’ONS</w:t>
      </w:r>
      <w:proofErr w:type="spellEnd"/>
      <w:r w:rsidR="009132C9" w:rsidRPr="009132C9">
        <w:t xml:space="preserve"> </w:t>
      </w:r>
      <w:r w:rsidR="009669AA">
        <w:t xml:space="preserve">each year </w:t>
      </w:r>
      <w:r w:rsidR="009132C9" w:rsidRPr="009132C9">
        <w:t xml:space="preserve">selects and awards the </w:t>
      </w:r>
      <w:r w:rsidR="003C688F" w:rsidRPr="009132C9">
        <w:t>‘greenest’</w:t>
      </w:r>
      <w:r w:rsidR="009132C9" w:rsidRPr="009132C9">
        <w:t xml:space="preserve"> SME in agriculture</w:t>
      </w:r>
      <w:r w:rsidR="009132C9">
        <w:t xml:space="preserve">. </w:t>
      </w:r>
      <w:r w:rsidR="004F0DD6">
        <w:t xml:space="preserve">At a larger scale, only the Fruit Farm Group (FAI) Suriname is practicing ‘regenerative farming methods’ including </w:t>
      </w:r>
      <w:proofErr w:type="gramStart"/>
      <w:r w:rsidR="004F0DD6">
        <w:t>IPM, and</w:t>
      </w:r>
      <w:proofErr w:type="gramEnd"/>
      <w:r w:rsidR="004F0DD6">
        <w:t xml:space="preserve"> aiming at ‘green certification’.</w:t>
      </w:r>
    </w:p>
    <w:p w14:paraId="4BBF42ED" w14:textId="65DDE3CB" w:rsidR="004F0DD6" w:rsidRDefault="004F0DD6" w:rsidP="00203F2A">
      <w:pPr>
        <w:pStyle w:val="NoSpacing"/>
        <w:jc w:val="both"/>
      </w:pPr>
    </w:p>
    <w:p w14:paraId="544C2610" w14:textId="34C239B2" w:rsidR="00E37F37" w:rsidRDefault="009669AA" w:rsidP="00203F2A">
      <w:pPr>
        <w:pStyle w:val="NoSpacing"/>
        <w:jc w:val="both"/>
      </w:pPr>
      <w:r w:rsidRPr="00453525">
        <w:rPr>
          <w:b/>
        </w:rPr>
        <w:t xml:space="preserve">The lack of a consistent national policy on IPM and the limited knowledge of it </w:t>
      </w:r>
      <w:r w:rsidR="00E37F37" w:rsidRPr="00453525">
        <w:rPr>
          <w:b/>
        </w:rPr>
        <w:t xml:space="preserve">contains a serious risk for sustainable agriculture and the related potential investments under the </w:t>
      </w:r>
      <w:r w:rsidR="00190610">
        <w:rPr>
          <w:b/>
        </w:rPr>
        <w:t>SCSD</w:t>
      </w:r>
      <w:r w:rsidR="00E37F37" w:rsidRPr="00453525">
        <w:rPr>
          <w:b/>
        </w:rPr>
        <w:t xml:space="preserve"> Project</w:t>
      </w:r>
      <w:r w:rsidR="00E37F37" w:rsidRPr="00E37F37">
        <w:t>, asking for the design, implementation and enforcement of IPM safeguards.</w:t>
      </w:r>
      <w:r>
        <w:t xml:space="preserve"> Promotion and capacity building is needed to fill this gap, both within </w:t>
      </w:r>
      <w:r w:rsidR="00453525">
        <w:t xml:space="preserve">the ministry of </w:t>
      </w:r>
      <w:r w:rsidR="001457CD">
        <w:t>Agriculture (M</w:t>
      </w:r>
      <w:r w:rsidR="00B705DA">
        <w:t>AAF</w:t>
      </w:r>
      <w:r w:rsidR="001457CD">
        <w:t>)</w:t>
      </w:r>
      <w:r w:rsidR="00453525">
        <w:t xml:space="preserve"> and NIMOS, but also within SME as them being the potential practitioners of IPM in agriculture.</w:t>
      </w:r>
    </w:p>
    <w:p w14:paraId="773A564F" w14:textId="77777777" w:rsidR="00E37F37" w:rsidRDefault="00E37F37" w:rsidP="00203F2A">
      <w:pPr>
        <w:pStyle w:val="NoSpacing"/>
        <w:jc w:val="both"/>
      </w:pPr>
    </w:p>
    <w:p w14:paraId="20ECE773" w14:textId="4A69E9FD" w:rsidR="00867898" w:rsidRDefault="00867898" w:rsidP="00203F2A">
      <w:pPr>
        <w:pStyle w:val="NoSpacing"/>
        <w:jc w:val="both"/>
      </w:pPr>
      <w:r>
        <w:t xml:space="preserve">IPM is not a single pest control method but, rather, a series of pest management evaluations, decisions and controls. IPM is a </w:t>
      </w:r>
      <w:r w:rsidR="00D47F03">
        <w:t>principle</w:t>
      </w:r>
      <w:r>
        <w:t xml:space="preserve"> that uses all possible control methods in a logical combination to minimize risk of pesticide exposure, safeguard the environment</w:t>
      </w:r>
      <w:r w:rsidR="00603C76">
        <w:t xml:space="preserve"> and human health</w:t>
      </w:r>
      <w:r>
        <w:t xml:space="preserve">, and maximize effectiveness. </w:t>
      </w:r>
      <w:r w:rsidRPr="00603C76">
        <w:rPr>
          <w:b/>
        </w:rPr>
        <w:t xml:space="preserve">An IPM </w:t>
      </w:r>
      <w:r w:rsidR="00D47F03" w:rsidRPr="00603C76">
        <w:rPr>
          <w:b/>
        </w:rPr>
        <w:t>plan</w:t>
      </w:r>
      <w:r w:rsidRPr="00603C76">
        <w:rPr>
          <w:b/>
        </w:rPr>
        <w:t xml:space="preserve"> focuses first on environmental management to reduce pest populations by eradicating their </w:t>
      </w:r>
      <w:r w:rsidR="00D47F03" w:rsidRPr="00603C76">
        <w:rPr>
          <w:b/>
        </w:rPr>
        <w:t>harbourage</w:t>
      </w:r>
      <w:r w:rsidRPr="00603C76">
        <w:rPr>
          <w:b/>
        </w:rPr>
        <w:t xml:space="preserve">, food, and water sources. </w:t>
      </w:r>
      <w:r w:rsidRPr="00603C76">
        <w:t>Pesticide use is minimized.</w:t>
      </w:r>
      <w:r>
        <w:t xml:space="preserve"> When pesticides must be used, the least harmful chemical for the environment and </w:t>
      </w:r>
      <w:r w:rsidR="00D47F03">
        <w:t>human health</w:t>
      </w:r>
      <w:r w:rsidR="00603C76">
        <w:t xml:space="preserve"> must be considered.</w:t>
      </w:r>
      <w:r w:rsidR="00D47F03">
        <w:t xml:space="preserve"> </w:t>
      </w:r>
      <w:r w:rsidR="000028DA">
        <w:t xml:space="preserve">Guidelines for Preparing an Integrated Pest Management Plan </w:t>
      </w:r>
      <w:r w:rsidR="000028DA" w:rsidRPr="00115B0D">
        <w:t xml:space="preserve">are presented in Annex 2 of this ESMF document. </w:t>
      </w:r>
      <w:r w:rsidRPr="00115B0D">
        <w:t>Main components of an IPM p</w:t>
      </w:r>
      <w:r w:rsidR="00603C76" w:rsidRPr="00115B0D">
        <w:t>lan</w:t>
      </w:r>
      <w:r w:rsidR="00453525" w:rsidRPr="00115B0D">
        <w:rPr>
          <w:rStyle w:val="FootnoteReference"/>
        </w:rPr>
        <w:footnoteReference w:id="40"/>
      </w:r>
      <w:r w:rsidR="00603C76" w:rsidRPr="00115B0D">
        <w:t xml:space="preserve"> </w:t>
      </w:r>
      <w:r w:rsidRPr="00115B0D">
        <w:t>include:</w:t>
      </w:r>
    </w:p>
    <w:p w14:paraId="3B77FB26" w14:textId="3668463F" w:rsidR="00867898" w:rsidRDefault="00867898" w:rsidP="00203F2A">
      <w:pPr>
        <w:pStyle w:val="NoSpacing"/>
        <w:jc w:val="both"/>
      </w:pPr>
    </w:p>
    <w:p w14:paraId="61A6C81D" w14:textId="55ECE951" w:rsidR="00D47F03" w:rsidRDefault="00867898" w:rsidP="00203F2A">
      <w:pPr>
        <w:pStyle w:val="NoSpacing"/>
        <w:numPr>
          <w:ilvl w:val="0"/>
          <w:numId w:val="26"/>
        </w:numPr>
        <w:jc w:val="both"/>
      </w:pPr>
      <w:r w:rsidRPr="00603C76">
        <w:rPr>
          <w:u w:val="single"/>
        </w:rPr>
        <w:t>Monitoring and Identifying Pests</w:t>
      </w:r>
      <w:r w:rsidR="00D47F03" w:rsidRPr="00603C76">
        <w:rPr>
          <w:u w:val="single"/>
        </w:rPr>
        <w:t>:</w:t>
      </w:r>
      <w:r w:rsidR="00D47F03">
        <w:t xml:space="preserve"> </w:t>
      </w:r>
      <w:r>
        <w:t>Not all insects, weeds, and other living organisms require control. Many organisms are innocuous, and some are even beneficial. IPM p</w:t>
      </w:r>
      <w:r w:rsidR="00D47F03">
        <w:t>lan</w:t>
      </w:r>
      <w:r>
        <w:t>s work to monitor for pests and identify them accurately, so that appropriate control decisions can be made in conjunction with action thresholds.</w:t>
      </w:r>
      <w:r w:rsidR="00D47F03">
        <w:t xml:space="preserve"> </w:t>
      </w:r>
      <w:r>
        <w:t>This monitoring and identification removes the possibility that pesticides will be used when they are not really needed or that the wrong kind of pesticide will be used.</w:t>
      </w:r>
    </w:p>
    <w:p w14:paraId="5EBAC06F" w14:textId="77777777" w:rsidR="00D47F03" w:rsidRDefault="00867898" w:rsidP="00203F2A">
      <w:pPr>
        <w:pStyle w:val="NoSpacing"/>
        <w:numPr>
          <w:ilvl w:val="0"/>
          <w:numId w:val="26"/>
        </w:numPr>
        <w:jc w:val="both"/>
      </w:pPr>
      <w:r w:rsidRPr="00603C76">
        <w:rPr>
          <w:u w:val="single"/>
        </w:rPr>
        <w:t>Setting Action Thresholds:</w:t>
      </w:r>
      <w:r w:rsidR="00D47F03">
        <w:t xml:space="preserve"> </w:t>
      </w:r>
      <w:r>
        <w:t xml:space="preserve">Before taking any pest control action, IPM dictates first setting an action threshold, a point at which pest populations or environmental conditions indicate that pest control action must be taken. Sighting a single pest does not always mean control is needed. The level at which pests will either become an economic threat or a </w:t>
      </w:r>
      <w:r w:rsidR="00D47F03">
        <w:t>human</w:t>
      </w:r>
      <w:r>
        <w:t xml:space="preserve"> health threat is critical to guide future pest control decisions.</w:t>
      </w:r>
    </w:p>
    <w:p w14:paraId="67C35F29" w14:textId="0EBB674E" w:rsidR="00D1735E" w:rsidRDefault="00867898" w:rsidP="00203F2A">
      <w:pPr>
        <w:pStyle w:val="NoSpacing"/>
        <w:numPr>
          <w:ilvl w:val="0"/>
          <w:numId w:val="26"/>
        </w:numPr>
        <w:jc w:val="both"/>
      </w:pPr>
      <w:r w:rsidRPr="00603C76">
        <w:rPr>
          <w:u w:val="single"/>
        </w:rPr>
        <w:t>Prevention:</w:t>
      </w:r>
      <w:r w:rsidR="00D47F03">
        <w:t xml:space="preserve"> </w:t>
      </w:r>
      <w:r>
        <w:t>As a first line of pest control, IPM p</w:t>
      </w:r>
      <w:r w:rsidR="00D47F03">
        <w:t>lan</w:t>
      </w:r>
      <w:r>
        <w:t>s work to manage crop</w:t>
      </w:r>
      <w:r w:rsidR="00453525">
        <w:t>s</w:t>
      </w:r>
      <w:r>
        <w:t xml:space="preserve"> to prevent pests from becoming a threat. </w:t>
      </w:r>
      <w:r w:rsidR="00D1735E">
        <w:t xml:space="preserve">IPM </w:t>
      </w:r>
      <w:r>
        <w:t>control methods can be very effective, cost-efficient, and present little to no risk to people or the environment</w:t>
      </w:r>
      <w:r w:rsidR="00D1735E">
        <w:t>.</w:t>
      </w:r>
    </w:p>
    <w:p w14:paraId="0BFBE8F9" w14:textId="33B0379E" w:rsidR="00D1735E" w:rsidRDefault="00867898" w:rsidP="00203F2A">
      <w:pPr>
        <w:pStyle w:val="NoSpacing"/>
        <w:numPr>
          <w:ilvl w:val="0"/>
          <w:numId w:val="26"/>
        </w:numPr>
        <w:jc w:val="both"/>
      </w:pPr>
      <w:r w:rsidRPr="00603C76">
        <w:rPr>
          <w:u w:val="single"/>
        </w:rPr>
        <w:t>Control:</w:t>
      </w:r>
      <w:r w:rsidR="00D1735E">
        <w:t xml:space="preserve"> </w:t>
      </w:r>
      <w:r>
        <w:t>Once monitoring, identification, and action thresholds indicate that pest control is required, and preventive methods are no longer effective or available, IPM p</w:t>
      </w:r>
      <w:r w:rsidR="00D1735E">
        <w:t>lan</w:t>
      </w:r>
      <w:r>
        <w:t xml:space="preserve">s then evaluate the proper control method both for effectiveness and risk. Effective, less risky pest controls are chosen first, including highly targeted </w:t>
      </w:r>
      <w:r w:rsidR="00D1735E">
        <w:t>chemicals</w:t>
      </w:r>
      <w:r>
        <w:t>, such as pheromones to disrupt pest mating, or mechanical control, such as trapping or weeding.</w:t>
      </w:r>
      <w:r w:rsidR="00D1735E">
        <w:t xml:space="preserve"> </w:t>
      </w:r>
      <w:r>
        <w:t xml:space="preserve">If further monitoring, identifications and action thresholds indicate that less risky controls are not working, then additional pest control methods would be employed, such as targeted spraying of pesticides. Broadcast spraying of non-specific pesticides are </w:t>
      </w:r>
      <w:r w:rsidR="00453525">
        <w:t xml:space="preserve">only </w:t>
      </w:r>
      <w:r>
        <w:t>a last resort.</w:t>
      </w:r>
    </w:p>
    <w:p w14:paraId="6DA368F9" w14:textId="7ED0D430" w:rsidR="004451D0" w:rsidRDefault="00867898" w:rsidP="00203F2A">
      <w:pPr>
        <w:pStyle w:val="NoSpacing"/>
        <w:numPr>
          <w:ilvl w:val="0"/>
          <w:numId w:val="26"/>
        </w:numPr>
        <w:jc w:val="both"/>
      </w:pPr>
      <w:r w:rsidRPr="00603C76">
        <w:rPr>
          <w:u w:val="single"/>
        </w:rPr>
        <w:t>Evaluation:</w:t>
      </w:r>
      <w:r w:rsidR="00D1735E">
        <w:t xml:space="preserve"> </w:t>
      </w:r>
      <w:r>
        <w:t>Regular follow-up to determine whether treatments are successful and what should be done next. Evaluation is one of the most critical components of an IPM plan.</w:t>
      </w:r>
    </w:p>
    <w:p w14:paraId="32C3F7E8" w14:textId="7853BCEB" w:rsidR="004451D0" w:rsidRDefault="004451D0" w:rsidP="00203F2A">
      <w:pPr>
        <w:pStyle w:val="NoSpacing"/>
        <w:jc w:val="both"/>
      </w:pPr>
    </w:p>
    <w:p w14:paraId="754B0CF9" w14:textId="0186456B" w:rsidR="00353AE7" w:rsidRDefault="00353AE7" w:rsidP="00203F2A">
      <w:pPr>
        <w:pStyle w:val="NoSpacing"/>
        <w:jc w:val="both"/>
      </w:pPr>
      <w:r>
        <w:t>In a project that involve</w:t>
      </w:r>
      <w:r w:rsidR="004037CB">
        <w:t>s</w:t>
      </w:r>
      <w:r>
        <w:t xml:space="preserve"> pest management, the Bank assesses the capacity of the country's regulatory framework and institution</w:t>
      </w:r>
      <w:r w:rsidR="006F4F94">
        <w:t>al capacity on IPM</w:t>
      </w:r>
      <w:r w:rsidR="004037CB">
        <w:t xml:space="preserve"> and may </w:t>
      </w:r>
      <w:r>
        <w:t>incorporate in the project components to strengthen such capacity.</w:t>
      </w:r>
      <w:r w:rsidR="006F4F94">
        <w:t xml:space="preserve"> </w:t>
      </w:r>
      <w:r w:rsidR="006F4F94" w:rsidRPr="004037CB">
        <w:rPr>
          <w:b/>
        </w:rPr>
        <w:t xml:space="preserve">In Suriname, where the regulatory framework is weak and IPM related knowledge is only limited </w:t>
      </w:r>
      <w:r w:rsidR="00FF7E22" w:rsidRPr="004037CB">
        <w:rPr>
          <w:b/>
        </w:rPr>
        <w:t>available</w:t>
      </w:r>
      <w:r w:rsidR="006F4F94" w:rsidRPr="004037CB">
        <w:rPr>
          <w:b/>
        </w:rPr>
        <w:t xml:space="preserve">, capacity building as </w:t>
      </w:r>
      <w:r w:rsidR="00FF7E22" w:rsidRPr="004037CB">
        <w:rPr>
          <w:b/>
        </w:rPr>
        <w:t>is of utmost importance.</w:t>
      </w:r>
      <w:r w:rsidR="00FF7E22">
        <w:t xml:space="preserve"> Additional to </w:t>
      </w:r>
      <w:r w:rsidR="001457CD">
        <w:t>M</w:t>
      </w:r>
      <w:r w:rsidR="00B705DA">
        <w:t>AAF</w:t>
      </w:r>
      <w:r w:rsidR="00FF7E22">
        <w:t xml:space="preserve">, NIMOS and </w:t>
      </w:r>
      <w:r w:rsidR="00190610">
        <w:t>SCSD</w:t>
      </w:r>
      <w:r w:rsidR="00FF7E22">
        <w:t xml:space="preserve"> PIU officers, awareness and capacity building in the adoption and use of IPM should also become available for targeted SMEs in agriculture and other stakeholders.</w:t>
      </w:r>
      <w:r w:rsidR="004037CB">
        <w:t xml:space="preserve"> Capacity</w:t>
      </w:r>
      <w:r w:rsidR="00FF7E22">
        <w:t xml:space="preserve"> support to Suriname t</w:t>
      </w:r>
      <w:r>
        <w:t xml:space="preserve">o assess pest management </w:t>
      </w:r>
      <w:r w:rsidR="00FF7E22">
        <w:t xml:space="preserve">and </w:t>
      </w:r>
      <w:r>
        <w:t xml:space="preserve">support </w:t>
      </w:r>
      <w:r w:rsidR="00FF7E22">
        <w:t xml:space="preserve">IPM </w:t>
      </w:r>
      <w:r>
        <w:t>and the safe use of agricultural pesticides</w:t>
      </w:r>
      <w:r w:rsidR="00FF7E22">
        <w:t xml:space="preserve"> should include </w:t>
      </w:r>
      <w:r>
        <w:t xml:space="preserve">components </w:t>
      </w:r>
      <w:r w:rsidR="004037CB">
        <w:t xml:space="preserve">aiming at </w:t>
      </w:r>
      <w:r>
        <w:t>the adoption and use of IPM</w:t>
      </w:r>
      <w:r w:rsidR="00B64ABB">
        <w:t>: the design of IPM plans</w:t>
      </w:r>
      <w:r w:rsidR="004037CB">
        <w:t xml:space="preserve">, including its </w:t>
      </w:r>
      <w:r w:rsidR="00B64ABB">
        <w:t>implementation, monitoring and evaluation</w:t>
      </w:r>
      <w:r w:rsidR="004037CB">
        <w:t>,</w:t>
      </w:r>
      <w:r w:rsidR="00B64ABB">
        <w:t xml:space="preserve"> to safeguard sustainable agricultural practices under the </w:t>
      </w:r>
      <w:r w:rsidR="00190610">
        <w:t>SCSD</w:t>
      </w:r>
      <w:r w:rsidR="00B64ABB">
        <w:t xml:space="preserve"> Project.</w:t>
      </w:r>
    </w:p>
    <w:p w14:paraId="6F359263" w14:textId="28006ADE" w:rsidR="000A0472" w:rsidRDefault="00BE4ABD" w:rsidP="00203F2A">
      <w:pPr>
        <w:pStyle w:val="NoSpacing"/>
        <w:jc w:val="both"/>
      </w:pPr>
      <w:r>
        <w:rPr>
          <w:noProof/>
          <w:lang w:val="en-US"/>
        </w:rPr>
        <mc:AlternateContent>
          <mc:Choice Requires="wps">
            <w:drawing>
              <wp:anchor distT="45720" distB="45720" distL="114300" distR="114300" simplePos="0" relativeHeight="251672576" behindDoc="1" locked="0" layoutInCell="1" allowOverlap="1" wp14:anchorId="2081A3A3" wp14:editId="5D5E1FD9">
                <wp:simplePos x="0" y="0"/>
                <wp:positionH relativeFrom="margin">
                  <wp:posOffset>-285750</wp:posOffset>
                </wp:positionH>
                <wp:positionV relativeFrom="paragraph">
                  <wp:posOffset>244475</wp:posOffset>
                </wp:positionV>
                <wp:extent cx="6200775" cy="4857750"/>
                <wp:effectExtent l="0" t="0" r="28575" b="19050"/>
                <wp:wrapTight wrapText="bothSides">
                  <wp:wrapPolygon edited="0">
                    <wp:start x="0" y="0"/>
                    <wp:lineTo x="0" y="21600"/>
                    <wp:lineTo x="21633" y="21600"/>
                    <wp:lineTo x="21633"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857750"/>
                        </a:xfrm>
                        <a:prstGeom prst="rect">
                          <a:avLst/>
                        </a:prstGeom>
                        <a:solidFill>
                          <a:srgbClr val="FFFFFF"/>
                        </a:solidFill>
                        <a:ln w="9525">
                          <a:solidFill>
                            <a:srgbClr val="000000"/>
                          </a:solidFill>
                          <a:miter lim="800000"/>
                          <a:headEnd/>
                          <a:tailEnd/>
                        </a:ln>
                      </wps:spPr>
                      <wps:txbx>
                        <w:txbxContent>
                          <w:p w14:paraId="1A4031FB" w14:textId="73E8C120" w:rsidR="00FD7791" w:rsidRPr="00115B0D" w:rsidRDefault="00FD7791" w:rsidP="007656ED">
                            <w:pPr>
                              <w:pStyle w:val="NoSpacing"/>
                              <w:rPr>
                                <w:b/>
                              </w:rPr>
                            </w:pPr>
                            <w:r w:rsidRPr="00115B0D">
                              <w:rPr>
                                <w:b/>
                              </w:rPr>
                              <w:t>According to the IPM principles, the use of highly hazardous pesticides should be avoided at any time, particularly by uncertified, untrained or inadequately equipped users. This includes:</w:t>
                            </w:r>
                          </w:p>
                          <w:p w14:paraId="4345E5E8" w14:textId="77777777" w:rsidR="00FD7791" w:rsidRPr="007656ED" w:rsidRDefault="00FD7791" w:rsidP="007656ED">
                            <w:pPr>
                              <w:pStyle w:val="NoSpacing"/>
                            </w:pPr>
                          </w:p>
                          <w:p w14:paraId="2BCA2202" w14:textId="77777777" w:rsidR="00FD7791" w:rsidRDefault="00FD7791" w:rsidP="00712A85">
                            <w:pPr>
                              <w:pStyle w:val="NoSpacing"/>
                              <w:numPr>
                                <w:ilvl w:val="0"/>
                                <w:numId w:val="31"/>
                              </w:numPr>
                            </w:pPr>
                            <w:r w:rsidRPr="007656ED">
                              <w:t>Pesticides that fall under the World Health Organization Recommended Classification of Pesticides by Hazard Classes 1a and 1b should be avoided in almost all cases, to be used only when no practical alternatives are available and where the handling and use of the products will be done in accordance with national laws by certified personnel in conjunction with health and environmental exposure monitoring;</w:t>
                            </w:r>
                          </w:p>
                          <w:p w14:paraId="04876692" w14:textId="77777777" w:rsidR="00FD7791" w:rsidRDefault="00FD7791" w:rsidP="00712A85">
                            <w:pPr>
                              <w:pStyle w:val="NoSpacing"/>
                              <w:numPr>
                                <w:ilvl w:val="0"/>
                                <w:numId w:val="31"/>
                              </w:numPr>
                            </w:pPr>
                            <w:r w:rsidRPr="007656ED">
                              <w:t>Pesticides that fall under the World Health Organization Recommended Classification of Pesticides by Hazard Class II should be avoided if the project host country lacks restrictions on distribution and use of these chemicals, or if they are likely to be accessible to personnel without proper training, equipment, and facilities to handle, store, apply, and dispose of these products properly;</w:t>
                            </w:r>
                          </w:p>
                          <w:p w14:paraId="59769939" w14:textId="77777777" w:rsidR="00FD7791" w:rsidRDefault="00FD7791" w:rsidP="00712A85">
                            <w:pPr>
                              <w:pStyle w:val="NoSpacing"/>
                              <w:numPr>
                                <w:ilvl w:val="0"/>
                                <w:numId w:val="31"/>
                              </w:numPr>
                            </w:pPr>
                            <w:r w:rsidRPr="007656ED">
                              <w:t>Avoid the use of pesticides listed in Annexes A and B of the Stockholm Convention, except under the conditions noted in the convention and those subject to international bans or phaseouts;</w:t>
                            </w:r>
                          </w:p>
                          <w:p w14:paraId="35E103AA" w14:textId="77777777" w:rsidR="00FD7791" w:rsidRDefault="00FD7791" w:rsidP="00712A85">
                            <w:pPr>
                              <w:pStyle w:val="NoSpacing"/>
                              <w:numPr>
                                <w:ilvl w:val="0"/>
                                <w:numId w:val="31"/>
                              </w:numPr>
                            </w:pPr>
                            <w:r w:rsidRPr="007656ED">
                              <w:t>Use only pesticides that are manufactured under license and registered and approved by the appropriate authority and in accordance with the Food and Agriculture Organization’s (FAO’s) International Code of Conduct on the Distribution and Use of Pesticides;</w:t>
                            </w:r>
                          </w:p>
                          <w:p w14:paraId="14565013" w14:textId="77777777" w:rsidR="00FD7791" w:rsidRDefault="00FD7791" w:rsidP="00712A85">
                            <w:pPr>
                              <w:pStyle w:val="NoSpacing"/>
                              <w:numPr>
                                <w:ilvl w:val="0"/>
                                <w:numId w:val="31"/>
                              </w:numPr>
                            </w:pPr>
                            <w:r w:rsidRPr="007656ED">
                              <w:t>Use only pesticides that are labelled in accordance with international standards and norms, such as the FAO’s Revised Guidelines for Good Labelling Practice for Pesticides;</w:t>
                            </w:r>
                          </w:p>
                          <w:p w14:paraId="4E4AAF09" w14:textId="77777777" w:rsidR="00FD7791" w:rsidRDefault="00FD7791" w:rsidP="00712A85">
                            <w:pPr>
                              <w:pStyle w:val="NoSpacing"/>
                              <w:numPr>
                                <w:ilvl w:val="0"/>
                                <w:numId w:val="31"/>
                              </w:numPr>
                            </w:pPr>
                            <w:r w:rsidRPr="007656ED">
                              <w:t>Select application technologies and practices designed to reduce unintentional drift or runoff only as indicated in an IPM p</w:t>
                            </w:r>
                            <w:r>
                              <w:t>rogra</w:t>
                            </w:r>
                            <w:r w:rsidRPr="007656ED">
                              <w:t>m, and under controlled conditions;</w:t>
                            </w:r>
                          </w:p>
                          <w:p w14:paraId="2229C6B6" w14:textId="77777777" w:rsidR="00FD7791" w:rsidRDefault="00FD7791" w:rsidP="00712A85">
                            <w:pPr>
                              <w:pStyle w:val="NoSpacing"/>
                              <w:numPr>
                                <w:ilvl w:val="0"/>
                                <w:numId w:val="31"/>
                              </w:numPr>
                            </w:pPr>
                            <w:r w:rsidRPr="007656ED">
                              <w:t>Maintain and calibrate pesticide application equipment in accordance with manufacturer’s recommendations. Use application equipment that is registered in the country of use;</w:t>
                            </w:r>
                          </w:p>
                          <w:p w14:paraId="6284B362" w14:textId="77777777" w:rsidR="00FD7791" w:rsidRDefault="00FD7791" w:rsidP="00712A85">
                            <w:pPr>
                              <w:pStyle w:val="NoSpacing"/>
                              <w:numPr>
                                <w:ilvl w:val="0"/>
                                <w:numId w:val="31"/>
                              </w:numPr>
                            </w:pPr>
                            <w:r w:rsidRPr="007656ED">
                              <w:t>Establish untreated buffer zones or strips along water sources, rivers, streams, ponds, lakes, and ditches to help protect water resources;</w:t>
                            </w:r>
                          </w:p>
                          <w:p w14:paraId="0465D6D7" w14:textId="4E7E68BB" w:rsidR="00FD7791" w:rsidRPr="007656ED" w:rsidRDefault="00FD7791" w:rsidP="00712A85">
                            <w:pPr>
                              <w:pStyle w:val="NoSpacing"/>
                              <w:numPr>
                                <w:ilvl w:val="0"/>
                                <w:numId w:val="31"/>
                              </w:numPr>
                            </w:pPr>
                            <w:r w:rsidRPr="007656ED">
                              <w:t>Avoid use of pesticides that have been linked to localized environmental problems and threats.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1A3A3" id="_x0000_s1027" type="#_x0000_t202" style="position:absolute;left:0;text-align:left;margin-left:-22.5pt;margin-top:19.25pt;width:488.25pt;height:382.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">
                <v:textbox>
                  <w:txbxContent>
                    <w:p w14:paraId="1A4031FB" w14:textId="73E8C120" w:rsidR="00FD7791" w:rsidRPr="00115B0D" w:rsidRDefault="00FD7791" w:rsidP="007656ED">
                      <w:pPr>
                        <w:pStyle w:val="NoSpacing"/>
                        <w:rPr>
                          <w:b/>
                        </w:rPr>
                      </w:pPr>
                      <w:r w:rsidRPr="00115B0D">
                        <w:rPr>
                          <w:b/>
                        </w:rPr>
                        <w:t>According to the IPM principles, the use of highly hazardous pesticides should be avoided at any time, particularly by uncertified, untrained or inadequately equipped users. This includes:</w:t>
                      </w:r>
                    </w:p>
                    <w:p w14:paraId="4345E5E8" w14:textId="77777777" w:rsidR="00FD7791" w:rsidRPr="007656ED" w:rsidRDefault="00FD7791" w:rsidP="007656ED">
                      <w:pPr>
                        <w:pStyle w:val="NoSpacing"/>
                      </w:pPr>
                    </w:p>
                    <w:p w14:paraId="2BCA2202" w14:textId="77777777" w:rsidR="00FD7791" w:rsidRDefault="00FD7791" w:rsidP="00712A85">
                      <w:pPr>
                        <w:pStyle w:val="NoSpacing"/>
                        <w:numPr>
                          <w:ilvl w:val="0"/>
                          <w:numId w:val="31"/>
                        </w:numPr>
                      </w:pPr>
                      <w:r w:rsidRPr="007656ED">
                        <w:t>Pesticides that fall under the World Health Organization Recommended Classification of Pesticides by Hazard Classes 1a and 1b should be avoided in almost all cases, to be used only when no practical alternatives are available and where the handling and use of the products will be done in accordance with national laws by certified personnel in conjunction with health and environmental exposure monitoring;</w:t>
                      </w:r>
                    </w:p>
                    <w:p w14:paraId="04876692" w14:textId="77777777" w:rsidR="00FD7791" w:rsidRDefault="00FD7791" w:rsidP="00712A85">
                      <w:pPr>
                        <w:pStyle w:val="NoSpacing"/>
                        <w:numPr>
                          <w:ilvl w:val="0"/>
                          <w:numId w:val="31"/>
                        </w:numPr>
                      </w:pPr>
                      <w:r w:rsidRPr="007656ED">
                        <w:t>Pesticides that fall under the World Health Organization Recommended Classification of Pesticides by Hazard Class II should be avoided if the project host country lacks restrictions on distribution and use of these chemicals, or if they are likely to be accessible to personnel without proper training, equipment, and facilities to handle, store, apply, and dispose of these products properly;</w:t>
                      </w:r>
                    </w:p>
                    <w:p w14:paraId="59769939" w14:textId="77777777" w:rsidR="00FD7791" w:rsidRDefault="00FD7791" w:rsidP="00712A85">
                      <w:pPr>
                        <w:pStyle w:val="NoSpacing"/>
                        <w:numPr>
                          <w:ilvl w:val="0"/>
                          <w:numId w:val="31"/>
                        </w:numPr>
                      </w:pPr>
                      <w:r w:rsidRPr="007656ED">
                        <w:t>Avoid the use of pesticides listed in Annexes A and B of the Stockholm Convention, except under the conditions noted in the convention and those subject to international bans or phaseouts;</w:t>
                      </w:r>
                    </w:p>
                    <w:p w14:paraId="35E103AA" w14:textId="77777777" w:rsidR="00FD7791" w:rsidRDefault="00FD7791" w:rsidP="00712A85">
                      <w:pPr>
                        <w:pStyle w:val="NoSpacing"/>
                        <w:numPr>
                          <w:ilvl w:val="0"/>
                          <w:numId w:val="31"/>
                        </w:numPr>
                      </w:pPr>
                      <w:r w:rsidRPr="007656ED">
                        <w:t>Use only pesticides that are manufactured under license and registered and approved by the appropriate authority and in accordance with the Food and Agriculture Organization’s (FAO’s) International Code of Conduct on the Distribution and Use of Pesticides;</w:t>
                      </w:r>
                    </w:p>
                    <w:p w14:paraId="14565013" w14:textId="77777777" w:rsidR="00FD7791" w:rsidRDefault="00FD7791" w:rsidP="00712A85">
                      <w:pPr>
                        <w:pStyle w:val="NoSpacing"/>
                        <w:numPr>
                          <w:ilvl w:val="0"/>
                          <w:numId w:val="31"/>
                        </w:numPr>
                      </w:pPr>
                      <w:r w:rsidRPr="007656ED">
                        <w:t>Use only pesticides that are labelled in accordance with international standards and norms, such as the FAO’s Revised Guidelines for Good Labelling Practice for Pesticides;</w:t>
                      </w:r>
                    </w:p>
                    <w:p w14:paraId="4E4AAF09" w14:textId="77777777" w:rsidR="00FD7791" w:rsidRDefault="00FD7791" w:rsidP="00712A85">
                      <w:pPr>
                        <w:pStyle w:val="NoSpacing"/>
                        <w:numPr>
                          <w:ilvl w:val="0"/>
                          <w:numId w:val="31"/>
                        </w:numPr>
                      </w:pPr>
                      <w:r w:rsidRPr="007656ED">
                        <w:t>Select application technologies and practices designed to reduce unintentional drift or runoff only as indicated in an IPM p</w:t>
                      </w:r>
                      <w:r>
                        <w:t>rogra</w:t>
                      </w:r>
                      <w:r w:rsidRPr="007656ED">
                        <w:t>m, and under controlled conditions;</w:t>
                      </w:r>
                    </w:p>
                    <w:p w14:paraId="2229C6B6" w14:textId="77777777" w:rsidR="00FD7791" w:rsidRDefault="00FD7791" w:rsidP="00712A85">
                      <w:pPr>
                        <w:pStyle w:val="NoSpacing"/>
                        <w:numPr>
                          <w:ilvl w:val="0"/>
                          <w:numId w:val="31"/>
                        </w:numPr>
                      </w:pPr>
                      <w:r w:rsidRPr="007656ED">
                        <w:t>Maintain and calibrate pesticide application equipment in accordance with manufacturer’s recommendations. Use application equipment that is registered in the country of use;</w:t>
                      </w:r>
                    </w:p>
                    <w:p w14:paraId="6284B362" w14:textId="77777777" w:rsidR="00FD7791" w:rsidRDefault="00FD7791" w:rsidP="00712A85">
                      <w:pPr>
                        <w:pStyle w:val="NoSpacing"/>
                        <w:numPr>
                          <w:ilvl w:val="0"/>
                          <w:numId w:val="31"/>
                        </w:numPr>
                      </w:pPr>
                      <w:r w:rsidRPr="007656ED">
                        <w:t>Establish untreated buffer zones or strips along water sources, rivers, streams, ponds, lakes, and ditches to help protect water resources;</w:t>
                      </w:r>
                    </w:p>
                    <w:p w14:paraId="0465D6D7" w14:textId="4E7E68BB" w:rsidR="00FD7791" w:rsidRPr="007656ED" w:rsidRDefault="00FD7791" w:rsidP="00712A85">
                      <w:pPr>
                        <w:pStyle w:val="NoSpacing"/>
                        <w:numPr>
                          <w:ilvl w:val="0"/>
                          <w:numId w:val="31"/>
                        </w:numPr>
                      </w:pPr>
                      <w:r w:rsidRPr="007656ED">
                        <w:t>Avoid use of pesticides that have been linked to localized environmental problems and threats.</w:t>
                      </w:r>
                    </w:p>
                  </w:txbxContent>
                </v:textbox>
                <w10:wrap type="tight" anchorx="margin"/>
              </v:shape>
            </w:pict>
          </mc:Fallback>
        </mc:AlternateContent>
      </w:r>
    </w:p>
    <w:p w14:paraId="4815C794" w14:textId="77777777" w:rsidR="00BE4ABD" w:rsidRDefault="00BE4ABD" w:rsidP="00203F2A">
      <w:pPr>
        <w:jc w:val="both"/>
        <w:rPr>
          <w:highlight w:val="yellow"/>
        </w:rPr>
      </w:pPr>
    </w:p>
    <w:p w14:paraId="7DBEF579" w14:textId="123F2897" w:rsidR="000A0472" w:rsidRDefault="000A0472" w:rsidP="00203F2A">
      <w:pPr>
        <w:jc w:val="both"/>
        <w:rPr>
          <w:highlight w:val="yellow"/>
        </w:rPr>
      </w:pPr>
      <w:r>
        <w:rPr>
          <w:highlight w:val="yellow"/>
        </w:rPr>
        <w:br w:type="page"/>
      </w:r>
    </w:p>
    <w:p w14:paraId="34B7DEFC" w14:textId="77777777" w:rsidR="00D4601D" w:rsidRPr="00A70CE4" w:rsidRDefault="00D4601D" w:rsidP="00203F2A">
      <w:pPr>
        <w:keepNext/>
        <w:keepLines/>
        <w:spacing w:before="240" w:after="0"/>
        <w:jc w:val="both"/>
        <w:outlineLvl w:val="0"/>
        <w:rPr>
          <w:rFonts w:asciiTheme="majorHAnsi" w:eastAsiaTheme="majorEastAsia" w:hAnsiTheme="majorHAnsi" w:cstheme="majorBidi"/>
          <w:b/>
          <w:color w:val="2F5496" w:themeColor="accent1" w:themeShade="BF"/>
          <w:sz w:val="32"/>
          <w:szCs w:val="32"/>
        </w:rPr>
      </w:pPr>
      <w:bookmarkStart w:id="46" w:name="_Toc531965024"/>
      <w:r w:rsidRPr="00A70CE4">
        <w:rPr>
          <w:rFonts w:asciiTheme="majorHAnsi" w:eastAsiaTheme="majorEastAsia" w:hAnsiTheme="majorHAnsi" w:cstheme="majorBidi"/>
          <w:b/>
          <w:color w:val="2F5496" w:themeColor="accent1" w:themeShade="BF"/>
          <w:sz w:val="32"/>
          <w:szCs w:val="32"/>
        </w:rPr>
        <w:t xml:space="preserve">Section 9 </w:t>
      </w:r>
      <w:r w:rsidRPr="00A70CE4">
        <w:rPr>
          <w:rFonts w:asciiTheme="majorHAnsi" w:eastAsiaTheme="majorEastAsia" w:hAnsiTheme="majorHAnsi" w:cstheme="majorBidi"/>
          <w:b/>
          <w:color w:val="2F5496" w:themeColor="accent1" w:themeShade="BF"/>
          <w:sz w:val="32"/>
          <w:szCs w:val="32"/>
        </w:rPr>
        <w:tab/>
        <w:t>Capacity Assessment</w:t>
      </w:r>
      <w:bookmarkEnd w:id="46"/>
    </w:p>
    <w:p w14:paraId="0CF23980" w14:textId="77777777" w:rsidR="00D4601D" w:rsidRPr="00DC2FB3" w:rsidRDefault="00D4601D" w:rsidP="00203F2A">
      <w:pPr>
        <w:spacing w:after="0" w:line="240" w:lineRule="auto"/>
        <w:jc w:val="both"/>
      </w:pPr>
    </w:p>
    <w:p w14:paraId="2FB24AD8" w14:textId="6CD36F0E" w:rsidR="00110E69" w:rsidRDefault="00085A08" w:rsidP="00203F2A">
      <w:pPr>
        <w:spacing w:after="0" w:line="240" w:lineRule="auto"/>
        <w:jc w:val="both"/>
      </w:pPr>
      <w:r w:rsidRPr="00085A08">
        <w:rPr>
          <w:b/>
        </w:rPr>
        <w:t xml:space="preserve">MNR and MTIT do not have departments specifically dealing with environmental and social impact issues. As implementing agencies, within the scope of the </w:t>
      </w:r>
      <w:r w:rsidR="00190610">
        <w:rPr>
          <w:b/>
        </w:rPr>
        <w:t>SCSD</w:t>
      </w:r>
      <w:r w:rsidRPr="00085A08">
        <w:rPr>
          <w:b/>
        </w:rPr>
        <w:t xml:space="preserve"> Project these capacities therefore need to be developed, and a functional system of environmental and social management needs to be established in the future </w:t>
      </w:r>
      <w:r w:rsidR="00190610">
        <w:rPr>
          <w:b/>
        </w:rPr>
        <w:t>SCSD</w:t>
      </w:r>
      <w:r w:rsidRPr="00085A08">
        <w:rPr>
          <w:b/>
        </w:rPr>
        <w:t xml:space="preserve"> Project Implementation Units (PIUs).</w:t>
      </w:r>
      <w:r>
        <w:rPr>
          <w:b/>
        </w:rPr>
        <w:t xml:space="preserve"> </w:t>
      </w:r>
      <w:r>
        <w:t>This will include</w:t>
      </w:r>
      <w:r w:rsidRPr="00DC2FB3">
        <w:t xml:space="preserve"> the hiring / designation of both a social and an environmental expert to screen sub-project applications, identify social and environmental impacts, and report on them as needed. </w:t>
      </w:r>
      <w:r w:rsidR="00721B2E">
        <w:t>The roles and responsibilities of these experts</w:t>
      </w:r>
      <w:r w:rsidR="00110E69">
        <w:t xml:space="preserve">, the PIU’s Safeguards Team, are in extent described in section 7 of this document. </w:t>
      </w:r>
    </w:p>
    <w:p w14:paraId="6FCE7B24" w14:textId="57DDABBA" w:rsidR="00110E69" w:rsidRDefault="00085A08" w:rsidP="00203F2A">
      <w:pPr>
        <w:spacing w:after="0" w:line="240" w:lineRule="auto"/>
        <w:jc w:val="both"/>
      </w:pPr>
      <w:r w:rsidRPr="00DC2FB3">
        <w:t>Additional to this, the PIU</w:t>
      </w:r>
      <w:r>
        <w:t>s</w:t>
      </w:r>
      <w:r w:rsidRPr="00DC2FB3">
        <w:t xml:space="preserve"> may also consider contract</w:t>
      </w:r>
      <w:r>
        <w:t>ing</w:t>
      </w:r>
      <w:r w:rsidRPr="00DC2FB3">
        <w:t xml:space="preserve"> one or more E&amp;S junior </w:t>
      </w:r>
      <w:r>
        <w:t xml:space="preserve">specialists </w:t>
      </w:r>
      <w:r w:rsidRPr="00DC2FB3">
        <w:t xml:space="preserve">to support the implementation of the ESMF as required, and who will closely cooperate with </w:t>
      </w:r>
      <w:r w:rsidR="00190610">
        <w:t>SCSD</w:t>
      </w:r>
      <w:r w:rsidRPr="00DC2FB3">
        <w:t xml:space="preserve"> grant applicants (both public and private) to provide support in the grant application procedure. Furthermore, the PIU</w:t>
      </w:r>
      <w:r>
        <w:t>s</w:t>
      </w:r>
      <w:r w:rsidRPr="00DC2FB3">
        <w:t xml:space="preserve"> will consider </w:t>
      </w:r>
      <w:r>
        <w:t xml:space="preserve">hiring </w:t>
      </w:r>
      <w:r w:rsidRPr="00DC2FB3">
        <w:t>a qualified consultation expert - as required - to support and oversee the public consultation processes at the sub-project level.</w:t>
      </w:r>
      <w:r w:rsidR="009153E9">
        <w:t xml:space="preserve"> </w:t>
      </w:r>
      <w:r w:rsidR="00110E69">
        <w:t>All these positions are expected to be directly financed by the project, given the limited safeguards capacity in MNR and MTIT.</w:t>
      </w:r>
    </w:p>
    <w:p w14:paraId="012A7B89" w14:textId="77777777" w:rsidR="00085A08" w:rsidRDefault="00085A08" w:rsidP="00203F2A">
      <w:pPr>
        <w:spacing w:after="0" w:line="240" w:lineRule="auto"/>
        <w:jc w:val="both"/>
      </w:pPr>
    </w:p>
    <w:p w14:paraId="6FBC5CC2" w14:textId="0935E1F4" w:rsidR="00085A08" w:rsidRPr="00DC2FB3" w:rsidRDefault="00085A08" w:rsidP="00203F2A">
      <w:pPr>
        <w:spacing w:after="0" w:line="240" w:lineRule="auto"/>
        <w:jc w:val="both"/>
      </w:pPr>
      <w:r w:rsidRPr="00DC2FB3">
        <w:t xml:space="preserve">It is </w:t>
      </w:r>
      <w:r>
        <w:t xml:space="preserve">expected </w:t>
      </w:r>
      <w:r w:rsidRPr="00DC2FB3">
        <w:t>that the environmental and social expert</w:t>
      </w:r>
      <w:r>
        <w:t>s</w:t>
      </w:r>
      <w:r w:rsidRPr="00DC2FB3">
        <w:t xml:space="preserve"> </w:t>
      </w:r>
      <w:r>
        <w:t xml:space="preserve">could </w:t>
      </w:r>
      <w:r w:rsidRPr="00DC2FB3">
        <w:t>be</w:t>
      </w:r>
      <w:r w:rsidR="00110E69">
        <w:t xml:space="preserve"> employed /</w:t>
      </w:r>
      <w:r w:rsidRPr="00DC2FB3">
        <w:t xml:space="preserve"> hired at a 50% contract basis </w:t>
      </w:r>
      <w:r>
        <w:t xml:space="preserve">with flexible </w:t>
      </w:r>
      <w:r w:rsidRPr="00DC2FB3">
        <w:t xml:space="preserve">provision of services, depending the workload at various times. Contracting of the consultation expert will be based on ‘demand as required’. The </w:t>
      </w:r>
      <w:r w:rsidR="00110E69">
        <w:t xml:space="preserve">employment / </w:t>
      </w:r>
      <w:r w:rsidRPr="00DC2FB3">
        <w:t xml:space="preserve">hiring of one or more junior </w:t>
      </w:r>
      <w:r>
        <w:t xml:space="preserve">specialists </w:t>
      </w:r>
      <w:r w:rsidRPr="00DC2FB3">
        <w:t xml:space="preserve">to support grant applicants </w:t>
      </w:r>
      <w:r>
        <w:t>will be determined once project implementation is underway</w:t>
      </w:r>
      <w:r w:rsidRPr="00DC2FB3">
        <w:t>.</w:t>
      </w:r>
      <w:r>
        <w:t xml:space="preserve"> T</w:t>
      </w:r>
      <w:r w:rsidRPr="00DC2FB3">
        <w:t xml:space="preserve">o avoid ‘isolation’ when being stationed and working in one of these ministries, </w:t>
      </w:r>
      <w:r>
        <w:t xml:space="preserve">the relevant experts/specialists will need to </w:t>
      </w:r>
      <w:r w:rsidRPr="00DC2FB3">
        <w:t>closely work together with NIMOS staff</w:t>
      </w:r>
      <w:r>
        <w:t>, perhaps also including being based at least part time in NIMOS offices</w:t>
      </w:r>
      <w:r w:rsidRPr="00DC2FB3">
        <w:t xml:space="preserve">. </w:t>
      </w:r>
    </w:p>
    <w:p w14:paraId="37952515" w14:textId="77777777" w:rsidR="00085A08" w:rsidRDefault="00085A08" w:rsidP="00203F2A">
      <w:pPr>
        <w:spacing w:after="0" w:line="240" w:lineRule="auto"/>
        <w:jc w:val="both"/>
        <w:rPr>
          <w:b/>
        </w:rPr>
      </w:pPr>
    </w:p>
    <w:p w14:paraId="050617AE" w14:textId="2D32695C" w:rsidR="00D4601D" w:rsidRPr="00DC2FB3" w:rsidRDefault="00D4601D" w:rsidP="00203F2A">
      <w:pPr>
        <w:spacing w:after="0" w:line="240" w:lineRule="auto"/>
        <w:jc w:val="both"/>
      </w:pPr>
      <w:r w:rsidRPr="00B04E89">
        <w:rPr>
          <w:b/>
        </w:rPr>
        <w:t>The PIU Project staff</w:t>
      </w:r>
      <w:r w:rsidR="00110E69">
        <w:rPr>
          <w:b/>
        </w:rPr>
        <w:t xml:space="preserve"> including the members of the Safeguards Team</w:t>
      </w:r>
      <w:r w:rsidRPr="00B04E89">
        <w:rPr>
          <w:b/>
        </w:rPr>
        <w:t>, as well as appropriate counterparts from NIMOS and other relevant officers within the ministries of MTIT and MNR will undergo training on how to apply the ESMF and other safeguard frameworks.</w:t>
      </w:r>
      <w:r w:rsidRPr="00DC2FB3">
        <w:t xml:space="preserve"> </w:t>
      </w:r>
      <w:r>
        <w:t>T</w:t>
      </w:r>
      <w:r w:rsidRPr="00DC2FB3">
        <w:t xml:space="preserve">his training may already start before the </w:t>
      </w:r>
      <w:r w:rsidR="00190610">
        <w:t>SCSD</w:t>
      </w:r>
      <w:r w:rsidRPr="00DC2FB3">
        <w:t xml:space="preserve"> Project will be formally launched and put into practice. </w:t>
      </w:r>
      <w:r w:rsidR="00C132D6">
        <w:t xml:space="preserve">Direct training will be provided by the World Bank environmental and social specialists supervising the project. Additional training may be provided as well, the costs of which would be covered by the project. </w:t>
      </w:r>
      <w:r w:rsidRPr="00DC2FB3">
        <w:t xml:space="preserve">During Project implementation, the </w:t>
      </w:r>
      <w:r w:rsidR="00190610">
        <w:t>SCSD</w:t>
      </w:r>
      <w:r w:rsidRPr="00DC2FB3">
        <w:t xml:space="preserve"> grant awardees, which also includes SMEs and private entrepreneurs, will be sensitized to strengthen social and environmental awareness, aiming at a better understanding and acceptance of the use of these safeguard frameworks and the identification, implementation and monitoring of mitigation measures, including IPM where relevant. </w:t>
      </w:r>
    </w:p>
    <w:p w14:paraId="55C7305F" w14:textId="77777777" w:rsidR="00D4601D" w:rsidRPr="00DC2FB3" w:rsidRDefault="00D4601D" w:rsidP="00203F2A">
      <w:pPr>
        <w:spacing w:after="0" w:line="240" w:lineRule="auto"/>
        <w:jc w:val="both"/>
      </w:pPr>
    </w:p>
    <w:p w14:paraId="55979543" w14:textId="713AF917" w:rsidR="00D4601D" w:rsidRPr="00DC2FB3" w:rsidRDefault="00D4601D" w:rsidP="00203F2A">
      <w:pPr>
        <w:spacing w:after="0" w:line="240" w:lineRule="auto"/>
        <w:jc w:val="both"/>
      </w:pPr>
      <w:r w:rsidRPr="00DC2FB3">
        <w:t xml:space="preserve">This technical assistance, capacity building and sensitization may be provided in the following areas during further </w:t>
      </w:r>
      <w:r w:rsidR="00190610">
        <w:t>SCSD</w:t>
      </w:r>
      <w:r w:rsidRPr="00DC2FB3">
        <w:t xml:space="preserve"> Project design and outreach: </w:t>
      </w:r>
    </w:p>
    <w:p w14:paraId="334602A2" w14:textId="77777777" w:rsidR="00D4601D" w:rsidRPr="00DC2FB3" w:rsidRDefault="00D4601D" w:rsidP="00203F2A">
      <w:pPr>
        <w:spacing w:after="0" w:line="240" w:lineRule="auto"/>
        <w:jc w:val="both"/>
      </w:pPr>
    </w:p>
    <w:p w14:paraId="1FDFCBC8" w14:textId="77777777" w:rsidR="00D4601D" w:rsidRPr="00DC2FB3" w:rsidRDefault="00D4601D" w:rsidP="00203F2A">
      <w:pPr>
        <w:numPr>
          <w:ilvl w:val="0"/>
          <w:numId w:val="27"/>
        </w:numPr>
        <w:spacing w:after="0" w:line="240" w:lineRule="auto"/>
        <w:jc w:val="both"/>
      </w:pPr>
      <w:r w:rsidRPr="00DC2FB3">
        <w:t>Environmental and social impact screening process and using ESMF tools and checklists:</w:t>
      </w:r>
    </w:p>
    <w:p w14:paraId="679983B5" w14:textId="77777777" w:rsidR="00D4601D" w:rsidRPr="00DC2FB3" w:rsidRDefault="00D4601D" w:rsidP="00203F2A">
      <w:pPr>
        <w:numPr>
          <w:ilvl w:val="1"/>
          <w:numId w:val="27"/>
        </w:numPr>
        <w:spacing w:after="0" w:line="240" w:lineRule="auto"/>
        <w:jc w:val="both"/>
      </w:pPr>
      <w:r w:rsidRPr="00DC2FB3">
        <w:t>Screening process</w:t>
      </w:r>
    </w:p>
    <w:p w14:paraId="075E9E9C" w14:textId="77777777" w:rsidR="00D4601D" w:rsidRPr="00DC2FB3" w:rsidRDefault="00D4601D" w:rsidP="00203F2A">
      <w:pPr>
        <w:numPr>
          <w:ilvl w:val="1"/>
          <w:numId w:val="27"/>
        </w:numPr>
        <w:spacing w:after="0" w:line="240" w:lineRule="auto"/>
        <w:jc w:val="both"/>
      </w:pPr>
      <w:r w:rsidRPr="00DC2FB3">
        <w:t>Exclusion of high risk or ineligible project types</w:t>
      </w:r>
    </w:p>
    <w:p w14:paraId="53F770B5" w14:textId="77777777" w:rsidR="00D4601D" w:rsidRPr="00DC2FB3" w:rsidRDefault="00D4601D" w:rsidP="00203F2A">
      <w:pPr>
        <w:numPr>
          <w:ilvl w:val="1"/>
          <w:numId w:val="27"/>
        </w:numPr>
        <w:spacing w:after="0" w:line="240" w:lineRule="auto"/>
        <w:jc w:val="both"/>
      </w:pPr>
      <w:r w:rsidRPr="00DC2FB3">
        <w:t>Rationale for using Environmental and Social Checklists</w:t>
      </w:r>
    </w:p>
    <w:p w14:paraId="56ABA5C5" w14:textId="77777777" w:rsidR="00D4601D" w:rsidRPr="00DC2FB3" w:rsidRDefault="00D4601D" w:rsidP="00203F2A">
      <w:pPr>
        <w:numPr>
          <w:ilvl w:val="1"/>
          <w:numId w:val="27"/>
        </w:numPr>
        <w:spacing w:after="0" w:line="240" w:lineRule="auto"/>
        <w:jc w:val="both"/>
      </w:pPr>
      <w:r w:rsidRPr="00DC2FB3">
        <w:t xml:space="preserve">The importance of public consultations and participation of stakeholders and </w:t>
      </w:r>
      <w:proofErr w:type="gramStart"/>
      <w:r w:rsidRPr="00DC2FB3">
        <w:t>POPs  in</w:t>
      </w:r>
      <w:proofErr w:type="gramEnd"/>
      <w:r w:rsidRPr="00DC2FB3">
        <w:t xml:space="preserve"> the screening and planning process</w:t>
      </w:r>
    </w:p>
    <w:p w14:paraId="1203647D" w14:textId="77777777" w:rsidR="00D4601D" w:rsidRPr="00DC2FB3" w:rsidRDefault="00D4601D" w:rsidP="00203F2A">
      <w:pPr>
        <w:numPr>
          <w:ilvl w:val="1"/>
          <w:numId w:val="27"/>
        </w:numPr>
        <w:spacing w:after="0" w:line="240" w:lineRule="auto"/>
        <w:jc w:val="both"/>
      </w:pPr>
      <w:r w:rsidRPr="00DC2FB3">
        <w:t>How to monitor ESMF implementation</w:t>
      </w:r>
    </w:p>
    <w:p w14:paraId="2732D4CC" w14:textId="77777777" w:rsidR="00D4601D" w:rsidRPr="00DC2FB3" w:rsidRDefault="00D4601D" w:rsidP="00203F2A">
      <w:pPr>
        <w:numPr>
          <w:ilvl w:val="0"/>
          <w:numId w:val="27"/>
        </w:numPr>
        <w:spacing w:after="0" w:line="240" w:lineRule="auto"/>
        <w:jc w:val="both"/>
      </w:pPr>
      <w:r w:rsidRPr="00DC2FB3">
        <w:t>Safeguard policies, procedures and sectorial ‘good practice guidelines’:</w:t>
      </w:r>
    </w:p>
    <w:p w14:paraId="641A513A" w14:textId="77777777" w:rsidR="00D4601D" w:rsidRPr="00DC2FB3" w:rsidRDefault="00D4601D" w:rsidP="00203F2A">
      <w:pPr>
        <w:numPr>
          <w:ilvl w:val="1"/>
          <w:numId w:val="27"/>
        </w:numPr>
        <w:spacing w:after="0" w:line="240" w:lineRule="auto"/>
        <w:jc w:val="both"/>
      </w:pPr>
      <w:r w:rsidRPr="00DC2FB3">
        <w:t>Review and discussion of relevant environmental policies, procedures, and legislation</w:t>
      </w:r>
    </w:p>
    <w:p w14:paraId="60AB03F9" w14:textId="77777777" w:rsidR="00D4601D" w:rsidRPr="00DC2FB3" w:rsidRDefault="00D4601D" w:rsidP="00203F2A">
      <w:pPr>
        <w:numPr>
          <w:ilvl w:val="1"/>
          <w:numId w:val="27"/>
        </w:numPr>
        <w:spacing w:after="0" w:line="240" w:lineRule="auto"/>
        <w:jc w:val="both"/>
      </w:pPr>
      <w:r w:rsidRPr="00DC2FB3">
        <w:t>Review and discussion of the World Bank ’s safeguard policies and IFC Environmental Health and Safety Guidelines</w:t>
      </w:r>
    </w:p>
    <w:p w14:paraId="1BC4427F" w14:textId="77777777" w:rsidR="00D4601D" w:rsidRPr="00DC2FB3" w:rsidRDefault="00D4601D" w:rsidP="00203F2A">
      <w:pPr>
        <w:numPr>
          <w:ilvl w:val="0"/>
          <w:numId w:val="27"/>
        </w:numPr>
        <w:spacing w:after="0" w:line="240" w:lineRule="auto"/>
        <w:jc w:val="both"/>
      </w:pPr>
      <w:r w:rsidRPr="00DC2FB3">
        <w:t>Selected topics on environmental protection and social safeguards and IFC Environmental Health and Safety Guidelines for such topics as:</w:t>
      </w:r>
    </w:p>
    <w:p w14:paraId="5337D036" w14:textId="77777777" w:rsidR="00D4601D" w:rsidRPr="00DC2FB3" w:rsidRDefault="00D4601D" w:rsidP="00203F2A">
      <w:pPr>
        <w:numPr>
          <w:ilvl w:val="1"/>
          <w:numId w:val="27"/>
        </w:numPr>
        <w:spacing w:after="0" w:line="240" w:lineRule="auto"/>
        <w:jc w:val="both"/>
      </w:pPr>
      <w:r w:rsidRPr="00DC2FB3">
        <w:t>Air pollution / CO</w:t>
      </w:r>
      <w:r w:rsidRPr="00DC2FB3">
        <w:rPr>
          <w:vertAlign w:val="subscript"/>
        </w:rPr>
        <w:t>2</w:t>
      </w:r>
      <w:r w:rsidRPr="00DC2FB3">
        <w:t xml:space="preserve"> mitigation</w:t>
      </w:r>
    </w:p>
    <w:p w14:paraId="1F3B8BCC" w14:textId="77777777" w:rsidR="00D4601D" w:rsidRPr="00DC2FB3" w:rsidRDefault="00D4601D" w:rsidP="00203F2A">
      <w:pPr>
        <w:numPr>
          <w:ilvl w:val="1"/>
          <w:numId w:val="27"/>
        </w:numPr>
        <w:spacing w:after="0" w:line="240" w:lineRule="auto"/>
        <w:jc w:val="both"/>
      </w:pPr>
      <w:r w:rsidRPr="00DC2FB3">
        <w:t>Water: pesticides and toxic chemical mitigation</w:t>
      </w:r>
    </w:p>
    <w:p w14:paraId="4A6EE554" w14:textId="77777777" w:rsidR="00D4601D" w:rsidRPr="00DC2FB3" w:rsidRDefault="00D4601D" w:rsidP="00203F2A">
      <w:pPr>
        <w:numPr>
          <w:ilvl w:val="1"/>
          <w:numId w:val="27"/>
        </w:numPr>
        <w:spacing w:after="0" w:line="240" w:lineRule="auto"/>
        <w:jc w:val="both"/>
      </w:pPr>
      <w:r w:rsidRPr="00DC2FB3">
        <w:t>Soil pollution: pesticides and toxic chemical mitigation</w:t>
      </w:r>
    </w:p>
    <w:p w14:paraId="1B60A7A7" w14:textId="77777777" w:rsidR="00D4601D" w:rsidRPr="00DC2FB3" w:rsidRDefault="00D4601D" w:rsidP="00203F2A">
      <w:pPr>
        <w:numPr>
          <w:ilvl w:val="1"/>
          <w:numId w:val="27"/>
        </w:numPr>
        <w:spacing w:after="0" w:line="240" w:lineRule="auto"/>
        <w:jc w:val="both"/>
      </w:pPr>
      <w:r w:rsidRPr="00DC2FB3">
        <w:t>Health and Safety</w:t>
      </w:r>
    </w:p>
    <w:p w14:paraId="660C66DD" w14:textId="77777777" w:rsidR="00D4601D" w:rsidRPr="00DC2FB3" w:rsidRDefault="00D4601D" w:rsidP="00203F2A">
      <w:pPr>
        <w:numPr>
          <w:ilvl w:val="1"/>
          <w:numId w:val="27"/>
        </w:numPr>
        <w:spacing w:after="0" w:line="240" w:lineRule="auto"/>
        <w:jc w:val="both"/>
      </w:pPr>
      <w:r w:rsidRPr="00DC2FB3">
        <w:t>Waste management and disposal</w:t>
      </w:r>
    </w:p>
    <w:p w14:paraId="04D32B25" w14:textId="77777777" w:rsidR="00D4601D" w:rsidRPr="00DC2FB3" w:rsidRDefault="00D4601D" w:rsidP="00203F2A">
      <w:pPr>
        <w:numPr>
          <w:ilvl w:val="1"/>
          <w:numId w:val="27"/>
        </w:numPr>
        <w:spacing w:after="0" w:line="240" w:lineRule="auto"/>
        <w:jc w:val="both"/>
      </w:pPr>
      <w:r w:rsidRPr="00DC2FB3">
        <w:t>Natural resource utilization (e.g. NTFP)</w:t>
      </w:r>
    </w:p>
    <w:p w14:paraId="342ACB69" w14:textId="77777777" w:rsidR="00D4601D" w:rsidRPr="00DC2FB3" w:rsidRDefault="00D4601D" w:rsidP="00203F2A">
      <w:pPr>
        <w:spacing w:after="0" w:line="240" w:lineRule="auto"/>
        <w:jc w:val="both"/>
      </w:pPr>
    </w:p>
    <w:p w14:paraId="68CA51FC" w14:textId="164782F0" w:rsidR="00D4601D" w:rsidRPr="00DC2FB3" w:rsidRDefault="00D4601D" w:rsidP="00203F2A">
      <w:pPr>
        <w:spacing w:after="0" w:line="240" w:lineRule="auto"/>
        <w:jc w:val="both"/>
      </w:pPr>
      <w:r w:rsidRPr="00DC2FB3">
        <w:t xml:space="preserve">For the </w:t>
      </w:r>
      <w:r w:rsidR="00110E69">
        <w:t xml:space="preserve">employment / </w:t>
      </w:r>
      <w:r w:rsidRPr="00DC2FB3">
        <w:t xml:space="preserve">hiring of experts in support of the </w:t>
      </w:r>
      <w:r w:rsidR="00190610">
        <w:t>SCSD</w:t>
      </w:r>
      <w:r w:rsidRPr="00DC2FB3">
        <w:t xml:space="preserve"> Project implementation, the following minimum qualifications will be considered:</w:t>
      </w:r>
    </w:p>
    <w:p w14:paraId="34B81E65" w14:textId="77777777" w:rsidR="00D4601D" w:rsidRPr="00DC2FB3" w:rsidRDefault="00D4601D" w:rsidP="00203F2A">
      <w:pPr>
        <w:spacing w:after="0" w:line="240" w:lineRule="auto"/>
        <w:jc w:val="both"/>
      </w:pPr>
    </w:p>
    <w:p w14:paraId="1672C71C" w14:textId="77777777" w:rsidR="00D4601D" w:rsidRPr="00DC2FB3" w:rsidRDefault="00D4601D" w:rsidP="00203F2A">
      <w:pPr>
        <w:spacing w:after="0" w:line="240" w:lineRule="auto"/>
        <w:jc w:val="both"/>
        <w:rPr>
          <w:u w:val="single"/>
        </w:rPr>
      </w:pPr>
      <w:r w:rsidRPr="00DC2FB3">
        <w:rPr>
          <w:u w:val="single"/>
        </w:rPr>
        <w:t>Environmental expert:</w:t>
      </w:r>
    </w:p>
    <w:p w14:paraId="4C4D3C69" w14:textId="77777777" w:rsidR="00D4601D" w:rsidRPr="00DC2FB3" w:rsidRDefault="00D4601D" w:rsidP="00203F2A">
      <w:pPr>
        <w:spacing w:after="0" w:line="240" w:lineRule="auto"/>
        <w:jc w:val="both"/>
      </w:pPr>
      <w:r w:rsidRPr="00DC2FB3">
        <w:t xml:space="preserve">Graduate qualification in Environmental Science or Natural Resource Management with at least 5 years of experience in environmental and social impact assessment (ESIA) studies preferably related to SME development projects. The specialist should have demonstrated experience in elaboration of ESIA studies and Environment and Social Management Plans (ESMP), both in the coastal area of Suriname and in the country’s interior. Familiarity with World Bank </w:t>
      </w:r>
      <w:r>
        <w:t xml:space="preserve">or similar international </w:t>
      </w:r>
      <w:r w:rsidRPr="00DC2FB3">
        <w:t>environmental and social safeguards policies is a necessity.</w:t>
      </w:r>
    </w:p>
    <w:p w14:paraId="4A136DAC" w14:textId="77777777" w:rsidR="00D4601D" w:rsidRPr="00DC2FB3" w:rsidRDefault="00D4601D" w:rsidP="00203F2A">
      <w:pPr>
        <w:spacing w:after="0" w:line="240" w:lineRule="auto"/>
        <w:jc w:val="both"/>
      </w:pPr>
    </w:p>
    <w:p w14:paraId="66633E0B" w14:textId="77777777" w:rsidR="00D4601D" w:rsidRPr="00DC2FB3" w:rsidRDefault="00D4601D" w:rsidP="00203F2A">
      <w:pPr>
        <w:spacing w:after="0" w:line="240" w:lineRule="auto"/>
        <w:jc w:val="both"/>
        <w:rPr>
          <w:u w:val="single"/>
        </w:rPr>
      </w:pPr>
      <w:r w:rsidRPr="00DC2FB3">
        <w:rPr>
          <w:u w:val="single"/>
        </w:rPr>
        <w:t>Social expert:</w:t>
      </w:r>
    </w:p>
    <w:p w14:paraId="08500EAE" w14:textId="77777777" w:rsidR="00D4601D" w:rsidRPr="00DC2FB3" w:rsidRDefault="00D4601D" w:rsidP="00203F2A">
      <w:pPr>
        <w:spacing w:after="0" w:line="240" w:lineRule="auto"/>
        <w:jc w:val="both"/>
      </w:pPr>
      <w:r w:rsidRPr="00DC2FB3">
        <w:t xml:space="preserve">Graduate qualification in social sciences (anthropology, sociology, social work), with at least 5 years of experience in preparing and implementing social impact assessments, the implementation of mitigating measures and compensation plans, both in the coastal area of Suriname and the country’s interior. Familiarity with World Bank </w:t>
      </w:r>
      <w:r>
        <w:t xml:space="preserve">or similar international </w:t>
      </w:r>
      <w:r w:rsidRPr="00DC2FB3">
        <w:t xml:space="preserve">environmental and social safeguards policies is considered an asset.  </w:t>
      </w:r>
    </w:p>
    <w:p w14:paraId="024FE528" w14:textId="77777777" w:rsidR="00D4601D" w:rsidRPr="00DC2FB3" w:rsidRDefault="00D4601D" w:rsidP="00203F2A">
      <w:pPr>
        <w:spacing w:after="0" w:line="240" w:lineRule="auto"/>
        <w:jc w:val="both"/>
      </w:pPr>
    </w:p>
    <w:p w14:paraId="4E16EEFF" w14:textId="77777777" w:rsidR="00D4601D" w:rsidRPr="00DC2FB3" w:rsidRDefault="00D4601D" w:rsidP="00203F2A">
      <w:pPr>
        <w:spacing w:after="0" w:line="240" w:lineRule="auto"/>
        <w:jc w:val="both"/>
        <w:rPr>
          <w:u w:val="single"/>
        </w:rPr>
      </w:pPr>
      <w:r w:rsidRPr="00DC2FB3">
        <w:rPr>
          <w:u w:val="single"/>
        </w:rPr>
        <w:t>Public consultation and participation expert:</w:t>
      </w:r>
    </w:p>
    <w:p w14:paraId="60DB80B5" w14:textId="77777777" w:rsidR="00D4601D" w:rsidRPr="00DC2FB3" w:rsidRDefault="00D4601D" w:rsidP="00203F2A">
      <w:pPr>
        <w:spacing w:after="0" w:line="240" w:lineRule="auto"/>
        <w:jc w:val="both"/>
      </w:pPr>
      <w:r w:rsidRPr="00DC2FB3">
        <w:t xml:space="preserve">Graduate qualification in social sciences and/or public administration, with at least 10 years of experience in designing and implementing public/stakeholder consultation and participation processes throughout Suriname. </w:t>
      </w:r>
    </w:p>
    <w:p w14:paraId="5FE588F4" w14:textId="77777777" w:rsidR="00D4601D" w:rsidRPr="00DC2FB3" w:rsidRDefault="00D4601D" w:rsidP="00203F2A">
      <w:pPr>
        <w:spacing w:after="0" w:line="240" w:lineRule="auto"/>
        <w:jc w:val="both"/>
      </w:pPr>
    </w:p>
    <w:p w14:paraId="03C3D362" w14:textId="77777777" w:rsidR="00D4601D" w:rsidRPr="00DC2FB3" w:rsidRDefault="00D4601D" w:rsidP="00203F2A">
      <w:pPr>
        <w:spacing w:after="0" w:line="240" w:lineRule="auto"/>
        <w:jc w:val="both"/>
      </w:pPr>
      <w:proofErr w:type="gramStart"/>
      <w:r w:rsidRPr="00DC2FB3">
        <w:t>Additionally</w:t>
      </w:r>
      <w:proofErr w:type="gramEnd"/>
      <w:r w:rsidRPr="00DC2FB3">
        <w:t xml:space="preserve"> to all three positions, the following qualifications apply:</w:t>
      </w:r>
    </w:p>
    <w:p w14:paraId="0A9108CF" w14:textId="77777777" w:rsidR="00D4601D" w:rsidRPr="00DC2FB3" w:rsidRDefault="00D4601D" w:rsidP="00203F2A">
      <w:pPr>
        <w:numPr>
          <w:ilvl w:val="0"/>
          <w:numId w:val="32"/>
        </w:numPr>
        <w:spacing w:after="0" w:line="240" w:lineRule="auto"/>
        <w:jc w:val="both"/>
      </w:pPr>
      <w:r w:rsidRPr="00DC2FB3">
        <w:t xml:space="preserve">Proficiency in the Dutch language; </w:t>
      </w:r>
      <w:proofErr w:type="spellStart"/>
      <w:r w:rsidRPr="00DC2FB3">
        <w:t>Sranang</w:t>
      </w:r>
      <w:proofErr w:type="spellEnd"/>
      <w:r w:rsidRPr="00DC2FB3">
        <w:t xml:space="preserve"> </w:t>
      </w:r>
      <w:proofErr w:type="spellStart"/>
      <w:r w:rsidRPr="00DC2FB3">
        <w:t>tongo</w:t>
      </w:r>
      <w:proofErr w:type="spellEnd"/>
      <w:r w:rsidRPr="00DC2FB3">
        <w:t xml:space="preserve"> is considered an asset;</w:t>
      </w:r>
    </w:p>
    <w:p w14:paraId="790B9522" w14:textId="77777777" w:rsidR="00D4601D" w:rsidRPr="00DC2FB3" w:rsidRDefault="00D4601D" w:rsidP="00203F2A">
      <w:pPr>
        <w:numPr>
          <w:ilvl w:val="0"/>
          <w:numId w:val="32"/>
        </w:numPr>
        <w:spacing w:after="0" w:line="240" w:lineRule="auto"/>
        <w:jc w:val="both"/>
      </w:pPr>
      <w:r w:rsidRPr="00DC2FB3">
        <w:t>Proficiency in English (C1), both in speaking and writing;</w:t>
      </w:r>
    </w:p>
    <w:p w14:paraId="4C65326F" w14:textId="77777777" w:rsidR="00D4601D" w:rsidRPr="00DC2FB3" w:rsidRDefault="00D4601D" w:rsidP="00203F2A">
      <w:pPr>
        <w:numPr>
          <w:ilvl w:val="0"/>
          <w:numId w:val="32"/>
        </w:numPr>
        <w:spacing w:after="0" w:line="240" w:lineRule="auto"/>
        <w:jc w:val="both"/>
      </w:pPr>
      <w:r w:rsidRPr="00DC2FB3">
        <w:t>Advanced reporting skills;</w:t>
      </w:r>
    </w:p>
    <w:p w14:paraId="614CBA8B" w14:textId="77777777" w:rsidR="00D4601D" w:rsidRPr="00DC2FB3" w:rsidRDefault="00D4601D" w:rsidP="00203F2A">
      <w:pPr>
        <w:numPr>
          <w:ilvl w:val="0"/>
          <w:numId w:val="32"/>
        </w:numPr>
        <w:spacing w:after="0" w:line="240" w:lineRule="auto"/>
        <w:jc w:val="both"/>
      </w:pPr>
      <w:r w:rsidRPr="00DC2FB3">
        <w:t>Advanced skills in the use of computers and standard MS software.</w:t>
      </w:r>
    </w:p>
    <w:p w14:paraId="579D47C0" w14:textId="77777777" w:rsidR="00D4601D" w:rsidRPr="00DC2FB3" w:rsidRDefault="00D4601D" w:rsidP="00203F2A">
      <w:pPr>
        <w:spacing w:after="0" w:line="240" w:lineRule="auto"/>
        <w:jc w:val="both"/>
      </w:pPr>
    </w:p>
    <w:p w14:paraId="47D6881C" w14:textId="075B6423" w:rsidR="00D4601D" w:rsidRDefault="00D4601D" w:rsidP="00203F2A">
      <w:pPr>
        <w:spacing w:after="0" w:line="240" w:lineRule="auto"/>
        <w:jc w:val="both"/>
      </w:pPr>
      <w:r w:rsidRPr="00DC2FB3">
        <w:t>The position of social expert and participation expert might be covered by the same person.</w:t>
      </w:r>
    </w:p>
    <w:p w14:paraId="25361EBF" w14:textId="77777777" w:rsidR="00D4601D" w:rsidRPr="00DC2FB3" w:rsidRDefault="00D4601D" w:rsidP="00203F2A">
      <w:pPr>
        <w:spacing w:after="0" w:line="240" w:lineRule="auto"/>
        <w:jc w:val="both"/>
      </w:pPr>
    </w:p>
    <w:p w14:paraId="0C308194" w14:textId="28464BBF" w:rsidR="00D4601D" w:rsidRPr="00DC2FB3" w:rsidRDefault="00D4601D" w:rsidP="00203F2A">
      <w:pPr>
        <w:spacing w:after="0" w:line="240" w:lineRule="auto"/>
        <w:jc w:val="both"/>
      </w:pPr>
      <w:r w:rsidRPr="00DC2FB3">
        <w:br w:type="page"/>
      </w:r>
    </w:p>
    <w:p w14:paraId="3BE7B15B" w14:textId="77777777" w:rsidR="00D4601D" w:rsidRPr="00DC2FB3" w:rsidRDefault="00D4601D" w:rsidP="00203F2A">
      <w:pPr>
        <w:keepNext/>
        <w:keepLines/>
        <w:spacing w:before="240" w:after="0"/>
        <w:jc w:val="both"/>
        <w:outlineLvl w:val="0"/>
        <w:rPr>
          <w:rFonts w:asciiTheme="majorHAnsi" w:eastAsiaTheme="majorEastAsia" w:hAnsiTheme="majorHAnsi" w:cstheme="majorBidi"/>
          <w:b/>
          <w:color w:val="2F5496" w:themeColor="accent1" w:themeShade="BF"/>
          <w:sz w:val="32"/>
          <w:szCs w:val="32"/>
        </w:rPr>
      </w:pPr>
      <w:bookmarkStart w:id="47" w:name="_Toc531965025"/>
      <w:r w:rsidRPr="00DC2FB3">
        <w:rPr>
          <w:rFonts w:asciiTheme="majorHAnsi" w:eastAsiaTheme="majorEastAsia" w:hAnsiTheme="majorHAnsi" w:cstheme="majorBidi"/>
          <w:b/>
          <w:color w:val="2F5496" w:themeColor="accent1" w:themeShade="BF"/>
          <w:sz w:val="32"/>
          <w:szCs w:val="32"/>
        </w:rPr>
        <w:t xml:space="preserve">Section 10 </w:t>
      </w:r>
      <w:r w:rsidRPr="00DC2FB3">
        <w:rPr>
          <w:rFonts w:asciiTheme="majorHAnsi" w:eastAsiaTheme="majorEastAsia" w:hAnsiTheme="majorHAnsi" w:cstheme="majorBidi"/>
          <w:b/>
          <w:color w:val="2F5496" w:themeColor="accent1" w:themeShade="BF"/>
          <w:sz w:val="32"/>
          <w:szCs w:val="32"/>
        </w:rPr>
        <w:tab/>
        <w:t>Stakeholder Consultations</w:t>
      </w:r>
      <w:bookmarkEnd w:id="47"/>
    </w:p>
    <w:p w14:paraId="428BB871" w14:textId="77777777" w:rsidR="00D4601D" w:rsidRPr="00DC2FB3" w:rsidRDefault="00D4601D" w:rsidP="00203F2A">
      <w:pPr>
        <w:spacing w:after="0" w:line="240" w:lineRule="auto"/>
        <w:jc w:val="both"/>
      </w:pPr>
    </w:p>
    <w:p w14:paraId="052F8C5D" w14:textId="7F4E3B79" w:rsidR="00D4601D" w:rsidRPr="00DC2FB3" w:rsidRDefault="00D4601D" w:rsidP="00203F2A">
      <w:pPr>
        <w:spacing w:after="0" w:line="240" w:lineRule="auto"/>
        <w:jc w:val="both"/>
      </w:pPr>
      <w:r w:rsidRPr="00B83DF5">
        <w:rPr>
          <w:b/>
        </w:rPr>
        <w:t xml:space="preserve">Consultations are required to inform stakeholders about the </w:t>
      </w:r>
      <w:r w:rsidR="00190610">
        <w:rPr>
          <w:b/>
        </w:rPr>
        <w:t>SCSD</w:t>
      </w:r>
      <w:r w:rsidRPr="00B83DF5">
        <w:rPr>
          <w:b/>
        </w:rPr>
        <w:t xml:space="preserve"> Project, the identification of its potential social and environmental impacts and mitigation, and how to involve them in developing and implementing the Project solutions and mitigation measures. </w:t>
      </w:r>
      <w:r w:rsidRPr="00DC2FB3">
        <w:t>Effective consultation is a two-way process that is based on the prior disclosure and dissemination of relevant, transparent, objective, meaningful and easily accessible information</w:t>
      </w:r>
      <w:r w:rsidR="00C95A4F">
        <w:t xml:space="preserve"> </w:t>
      </w:r>
      <w:r w:rsidR="00C95A4F" w:rsidRPr="00C95A4F">
        <w:t>in a format and language that the target group is most comfortable with</w:t>
      </w:r>
      <w:r w:rsidRPr="00DC2FB3">
        <w:t>.</w:t>
      </w:r>
    </w:p>
    <w:p w14:paraId="0C287FF0" w14:textId="77777777" w:rsidR="00D4601D" w:rsidRPr="00DC2FB3" w:rsidRDefault="00D4601D" w:rsidP="00203F2A">
      <w:pPr>
        <w:spacing w:after="0" w:line="240" w:lineRule="auto"/>
        <w:jc w:val="both"/>
      </w:pPr>
    </w:p>
    <w:p w14:paraId="08C0DDDA" w14:textId="50219B5D" w:rsidR="00D4601D" w:rsidRPr="00DC2FB3" w:rsidRDefault="00CA69FA" w:rsidP="00203F2A">
      <w:pPr>
        <w:spacing w:after="0" w:line="240" w:lineRule="auto"/>
        <w:jc w:val="both"/>
      </w:pPr>
      <w:r>
        <w:rPr>
          <w:b/>
        </w:rPr>
        <w:t xml:space="preserve">Initial public and private sector stakeholder consultations were held </w:t>
      </w:r>
      <w:r w:rsidR="00FD37F0">
        <w:rPr>
          <w:b/>
        </w:rPr>
        <w:t xml:space="preserve">for the draft </w:t>
      </w:r>
      <w:r w:rsidR="00D4601D" w:rsidRPr="00983950">
        <w:rPr>
          <w:b/>
        </w:rPr>
        <w:t>environmental and social safeguard framework document</w:t>
      </w:r>
      <w:r w:rsidR="00FD37F0">
        <w:rPr>
          <w:b/>
        </w:rPr>
        <w:t>s</w:t>
      </w:r>
      <w:r w:rsidR="00D4601D" w:rsidRPr="00983950">
        <w:rPr>
          <w:b/>
        </w:rPr>
        <w:t xml:space="preserve"> that </w:t>
      </w:r>
      <w:r w:rsidR="00FD37F0">
        <w:rPr>
          <w:b/>
        </w:rPr>
        <w:t xml:space="preserve">were </w:t>
      </w:r>
      <w:r w:rsidR="00D4601D" w:rsidRPr="00983950">
        <w:rPr>
          <w:b/>
        </w:rPr>
        <w:t xml:space="preserve">developed during </w:t>
      </w:r>
      <w:r w:rsidR="00190610">
        <w:rPr>
          <w:b/>
        </w:rPr>
        <w:t>SCSD</w:t>
      </w:r>
      <w:r w:rsidR="00D4601D" w:rsidRPr="00983950">
        <w:rPr>
          <w:b/>
        </w:rPr>
        <w:t xml:space="preserve"> Project preparation.</w:t>
      </w:r>
      <w:r w:rsidR="00D4601D" w:rsidRPr="00DC2FB3">
        <w:t xml:space="preserve"> These consultation sessions were organized by MTIT </w:t>
      </w:r>
      <w:r w:rsidR="00D4601D">
        <w:t>and MNR</w:t>
      </w:r>
      <w:r w:rsidR="00FD37F0">
        <w:t xml:space="preserve">, with safeguards capacity support provided by the </w:t>
      </w:r>
      <w:r w:rsidR="00D4601D" w:rsidRPr="00DC2FB3">
        <w:t>WBG. Lists of stakeholde</w:t>
      </w:r>
      <w:r w:rsidR="00FD37F0">
        <w:t>r</w:t>
      </w:r>
      <w:r w:rsidR="00D4601D" w:rsidRPr="00DC2FB3">
        <w:t xml:space="preserve"> attendance at the various </w:t>
      </w:r>
      <w:r w:rsidR="00D4601D" w:rsidRPr="00115B0D">
        <w:t xml:space="preserve">sessions are included in Annex </w:t>
      </w:r>
      <w:r w:rsidR="00115B0D" w:rsidRPr="00115B0D">
        <w:t>4</w:t>
      </w:r>
      <w:r w:rsidR="00D4601D" w:rsidRPr="00115B0D">
        <w:t>. These initial consultations aimed:</w:t>
      </w:r>
    </w:p>
    <w:p w14:paraId="6A0BA87E" w14:textId="4E3C7024" w:rsidR="00D4601D" w:rsidRPr="00DC2FB3" w:rsidRDefault="00D4601D" w:rsidP="00203F2A">
      <w:pPr>
        <w:numPr>
          <w:ilvl w:val="0"/>
          <w:numId w:val="33"/>
        </w:numPr>
        <w:spacing w:after="0" w:line="240" w:lineRule="auto"/>
        <w:jc w:val="both"/>
      </w:pPr>
      <w:r w:rsidRPr="00DC2FB3">
        <w:t xml:space="preserve">to ensure there is a clear understanding of the </w:t>
      </w:r>
      <w:r w:rsidR="00190610">
        <w:t>SCSD</w:t>
      </w:r>
      <w:r w:rsidRPr="00DC2FB3">
        <w:t xml:space="preserve"> Project and of the ESMF and other safeguard documents for further dissemination to other stakeholders;</w:t>
      </w:r>
    </w:p>
    <w:p w14:paraId="5C4BE1BB" w14:textId="77777777" w:rsidR="00D4601D" w:rsidRPr="00DC2FB3" w:rsidRDefault="00D4601D" w:rsidP="00203F2A">
      <w:pPr>
        <w:numPr>
          <w:ilvl w:val="0"/>
          <w:numId w:val="33"/>
        </w:numPr>
        <w:spacing w:after="0" w:line="240" w:lineRule="auto"/>
        <w:jc w:val="both"/>
      </w:pPr>
      <w:r w:rsidRPr="00DC2FB3">
        <w:rPr>
          <w:color w:val="000000" w:themeColor="text1"/>
        </w:rPr>
        <w:t>to ensure detailed consultations on the ESMF and other safeguard documents, providing opportunity to raise questions and doubts and how these might be addressed in the final versions of the safeguard instruments.</w:t>
      </w:r>
    </w:p>
    <w:p w14:paraId="661FBBB7" w14:textId="2EFDA09A" w:rsidR="00D4601D" w:rsidRDefault="00D4601D" w:rsidP="00203F2A">
      <w:pPr>
        <w:spacing w:after="0" w:line="240" w:lineRule="auto"/>
        <w:jc w:val="both"/>
      </w:pPr>
    </w:p>
    <w:p w14:paraId="5306F49C" w14:textId="6BB3960B" w:rsidR="00C95A4F" w:rsidRDefault="00C95A4F" w:rsidP="00203F2A">
      <w:pPr>
        <w:spacing w:after="0" w:line="240" w:lineRule="auto"/>
        <w:jc w:val="both"/>
      </w:pPr>
      <w:r w:rsidRPr="00C95A4F">
        <w:rPr>
          <w:b/>
          <w:bCs/>
        </w:rPr>
        <w:t>The first consultation session held on November 13, 2018 focused on public sector stakeholders</w:t>
      </w:r>
      <w:r w:rsidRPr="00C95A4F">
        <w:t xml:space="preserve">. These consultations included representatives of the ministries of Trade, Industry &amp; Tourism; Natural Resources; Regional Development; and Agriculture, Livestock &amp; Fisheries, as well as NIMOS. The MTIT and MNR project preparation teams hosted the sessions and were supported by WBG safeguards specialists to present the frameworks through PowerPoint Presentations. The participants gained an understanding of background, objectives, content, and practical implications of the ESMF and other instruments, and they broadly confirmed the value of the frameworks. Some minor issues for clarification were raised, which the GOS and WBG teams addressed. NIMOS expressed its willingness to cooperate in future developments of ESMPs during sub-project design and implementation. Questions were also posed about how community involvement would occur practically during the project, especially regarding indigenous and tribal communities, and the meeting discussed how consultations would be held with specific communities when </w:t>
      </w:r>
      <w:proofErr w:type="gramStart"/>
      <w:r w:rsidRPr="00C95A4F">
        <w:t>particular subprojects</w:t>
      </w:r>
      <w:proofErr w:type="gramEnd"/>
      <w:r w:rsidRPr="00C95A4F">
        <w:t xml:space="preserve"> and their scope of influence are identified.</w:t>
      </w:r>
    </w:p>
    <w:p w14:paraId="3517C96E" w14:textId="4708D7A6" w:rsidR="00C95A4F" w:rsidRDefault="00C95A4F" w:rsidP="00203F2A">
      <w:pPr>
        <w:spacing w:after="0" w:line="240" w:lineRule="auto"/>
        <w:jc w:val="both"/>
      </w:pPr>
    </w:p>
    <w:p w14:paraId="3945CC4E" w14:textId="77EF601F" w:rsidR="00C95A4F" w:rsidRDefault="00C95A4F" w:rsidP="00203F2A">
      <w:pPr>
        <w:spacing w:after="0" w:line="240" w:lineRule="auto"/>
        <w:jc w:val="both"/>
      </w:pPr>
      <w:r w:rsidRPr="00C95A4F">
        <w:rPr>
          <w:b/>
          <w:bCs/>
        </w:rPr>
        <w:t>The second consultation session held on November 15, 2018 focused on private and civil society stakeholders</w:t>
      </w:r>
      <w:r w:rsidRPr="00C95A4F">
        <w:t xml:space="preserve">. This session included representatives of the Trade and Industry Association, Association of Exporters of Agricultural Products, Chamber of Commerce, Economists Association of Suriname, and of the private sector in tourism, agricultural production, and livestock. As with the public sector consultation meeting, the MTIT and MNR project preparation teams hosted the session and were supported by WBG safeguards specialists to present the frameworks, and participants gained an understanding of background, objectives, content, and practical implications of the instruments. All participants confirmed the need for the safeguards </w:t>
      </w:r>
      <w:proofErr w:type="gramStart"/>
      <w:r w:rsidRPr="00C95A4F">
        <w:t>plans, but</w:t>
      </w:r>
      <w:proofErr w:type="gramEnd"/>
      <w:r w:rsidRPr="00C95A4F">
        <w:t xml:space="preserve"> raised concerns about threshold levels. The participants noted that levels of both environmental and social requirements should be appropriate in relation to the scope, size, and nature of potential sub-projects under the </w:t>
      </w:r>
      <w:r w:rsidR="00190610">
        <w:t>SCSD</w:t>
      </w:r>
      <w:r w:rsidRPr="00C95A4F">
        <w:t xml:space="preserve"> Project. SME representatives expressed concern about the additional administrative burden related to the safeguards requirements and requested for the inclusion of financial facilities through which the </w:t>
      </w:r>
      <w:r w:rsidR="00190610">
        <w:t>SCSD</w:t>
      </w:r>
      <w:r w:rsidRPr="00C95A4F">
        <w:t xml:space="preserve"> Project will cover the costs for the hiring of administrative and E&amp;S support. The meeting acknowledged these concerns and discussed how project resources would be available to support the implementation of safeguards requirements during project implementation</w:t>
      </w:r>
      <w:r w:rsidR="00965406">
        <w:t>. This would include provision of capacity support of project environmental and social specialists through the MTIT PIU to work with project beneficiaries, and the eligibility of using grant resources to implement subproject environmental or social measures that are required for compliance or that enhance the sustainability of the subproject.</w:t>
      </w:r>
    </w:p>
    <w:p w14:paraId="66788B6F" w14:textId="398A19A9" w:rsidR="00C95A4F" w:rsidRDefault="00C95A4F" w:rsidP="00203F2A">
      <w:pPr>
        <w:spacing w:after="0" w:line="240" w:lineRule="auto"/>
        <w:jc w:val="both"/>
      </w:pPr>
    </w:p>
    <w:p w14:paraId="0207374C" w14:textId="7B943EEA" w:rsidR="00C95A4F" w:rsidRDefault="00C95A4F" w:rsidP="00203F2A">
      <w:pPr>
        <w:spacing w:after="0" w:line="240" w:lineRule="auto"/>
        <w:jc w:val="both"/>
        <w:rPr>
          <w:lang w:val="en-US"/>
        </w:rPr>
      </w:pPr>
      <w:r w:rsidRPr="00C95A4F">
        <w:rPr>
          <w:b/>
          <w:bCs/>
          <w:lang w:val="en-US"/>
        </w:rPr>
        <w:t>Following this initial round of consultations, all draft safeguard documents (ESMF, RPF, RSA, and ITPPF) and the PowerPoint Presentations that have been prepared in support of the initial consultations were distributed among the representatives of ministries and NIMOS and the participating private sector representative organizations.</w:t>
      </w:r>
      <w:r w:rsidRPr="00C95A4F">
        <w:rPr>
          <w:lang w:val="en-US"/>
        </w:rPr>
        <w:t xml:space="preserve"> It was agreed that they will now further consult their staff on these policy frameworks aiming to raise and provide general support to these </w:t>
      </w:r>
      <w:r w:rsidR="00190610">
        <w:rPr>
          <w:lang w:val="en-US"/>
        </w:rPr>
        <w:t>SCSD</w:t>
      </w:r>
      <w:r w:rsidRPr="00C95A4F">
        <w:rPr>
          <w:lang w:val="en-US"/>
        </w:rPr>
        <w:t xml:space="preserve"> Projects’ safeguards. This document distribution and review process will continue with other line ministry stakeholders, civil society organizations, and business support organizations, which may request MTIT and MNR for additional clarification or provide additional comments for consideration.</w:t>
      </w:r>
    </w:p>
    <w:p w14:paraId="5F55DC34" w14:textId="7BEDB2E5" w:rsidR="00A15588" w:rsidRDefault="00A15588" w:rsidP="00203F2A">
      <w:pPr>
        <w:spacing w:after="0" w:line="240" w:lineRule="auto"/>
        <w:jc w:val="both"/>
        <w:rPr>
          <w:lang w:val="en-US"/>
        </w:rPr>
      </w:pPr>
    </w:p>
    <w:p w14:paraId="6BA02686" w14:textId="0F116D89" w:rsidR="00A15588" w:rsidRPr="00A15588" w:rsidRDefault="00A15588" w:rsidP="00A15588">
      <w:pPr>
        <w:spacing w:after="0" w:line="240" w:lineRule="auto"/>
        <w:jc w:val="both"/>
        <w:rPr>
          <w:lang w:val="en-US"/>
        </w:rPr>
      </w:pPr>
      <w:r w:rsidRPr="00A15588">
        <w:rPr>
          <w:b/>
          <w:bCs/>
          <w:lang w:val="en-US"/>
        </w:rPr>
        <w:t xml:space="preserve">The primary next step to be taken in the further consultation and dissemination of the </w:t>
      </w:r>
      <w:r w:rsidR="00190610">
        <w:rPr>
          <w:b/>
          <w:bCs/>
          <w:lang w:val="en-US"/>
        </w:rPr>
        <w:t>SCSD</w:t>
      </w:r>
      <w:r w:rsidRPr="00A15588">
        <w:rPr>
          <w:b/>
          <w:bCs/>
          <w:lang w:val="en-US"/>
        </w:rPr>
        <w:t xml:space="preserve"> Project safeguard framework documents is public disclosure</w:t>
      </w:r>
      <w:r w:rsidRPr="00A15588">
        <w:rPr>
          <w:lang w:val="en-US"/>
        </w:rPr>
        <w:t xml:space="preserve">. Public disclosure of the </w:t>
      </w:r>
      <w:r w:rsidR="00190610">
        <w:rPr>
          <w:lang w:val="en-US"/>
        </w:rPr>
        <w:t>SCSD</w:t>
      </w:r>
      <w:r w:rsidRPr="00A15588">
        <w:rPr>
          <w:lang w:val="en-US"/>
        </w:rPr>
        <w:t xml:space="preserve"> Project safeguard documents will be done by placing these draft documents on the websites of (i) the Competitiveness Unit Suriname (CUS) (</w:t>
      </w:r>
      <w:hyperlink r:id="rId19" w:history="1">
        <w:r w:rsidRPr="00A15588">
          <w:rPr>
            <w:rStyle w:val="Hyperlink"/>
            <w:lang w:val="en-US"/>
          </w:rPr>
          <w:t>www.surinamecompete.org</w:t>
        </w:r>
      </w:hyperlink>
      <w:r w:rsidRPr="00A15588">
        <w:rPr>
          <w:lang w:val="en-US"/>
        </w:rPr>
        <w:t>), (ii) the website of NIMOS (</w:t>
      </w:r>
      <w:hyperlink r:id="rId20" w:history="1">
        <w:r w:rsidRPr="00A15588">
          <w:rPr>
            <w:rStyle w:val="Hyperlink"/>
            <w:lang w:val="en-US"/>
          </w:rPr>
          <w:t>www.nimos.org</w:t>
        </w:r>
      </w:hyperlink>
      <w:r w:rsidRPr="00A15588">
        <w:rPr>
          <w:lang w:val="en-US"/>
        </w:rPr>
        <w:t xml:space="preserve">) and (iii) the </w:t>
      </w:r>
      <w:proofErr w:type="spellStart"/>
      <w:r w:rsidRPr="00A15588">
        <w:rPr>
          <w:lang w:val="en-US"/>
        </w:rPr>
        <w:t>facebook</w:t>
      </w:r>
      <w:proofErr w:type="spellEnd"/>
      <w:r w:rsidRPr="00A15588">
        <w:rPr>
          <w:lang w:val="en-US"/>
        </w:rPr>
        <w:t xml:space="preserve"> page of MTIT  </w:t>
      </w:r>
      <w:hyperlink r:id="rId21" w:history="1">
        <w:r w:rsidRPr="00A15588">
          <w:rPr>
            <w:rStyle w:val="Hyperlink"/>
            <w:lang w:val="en-US"/>
          </w:rPr>
          <w:t>https://m.facebook.com/Ministerie-van-Handel-Industrie-en-Toerisme</w:t>
        </w:r>
      </w:hyperlink>
      <w:r w:rsidRPr="00A15588">
        <w:rPr>
          <w:lang w:val="en-US"/>
        </w:rPr>
        <w:t>, allowing civil society and potential stakeholders a period of 15 days to review and provide input on these safeguard policy frameworks.</w:t>
      </w:r>
      <w:r>
        <w:rPr>
          <w:lang w:val="en-US"/>
        </w:rPr>
        <w:t xml:space="preserve"> </w:t>
      </w:r>
      <w:r>
        <w:t>Disclosure of the of documents will also be conducted on the WBG public website.</w:t>
      </w:r>
    </w:p>
    <w:p w14:paraId="68F4ECA1" w14:textId="77777777" w:rsidR="00A15588" w:rsidRPr="00A15588" w:rsidRDefault="00A15588" w:rsidP="00203F2A">
      <w:pPr>
        <w:spacing w:after="0" w:line="240" w:lineRule="auto"/>
        <w:jc w:val="both"/>
        <w:rPr>
          <w:lang w:val="en-US"/>
        </w:rPr>
      </w:pPr>
    </w:p>
    <w:p w14:paraId="2D35FCC3" w14:textId="6CC0BB80" w:rsidR="00D4601D" w:rsidRDefault="00D4601D" w:rsidP="00203F2A">
      <w:pPr>
        <w:spacing w:after="0" w:line="240" w:lineRule="auto"/>
        <w:jc w:val="both"/>
      </w:pPr>
      <w:r w:rsidRPr="00DC2FB3">
        <w:t xml:space="preserve">During implementation of the </w:t>
      </w:r>
      <w:r w:rsidR="00190610">
        <w:t>SCSD</w:t>
      </w:r>
      <w:r w:rsidRPr="00DC2FB3">
        <w:t xml:space="preserve"> Project and the sub-projects that will be supported by it, the stakeholder consultation processes and the engagement of Project Affected Peoples (P</w:t>
      </w:r>
      <w:r w:rsidR="00C95A4F">
        <w:t>A</w:t>
      </w:r>
      <w:r w:rsidRPr="00DC2FB3">
        <w:t>Ps) during the early design and implementation phases of the sub-project activities are firmly anchored in the ESMF</w:t>
      </w:r>
      <w:r w:rsidR="00A15588">
        <w:t>,</w:t>
      </w:r>
      <w:r w:rsidRPr="00DC2FB3">
        <w:t xml:space="preserve"> ITPPF</w:t>
      </w:r>
      <w:r w:rsidR="00A15588">
        <w:t>, and RPF</w:t>
      </w:r>
      <w:r w:rsidRPr="00DC2FB3">
        <w:t xml:space="preserve"> safeguard documents.</w:t>
      </w:r>
    </w:p>
    <w:p w14:paraId="7E2EB13A" w14:textId="209948DD" w:rsidR="00FF7E44" w:rsidRDefault="00FF7E44" w:rsidP="00203F2A">
      <w:pPr>
        <w:pStyle w:val="NoSpacing"/>
        <w:jc w:val="both"/>
      </w:pPr>
      <w:r>
        <w:br w:type="page"/>
      </w:r>
    </w:p>
    <w:p w14:paraId="6051E9F7" w14:textId="77777777" w:rsidR="001A58A1" w:rsidRPr="00BA2631" w:rsidRDefault="001A58A1" w:rsidP="00203F2A">
      <w:pPr>
        <w:pStyle w:val="Heading1"/>
        <w:jc w:val="both"/>
      </w:pPr>
      <w:bookmarkStart w:id="48" w:name="_Toc531965026"/>
      <w:r w:rsidRPr="00BA2631">
        <w:t>Appendices</w:t>
      </w:r>
      <w:bookmarkEnd w:id="48"/>
    </w:p>
    <w:p w14:paraId="41899826" w14:textId="77777777" w:rsidR="001A58A1" w:rsidRDefault="001A58A1" w:rsidP="00203F2A">
      <w:pPr>
        <w:pStyle w:val="NoSpacing"/>
        <w:jc w:val="both"/>
      </w:pPr>
    </w:p>
    <w:p w14:paraId="6BE9C45B" w14:textId="77777777" w:rsidR="00FF7E44" w:rsidRDefault="00FF7E44" w:rsidP="00203F2A">
      <w:pPr>
        <w:pStyle w:val="NoSpacing"/>
        <w:jc w:val="both"/>
      </w:pPr>
    </w:p>
    <w:p w14:paraId="24ED02FF" w14:textId="41DD6E22" w:rsidR="00FF7E44" w:rsidRDefault="00FF7E44" w:rsidP="00203F2A">
      <w:pPr>
        <w:pStyle w:val="NoSpacing"/>
        <w:jc w:val="both"/>
      </w:pPr>
      <w:bookmarkStart w:id="49" w:name="_Hlk529501681"/>
      <w:r>
        <w:t xml:space="preserve">Annex </w:t>
      </w:r>
      <w:r w:rsidR="009B6B3D">
        <w:t>1</w:t>
      </w:r>
      <w:r>
        <w:tab/>
        <w:t xml:space="preserve">Environmental and Social </w:t>
      </w:r>
      <w:r w:rsidR="00BE7239">
        <w:t xml:space="preserve">Risk </w:t>
      </w:r>
      <w:r>
        <w:t>Screening Tool</w:t>
      </w:r>
    </w:p>
    <w:p w14:paraId="66D6E963" w14:textId="77777777" w:rsidR="000A0472" w:rsidRDefault="000A0472" w:rsidP="00203F2A">
      <w:pPr>
        <w:pStyle w:val="NoSpacing"/>
        <w:jc w:val="both"/>
      </w:pPr>
    </w:p>
    <w:p w14:paraId="70E21D5D" w14:textId="5DC46F67" w:rsidR="00FF7E44" w:rsidRDefault="000A0472" w:rsidP="00203F2A">
      <w:pPr>
        <w:pStyle w:val="NoSpacing"/>
        <w:jc w:val="both"/>
      </w:pPr>
      <w:r w:rsidRPr="000A0472">
        <w:t>Annex 2</w:t>
      </w:r>
      <w:r>
        <w:tab/>
      </w:r>
      <w:r w:rsidRPr="000A0472">
        <w:t>Guidelines for Preparing an Integrated Pest Management Plan</w:t>
      </w:r>
    </w:p>
    <w:p w14:paraId="53F2A699" w14:textId="77777777" w:rsidR="000A0472" w:rsidRDefault="000A0472" w:rsidP="00203F2A">
      <w:pPr>
        <w:pStyle w:val="NoSpacing"/>
        <w:jc w:val="both"/>
      </w:pPr>
    </w:p>
    <w:p w14:paraId="2D2C4D0D" w14:textId="40150717" w:rsidR="00FF7E44" w:rsidRDefault="00FF7E44" w:rsidP="00203F2A">
      <w:pPr>
        <w:pStyle w:val="NoSpacing"/>
        <w:jc w:val="both"/>
      </w:pPr>
      <w:r>
        <w:t xml:space="preserve">Annex </w:t>
      </w:r>
      <w:r w:rsidR="000A0472">
        <w:t>3</w:t>
      </w:r>
      <w:r>
        <w:tab/>
        <w:t>Chance Finds Procedure</w:t>
      </w:r>
    </w:p>
    <w:p w14:paraId="11E04F58" w14:textId="77777777" w:rsidR="00FF7E44" w:rsidRDefault="00FF7E44" w:rsidP="00203F2A">
      <w:pPr>
        <w:pStyle w:val="NoSpacing"/>
        <w:jc w:val="both"/>
      </w:pPr>
    </w:p>
    <w:p w14:paraId="38879D19" w14:textId="4CDE1564" w:rsidR="00115B0D" w:rsidRDefault="00FF7E44" w:rsidP="00203F2A">
      <w:pPr>
        <w:pStyle w:val="NoSpacing"/>
        <w:jc w:val="both"/>
      </w:pPr>
      <w:r>
        <w:t xml:space="preserve">Annex </w:t>
      </w:r>
      <w:r w:rsidR="000A0472">
        <w:t>4</w:t>
      </w:r>
      <w:r>
        <w:tab/>
      </w:r>
      <w:r w:rsidR="00115B0D">
        <w:t xml:space="preserve">ESMF Consultations: Stakeholder Attendance Lists </w:t>
      </w:r>
    </w:p>
    <w:p w14:paraId="0BE2A422" w14:textId="77777777" w:rsidR="00115B0D" w:rsidRDefault="00115B0D" w:rsidP="00203F2A">
      <w:pPr>
        <w:pStyle w:val="NoSpacing"/>
        <w:jc w:val="both"/>
      </w:pPr>
    </w:p>
    <w:p w14:paraId="4018C63F" w14:textId="27C2A357" w:rsidR="00FF7E44" w:rsidRDefault="00115B0D" w:rsidP="00203F2A">
      <w:pPr>
        <w:pStyle w:val="NoSpacing"/>
        <w:jc w:val="both"/>
      </w:pPr>
      <w:r>
        <w:t>Annex 5</w:t>
      </w:r>
      <w:r>
        <w:tab/>
      </w:r>
      <w:r w:rsidR="00FF7E44">
        <w:t>List of References</w:t>
      </w:r>
    </w:p>
    <w:p w14:paraId="6839C8C4" w14:textId="77777777" w:rsidR="00FF7E44" w:rsidRDefault="00FF7E44" w:rsidP="00203F2A">
      <w:pPr>
        <w:pStyle w:val="NoSpacing"/>
        <w:jc w:val="both"/>
      </w:pPr>
    </w:p>
    <w:bookmarkEnd w:id="49"/>
    <w:p w14:paraId="78E080E1" w14:textId="57BD35B1" w:rsidR="00AA07EA" w:rsidRDefault="00AA07EA" w:rsidP="00203F2A">
      <w:pPr>
        <w:pStyle w:val="NoSpacing"/>
        <w:jc w:val="both"/>
      </w:pPr>
    </w:p>
    <w:p w14:paraId="10C1AE2E" w14:textId="7143DD3F" w:rsidR="00AA07EA" w:rsidRDefault="00AA07EA" w:rsidP="00203F2A">
      <w:pPr>
        <w:pStyle w:val="NoSpacing"/>
        <w:jc w:val="both"/>
      </w:pPr>
      <w:r>
        <w:br w:type="page"/>
      </w:r>
    </w:p>
    <w:p w14:paraId="3C56E7AF" w14:textId="1B5AD307" w:rsidR="00AA07EA" w:rsidRPr="006439AB" w:rsidRDefault="00AA07EA" w:rsidP="00203F2A">
      <w:pPr>
        <w:pStyle w:val="Heading2"/>
        <w:jc w:val="both"/>
      </w:pPr>
      <w:bookmarkStart w:id="50" w:name="_Toc531965027"/>
      <w:r w:rsidRPr="006439AB">
        <w:t>A</w:t>
      </w:r>
      <w:r w:rsidR="00A125E2">
        <w:t>nnex</w:t>
      </w:r>
      <w:r w:rsidRPr="006439AB">
        <w:t xml:space="preserve"> </w:t>
      </w:r>
      <w:r w:rsidR="00B94528">
        <w:t>1</w:t>
      </w:r>
      <w:r w:rsidRPr="006439AB">
        <w:t xml:space="preserve">: </w:t>
      </w:r>
      <w:r w:rsidR="006439AB">
        <w:tab/>
      </w:r>
      <w:r w:rsidRPr="006439AB">
        <w:t xml:space="preserve">Environmental and Social </w:t>
      </w:r>
      <w:r w:rsidR="002F4130">
        <w:t xml:space="preserve">Risk </w:t>
      </w:r>
      <w:r w:rsidRPr="006439AB">
        <w:t xml:space="preserve">Screening </w:t>
      </w:r>
      <w:r w:rsidR="009B4005">
        <w:t>Tool</w:t>
      </w:r>
      <w:bookmarkEnd w:id="50"/>
      <w:r w:rsidRPr="006439AB">
        <w:t xml:space="preserve"> </w:t>
      </w:r>
    </w:p>
    <w:p w14:paraId="6D02ECE1" w14:textId="5448BB79" w:rsidR="00AA07EA" w:rsidRDefault="00AA07EA" w:rsidP="00203F2A">
      <w:pPr>
        <w:pStyle w:val="NoSpacing"/>
        <w:jc w:val="both"/>
      </w:pPr>
    </w:p>
    <w:p w14:paraId="47EC5118" w14:textId="56C2B485" w:rsidR="00407BEA" w:rsidRPr="001F3509" w:rsidRDefault="00AA07EA" w:rsidP="00203F2A">
      <w:pPr>
        <w:pStyle w:val="NoSpacing"/>
        <w:jc w:val="both"/>
      </w:pPr>
      <w:r w:rsidRPr="001F3509">
        <w:t>Th</w:t>
      </w:r>
      <w:r w:rsidR="00DB3528">
        <w:t>is</w:t>
      </w:r>
      <w:r w:rsidRPr="001F3509">
        <w:t xml:space="preserve"> Environmental and Social </w:t>
      </w:r>
      <w:r w:rsidR="00814730" w:rsidRPr="001F3509">
        <w:t xml:space="preserve">Risk </w:t>
      </w:r>
      <w:r w:rsidRPr="001F3509">
        <w:t xml:space="preserve">Screening </w:t>
      </w:r>
      <w:r w:rsidR="009B4005">
        <w:t>Tool</w:t>
      </w:r>
      <w:r w:rsidRPr="001F3509">
        <w:t xml:space="preserve"> is designed to </w:t>
      </w:r>
      <w:r w:rsidR="006439AB" w:rsidRPr="001F3509">
        <w:t>provide</w:t>
      </w:r>
      <w:r w:rsidRPr="001F3509">
        <w:t xml:space="preserve"> information to the decision-makers and reviewers so that </w:t>
      </w:r>
      <w:r w:rsidR="002F4130" w:rsidRPr="001F3509">
        <w:t xml:space="preserve">potential risk and </w:t>
      </w:r>
      <w:r w:rsidRPr="001F3509">
        <w:t>impacts</w:t>
      </w:r>
      <w:r w:rsidR="00814730" w:rsidRPr="001F3509">
        <w:t xml:space="preserve"> of proposed sub-projects and activities under the </w:t>
      </w:r>
      <w:r w:rsidR="00190610">
        <w:t>SCSD</w:t>
      </w:r>
      <w:r w:rsidR="00814730" w:rsidRPr="001F3509">
        <w:t xml:space="preserve"> Project can be detected during the early design and preparation phase. I</w:t>
      </w:r>
      <w:r w:rsidRPr="001F3509">
        <w:t xml:space="preserve">f any, </w:t>
      </w:r>
      <w:r w:rsidR="00814730" w:rsidRPr="001F3509">
        <w:t xml:space="preserve">the PIU/MTIT may request for further information, </w:t>
      </w:r>
      <w:r w:rsidR="001F3509" w:rsidRPr="001F3509">
        <w:t>additional investigation, site visits and</w:t>
      </w:r>
      <w:r w:rsidRPr="001F3509">
        <w:t xml:space="preserve">/or </w:t>
      </w:r>
      <w:r w:rsidR="001F3509" w:rsidRPr="001F3509">
        <w:t xml:space="preserve">additional </w:t>
      </w:r>
      <w:r w:rsidRPr="001F3509">
        <w:t xml:space="preserve">requirements for further </w:t>
      </w:r>
      <w:r w:rsidR="00407BEA" w:rsidRPr="001F3509">
        <w:t xml:space="preserve">social </w:t>
      </w:r>
      <w:r w:rsidR="001F3509" w:rsidRPr="001F3509">
        <w:t xml:space="preserve">and </w:t>
      </w:r>
      <w:r w:rsidRPr="001F3509">
        <w:t xml:space="preserve">environmental </w:t>
      </w:r>
      <w:r w:rsidR="001F3509" w:rsidRPr="001F3509">
        <w:t xml:space="preserve">risk and impact </w:t>
      </w:r>
      <w:r w:rsidRPr="001F3509">
        <w:t>analysis.</w:t>
      </w:r>
    </w:p>
    <w:p w14:paraId="27004B59" w14:textId="34078804" w:rsidR="001F3509" w:rsidRDefault="001F3509" w:rsidP="00203F2A">
      <w:pPr>
        <w:pStyle w:val="NoSpacing"/>
        <w:jc w:val="both"/>
      </w:pPr>
    </w:p>
    <w:p w14:paraId="27D022DE" w14:textId="10A055B0" w:rsidR="001F3509" w:rsidRPr="001F3509" w:rsidRDefault="001F3509" w:rsidP="00203F2A">
      <w:pPr>
        <w:pStyle w:val="NoSpacing"/>
        <w:jc w:val="both"/>
      </w:pPr>
      <w:r>
        <w:t xml:space="preserve">Under the responsibility of the PIU/MTIT, the Screening </w:t>
      </w:r>
      <w:r w:rsidR="009B4005">
        <w:t>Tool</w:t>
      </w:r>
      <w:r>
        <w:t xml:space="preserve"> should be filled by </w:t>
      </w:r>
      <w:r w:rsidRPr="001F3509">
        <w:t xml:space="preserve">PIU designated </w:t>
      </w:r>
      <w:r>
        <w:t>person</w:t>
      </w:r>
      <w:r w:rsidR="00F067FA">
        <w:t>(s) (expert team)</w:t>
      </w:r>
      <w:r>
        <w:t xml:space="preserve"> together with </w:t>
      </w:r>
      <w:r w:rsidR="00CA2189">
        <w:t xml:space="preserve">the </w:t>
      </w:r>
      <w:r>
        <w:t xml:space="preserve">(representative of) applicant and </w:t>
      </w:r>
      <w:r w:rsidRPr="00CA2189">
        <w:rPr>
          <w:b/>
        </w:rPr>
        <w:t>applies for each proposed investment</w:t>
      </w:r>
      <w:bookmarkStart w:id="51" w:name="_Hlk529620831"/>
      <w:r w:rsidR="00A0558F">
        <w:rPr>
          <w:b/>
        </w:rPr>
        <w:t xml:space="preserve"> under the SME support, both individual and group projects,</w:t>
      </w:r>
      <w:r w:rsidRPr="00CA2189">
        <w:rPr>
          <w:b/>
        </w:rPr>
        <w:t xml:space="preserve"> </w:t>
      </w:r>
      <w:r w:rsidRPr="001F3509">
        <w:rPr>
          <w:b/>
        </w:rPr>
        <w:t>under Component 2 of the Project</w:t>
      </w:r>
      <w:bookmarkEnd w:id="51"/>
      <w:r w:rsidR="00BE7239">
        <w:rPr>
          <w:rStyle w:val="FootnoteReference"/>
          <w:b/>
        </w:rPr>
        <w:footnoteReference w:id="41"/>
      </w:r>
      <w:r w:rsidRPr="001F3509">
        <w:t>.</w:t>
      </w:r>
    </w:p>
    <w:p w14:paraId="39BBC5B0" w14:textId="4C94D7DE" w:rsidR="00AA07EA" w:rsidRDefault="00AA07EA" w:rsidP="00203F2A">
      <w:pPr>
        <w:pStyle w:val="NoSpacing"/>
        <w:pBdr>
          <w:bottom w:val="single" w:sz="4" w:space="1" w:color="auto"/>
        </w:pBdr>
        <w:jc w:val="both"/>
      </w:pPr>
    </w:p>
    <w:p w14:paraId="052A3020" w14:textId="34868A55" w:rsidR="00BA6BF6" w:rsidRDefault="00BA6BF6" w:rsidP="00203F2A">
      <w:pPr>
        <w:pStyle w:val="NoSpacing"/>
        <w:pBdr>
          <w:bottom w:val="single" w:sz="4" w:space="1" w:color="auto"/>
        </w:pBdr>
        <w:jc w:val="both"/>
      </w:pPr>
      <w:r>
        <w:t xml:space="preserve">The 5-steps procedure on how to arrive at the required ESMP has in extend been described in Section 7 of this ESMF document. The Screening Tool </w:t>
      </w:r>
      <w:r w:rsidR="00FD7673">
        <w:t xml:space="preserve">described below </w:t>
      </w:r>
      <w:r>
        <w:t>support</w:t>
      </w:r>
      <w:r w:rsidR="00FD7673">
        <w:t>s</w:t>
      </w:r>
      <w:r>
        <w:t xml:space="preserve"> the first two steps of this procure: Screening and Scoping (Permitting and </w:t>
      </w:r>
      <w:r w:rsidR="003A5131">
        <w:t xml:space="preserve">initial </w:t>
      </w:r>
      <w:r>
        <w:t>Risk Assessment).</w:t>
      </w:r>
    </w:p>
    <w:p w14:paraId="239E0DFF" w14:textId="77777777" w:rsidR="00BE7239" w:rsidRPr="001F3509" w:rsidRDefault="00BE7239" w:rsidP="00203F2A">
      <w:pPr>
        <w:pStyle w:val="NoSpacing"/>
        <w:pBdr>
          <w:bottom w:val="single" w:sz="4" w:space="1" w:color="auto"/>
        </w:pBdr>
        <w:jc w:val="both"/>
      </w:pPr>
    </w:p>
    <w:p w14:paraId="2D1B6EA8" w14:textId="018BA750" w:rsidR="006439AB" w:rsidRDefault="006439AB" w:rsidP="00203F2A">
      <w:pPr>
        <w:pStyle w:val="NoSpacing"/>
        <w:jc w:val="both"/>
      </w:pPr>
    </w:p>
    <w:p w14:paraId="659E59F6" w14:textId="47A00F10" w:rsidR="00BE7239" w:rsidRPr="00BE7239" w:rsidRDefault="00BE7239" w:rsidP="00203F2A">
      <w:pPr>
        <w:pStyle w:val="NoSpacing"/>
        <w:shd w:val="clear" w:color="auto" w:fill="D9D9D9" w:themeFill="background1" w:themeFillShade="D9"/>
        <w:jc w:val="both"/>
        <w:rPr>
          <w:b/>
        </w:rPr>
      </w:pPr>
      <w:r w:rsidRPr="00BE7239">
        <w:rPr>
          <w:b/>
        </w:rPr>
        <w:t>GENERAL INFORMATION</w:t>
      </w:r>
    </w:p>
    <w:p w14:paraId="7AEEA9FB" w14:textId="77777777" w:rsidR="00BE7239" w:rsidRDefault="00BE7239" w:rsidP="00203F2A">
      <w:pPr>
        <w:pStyle w:val="NoSpacing"/>
        <w:jc w:val="both"/>
      </w:pPr>
    </w:p>
    <w:p w14:paraId="739BB438" w14:textId="6DE1336B" w:rsidR="00AA07EA" w:rsidRPr="00BE7239" w:rsidRDefault="00AA07EA" w:rsidP="00203F2A">
      <w:pPr>
        <w:pStyle w:val="NoSpacing"/>
        <w:jc w:val="both"/>
      </w:pPr>
      <w:r w:rsidRPr="00BE7239">
        <w:t>Name of sub-project</w:t>
      </w:r>
      <w:r w:rsidR="00782945" w:rsidRPr="00BE7239">
        <w:t>:</w:t>
      </w:r>
      <w:r w:rsidR="00782945" w:rsidRPr="00BE7239">
        <w:tab/>
      </w:r>
      <w:r w:rsidR="00782945" w:rsidRPr="00BE7239">
        <w:tab/>
      </w:r>
      <w:r w:rsidR="00782945" w:rsidRPr="00BE7239">
        <w:tab/>
      </w:r>
      <w:r w:rsidR="00782945" w:rsidRPr="00BE7239">
        <w:tab/>
      </w:r>
      <w:r w:rsidRPr="00BE7239">
        <w:t>…………………………………………………….</w:t>
      </w:r>
    </w:p>
    <w:p w14:paraId="375DCCE5" w14:textId="1EF675A5" w:rsidR="00AA07EA" w:rsidRPr="00BE7239" w:rsidRDefault="00AA07EA" w:rsidP="00203F2A">
      <w:pPr>
        <w:pStyle w:val="NoSpacing"/>
        <w:jc w:val="both"/>
      </w:pPr>
      <w:r w:rsidRPr="00BE7239">
        <w:t>Sector</w:t>
      </w:r>
      <w:r w:rsidR="00782945" w:rsidRPr="00BE7239">
        <w:t>:</w:t>
      </w:r>
      <w:r w:rsidR="00782945" w:rsidRPr="00BE7239">
        <w:tab/>
      </w:r>
      <w:r w:rsidR="00782945" w:rsidRPr="00BE7239">
        <w:tab/>
      </w:r>
      <w:r w:rsidR="00782945" w:rsidRPr="00BE7239">
        <w:tab/>
      </w:r>
      <w:r w:rsidR="00782945" w:rsidRPr="00BE7239">
        <w:tab/>
      </w:r>
      <w:r w:rsidR="00782945" w:rsidRPr="00BE7239">
        <w:tab/>
      </w:r>
      <w:r w:rsidR="00782945" w:rsidRPr="00BE7239">
        <w:tab/>
      </w:r>
      <w:r w:rsidRPr="00BE7239">
        <w:t>……………………………………………………………………</w:t>
      </w:r>
    </w:p>
    <w:p w14:paraId="3B70B3BA" w14:textId="77777777" w:rsidR="00CA2189" w:rsidRDefault="00CA2189" w:rsidP="00203F2A">
      <w:pPr>
        <w:pStyle w:val="NoSpacing"/>
        <w:jc w:val="both"/>
      </w:pPr>
    </w:p>
    <w:p w14:paraId="248A2D1B" w14:textId="600F0647" w:rsidR="00AA07EA" w:rsidRPr="00BE7239" w:rsidRDefault="00AA07EA" w:rsidP="00203F2A">
      <w:pPr>
        <w:pStyle w:val="NoSpacing"/>
        <w:jc w:val="both"/>
      </w:pPr>
      <w:r w:rsidRPr="00BE7239">
        <w:t xml:space="preserve">Name of the </w:t>
      </w:r>
      <w:r w:rsidR="00782945" w:rsidRPr="00BE7239">
        <w:t xml:space="preserve">project </w:t>
      </w:r>
      <w:r w:rsidR="006439AB" w:rsidRPr="00BE7239">
        <w:t>location</w:t>
      </w:r>
      <w:r w:rsidR="00782945" w:rsidRPr="00BE7239">
        <w:t>:</w:t>
      </w:r>
      <w:r w:rsidR="00782945" w:rsidRPr="00BE7239">
        <w:tab/>
      </w:r>
      <w:r w:rsidR="00782945" w:rsidRPr="00BE7239">
        <w:tab/>
      </w:r>
      <w:r w:rsidR="00782945" w:rsidRPr="00BE7239">
        <w:tab/>
      </w:r>
      <w:r w:rsidRPr="00BE7239">
        <w:t>…………………………</w:t>
      </w:r>
    </w:p>
    <w:p w14:paraId="63F13C53" w14:textId="6AF3BA86" w:rsidR="00AA07EA" w:rsidRPr="00BE7239" w:rsidRDefault="00AA07EA" w:rsidP="00203F2A">
      <w:pPr>
        <w:pStyle w:val="NoSpacing"/>
        <w:jc w:val="both"/>
      </w:pPr>
      <w:r w:rsidRPr="00BE7239">
        <w:t xml:space="preserve">Name of </w:t>
      </w:r>
      <w:r w:rsidR="00D80C3B">
        <w:t xml:space="preserve">Applicant / </w:t>
      </w:r>
      <w:r w:rsidRPr="00BE7239">
        <w:t>E</w:t>
      </w:r>
      <w:r w:rsidR="00D80C3B">
        <w:t>ntity</w:t>
      </w:r>
      <w:r w:rsidR="00782945" w:rsidRPr="00BE7239">
        <w:t>:</w:t>
      </w:r>
      <w:r w:rsidR="00782945" w:rsidRPr="00BE7239">
        <w:tab/>
      </w:r>
      <w:r w:rsidR="00782945" w:rsidRPr="00BE7239">
        <w:tab/>
      </w:r>
      <w:r w:rsidR="00782945" w:rsidRPr="00BE7239">
        <w:tab/>
      </w:r>
      <w:r w:rsidRPr="00BE7239">
        <w:t>……………………………………………</w:t>
      </w:r>
    </w:p>
    <w:p w14:paraId="13F90348" w14:textId="77777777" w:rsidR="00782945" w:rsidRPr="00BE7239" w:rsidRDefault="00782945" w:rsidP="00203F2A">
      <w:pPr>
        <w:pStyle w:val="NoSpacing"/>
        <w:jc w:val="both"/>
      </w:pPr>
    </w:p>
    <w:p w14:paraId="27CE65F3" w14:textId="066AE488" w:rsidR="006439AB" w:rsidRPr="00DD7F23" w:rsidRDefault="00AA07EA" w:rsidP="00203F2A">
      <w:pPr>
        <w:pStyle w:val="NoSpacing"/>
        <w:jc w:val="both"/>
        <w:rPr>
          <w:b/>
        </w:rPr>
      </w:pPr>
      <w:r w:rsidRPr="00DD7F23">
        <w:rPr>
          <w:b/>
        </w:rPr>
        <w:t xml:space="preserve">Name, job title, and contact details of the person responsible for filling out this </w:t>
      </w:r>
      <w:r w:rsidR="00D80C3B">
        <w:rPr>
          <w:b/>
        </w:rPr>
        <w:t>Screening Form</w:t>
      </w:r>
      <w:r w:rsidRPr="00DD7F23">
        <w:rPr>
          <w:b/>
        </w:rPr>
        <w:t>:</w:t>
      </w:r>
    </w:p>
    <w:p w14:paraId="4494E3DD" w14:textId="4DCDE369" w:rsidR="00DD7F23" w:rsidRDefault="00DD7F23" w:rsidP="00203F2A">
      <w:pPr>
        <w:pStyle w:val="NoSpacing"/>
        <w:jc w:val="both"/>
      </w:pPr>
    </w:p>
    <w:p w14:paraId="6E9A2136" w14:textId="576528E7" w:rsidR="00D80C3B" w:rsidRDefault="00D80C3B" w:rsidP="00203F2A">
      <w:pPr>
        <w:pStyle w:val="NoSpacing"/>
        <w:jc w:val="both"/>
      </w:pPr>
      <w:bookmarkStart w:id="52" w:name="_Hlk529633935"/>
      <w:r>
        <w:t>On behalf of the Applicant:</w:t>
      </w:r>
    </w:p>
    <w:p w14:paraId="47696E8E" w14:textId="5D3B3CB5" w:rsidR="00AA07EA" w:rsidRPr="006439AB" w:rsidRDefault="00AA07EA" w:rsidP="00203F2A">
      <w:pPr>
        <w:pStyle w:val="NoSpacing"/>
        <w:jc w:val="both"/>
      </w:pPr>
      <w:r w:rsidRPr="006439AB">
        <w:t>Name:</w:t>
      </w:r>
      <w:r w:rsidR="00782945">
        <w:tab/>
      </w:r>
      <w:r w:rsidR="00782945">
        <w:tab/>
      </w:r>
      <w:r w:rsidR="00782945">
        <w:tab/>
      </w:r>
      <w:r w:rsidR="00782945">
        <w:tab/>
      </w:r>
      <w:r w:rsidR="00782945">
        <w:tab/>
      </w:r>
      <w:r w:rsidR="00782945">
        <w:tab/>
      </w:r>
      <w:r w:rsidRPr="006439AB">
        <w:t>……………………………………………………………………</w:t>
      </w:r>
      <w:proofErr w:type="gramStart"/>
      <w:r w:rsidRPr="006439AB">
        <w:t>…..</w:t>
      </w:r>
      <w:proofErr w:type="gramEnd"/>
    </w:p>
    <w:p w14:paraId="32C329C9" w14:textId="15E242D5" w:rsidR="00AA07EA" w:rsidRPr="006439AB" w:rsidRDefault="00AA07EA" w:rsidP="00203F2A">
      <w:pPr>
        <w:pStyle w:val="NoSpacing"/>
        <w:jc w:val="both"/>
      </w:pPr>
      <w:r w:rsidRPr="006439AB">
        <w:t>Job title:</w:t>
      </w:r>
      <w:r w:rsidR="00782945">
        <w:tab/>
      </w:r>
      <w:r w:rsidR="00782945">
        <w:tab/>
      </w:r>
      <w:r w:rsidR="00782945">
        <w:tab/>
      </w:r>
      <w:r w:rsidR="00782945">
        <w:tab/>
      </w:r>
      <w:r w:rsidR="00782945">
        <w:tab/>
      </w:r>
      <w:r w:rsidRPr="006439AB">
        <w:t>………………………………………………………………………</w:t>
      </w:r>
    </w:p>
    <w:p w14:paraId="23DFEC7D" w14:textId="77777777" w:rsidR="00DD7F23" w:rsidRDefault="00AA07EA" w:rsidP="00203F2A">
      <w:pPr>
        <w:pStyle w:val="NoSpacing"/>
        <w:jc w:val="both"/>
      </w:pPr>
      <w:r w:rsidRPr="006439AB">
        <w:t>Telephone:</w:t>
      </w:r>
      <w:r w:rsidR="00DD7F23">
        <w:tab/>
      </w:r>
      <w:r w:rsidR="00DD7F23">
        <w:tab/>
      </w:r>
      <w:r w:rsidR="00DD7F23">
        <w:tab/>
      </w:r>
      <w:r w:rsidR="00DD7F23">
        <w:tab/>
      </w:r>
      <w:r w:rsidR="00DD7F23">
        <w:tab/>
      </w:r>
      <w:r w:rsidRPr="006439AB">
        <w:t>……………………………</w:t>
      </w:r>
    </w:p>
    <w:p w14:paraId="0426C297" w14:textId="6BDE90E3" w:rsidR="00AA07EA" w:rsidRPr="006439AB" w:rsidRDefault="00AA07EA" w:rsidP="00203F2A">
      <w:pPr>
        <w:pStyle w:val="NoSpacing"/>
        <w:jc w:val="both"/>
      </w:pPr>
      <w:r w:rsidRPr="006439AB">
        <w:t>E-mail</w:t>
      </w:r>
      <w:r w:rsidR="006439AB">
        <w:t>:</w:t>
      </w:r>
      <w:r w:rsidR="00DD7F23">
        <w:tab/>
      </w:r>
      <w:r w:rsidR="00DD7F23">
        <w:tab/>
      </w:r>
      <w:r w:rsidR="00DD7F23">
        <w:tab/>
      </w:r>
      <w:r w:rsidR="00DD7F23">
        <w:tab/>
      </w:r>
      <w:r w:rsidR="00DD7F23">
        <w:tab/>
      </w:r>
      <w:r w:rsidR="00DD7F23">
        <w:tab/>
      </w:r>
      <w:r w:rsidRPr="006439AB">
        <w:t>……………………</w:t>
      </w:r>
      <w:proofErr w:type="gramStart"/>
      <w:r w:rsidRPr="006439AB">
        <w:t>…..</w:t>
      </w:r>
      <w:proofErr w:type="gramEnd"/>
    </w:p>
    <w:bookmarkEnd w:id="52"/>
    <w:p w14:paraId="552174EE" w14:textId="04647508" w:rsidR="006439AB" w:rsidRDefault="006439AB" w:rsidP="00203F2A">
      <w:pPr>
        <w:pStyle w:val="NoSpacing"/>
        <w:jc w:val="both"/>
      </w:pPr>
    </w:p>
    <w:p w14:paraId="14C134F1" w14:textId="18603FBF" w:rsidR="00D80C3B" w:rsidRDefault="00D80C3B" w:rsidP="00203F2A">
      <w:pPr>
        <w:pStyle w:val="NoSpacing"/>
        <w:jc w:val="both"/>
      </w:pPr>
      <w:r>
        <w:t>On behalf of the PIU/MTIT</w:t>
      </w:r>
      <w:r w:rsidR="00F067FA">
        <w:t xml:space="preserve"> (or Expert Team Le</w:t>
      </w:r>
      <w:r w:rsidR="00BA6BF6">
        <w:t>a</w:t>
      </w:r>
      <w:r w:rsidR="00F067FA">
        <w:t>der</w:t>
      </w:r>
      <w:r w:rsidR="00BA6BF6">
        <w:t>)</w:t>
      </w:r>
      <w:r>
        <w:t>:</w:t>
      </w:r>
    </w:p>
    <w:p w14:paraId="5318B985" w14:textId="77777777" w:rsidR="00D80C3B" w:rsidRPr="006439AB" w:rsidRDefault="00D80C3B" w:rsidP="00203F2A">
      <w:pPr>
        <w:pStyle w:val="NoSpacing"/>
        <w:jc w:val="both"/>
      </w:pPr>
      <w:r w:rsidRPr="006439AB">
        <w:t>Name:</w:t>
      </w:r>
      <w:r>
        <w:tab/>
      </w:r>
      <w:r>
        <w:tab/>
      </w:r>
      <w:r>
        <w:tab/>
      </w:r>
      <w:r>
        <w:tab/>
      </w:r>
      <w:r>
        <w:tab/>
      </w:r>
      <w:r>
        <w:tab/>
      </w:r>
      <w:r w:rsidRPr="006439AB">
        <w:t>……………………………………………………………………</w:t>
      </w:r>
      <w:proofErr w:type="gramStart"/>
      <w:r w:rsidRPr="006439AB">
        <w:t>…..</w:t>
      </w:r>
      <w:proofErr w:type="gramEnd"/>
    </w:p>
    <w:p w14:paraId="76921774" w14:textId="77777777" w:rsidR="00D80C3B" w:rsidRPr="006439AB" w:rsidRDefault="00D80C3B" w:rsidP="00203F2A">
      <w:pPr>
        <w:pStyle w:val="NoSpacing"/>
        <w:jc w:val="both"/>
      </w:pPr>
      <w:r w:rsidRPr="006439AB">
        <w:t>Job title:</w:t>
      </w:r>
      <w:r>
        <w:tab/>
      </w:r>
      <w:r>
        <w:tab/>
      </w:r>
      <w:r>
        <w:tab/>
      </w:r>
      <w:r>
        <w:tab/>
      </w:r>
      <w:r>
        <w:tab/>
      </w:r>
      <w:r w:rsidRPr="006439AB">
        <w:t>………………………………………………………………………</w:t>
      </w:r>
    </w:p>
    <w:p w14:paraId="5D9AABCF" w14:textId="77777777" w:rsidR="00D80C3B" w:rsidRDefault="00D80C3B" w:rsidP="00203F2A">
      <w:pPr>
        <w:pStyle w:val="NoSpacing"/>
        <w:jc w:val="both"/>
      </w:pPr>
      <w:r w:rsidRPr="006439AB">
        <w:t>Telephone:</w:t>
      </w:r>
      <w:r>
        <w:tab/>
      </w:r>
      <w:r>
        <w:tab/>
      </w:r>
      <w:r>
        <w:tab/>
      </w:r>
      <w:r>
        <w:tab/>
      </w:r>
      <w:r>
        <w:tab/>
      </w:r>
      <w:r w:rsidRPr="006439AB">
        <w:t>……………………………</w:t>
      </w:r>
    </w:p>
    <w:p w14:paraId="11BE08FB" w14:textId="77777777" w:rsidR="00D80C3B" w:rsidRPr="006439AB" w:rsidRDefault="00D80C3B" w:rsidP="00203F2A">
      <w:pPr>
        <w:pStyle w:val="NoSpacing"/>
        <w:jc w:val="both"/>
      </w:pPr>
      <w:r w:rsidRPr="006439AB">
        <w:t>E-mail</w:t>
      </w:r>
      <w:r>
        <w:t>:</w:t>
      </w:r>
      <w:r>
        <w:tab/>
      </w:r>
      <w:r>
        <w:tab/>
      </w:r>
      <w:r>
        <w:tab/>
      </w:r>
      <w:r>
        <w:tab/>
      </w:r>
      <w:r>
        <w:tab/>
      </w:r>
      <w:r>
        <w:tab/>
      </w:r>
      <w:r w:rsidRPr="006439AB">
        <w:t>……………………</w:t>
      </w:r>
      <w:proofErr w:type="gramStart"/>
      <w:r w:rsidRPr="006439AB">
        <w:t>…..</w:t>
      </w:r>
      <w:proofErr w:type="gramEnd"/>
    </w:p>
    <w:p w14:paraId="1CEA5D32" w14:textId="77777777" w:rsidR="00D80C3B" w:rsidRDefault="00D80C3B" w:rsidP="00203F2A">
      <w:pPr>
        <w:pStyle w:val="NoSpacing"/>
        <w:jc w:val="both"/>
      </w:pPr>
    </w:p>
    <w:p w14:paraId="5E03C1AB" w14:textId="182A697D" w:rsidR="00AA07EA" w:rsidRPr="006439AB" w:rsidRDefault="00DD7F23" w:rsidP="00203F2A">
      <w:pPr>
        <w:pStyle w:val="NoSpacing"/>
        <w:jc w:val="both"/>
      </w:pPr>
      <w:r w:rsidRPr="00DD7F23">
        <w:rPr>
          <w:b/>
        </w:rPr>
        <w:t xml:space="preserve">Place and </w:t>
      </w:r>
      <w:r w:rsidR="00AA07EA" w:rsidRPr="00DD7F23">
        <w:rPr>
          <w:b/>
        </w:rPr>
        <w:t>Date:</w:t>
      </w:r>
      <w:r w:rsidRPr="00DD7F23">
        <w:rPr>
          <w:b/>
        </w:rPr>
        <w:tab/>
      </w:r>
      <w:r>
        <w:tab/>
      </w:r>
      <w:r>
        <w:tab/>
      </w:r>
      <w:r>
        <w:tab/>
        <w:t>………………………………</w:t>
      </w:r>
    </w:p>
    <w:p w14:paraId="24782810" w14:textId="77777777" w:rsidR="009B6869" w:rsidRDefault="009B6869" w:rsidP="00203F2A">
      <w:pPr>
        <w:pStyle w:val="NoSpacing"/>
        <w:jc w:val="both"/>
        <w:rPr>
          <w:b/>
        </w:rPr>
      </w:pPr>
    </w:p>
    <w:p w14:paraId="4E139B2A" w14:textId="77BCE3B2" w:rsidR="00AA07EA" w:rsidRPr="006439AB" w:rsidRDefault="00AA07EA" w:rsidP="00203F2A">
      <w:pPr>
        <w:pStyle w:val="NoSpacing"/>
        <w:jc w:val="both"/>
      </w:pPr>
      <w:r w:rsidRPr="00DD7F23">
        <w:rPr>
          <w:b/>
        </w:rPr>
        <w:t>Signature</w:t>
      </w:r>
      <w:r w:rsidR="00BA6BF6">
        <w:rPr>
          <w:b/>
        </w:rPr>
        <w:t>s</w:t>
      </w:r>
      <w:r w:rsidRPr="00DD7F23">
        <w:rPr>
          <w:b/>
        </w:rPr>
        <w:t>:</w:t>
      </w:r>
      <w:r w:rsidR="00DD7F23">
        <w:tab/>
      </w:r>
      <w:r w:rsidR="00DD7F23">
        <w:tab/>
      </w:r>
      <w:r w:rsidR="00DD7F23">
        <w:tab/>
      </w:r>
      <w:r w:rsidR="00DD7F23">
        <w:tab/>
      </w:r>
      <w:r w:rsidR="00DD7F23">
        <w:tab/>
      </w:r>
      <w:r w:rsidRPr="006439AB">
        <w:t>……………………………………………</w:t>
      </w:r>
    </w:p>
    <w:p w14:paraId="049FE4E4" w14:textId="4B188825" w:rsidR="006E3B9C" w:rsidRDefault="006E3B9C" w:rsidP="00203F2A">
      <w:pPr>
        <w:pStyle w:val="NoSpacing"/>
        <w:pBdr>
          <w:bottom w:val="single" w:sz="4" w:space="1" w:color="auto"/>
        </w:pBdr>
        <w:jc w:val="both"/>
      </w:pPr>
    </w:p>
    <w:p w14:paraId="072BD5AD" w14:textId="362394B8" w:rsidR="009B6869" w:rsidRDefault="009B6869" w:rsidP="00203F2A">
      <w:pPr>
        <w:pStyle w:val="NoSpacing"/>
        <w:pBdr>
          <w:bottom w:val="single" w:sz="4" w:space="1" w:color="auto"/>
        </w:pBdr>
        <w:jc w:val="both"/>
      </w:pPr>
    </w:p>
    <w:p w14:paraId="0E0D17CF" w14:textId="2757262F" w:rsidR="009B6869" w:rsidRDefault="009B6869" w:rsidP="00203F2A">
      <w:pPr>
        <w:pStyle w:val="NoSpacing"/>
        <w:pBdr>
          <w:bottom w:val="single" w:sz="4" w:space="1" w:color="auto"/>
        </w:pBdr>
        <w:jc w:val="both"/>
      </w:pPr>
    </w:p>
    <w:p w14:paraId="5560A593" w14:textId="77777777" w:rsidR="009B6869" w:rsidRPr="006439AB" w:rsidRDefault="009B6869" w:rsidP="00203F2A">
      <w:pPr>
        <w:pStyle w:val="NoSpacing"/>
        <w:pBdr>
          <w:bottom w:val="single" w:sz="4" w:space="1" w:color="auto"/>
        </w:pBdr>
        <w:jc w:val="both"/>
      </w:pPr>
    </w:p>
    <w:p w14:paraId="26C815B7" w14:textId="77777777" w:rsidR="00CA2189" w:rsidRDefault="00CA2189" w:rsidP="00203F2A">
      <w:pPr>
        <w:pStyle w:val="NoSpacing"/>
        <w:jc w:val="both"/>
      </w:pPr>
    </w:p>
    <w:p w14:paraId="4A022C3B" w14:textId="6C41F637" w:rsidR="006439AB" w:rsidRPr="00DD7F23" w:rsidRDefault="006439AB" w:rsidP="00203F2A">
      <w:pPr>
        <w:pStyle w:val="NoSpacing"/>
        <w:shd w:val="clear" w:color="auto" w:fill="D9D9D9" w:themeFill="background1" w:themeFillShade="D9"/>
        <w:jc w:val="both"/>
        <w:rPr>
          <w:b/>
        </w:rPr>
      </w:pPr>
      <w:r w:rsidRPr="00DD7F23">
        <w:rPr>
          <w:b/>
        </w:rPr>
        <w:t xml:space="preserve">PART A: </w:t>
      </w:r>
      <w:r w:rsidRPr="00DD7F23">
        <w:rPr>
          <w:b/>
        </w:rPr>
        <w:tab/>
        <w:t xml:space="preserve">BRIEF DESCRIPTION OF THE </w:t>
      </w:r>
      <w:r w:rsidR="00FE1C01">
        <w:rPr>
          <w:b/>
        </w:rPr>
        <w:t>PROPOSED SUB-</w:t>
      </w:r>
      <w:r w:rsidRPr="00DD7F23">
        <w:rPr>
          <w:b/>
        </w:rPr>
        <w:t xml:space="preserve">PROJECT </w:t>
      </w:r>
    </w:p>
    <w:p w14:paraId="03E1396C" w14:textId="77777777" w:rsidR="006439AB" w:rsidRDefault="006439AB" w:rsidP="00203F2A">
      <w:pPr>
        <w:pStyle w:val="NoSpacing"/>
        <w:jc w:val="both"/>
      </w:pPr>
    </w:p>
    <w:p w14:paraId="5067B4C4" w14:textId="29D96DF0" w:rsidR="006439AB" w:rsidRDefault="006439AB" w:rsidP="00203F2A">
      <w:pPr>
        <w:pStyle w:val="NoSpacing"/>
        <w:jc w:val="both"/>
      </w:pPr>
      <w:r w:rsidRPr="006439AB">
        <w:t>Please provide information on the type and scale of the sub-project (area, required land, approximate size of total building floor area)</w:t>
      </w:r>
      <w:r w:rsidR="00DD7F23">
        <w:t>:</w:t>
      </w:r>
    </w:p>
    <w:p w14:paraId="439D127D" w14:textId="7BDB2FCE" w:rsidR="00DD7F23" w:rsidRDefault="00DD7F23" w:rsidP="00203F2A">
      <w:pPr>
        <w:pStyle w:val="NoSpacing"/>
        <w:jc w:val="both"/>
      </w:pPr>
    </w:p>
    <w:p w14:paraId="22C5EF58" w14:textId="7DBFD431" w:rsidR="00DD7F23" w:rsidRDefault="00DD7F23" w:rsidP="00203F2A">
      <w:pPr>
        <w:pStyle w:val="NoSpacing"/>
        <w:jc w:val="both"/>
      </w:pPr>
    </w:p>
    <w:p w14:paraId="433C6465" w14:textId="7EE4559F" w:rsidR="00CA2189" w:rsidRDefault="00CA2189" w:rsidP="00203F2A">
      <w:pPr>
        <w:pStyle w:val="NoSpacing"/>
        <w:jc w:val="both"/>
      </w:pPr>
    </w:p>
    <w:p w14:paraId="18B5BA49" w14:textId="77777777" w:rsidR="00CA2189" w:rsidRDefault="00CA2189" w:rsidP="00203F2A">
      <w:pPr>
        <w:pStyle w:val="NoSpacing"/>
        <w:jc w:val="both"/>
      </w:pPr>
    </w:p>
    <w:p w14:paraId="0C82F489" w14:textId="77777777" w:rsidR="00DD7F23" w:rsidRPr="006439AB" w:rsidRDefault="00DD7F23" w:rsidP="00203F2A">
      <w:pPr>
        <w:pStyle w:val="NoSpacing"/>
        <w:jc w:val="both"/>
      </w:pPr>
    </w:p>
    <w:p w14:paraId="40F4DAD5" w14:textId="65CC2462" w:rsidR="00DD7F23" w:rsidRDefault="006439AB" w:rsidP="00203F2A">
      <w:pPr>
        <w:pStyle w:val="NoSpacing"/>
        <w:jc w:val="both"/>
      </w:pPr>
      <w:r w:rsidRPr="006439AB">
        <w:t>P</w:t>
      </w:r>
      <w:r w:rsidR="00CA2189">
        <w:t>lease p</w:t>
      </w:r>
      <w:r w:rsidRPr="006439AB">
        <w:t xml:space="preserve">rovide information about actions needed during the </w:t>
      </w:r>
      <w:r w:rsidR="00407BEA">
        <w:t xml:space="preserve">land development, </w:t>
      </w:r>
      <w:r w:rsidRPr="006439AB">
        <w:t xml:space="preserve">construction of facilities including </w:t>
      </w:r>
      <w:r w:rsidR="00DD7F23">
        <w:t xml:space="preserve">temporary </w:t>
      </w:r>
      <w:r w:rsidRPr="006439AB">
        <w:t>support</w:t>
      </w:r>
      <w:r w:rsidR="00DD7F23">
        <w:t xml:space="preserve"> </w:t>
      </w:r>
      <w:r w:rsidRPr="006439AB">
        <w:t>/</w:t>
      </w:r>
      <w:r w:rsidR="00DD7F23">
        <w:t xml:space="preserve"> </w:t>
      </w:r>
      <w:r w:rsidRPr="006439AB">
        <w:t>ancillary structures and activities required to build it, e.g. need to quarry or excavate borrow materials, laying pipes/lines to connect to energy or water source, access road</w:t>
      </w:r>
      <w:r w:rsidR="00DD7F23">
        <w:t>,</w:t>
      </w:r>
      <w:r w:rsidRPr="006439AB">
        <w:t xml:space="preserve"> etc.</w:t>
      </w:r>
      <w:r w:rsidR="00DD7F23">
        <w:t>:</w:t>
      </w:r>
    </w:p>
    <w:p w14:paraId="09D67BE2" w14:textId="77777777" w:rsidR="00DD7F23" w:rsidRDefault="00DD7F23" w:rsidP="00203F2A">
      <w:pPr>
        <w:pStyle w:val="NoSpacing"/>
        <w:jc w:val="both"/>
      </w:pPr>
    </w:p>
    <w:p w14:paraId="3BDA7EA9" w14:textId="77777777" w:rsidR="00DD7F23" w:rsidRDefault="00DD7F23" w:rsidP="00203F2A">
      <w:pPr>
        <w:pStyle w:val="NoSpacing"/>
        <w:jc w:val="both"/>
      </w:pPr>
    </w:p>
    <w:p w14:paraId="358E9B2B" w14:textId="0EB85060" w:rsidR="006439AB" w:rsidRDefault="006439AB" w:rsidP="00203F2A">
      <w:pPr>
        <w:pStyle w:val="NoSpacing"/>
        <w:jc w:val="both"/>
      </w:pPr>
      <w:r w:rsidRPr="006439AB">
        <w:t xml:space="preserve"> </w:t>
      </w:r>
    </w:p>
    <w:p w14:paraId="4FF01BC9" w14:textId="4966CE9A" w:rsidR="00CA2189" w:rsidRDefault="00CA2189" w:rsidP="00203F2A">
      <w:pPr>
        <w:pStyle w:val="NoSpacing"/>
        <w:jc w:val="both"/>
      </w:pPr>
    </w:p>
    <w:p w14:paraId="0810C8F5" w14:textId="77777777" w:rsidR="00CA2189" w:rsidRPr="006439AB" w:rsidRDefault="00CA2189" w:rsidP="00203F2A">
      <w:pPr>
        <w:pStyle w:val="NoSpacing"/>
        <w:jc w:val="both"/>
      </w:pPr>
    </w:p>
    <w:p w14:paraId="3A15E01D" w14:textId="612FFBE0" w:rsidR="006439AB" w:rsidRPr="006439AB" w:rsidRDefault="00CA2189" w:rsidP="00203F2A">
      <w:pPr>
        <w:pStyle w:val="NoSpacing"/>
        <w:jc w:val="both"/>
      </w:pPr>
      <w:r>
        <w:t>Please d</w:t>
      </w:r>
      <w:r w:rsidR="006439AB" w:rsidRPr="006439AB">
        <w:t>escribe how the sub-project will operate including activities and resources required to operate it e.g. roads, disposal site, water supply, energy requirement, human resource</w:t>
      </w:r>
      <w:r w:rsidR="00DD7F23">
        <w:t>,</w:t>
      </w:r>
      <w:r w:rsidR="006439AB" w:rsidRPr="006439AB">
        <w:t xml:space="preserve"> etc.</w:t>
      </w:r>
      <w:r w:rsidR="00DD7F23">
        <w:t>:</w:t>
      </w:r>
    </w:p>
    <w:p w14:paraId="6E440FBE" w14:textId="1C0F4A34" w:rsidR="006439AB" w:rsidRPr="006439AB" w:rsidRDefault="006439AB" w:rsidP="00203F2A">
      <w:pPr>
        <w:pStyle w:val="NoSpacing"/>
        <w:jc w:val="both"/>
      </w:pPr>
    </w:p>
    <w:p w14:paraId="0D2F55EC" w14:textId="77777777" w:rsidR="00DD7F23" w:rsidRDefault="00DD7F23" w:rsidP="00203F2A">
      <w:pPr>
        <w:pStyle w:val="NoSpacing"/>
        <w:ind w:left="1410" w:hanging="1410"/>
        <w:jc w:val="both"/>
        <w:rPr>
          <w:b/>
        </w:rPr>
      </w:pPr>
    </w:p>
    <w:p w14:paraId="53696565" w14:textId="06FA1EC6" w:rsidR="00DD7F23" w:rsidRDefault="00DD7F23" w:rsidP="00203F2A">
      <w:pPr>
        <w:pStyle w:val="NoSpacing"/>
        <w:ind w:left="1410" w:hanging="1410"/>
        <w:jc w:val="both"/>
        <w:rPr>
          <w:b/>
        </w:rPr>
      </w:pPr>
    </w:p>
    <w:p w14:paraId="447B3525" w14:textId="45B2B484" w:rsidR="00CA2189" w:rsidRDefault="00CA2189" w:rsidP="00203F2A">
      <w:pPr>
        <w:pStyle w:val="NoSpacing"/>
        <w:ind w:left="1410" w:hanging="1410"/>
        <w:jc w:val="both"/>
        <w:rPr>
          <w:b/>
        </w:rPr>
      </w:pPr>
    </w:p>
    <w:p w14:paraId="73C41141" w14:textId="77777777" w:rsidR="00CA2189" w:rsidRDefault="00CA2189" w:rsidP="00203F2A">
      <w:pPr>
        <w:pStyle w:val="NoSpacing"/>
        <w:ind w:left="1410" w:hanging="1410"/>
        <w:jc w:val="both"/>
        <w:rPr>
          <w:b/>
        </w:rPr>
      </w:pPr>
    </w:p>
    <w:p w14:paraId="67F9E8D0" w14:textId="77777777" w:rsidR="009C354E" w:rsidRDefault="009C354E" w:rsidP="00203F2A">
      <w:pPr>
        <w:pStyle w:val="NoSpacing"/>
        <w:pBdr>
          <w:top w:val="single" w:sz="4" w:space="1" w:color="auto"/>
        </w:pBdr>
        <w:ind w:left="1410" w:hanging="1410"/>
        <w:jc w:val="both"/>
        <w:rPr>
          <w:b/>
        </w:rPr>
      </w:pPr>
    </w:p>
    <w:p w14:paraId="11AFDC7D" w14:textId="2BA9AE7D" w:rsidR="0002117D" w:rsidRPr="0002117D" w:rsidRDefault="0002117D" w:rsidP="00203F2A">
      <w:pPr>
        <w:pStyle w:val="NoSpacing"/>
        <w:shd w:val="clear" w:color="auto" w:fill="D9D9D9" w:themeFill="background1" w:themeFillShade="D9"/>
        <w:ind w:left="1416" w:hanging="1416"/>
        <w:jc w:val="both"/>
        <w:rPr>
          <w:b/>
        </w:rPr>
      </w:pPr>
      <w:r w:rsidRPr="0002117D">
        <w:rPr>
          <w:b/>
        </w:rPr>
        <w:t>PART B:</w:t>
      </w:r>
      <w:r w:rsidRPr="0002117D">
        <w:rPr>
          <w:b/>
        </w:rPr>
        <w:tab/>
        <w:t>SCREENING OF ELIGIBLE SU</w:t>
      </w:r>
      <w:r w:rsidR="00E55AC1">
        <w:rPr>
          <w:b/>
        </w:rPr>
        <w:t>B</w:t>
      </w:r>
      <w:r w:rsidRPr="0002117D">
        <w:rPr>
          <w:b/>
        </w:rPr>
        <w:t xml:space="preserve">-PROJECT ACTIVITIES UNDER THE </w:t>
      </w:r>
      <w:r w:rsidR="00190610">
        <w:rPr>
          <w:b/>
        </w:rPr>
        <w:t>SCSD</w:t>
      </w:r>
      <w:r w:rsidRPr="0002117D">
        <w:rPr>
          <w:b/>
        </w:rPr>
        <w:t xml:space="preserve"> PROJECT</w:t>
      </w:r>
    </w:p>
    <w:p w14:paraId="7DC0B8DF" w14:textId="77777777" w:rsidR="0002117D" w:rsidRDefault="0002117D" w:rsidP="00203F2A">
      <w:pPr>
        <w:pStyle w:val="NoSpacing"/>
        <w:jc w:val="both"/>
      </w:pPr>
    </w:p>
    <w:p w14:paraId="2DE97FCD" w14:textId="129B6E80" w:rsidR="00E55AC1" w:rsidRPr="002E4F13" w:rsidRDefault="00E55AC1" w:rsidP="00203F2A">
      <w:pPr>
        <w:pStyle w:val="NoSpacing"/>
        <w:jc w:val="both"/>
        <w:rPr>
          <w:b/>
        </w:rPr>
      </w:pPr>
      <w:r w:rsidRPr="002E4F13">
        <w:rPr>
          <w:b/>
        </w:rPr>
        <w:t>S</w:t>
      </w:r>
      <w:r>
        <w:rPr>
          <w:b/>
        </w:rPr>
        <w:t>TEP</w:t>
      </w:r>
      <w:r w:rsidRPr="002E4F13">
        <w:rPr>
          <w:b/>
        </w:rPr>
        <w:t xml:space="preserve"> 1 </w:t>
      </w:r>
      <w:r w:rsidR="003C688F" w:rsidRPr="002E4F13">
        <w:rPr>
          <w:b/>
        </w:rPr>
        <w:t>- SCREENING</w:t>
      </w:r>
      <w:r w:rsidRPr="002E4F13">
        <w:rPr>
          <w:b/>
        </w:rPr>
        <w:t>: Exclusion Checklist</w:t>
      </w:r>
    </w:p>
    <w:p w14:paraId="71D8B35C" w14:textId="77777777" w:rsidR="00E55AC1" w:rsidRDefault="00E55AC1" w:rsidP="00203F2A">
      <w:pPr>
        <w:pStyle w:val="NoSpacing"/>
        <w:jc w:val="both"/>
      </w:pPr>
    </w:p>
    <w:p w14:paraId="2165D319" w14:textId="35AE7C7A" w:rsidR="00E55AC1" w:rsidRDefault="00E55AC1" w:rsidP="00203F2A">
      <w:pPr>
        <w:pStyle w:val="NoSpacing"/>
        <w:jc w:val="both"/>
      </w:pPr>
      <w:r>
        <w:t xml:space="preserve">Within the scope of the targeted sectors under the </w:t>
      </w:r>
      <w:r w:rsidR="00190610">
        <w:t>SCSD</w:t>
      </w:r>
      <w:r>
        <w:t xml:space="preserve"> Project, the following sub-project activities</w:t>
      </w:r>
      <w:r w:rsidRPr="00E55AC1">
        <w:t xml:space="preserve"> under Component 2 of the Project </w:t>
      </w:r>
      <w:r>
        <w:t xml:space="preserve">are </w:t>
      </w:r>
      <w:r w:rsidR="00FD7673">
        <w:rPr>
          <w:u w:val="single"/>
        </w:rPr>
        <w:t>NOT</w:t>
      </w:r>
      <w:r w:rsidRPr="00CA2189">
        <w:rPr>
          <w:u w:val="single"/>
        </w:rPr>
        <w:t xml:space="preserve"> eligible</w:t>
      </w:r>
      <w:r>
        <w:t xml:space="preserve"> for financing and support under </w:t>
      </w:r>
      <w:r w:rsidR="00190610">
        <w:t>SCSD</w:t>
      </w:r>
      <w:r>
        <w:t xml:space="preserve"> Project</w:t>
      </w:r>
      <w:r w:rsidR="00E82481">
        <w:t>:</w:t>
      </w:r>
    </w:p>
    <w:p w14:paraId="008355A1" w14:textId="2E7BB2AC" w:rsidR="00E55AC1" w:rsidRDefault="00E55AC1" w:rsidP="00203F2A">
      <w:pPr>
        <w:pStyle w:val="NoSpacing"/>
        <w:jc w:val="both"/>
      </w:pPr>
    </w:p>
    <w:p w14:paraId="5A603787" w14:textId="77777777" w:rsidR="00E55AC1" w:rsidRDefault="00E55AC1" w:rsidP="00203F2A">
      <w:pPr>
        <w:pStyle w:val="NoSpacing"/>
        <w:numPr>
          <w:ilvl w:val="0"/>
          <w:numId w:val="12"/>
        </w:numPr>
        <w:jc w:val="both"/>
      </w:pPr>
      <w:r>
        <w:t>Activities that are illegal under Suriname national laws, regulations and/or ratified international conventions and agreements;</w:t>
      </w:r>
    </w:p>
    <w:p w14:paraId="383F20E4" w14:textId="77777777" w:rsidR="00E55AC1" w:rsidRDefault="00E55AC1" w:rsidP="00203F2A">
      <w:pPr>
        <w:pStyle w:val="NoSpacing"/>
        <w:numPr>
          <w:ilvl w:val="0"/>
          <w:numId w:val="12"/>
        </w:numPr>
        <w:jc w:val="both"/>
      </w:pPr>
      <w:r>
        <w:t>Activities that would be classified as Category A under the World Bank OP/BP 4.01;</w:t>
      </w:r>
    </w:p>
    <w:p w14:paraId="68DDA56A" w14:textId="480A20DA" w:rsidR="00E55AC1" w:rsidRDefault="00E55AC1" w:rsidP="00203F2A">
      <w:pPr>
        <w:pStyle w:val="NoSpacing"/>
        <w:numPr>
          <w:ilvl w:val="0"/>
          <w:numId w:val="12"/>
        </w:numPr>
        <w:jc w:val="both"/>
      </w:pPr>
      <w:r>
        <w:t>Activities that would involve significant conversion or degradation of natural forests, HCV areas and/or critical natural habitats;</w:t>
      </w:r>
    </w:p>
    <w:p w14:paraId="479B26FB" w14:textId="111D7A0D" w:rsidR="00AB2C5E" w:rsidRDefault="00AB2C5E" w:rsidP="00203F2A">
      <w:pPr>
        <w:pStyle w:val="NoSpacing"/>
        <w:numPr>
          <w:ilvl w:val="0"/>
          <w:numId w:val="12"/>
        </w:numPr>
        <w:jc w:val="both"/>
      </w:pPr>
      <w:r>
        <w:t xml:space="preserve">Activities entailing agricultural or tourism development on government domain that is part of indigenous and </w:t>
      </w:r>
      <w:r w:rsidR="00A52930">
        <w:t>tribal people</w:t>
      </w:r>
      <w:r>
        <w:t xml:space="preserve"> customary lands, without explicit community consent;</w:t>
      </w:r>
    </w:p>
    <w:p w14:paraId="1A1FC481" w14:textId="600573AF" w:rsidR="00E55AC1" w:rsidRDefault="00E55AC1" w:rsidP="00203F2A">
      <w:pPr>
        <w:pStyle w:val="NoSpacing"/>
        <w:numPr>
          <w:ilvl w:val="0"/>
          <w:numId w:val="12"/>
        </w:numPr>
        <w:jc w:val="both"/>
      </w:pPr>
      <w:r>
        <w:t xml:space="preserve">Activities that would </w:t>
      </w:r>
      <w:r w:rsidR="0037019D">
        <w:t xml:space="preserve">have </w:t>
      </w:r>
      <w:r>
        <w:t xml:space="preserve">significant </w:t>
      </w:r>
      <w:r w:rsidR="0037019D">
        <w:t xml:space="preserve">adverse </w:t>
      </w:r>
      <w:r>
        <w:t>impacts on known physical cultural heritage and/or resources;</w:t>
      </w:r>
    </w:p>
    <w:p w14:paraId="4FC2390B" w14:textId="32B5D77B" w:rsidR="00E55AC1" w:rsidRDefault="00E55AC1" w:rsidP="00203F2A">
      <w:pPr>
        <w:pStyle w:val="NoSpacing"/>
        <w:numPr>
          <w:ilvl w:val="0"/>
          <w:numId w:val="12"/>
        </w:numPr>
        <w:jc w:val="both"/>
      </w:pPr>
      <w:r>
        <w:t>Activities that would involve the purchase, use or management of significant quantities of hazardous (</w:t>
      </w:r>
      <w:proofErr w:type="spellStart"/>
      <w:r>
        <w:t>agro</w:t>
      </w:r>
      <w:proofErr w:type="spellEnd"/>
      <w:r>
        <w:t>)chemicals;</w:t>
      </w:r>
    </w:p>
    <w:p w14:paraId="05185A3C" w14:textId="1F2ACBF4" w:rsidR="006D6A05" w:rsidRDefault="00E82481" w:rsidP="00203F2A">
      <w:pPr>
        <w:pStyle w:val="NoSpacing"/>
        <w:numPr>
          <w:ilvl w:val="0"/>
          <w:numId w:val="12"/>
        </w:numPr>
        <w:jc w:val="both"/>
      </w:pPr>
      <w:r>
        <w:t>Activities of any type of commercial timber harvesting (logging) from any type of forests;</w:t>
      </w:r>
    </w:p>
    <w:p w14:paraId="69132CF7" w14:textId="2291D953" w:rsidR="00E55AC1" w:rsidRDefault="00E55AC1" w:rsidP="00203F2A">
      <w:pPr>
        <w:pStyle w:val="NoSpacing"/>
        <w:numPr>
          <w:ilvl w:val="0"/>
          <w:numId w:val="12"/>
        </w:numPr>
        <w:jc w:val="both"/>
      </w:pPr>
      <w:r>
        <w:t>Activities of (community or small scale) commercial NTFP harvesting that include areas with HCVs and do not adhere to national forest management standards</w:t>
      </w:r>
      <w:r w:rsidR="00E82481">
        <w:t>;</w:t>
      </w:r>
      <w:r>
        <w:t xml:space="preserve"> </w:t>
      </w:r>
    </w:p>
    <w:p w14:paraId="1FB0F4FF" w14:textId="6FEAE396" w:rsidR="00E55AC1" w:rsidRDefault="00E55AC1" w:rsidP="00203F2A">
      <w:pPr>
        <w:pStyle w:val="NoSpacing"/>
        <w:numPr>
          <w:ilvl w:val="0"/>
          <w:numId w:val="12"/>
        </w:numPr>
        <w:jc w:val="both"/>
      </w:pPr>
      <w:r>
        <w:t xml:space="preserve">Activities (including tourism visits) that would </w:t>
      </w:r>
      <w:r w:rsidR="0037019D">
        <w:t xml:space="preserve">have </w:t>
      </w:r>
      <w:r>
        <w:t>significant</w:t>
      </w:r>
      <w:r w:rsidR="0037019D">
        <w:t xml:space="preserve">ly </w:t>
      </w:r>
      <w:r w:rsidR="003C688F">
        <w:t>eroded</w:t>
      </w:r>
      <w:r w:rsidR="0037019D">
        <w:t xml:space="preserve"> </w:t>
      </w:r>
      <w:r>
        <w:t xml:space="preserve">the integrity of </w:t>
      </w:r>
      <w:r w:rsidR="0037019D">
        <w:t xml:space="preserve">any </w:t>
      </w:r>
      <w:r>
        <w:t>type of P</w:t>
      </w:r>
      <w:r w:rsidR="0037019D">
        <w:t>a</w:t>
      </w:r>
      <w:r>
        <w:t>s</w:t>
      </w:r>
      <w:r w:rsidR="0037019D">
        <w:t xml:space="preserve">, or the lifestyle of </w:t>
      </w:r>
      <w:r w:rsidR="00C76694">
        <w:t xml:space="preserve">indigenous and tribal </w:t>
      </w:r>
      <w:r>
        <w:t xml:space="preserve">peoples and </w:t>
      </w:r>
      <w:r w:rsidR="0037019D">
        <w:t xml:space="preserve">their </w:t>
      </w:r>
      <w:r>
        <w:t>customary access to and use of natural and cultural resources;</w:t>
      </w:r>
    </w:p>
    <w:p w14:paraId="62B39860" w14:textId="77777777" w:rsidR="00E55AC1" w:rsidRDefault="00E55AC1" w:rsidP="00203F2A">
      <w:pPr>
        <w:pStyle w:val="NoSpacing"/>
        <w:numPr>
          <w:ilvl w:val="0"/>
          <w:numId w:val="12"/>
        </w:numPr>
        <w:jc w:val="both"/>
      </w:pPr>
      <w:r w:rsidRPr="004D009A">
        <w:t xml:space="preserve">Wildlife or wildlife products regulated under </w:t>
      </w:r>
      <w:r>
        <w:t xml:space="preserve">national laws and/or the </w:t>
      </w:r>
      <w:r w:rsidRPr="004D009A">
        <w:t>Convention on International Trade in Endangered Species of Wild Fauna and Flora (CITES)</w:t>
      </w:r>
      <w:r>
        <w:t>;</w:t>
      </w:r>
    </w:p>
    <w:p w14:paraId="1EE98E7E" w14:textId="5E58643E" w:rsidR="00E55AC1" w:rsidRDefault="00E82481" w:rsidP="00203F2A">
      <w:pPr>
        <w:pStyle w:val="NoSpacing"/>
        <w:numPr>
          <w:ilvl w:val="0"/>
          <w:numId w:val="12"/>
        </w:numPr>
        <w:jc w:val="both"/>
      </w:pPr>
      <w:r>
        <w:t xml:space="preserve">Activities </w:t>
      </w:r>
      <w:r w:rsidR="0037019D">
        <w:t xml:space="preserve">involving </w:t>
      </w:r>
      <w:r>
        <w:t xml:space="preserve">any type of commercial wild fish </w:t>
      </w:r>
      <w:r w:rsidR="0037019D">
        <w:t>harvest</w:t>
      </w:r>
      <w:r w:rsidR="00E55AC1">
        <w:t>.</w:t>
      </w:r>
    </w:p>
    <w:p w14:paraId="010C35AB" w14:textId="77777777" w:rsidR="00E55AC1" w:rsidRDefault="00E55AC1" w:rsidP="00203F2A">
      <w:pPr>
        <w:pStyle w:val="NoSpacing"/>
        <w:jc w:val="both"/>
      </w:pPr>
    </w:p>
    <w:p w14:paraId="477EE578" w14:textId="4C868D42" w:rsidR="00E82481" w:rsidRDefault="00E55AC1" w:rsidP="00203F2A">
      <w:pPr>
        <w:pStyle w:val="NoSpacing"/>
        <w:jc w:val="both"/>
      </w:pPr>
      <w:r>
        <w:t>And further, also excluded are all sub-project activities that include or relate to</w:t>
      </w:r>
      <w:r w:rsidR="00E82481">
        <w:t>:</w:t>
      </w:r>
    </w:p>
    <w:p w14:paraId="094C40EE" w14:textId="77777777" w:rsidR="00E55AC1" w:rsidRDefault="00E55AC1" w:rsidP="00203F2A">
      <w:pPr>
        <w:pStyle w:val="NoSpacing"/>
        <w:numPr>
          <w:ilvl w:val="0"/>
          <w:numId w:val="13"/>
        </w:numPr>
        <w:jc w:val="both"/>
      </w:pPr>
      <w:r>
        <w:t>Weapons and munitions;</w:t>
      </w:r>
    </w:p>
    <w:p w14:paraId="4D63AB80" w14:textId="77777777" w:rsidR="00E55AC1" w:rsidRDefault="00E55AC1" w:rsidP="00203F2A">
      <w:pPr>
        <w:pStyle w:val="NoSpacing"/>
        <w:numPr>
          <w:ilvl w:val="0"/>
          <w:numId w:val="13"/>
        </w:numPr>
        <w:jc w:val="both"/>
      </w:pPr>
      <w:r>
        <w:t>Tabaco and Alcoholic beverages (excluding wine and beer);</w:t>
      </w:r>
    </w:p>
    <w:p w14:paraId="03B71A75" w14:textId="77777777" w:rsidR="00E55AC1" w:rsidRDefault="00E55AC1" w:rsidP="00203F2A">
      <w:pPr>
        <w:pStyle w:val="NoSpacing"/>
        <w:numPr>
          <w:ilvl w:val="0"/>
          <w:numId w:val="13"/>
        </w:numPr>
        <w:jc w:val="both"/>
      </w:pPr>
      <w:r>
        <w:t>Gambling, casinos and equivalent enterprises;</w:t>
      </w:r>
    </w:p>
    <w:p w14:paraId="227E9C86" w14:textId="77777777" w:rsidR="00E55AC1" w:rsidRDefault="00E55AC1" w:rsidP="00203F2A">
      <w:pPr>
        <w:pStyle w:val="NoSpacing"/>
        <w:numPr>
          <w:ilvl w:val="0"/>
          <w:numId w:val="13"/>
        </w:numPr>
        <w:jc w:val="both"/>
      </w:pPr>
      <w:r>
        <w:t>Real estate speculation;</w:t>
      </w:r>
    </w:p>
    <w:p w14:paraId="6E4785FC" w14:textId="77777777" w:rsidR="00E55AC1" w:rsidRDefault="00E55AC1" w:rsidP="00203F2A">
      <w:pPr>
        <w:pStyle w:val="NoSpacing"/>
        <w:numPr>
          <w:ilvl w:val="0"/>
          <w:numId w:val="13"/>
        </w:numPr>
        <w:jc w:val="both"/>
      </w:pPr>
      <w:r>
        <w:t>Radioactive materials and unbounded asbestos fibres;</w:t>
      </w:r>
    </w:p>
    <w:p w14:paraId="48EC156C" w14:textId="77777777" w:rsidR="00E55AC1" w:rsidRDefault="00E55AC1" w:rsidP="00203F2A">
      <w:pPr>
        <w:pStyle w:val="NoSpacing"/>
        <w:numPr>
          <w:ilvl w:val="0"/>
          <w:numId w:val="13"/>
        </w:numPr>
        <w:jc w:val="both"/>
      </w:pPr>
      <w:r>
        <w:t>Polychlorinated biphenyl compounds (PCBs);</w:t>
      </w:r>
    </w:p>
    <w:p w14:paraId="23FEBA43" w14:textId="77777777" w:rsidR="00E55AC1" w:rsidRDefault="00E55AC1" w:rsidP="00203F2A">
      <w:pPr>
        <w:pStyle w:val="NoSpacing"/>
        <w:numPr>
          <w:ilvl w:val="0"/>
          <w:numId w:val="13"/>
        </w:numPr>
        <w:jc w:val="both"/>
      </w:pPr>
      <w:r>
        <w:t>Pharmaceuticals subject to international phase outs or bans;</w:t>
      </w:r>
    </w:p>
    <w:p w14:paraId="7E3C50A3" w14:textId="6A35FCFD" w:rsidR="00E55AC1" w:rsidRDefault="00E55AC1" w:rsidP="00203F2A">
      <w:pPr>
        <w:pStyle w:val="NoSpacing"/>
        <w:numPr>
          <w:ilvl w:val="0"/>
          <w:numId w:val="13"/>
        </w:numPr>
        <w:jc w:val="both"/>
      </w:pPr>
      <w:r>
        <w:t>Pesticides/herbicides subject to international phase outs or bans</w:t>
      </w:r>
      <w:r w:rsidR="00E82481">
        <w:t>;</w:t>
      </w:r>
    </w:p>
    <w:p w14:paraId="6AEE752C" w14:textId="72A20FEA" w:rsidR="00E55AC1" w:rsidRDefault="00E55AC1" w:rsidP="00203F2A">
      <w:pPr>
        <w:pStyle w:val="NoSpacing"/>
        <w:numPr>
          <w:ilvl w:val="0"/>
          <w:numId w:val="13"/>
        </w:numPr>
        <w:jc w:val="both"/>
      </w:pPr>
      <w:r>
        <w:t>Ozone depleting substances subject to international phase out or bans;</w:t>
      </w:r>
    </w:p>
    <w:p w14:paraId="4E497F57" w14:textId="3D604FE0" w:rsidR="00C76694" w:rsidRDefault="00C76694" w:rsidP="00203F2A">
      <w:pPr>
        <w:pStyle w:val="NoSpacing"/>
        <w:numPr>
          <w:ilvl w:val="0"/>
          <w:numId w:val="13"/>
        </w:numPr>
        <w:jc w:val="both"/>
      </w:pPr>
      <w:r>
        <w:t>Asbestos and mercury;</w:t>
      </w:r>
    </w:p>
    <w:p w14:paraId="591211D8" w14:textId="4E286ECD" w:rsidR="00E55AC1" w:rsidRDefault="00E55AC1" w:rsidP="00203F2A">
      <w:pPr>
        <w:pStyle w:val="NoSpacing"/>
        <w:numPr>
          <w:ilvl w:val="0"/>
          <w:numId w:val="13"/>
        </w:numPr>
        <w:jc w:val="both"/>
      </w:pPr>
      <w:r>
        <w:t>Persistent Organic Pollutants (POPs)</w:t>
      </w:r>
      <w:r w:rsidR="00E82481">
        <w:t>.</w:t>
      </w:r>
    </w:p>
    <w:p w14:paraId="254364DC" w14:textId="77777777" w:rsidR="00E55AC1" w:rsidRDefault="00E55AC1" w:rsidP="00203F2A">
      <w:pPr>
        <w:pStyle w:val="NoSpacing"/>
        <w:jc w:val="both"/>
      </w:pPr>
    </w:p>
    <w:p w14:paraId="3D3C37D3" w14:textId="60E5FCBC" w:rsidR="00E82481" w:rsidRDefault="00E55AC1" w:rsidP="00203F2A">
      <w:pPr>
        <w:pStyle w:val="NoSpacing"/>
        <w:jc w:val="both"/>
      </w:pPr>
      <w:r>
        <w:t>And all sub-project activities that involve:</w:t>
      </w:r>
    </w:p>
    <w:p w14:paraId="64D4EF8E" w14:textId="77777777" w:rsidR="00E55AC1" w:rsidRDefault="00E55AC1" w:rsidP="00203F2A">
      <w:pPr>
        <w:pStyle w:val="NoSpacing"/>
        <w:numPr>
          <w:ilvl w:val="0"/>
          <w:numId w:val="14"/>
        </w:numPr>
        <w:jc w:val="both"/>
      </w:pPr>
      <w:r>
        <w:t xml:space="preserve">Non-compliance with workers fundamental principles and rights at work, and </w:t>
      </w:r>
    </w:p>
    <w:p w14:paraId="57F70CED" w14:textId="77777777" w:rsidR="00E55AC1" w:rsidRDefault="00E55AC1" w:rsidP="00203F2A">
      <w:pPr>
        <w:pStyle w:val="NoSpacing"/>
        <w:numPr>
          <w:ilvl w:val="0"/>
          <w:numId w:val="14"/>
        </w:numPr>
        <w:jc w:val="both"/>
      </w:pPr>
      <w:r>
        <w:t>Land acquisition that involves involuntary resettlement or land acquisition in which there is not a willing seller.</w:t>
      </w:r>
    </w:p>
    <w:p w14:paraId="3BB7C0FB" w14:textId="77777777" w:rsidR="00E55AC1" w:rsidRDefault="00E55AC1" w:rsidP="00203F2A">
      <w:pPr>
        <w:pStyle w:val="NoSpacing"/>
        <w:jc w:val="both"/>
      </w:pPr>
    </w:p>
    <w:p w14:paraId="7D4E6F6A" w14:textId="13DFD607" w:rsidR="00B91616" w:rsidRPr="00256792" w:rsidRDefault="00B91616" w:rsidP="00203F2A">
      <w:pPr>
        <w:pStyle w:val="NoSpacing"/>
        <w:jc w:val="both"/>
        <w:rPr>
          <w:b/>
        </w:rPr>
      </w:pPr>
      <w:r w:rsidRPr="00256792">
        <w:rPr>
          <w:b/>
        </w:rPr>
        <w:t>S</w:t>
      </w:r>
      <w:r>
        <w:rPr>
          <w:b/>
        </w:rPr>
        <w:t>TEP</w:t>
      </w:r>
      <w:r w:rsidRPr="00256792">
        <w:rPr>
          <w:b/>
        </w:rPr>
        <w:t xml:space="preserve"> 2 - PERMITTING: </w:t>
      </w:r>
      <w:r>
        <w:rPr>
          <w:b/>
        </w:rPr>
        <w:t>Environmental permits</w:t>
      </w:r>
    </w:p>
    <w:p w14:paraId="45152B5F" w14:textId="77777777" w:rsidR="00B91616" w:rsidRDefault="00B91616" w:rsidP="00203F2A">
      <w:pPr>
        <w:pStyle w:val="NoSpacing"/>
        <w:jc w:val="both"/>
      </w:pPr>
    </w:p>
    <w:p w14:paraId="1FEE0C8B" w14:textId="5DD6D0C5" w:rsidR="009153E9" w:rsidRDefault="00B91616" w:rsidP="00203F2A">
      <w:pPr>
        <w:pStyle w:val="NoSpacing"/>
        <w:jc w:val="both"/>
      </w:pPr>
      <w:r>
        <w:t xml:space="preserve">Sub-project activities under Component 2 of the </w:t>
      </w:r>
      <w:r w:rsidR="00190610">
        <w:t>SCSD</w:t>
      </w:r>
      <w:r>
        <w:t xml:space="preserve"> Project may require environmental permits under Suriname laws as described in Section 3 of this document. In cases where sub-project activities</w:t>
      </w:r>
      <w:r w:rsidR="004E3AB3">
        <w:t>,</w:t>
      </w:r>
      <w:r>
        <w:t xml:space="preserve"> </w:t>
      </w:r>
      <w:r w:rsidR="004E3AB3" w:rsidRPr="00E55AC1">
        <w:t xml:space="preserve">both </w:t>
      </w:r>
      <w:r w:rsidR="004E3AB3">
        <w:t>r</w:t>
      </w:r>
      <w:r w:rsidR="004E3AB3" w:rsidRPr="00E55AC1">
        <w:t xml:space="preserve">elated </w:t>
      </w:r>
      <w:r w:rsidR="00B306E7">
        <w:t xml:space="preserve">to </w:t>
      </w:r>
      <w:r w:rsidR="004E3AB3" w:rsidRPr="00E55AC1">
        <w:t>SME matching grant support</w:t>
      </w:r>
      <w:r w:rsidR="00B306E7">
        <w:t xml:space="preserve"> and group value chain assets</w:t>
      </w:r>
      <w:r w:rsidR="004E3AB3">
        <w:t xml:space="preserve">, </w:t>
      </w:r>
      <w:r>
        <w:t xml:space="preserve">require new permits to be obtained or existing permits to be amended, </w:t>
      </w:r>
      <w:r w:rsidR="00C76694">
        <w:t>PIU/</w:t>
      </w:r>
      <w:r>
        <w:t xml:space="preserve">MTIT shall require evidence that applicants have begun that process and have provided a project conceptual plan to the PIU under MTIT for permitting guidance. </w:t>
      </w:r>
      <w:r w:rsidR="00C76694">
        <w:t>PIU/</w:t>
      </w:r>
      <w:r>
        <w:t xml:space="preserve">MTIT shall require sufficient evidence that all applicable environment-related permits are in hand before </w:t>
      </w:r>
      <w:r w:rsidR="00B306E7">
        <w:t>shared</w:t>
      </w:r>
      <w:r>
        <w:t xml:space="preserve"> investments and SME matching grants support </w:t>
      </w:r>
      <w:r w:rsidR="006E3B9C">
        <w:t>is</w:t>
      </w:r>
      <w:r>
        <w:t xml:space="preserve"> eligible.</w:t>
      </w:r>
      <w:r w:rsidR="004E3AB3">
        <w:t xml:space="preserve"> </w:t>
      </w:r>
      <w:r>
        <w:t xml:space="preserve">The list below will assist </w:t>
      </w:r>
      <w:r w:rsidR="00C76694">
        <w:t>PIU/</w:t>
      </w:r>
      <w:r>
        <w:t xml:space="preserve">MTIT in their screening of </w:t>
      </w:r>
      <w:proofErr w:type="gramStart"/>
      <w:r>
        <w:t>whether or not</w:t>
      </w:r>
      <w:proofErr w:type="gramEnd"/>
      <w:r>
        <w:t xml:space="preserve"> an environmental permit would be required for the particular sub-project activities.</w:t>
      </w:r>
      <w:r w:rsidR="004E3AB3">
        <w:t xml:space="preserve"> </w:t>
      </w:r>
      <w:r w:rsidR="009153E9">
        <w:t xml:space="preserve"> </w:t>
      </w:r>
    </w:p>
    <w:p w14:paraId="34C61DC9" w14:textId="77777777" w:rsidR="009153E9" w:rsidRDefault="009153E9" w:rsidP="00203F2A">
      <w:pPr>
        <w:pStyle w:val="NoSpacing"/>
        <w:jc w:val="both"/>
      </w:pPr>
    </w:p>
    <w:p w14:paraId="35B2A611" w14:textId="47560E1A" w:rsidR="00B91616" w:rsidRDefault="004E3AB3" w:rsidP="00203F2A">
      <w:pPr>
        <w:pStyle w:val="NoSpacing"/>
        <w:jc w:val="both"/>
      </w:pPr>
      <w:r>
        <w:t>The environmental permitting procedure applies in case sub-project activities</w:t>
      </w:r>
      <w:r w:rsidR="006E3B9C">
        <w:t>,</w:t>
      </w:r>
      <w:r w:rsidR="00BA33A0">
        <w:t xml:space="preserve"> </w:t>
      </w:r>
      <w:r w:rsidR="00BA33A0" w:rsidRPr="00E55AC1">
        <w:t xml:space="preserve">both </w:t>
      </w:r>
      <w:r w:rsidR="00BA33A0">
        <w:t>r</w:t>
      </w:r>
      <w:r w:rsidR="00BA33A0" w:rsidRPr="00E55AC1">
        <w:t xml:space="preserve">elated </w:t>
      </w:r>
      <w:r w:rsidR="00B306E7">
        <w:t xml:space="preserve">individual and group </w:t>
      </w:r>
      <w:r w:rsidR="00BA33A0" w:rsidRPr="00E55AC1">
        <w:t>SME matching grant support</w:t>
      </w:r>
      <w:r w:rsidR="006E3B9C">
        <w:t>,</w:t>
      </w:r>
      <w:r w:rsidR="00BA33A0">
        <w:t xml:space="preserve"> relate to:</w:t>
      </w:r>
    </w:p>
    <w:p w14:paraId="219999A4" w14:textId="77777777" w:rsidR="00B91616" w:rsidRDefault="00B91616" w:rsidP="00203F2A">
      <w:pPr>
        <w:pStyle w:val="NoSpacing"/>
        <w:jc w:val="both"/>
      </w:pPr>
    </w:p>
    <w:p w14:paraId="1CA7FCA6" w14:textId="52A2BFE0" w:rsidR="00B91616" w:rsidRPr="00340D0B" w:rsidRDefault="00B91616" w:rsidP="00203F2A">
      <w:pPr>
        <w:pStyle w:val="NoSpacing"/>
        <w:jc w:val="both"/>
        <w:rPr>
          <w:b/>
        </w:rPr>
      </w:pPr>
      <w:r>
        <w:rPr>
          <w:b/>
        </w:rPr>
        <w:t xml:space="preserve">Public </w:t>
      </w:r>
      <w:r w:rsidRPr="00340D0B">
        <w:rPr>
          <w:b/>
        </w:rPr>
        <w:t xml:space="preserve">Infrastructure </w:t>
      </w:r>
      <w:r>
        <w:rPr>
          <w:b/>
        </w:rPr>
        <w:t>I</w:t>
      </w:r>
      <w:r w:rsidRPr="00340D0B">
        <w:rPr>
          <w:b/>
        </w:rPr>
        <w:t>nvestments</w:t>
      </w:r>
    </w:p>
    <w:p w14:paraId="73943E80" w14:textId="77777777" w:rsidR="00B91616" w:rsidRDefault="00B91616" w:rsidP="00203F2A">
      <w:pPr>
        <w:pStyle w:val="NoSpacing"/>
        <w:numPr>
          <w:ilvl w:val="0"/>
          <w:numId w:val="17"/>
        </w:numPr>
        <w:jc w:val="both"/>
      </w:pPr>
      <w:r w:rsidRPr="00340D0B">
        <w:t>Construction of new roads and interior road improvements projects</w:t>
      </w:r>
    </w:p>
    <w:p w14:paraId="192E984F" w14:textId="77777777" w:rsidR="00B91616" w:rsidRDefault="00B91616" w:rsidP="00203F2A">
      <w:pPr>
        <w:pStyle w:val="NoSpacing"/>
        <w:numPr>
          <w:ilvl w:val="0"/>
          <w:numId w:val="17"/>
        </w:numPr>
        <w:jc w:val="both"/>
      </w:pPr>
      <w:r>
        <w:t>Power generation plants, including hydro-electric plants and installation for the generation of wind and solar power for energy</w:t>
      </w:r>
    </w:p>
    <w:p w14:paraId="2B95C014" w14:textId="77777777" w:rsidR="00B91616" w:rsidRDefault="00B91616" w:rsidP="00203F2A">
      <w:pPr>
        <w:pStyle w:val="NoSpacing"/>
        <w:numPr>
          <w:ilvl w:val="0"/>
          <w:numId w:val="17"/>
        </w:numPr>
        <w:jc w:val="both"/>
      </w:pPr>
      <w:r>
        <w:t>Electrical transmission lines</w:t>
      </w:r>
    </w:p>
    <w:p w14:paraId="2AF68DA4" w14:textId="77777777" w:rsidR="00B91616" w:rsidRDefault="00B91616" w:rsidP="00203F2A">
      <w:pPr>
        <w:pStyle w:val="NoSpacing"/>
        <w:numPr>
          <w:ilvl w:val="0"/>
          <w:numId w:val="17"/>
        </w:numPr>
        <w:jc w:val="both"/>
      </w:pPr>
      <w:r>
        <w:t>Potable water supply lines</w:t>
      </w:r>
    </w:p>
    <w:p w14:paraId="4FA4A644" w14:textId="77777777" w:rsidR="00B91616" w:rsidRDefault="00B91616" w:rsidP="00203F2A">
      <w:pPr>
        <w:pStyle w:val="NoSpacing"/>
        <w:jc w:val="both"/>
      </w:pPr>
    </w:p>
    <w:p w14:paraId="7A8B68CC" w14:textId="11AD7508" w:rsidR="00B91616" w:rsidRPr="00340D0B" w:rsidRDefault="00B91616" w:rsidP="00203F2A">
      <w:pPr>
        <w:pStyle w:val="NoSpacing"/>
        <w:jc w:val="both"/>
        <w:rPr>
          <w:b/>
        </w:rPr>
      </w:pPr>
      <w:r w:rsidRPr="00340D0B">
        <w:rPr>
          <w:b/>
        </w:rPr>
        <w:t>Port and Harbour Development</w:t>
      </w:r>
    </w:p>
    <w:p w14:paraId="5140621A" w14:textId="77777777" w:rsidR="00B91616" w:rsidRDefault="00B91616" w:rsidP="00203F2A">
      <w:pPr>
        <w:pStyle w:val="NoSpacing"/>
        <w:numPr>
          <w:ilvl w:val="0"/>
          <w:numId w:val="18"/>
        </w:numPr>
        <w:jc w:val="both"/>
      </w:pPr>
      <w:r>
        <w:t xml:space="preserve">Shipyards Marinas and Boatyards </w:t>
      </w:r>
    </w:p>
    <w:p w14:paraId="2E00735C" w14:textId="77777777" w:rsidR="00B91616" w:rsidRDefault="00B91616" w:rsidP="00203F2A">
      <w:pPr>
        <w:pStyle w:val="NoSpacing"/>
        <w:jc w:val="both"/>
      </w:pPr>
    </w:p>
    <w:p w14:paraId="62566A2F" w14:textId="2990C839" w:rsidR="00B91616" w:rsidRPr="00464C51" w:rsidRDefault="00B91616" w:rsidP="00203F2A">
      <w:pPr>
        <w:pStyle w:val="NoSpacing"/>
        <w:jc w:val="both"/>
        <w:rPr>
          <w:b/>
        </w:rPr>
      </w:pPr>
      <w:r w:rsidRPr="00464C51">
        <w:rPr>
          <w:b/>
        </w:rPr>
        <w:t xml:space="preserve">Development projects (related to </w:t>
      </w:r>
      <w:r w:rsidR="00190610">
        <w:rPr>
          <w:b/>
        </w:rPr>
        <w:t>SCSD</w:t>
      </w:r>
      <w:r w:rsidRPr="00464C51">
        <w:rPr>
          <w:b/>
        </w:rPr>
        <w:t xml:space="preserve"> Project targeted sectors only)</w:t>
      </w:r>
    </w:p>
    <w:p w14:paraId="28347E25" w14:textId="77777777" w:rsidR="00B91616" w:rsidRDefault="00B91616" w:rsidP="00203F2A">
      <w:pPr>
        <w:pStyle w:val="NoSpacing"/>
        <w:numPr>
          <w:ilvl w:val="0"/>
          <w:numId w:val="15"/>
        </w:numPr>
        <w:jc w:val="both"/>
      </w:pPr>
      <w:r>
        <w:t>Hotel/resort complex of 10 rooms or more</w:t>
      </w:r>
    </w:p>
    <w:p w14:paraId="00D80898" w14:textId="77777777" w:rsidR="00B91616" w:rsidRDefault="00B91616" w:rsidP="00203F2A">
      <w:pPr>
        <w:pStyle w:val="NoSpacing"/>
        <w:numPr>
          <w:ilvl w:val="0"/>
          <w:numId w:val="15"/>
        </w:numPr>
        <w:jc w:val="both"/>
      </w:pPr>
      <w:r>
        <w:t>Airports and airfields, including runways and transport- and export facilities</w:t>
      </w:r>
    </w:p>
    <w:p w14:paraId="7ACE56B4" w14:textId="77777777" w:rsidR="00B91616" w:rsidRDefault="00B91616" w:rsidP="00203F2A">
      <w:pPr>
        <w:pStyle w:val="NoSpacing"/>
        <w:numPr>
          <w:ilvl w:val="0"/>
          <w:numId w:val="15"/>
        </w:numPr>
        <w:jc w:val="both"/>
      </w:pPr>
      <w:r>
        <w:t>Water treatment facilities</w:t>
      </w:r>
    </w:p>
    <w:p w14:paraId="58E12D07" w14:textId="77777777" w:rsidR="00B91616" w:rsidRDefault="00B91616" w:rsidP="00203F2A">
      <w:pPr>
        <w:pStyle w:val="NoSpacing"/>
        <w:numPr>
          <w:ilvl w:val="0"/>
          <w:numId w:val="15"/>
        </w:numPr>
        <w:jc w:val="both"/>
      </w:pPr>
      <w:r>
        <w:t>Sewage and industrial wastewater treatment facilities</w:t>
      </w:r>
    </w:p>
    <w:p w14:paraId="518951AA" w14:textId="77777777" w:rsidR="00B91616" w:rsidRDefault="00B91616" w:rsidP="00203F2A">
      <w:pPr>
        <w:pStyle w:val="NoSpacing"/>
        <w:numPr>
          <w:ilvl w:val="0"/>
          <w:numId w:val="15"/>
        </w:numPr>
        <w:jc w:val="both"/>
      </w:pPr>
      <w:r>
        <w:t>Irrigation and water management projects</w:t>
      </w:r>
    </w:p>
    <w:p w14:paraId="1C0EC4B8" w14:textId="77777777" w:rsidR="00B91616" w:rsidRDefault="00B91616" w:rsidP="00203F2A">
      <w:pPr>
        <w:pStyle w:val="NoSpacing"/>
        <w:numPr>
          <w:ilvl w:val="0"/>
          <w:numId w:val="15"/>
        </w:numPr>
        <w:jc w:val="both"/>
      </w:pPr>
      <w:r>
        <w:t>Land reclamation and drainage projects</w:t>
      </w:r>
    </w:p>
    <w:p w14:paraId="7D9D9823" w14:textId="77777777" w:rsidR="00B91616" w:rsidRDefault="00B91616" w:rsidP="00203F2A">
      <w:pPr>
        <w:pStyle w:val="NoSpacing"/>
        <w:numPr>
          <w:ilvl w:val="0"/>
          <w:numId w:val="15"/>
        </w:numPr>
        <w:jc w:val="both"/>
      </w:pPr>
      <w:r>
        <w:t>Solid waste treatment and disposal facilities, including recycling of such wastes</w:t>
      </w:r>
    </w:p>
    <w:p w14:paraId="21E279FE" w14:textId="77777777" w:rsidR="00B91616" w:rsidRDefault="00B91616" w:rsidP="00203F2A">
      <w:pPr>
        <w:pStyle w:val="NoSpacing"/>
        <w:numPr>
          <w:ilvl w:val="0"/>
          <w:numId w:val="15"/>
        </w:numPr>
        <w:jc w:val="both"/>
      </w:pPr>
      <w:r>
        <w:t>Mining, quarrying and mineral processing</w:t>
      </w:r>
    </w:p>
    <w:p w14:paraId="086EC1BF" w14:textId="77777777" w:rsidR="00B91616" w:rsidRDefault="00B91616" w:rsidP="00203F2A">
      <w:pPr>
        <w:pStyle w:val="NoSpacing"/>
        <w:jc w:val="both"/>
      </w:pPr>
    </w:p>
    <w:p w14:paraId="1C0B5FE8" w14:textId="59B00F96" w:rsidR="00B91616" w:rsidRPr="009954BA" w:rsidRDefault="00B91616" w:rsidP="00203F2A">
      <w:pPr>
        <w:pStyle w:val="NoSpacing"/>
        <w:jc w:val="both"/>
        <w:rPr>
          <w:b/>
        </w:rPr>
      </w:pPr>
      <w:r>
        <w:rPr>
          <w:b/>
        </w:rPr>
        <w:t xml:space="preserve">(Agri-) Business and value chain </w:t>
      </w:r>
      <w:r w:rsidRPr="009954BA">
        <w:rPr>
          <w:b/>
        </w:rPr>
        <w:t xml:space="preserve">Projects (related to </w:t>
      </w:r>
      <w:r w:rsidR="00190610">
        <w:rPr>
          <w:b/>
        </w:rPr>
        <w:t>SCSD</w:t>
      </w:r>
      <w:r w:rsidRPr="009954BA">
        <w:rPr>
          <w:b/>
        </w:rPr>
        <w:t xml:space="preserve"> Project targeted sectors only)</w:t>
      </w:r>
    </w:p>
    <w:p w14:paraId="7B6AFE80" w14:textId="77777777" w:rsidR="00B91616" w:rsidRDefault="00B91616" w:rsidP="00203F2A">
      <w:pPr>
        <w:pStyle w:val="NoSpacing"/>
        <w:numPr>
          <w:ilvl w:val="0"/>
          <w:numId w:val="19"/>
        </w:numPr>
        <w:jc w:val="both"/>
      </w:pPr>
      <w:r w:rsidRPr="00324A43">
        <w:t>Aquaculture facilities and ponds and intensive fish farming</w:t>
      </w:r>
    </w:p>
    <w:p w14:paraId="52B26FAE" w14:textId="77777777" w:rsidR="00B91616" w:rsidRDefault="00B91616" w:rsidP="00203F2A">
      <w:pPr>
        <w:pStyle w:val="NoSpacing"/>
        <w:numPr>
          <w:ilvl w:val="0"/>
          <w:numId w:val="19"/>
        </w:numPr>
        <w:jc w:val="both"/>
      </w:pPr>
      <w:r>
        <w:t>Fish and meat processing</w:t>
      </w:r>
    </w:p>
    <w:p w14:paraId="227357BB" w14:textId="77777777" w:rsidR="00B91616" w:rsidRPr="00324A43" w:rsidRDefault="00B91616" w:rsidP="00203F2A">
      <w:pPr>
        <w:pStyle w:val="NoSpacing"/>
        <w:numPr>
          <w:ilvl w:val="0"/>
          <w:numId w:val="19"/>
        </w:numPr>
        <w:jc w:val="both"/>
      </w:pPr>
      <w:r w:rsidRPr="00324A43">
        <w:t>Slaughterhouse and abattoirs</w:t>
      </w:r>
    </w:p>
    <w:p w14:paraId="3DF95B87" w14:textId="77777777" w:rsidR="00B91616" w:rsidRDefault="00B91616" w:rsidP="00203F2A">
      <w:pPr>
        <w:pStyle w:val="NoSpacing"/>
        <w:numPr>
          <w:ilvl w:val="0"/>
          <w:numId w:val="20"/>
        </w:numPr>
        <w:jc w:val="both"/>
      </w:pPr>
      <w:r>
        <w:t>Agriculture facilities, including land preparation for horticulture and animal breeding</w:t>
      </w:r>
    </w:p>
    <w:p w14:paraId="22392588" w14:textId="77777777" w:rsidR="00B91616" w:rsidRDefault="00B91616" w:rsidP="00203F2A">
      <w:pPr>
        <w:pStyle w:val="ListParagraph"/>
        <w:numPr>
          <w:ilvl w:val="0"/>
          <w:numId w:val="19"/>
        </w:numPr>
        <w:spacing w:after="0" w:line="240" w:lineRule="auto"/>
        <w:jc w:val="both"/>
      </w:pPr>
      <w:r w:rsidRPr="009954BA">
        <w:t xml:space="preserve">Introduction of </w:t>
      </w:r>
      <w:r>
        <w:t xml:space="preserve">new </w:t>
      </w:r>
      <w:r w:rsidRPr="009954BA">
        <w:t>species of flora</w:t>
      </w:r>
      <w:r>
        <w:t xml:space="preserve"> and</w:t>
      </w:r>
      <w:r w:rsidRPr="009954BA">
        <w:t xml:space="preserve"> fauna</w:t>
      </w:r>
      <w:r>
        <w:t>,</w:t>
      </w:r>
      <w:r w:rsidRPr="009954BA">
        <w:t xml:space="preserve"> including genetically modified organisms</w:t>
      </w:r>
    </w:p>
    <w:p w14:paraId="0561A3EF" w14:textId="77777777" w:rsidR="00B91616" w:rsidRDefault="00B91616" w:rsidP="00203F2A">
      <w:pPr>
        <w:pStyle w:val="ListParagraph"/>
        <w:numPr>
          <w:ilvl w:val="0"/>
          <w:numId w:val="19"/>
        </w:numPr>
        <w:spacing w:after="0" w:line="240" w:lineRule="auto"/>
        <w:jc w:val="both"/>
      </w:pPr>
      <w:r w:rsidRPr="00324A43">
        <w:t>Tree crop (e.g. citrus, coffee, cocoa, coconut) establishment and processing factories</w:t>
      </w:r>
    </w:p>
    <w:p w14:paraId="0DDAACEB" w14:textId="77777777" w:rsidR="00B91616" w:rsidRPr="00324A43" w:rsidRDefault="00B91616" w:rsidP="00203F2A">
      <w:pPr>
        <w:pStyle w:val="ListParagraph"/>
        <w:numPr>
          <w:ilvl w:val="0"/>
          <w:numId w:val="19"/>
        </w:numPr>
        <w:spacing w:after="0" w:line="240" w:lineRule="auto"/>
        <w:jc w:val="both"/>
      </w:pPr>
      <w:r>
        <w:t>Non-timber forest products collection and processing</w:t>
      </w:r>
    </w:p>
    <w:p w14:paraId="1928637A" w14:textId="77777777" w:rsidR="00B91616" w:rsidRDefault="00B91616" w:rsidP="00203F2A">
      <w:pPr>
        <w:pStyle w:val="NoSpacing"/>
        <w:numPr>
          <w:ilvl w:val="0"/>
          <w:numId w:val="19"/>
        </w:numPr>
        <w:jc w:val="both"/>
      </w:pPr>
      <w:r>
        <w:t>Manufacturing of edible fats, oils and associated processes, including the making of soap</w:t>
      </w:r>
    </w:p>
    <w:p w14:paraId="3D7D0A53" w14:textId="77777777" w:rsidR="00B91616" w:rsidRDefault="00B91616" w:rsidP="00203F2A">
      <w:pPr>
        <w:pStyle w:val="NoSpacing"/>
        <w:numPr>
          <w:ilvl w:val="0"/>
          <w:numId w:val="19"/>
        </w:numPr>
        <w:jc w:val="both"/>
      </w:pPr>
      <w:r w:rsidRPr="00324A43">
        <w:t>Agri-processing and processing of agricultural wastes</w:t>
      </w:r>
    </w:p>
    <w:p w14:paraId="0101E52D" w14:textId="77777777" w:rsidR="00B91616" w:rsidRDefault="00B91616" w:rsidP="00203F2A">
      <w:pPr>
        <w:pStyle w:val="NoSpacing"/>
        <w:numPr>
          <w:ilvl w:val="0"/>
          <w:numId w:val="19"/>
        </w:numPr>
        <w:jc w:val="both"/>
      </w:pPr>
      <w:r>
        <w:t>Food processing plants</w:t>
      </w:r>
    </w:p>
    <w:p w14:paraId="40C1ACB7" w14:textId="77777777" w:rsidR="00B91616" w:rsidRDefault="00B91616" w:rsidP="00203F2A">
      <w:pPr>
        <w:pStyle w:val="NoSpacing"/>
        <w:numPr>
          <w:ilvl w:val="0"/>
          <w:numId w:val="19"/>
        </w:numPr>
        <w:jc w:val="both"/>
      </w:pPr>
      <w:r w:rsidRPr="009954BA">
        <w:t>Eco-tourism and nature tourism projects</w:t>
      </w:r>
    </w:p>
    <w:p w14:paraId="610BB941" w14:textId="77777777" w:rsidR="00B91616" w:rsidRDefault="00B91616" w:rsidP="00203F2A">
      <w:pPr>
        <w:pStyle w:val="NoSpacing"/>
        <w:numPr>
          <w:ilvl w:val="0"/>
          <w:numId w:val="19"/>
        </w:numPr>
        <w:jc w:val="both"/>
      </w:pPr>
      <w:r w:rsidRPr="00324A43">
        <w:t>Chemical plants</w:t>
      </w:r>
    </w:p>
    <w:p w14:paraId="5D39F782" w14:textId="051CB980" w:rsidR="0002117D" w:rsidRDefault="0002117D" w:rsidP="00203F2A">
      <w:pPr>
        <w:pStyle w:val="NoSpacing"/>
        <w:ind w:left="1410" w:hanging="1410"/>
        <w:jc w:val="both"/>
        <w:rPr>
          <w:b/>
        </w:rPr>
      </w:pPr>
    </w:p>
    <w:p w14:paraId="3A051F98" w14:textId="77777777" w:rsidR="006E3B9C" w:rsidRDefault="006E3B9C" w:rsidP="00203F2A">
      <w:pPr>
        <w:pStyle w:val="NoSpacing"/>
        <w:pBdr>
          <w:top w:val="single" w:sz="4" w:space="1" w:color="auto"/>
        </w:pBdr>
        <w:ind w:left="1410" w:hanging="1410"/>
        <w:jc w:val="both"/>
        <w:rPr>
          <w:b/>
        </w:rPr>
      </w:pPr>
    </w:p>
    <w:p w14:paraId="24B998B4" w14:textId="4B9D03F7" w:rsidR="00D058EE" w:rsidRPr="00256792" w:rsidRDefault="006439AB" w:rsidP="00203F2A">
      <w:pPr>
        <w:pStyle w:val="NoSpacing"/>
        <w:shd w:val="clear" w:color="auto" w:fill="D9D9D9" w:themeFill="background1" w:themeFillShade="D9"/>
        <w:ind w:left="1410" w:hanging="1410"/>
        <w:jc w:val="both"/>
        <w:rPr>
          <w:b/>
        </w:rPr>
      </w:pPr>
      <w:r w:rsidRPr="00DD7F23">
        <w:rPr>
          <w:b/>
        </w:rPr>
        <w:t xml:space="preserve">PART </w:t>
      </w:r>
      <w:r w:rsidR="00FE1C01">
        <w:rPr>
          <w:b/>
        </w:rPr>
        <w:t>C</w:t>
      </w:r>
      <w:r w:rsidRPr="00DD7F23">
        <w:rPr>
          <w:b/>
        </w:rPr>
        <w:t xml:space="preserve">: </w:t>
      </w:r>
      <w:r w:rsidRPr="00DD7F23">
        <w:rPr>
          <w:b/>
        </w:rPr>
        <w:tab/>
      </w:r>
      <w:r w:rsidR="00FE1C01" w:rsidRPr="00FE1C01">
        <w:rPr>
          <w:b/>
        </w:rPr>
        <w:t>RISK ASSESSMENT: E</w:t>
      </w:r>
      <w:r w:rsidR="00FE1C01">
        <w:rPr>
          <w:b/>
        </w:rPr>
        <w:t>VALUATION OF ENVIRONMENTAL AND SOCIAL RISK</w:t>
      </w:r>
      <w:bookmarkStart w:id="53" w:name="_Hlk529624760"/>
    </w:p>
    <w:bookmarkEnd w:id="53"/>
    <w:p w14:paraId="7F23EC48" w14:textId="77777777" w:rsidR="00D058EE" w:rsidRDefault="00D058EE" w:rsidP="00203F2A">
      <w:pPr>
        <w:pStyle w:val="NoSpacing"/>
        <w:jc w:val="both"/>
      </w:pPr>
    </w:p>
    <w:p w14:paraId="202C7D85" w14:textId="64D58BBA" w:rsidR="00D058EE" w:rsidRDefault="00D058EE" w:rsidP="00203F2A">
      <w:pPr>
        <w:pStyle w:val="NoSpacing"/>
        <w:jc w:val="both"/>
      </w:pPr>
      <w:r>
        <w:t xml:space="preserve">Some site-specific issues may present Category B environmental risks and impacts. The </w:t>
      </w:r>
      <w:r w:rsidR="00A364E5">
        <w:t xml:space="preserve">here provided tool for Risk Assessment should be </w:t>
      </w:r>
      <w:r>
        <w:t xml:space="preserve">used to identify sites that may present these concerns. </w:t>
      </w:r>
      <w:r w:rsidR="002F4130">
        <w:t xml:space="preserve">Together with the conditions set under the two preceding </w:t>
      </w:r>
      <w:r w:rsidR="006E3B9C">
        <w:t>Steps</w:t>
      </w:r>
      <w:r w:rsidR="002F4130">
        <w:t xml:space="preserve"> (Screening and Permitting) this final step will help the PIU</w:t>
      </w:r>
      <w:r w:rsidR="006E3B9C">
        <w:t>/</w:t>
      </w:r>
      <w:r w:rsidR="002F4130">
        <w:t>MTIT to identify the need for further investigation (e.g. field visits).</w:t>
      </w:r>
    </w:p>
    <w:p w14:paraId="65D8186D" w14:textId="77777777" w:rsidR="00D058EE" w:rsidRDefault="00D058EE" w:rsidP="00203F2A">
      <w:pPr>
        <w:pStyle w:val="NoSpacing"/>
        <w:jc w:val="both"/>
      </w:pPr>
    </w:p>
    <w:p w14:paraId="36F12D5D" w14:textId="4F2E3D19" w:rsidR="00D058EE" w:rsidRDefault="002F4130" w:rsidP="00203F2A">
      <w:pPr>
        <w:pStyle w:val="NoSpacing"/>
        <w:jc w:val="both"/>
      </w:pPr>
      <w:r>
        <w:t xml:space="preserve">Similar to </w:t>
      </w:r>
      <w:r w:rsidR="00854C71">
        <w:t xml:space="preserve">the preceding Part </w:t>
      </w:r>
      <w:r w:rsidR="006E3B9C">
        <w:t>A</w:t>
      </w:r>
      <w:r w:rsidR="00854C71">
        <w:t xml:space="preserve"> and </w:t>
      </w:r>
      <w:r w:rsidR="006E3B9C">
        <w:t>B</w:t>
      </w:r>
      <w:r w:rsidR="00854C71">
        <w:t xml:space="preserve"> of this screening tool, the </w:t>
      </w:r>
      <w:r w:rsidR="00D058EE">
        <w:t xml:space="preserve">checklist below </w:t>
      </w:r>
      <w:r w:rsidR="00854C71">
        <w:t xml:space="preserve">should be </w:t>
      </w:r>
      <w:r w:rsidR="00D058EE">
        <w:t xml:space="preserve">filled out by </w:t>
      </w:r>
      <w:r>
        <w:t xml:space="preserve">the </w:t>
      </w:r>
      <w:r w:rsidR="00854C71">
        <w:t xml:space="preserve">sub-project applicant and the PIU designated person(s) </w:t>
      </w:r>
      <w:r w:rsidR="00D058EE">
        <w:t xml:space="preserve">with </w:t>
      </w:r>
      <w:r w:rsidR="00854C71">
        <w:t>- if required - assi</w:t>
      </w:r>
      <w:r w:rsidR="00D058EE">
        <w:t>stance from</w:t>
      </w:r>
      <w:r w:rsidR="00854C71">
        <w:t xml:space="preserve"> </w:t>
      </w:r>
      <w:r w:rsidR="00D058EE">
        <w:t>NIMOS</w:t>
      </w:r>
      <w:r w:rsidR="006E3B9C">
        <w:t xml:space="preserve"> or </w:t>
      </w:r>
      <w:proofErr w:type="gramStart"/>
      <w:r w:rsidR="006E3B9C">
        <w:t>otherwise</w:t>
      </w:r>
      <w:r w:rsidR="00854C71">
        <w:t>,</w:t>
      </w:r>
      <w:r w:rsidR="00D058EE">
        <w:t xml:space="preserve"> and</w:t>
      </w:r>
      <w:proofErr w:type="gramEnd"/>
      <w:r w:rsidR="00D058EE">
        <w:t xml:space="preserve"> included in the </w:t>
      </w:r>
      <w:r w:rsidR="00854C71">
        <w:t xml:space="preserve">application for </w:t>
      </w:r>
      <w:r w:rsidR="00190610">
        <w:t>SCSD</w:t>
      </w:r>
      <w:r w:rsidR="00854C71">
        <w:t xml:space="preserve"> </w:t>
      </w:r>
      <w:r w:rsidR="00D058EE">
        <w:t>Project support</w:t>
      </w:r>
      <w:r w:rsidR="00854C71">
        <w:t>.</w:t>
      </w:r>
    </w:p>
    <w:p w14:paraId="74455155" w14:textId="77777777" w:rsidR="009B4005" w:rsidRDefault="009B4005" w:rsidP="00203F2A">
      <w:pPr>
        <w:pStyle w:val="NoSpacing"/>
        <w:jc w:val="both"/>
      </w:pPr>
    </w:p>
    <w:tbl>
      <w:tblPr>
        <w:tblStyle w:val="TableGrid"/>
        <w:tblW w:w="97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9"/>
        <w:gridCol w:w="6097"/>
        <w:gridCol w:w="1110"/>
        <w:gridCol w:w="718"/>
        <w:gridCol w:w="718"/>
        <w:gridCol w:w="718"/>
      </w:tblGrid>
      <w:tr w:rsidR="00C76694" w:rsidRPr="00AC2F47" w14:paraId="6F408052" w14:textId="77777777" w:rsidTr="00BF52A8">
        <w:trPr>
          <w:tblHeader/>
        </w:trPr>
        <w:tc>
          <w:tcPr>
            <w:tcW w:w="419" w:type="dxa"/>
          </w:tcPr>
          <w:p w14:paraId="2F45E896" w14:textId="77777777" w:rsidR="00C76694" w:rsidRPr="00AC2F47" w:rsidRDefault="00C76694" w:rsidP="00203F2A">
            <w:pPr>
              <w:pStyle w:val="NoSpacing"/>
              <w:jc w:val="both"/>
              <w:rPr>
                <w:b/>
                <w:u w:val="single"/>
              </w:rPr>
            </w:pPr>
          </w:p>
        </w:tc>
        <w:tc>
          <w:tcPr>
            <w:tcW w:w="6097" w:type="dxa"/>
          </w:tcPr>
          <w:p w14:paraId="27F897EA" w14:textId="487ACC8B" w:rsidR="00C76694" w:rsidRPr="00AC2F47" w:rsidRDefault="00C76694" w:rsidP="00203F2A">
            <w:pPr>
              <w:pStyle w:val="NoSpacing"/>
              <w:jc w:val="both"/>
              <w:rPr>
                <w:b/>
              </w:rPr>
            </w:pPr>
            <w:r w:rsidRPr="00AC2F47">
              <w:rPr>
                <w:b/>
                <w:u w:val="single"/>
              </w:rPr>
              <w:t xml:space="preserve">Environmental </w:t>
            </w:r>
            <w:r>
              <w:rPr>
                <w:b/>
                <w:u w:val="single"/>
              </w:rPr>
              <w:t xml:space="preserve">and Social </w:t>
            </w:r>
            <w:r w:rsidRPr="00AC2F47">
              <w:rPr>
                <w:b/>
                <w:u w:val="single"/>
              </w:rPr>
              <w:t>Screening Checklist</w:t>
            </w:r>
            <w:r w:rsidR="009B2314">
              <w:rPr>
                <w:b/>
                <w:u w:val="single"/>
              </w:rPr>
              <w:t>*</w:t>
            </w:r>
          </w:p>
        </w:tc>
        <w:tc>
          <w:tcPr>
            <w:tcW w:w="1110" w:type="dxa"/>
          </w:tcPr>
          <w:p w14:paraId="578A6EA3" w14:textId="26E82918" w:rsidR="00C76694" w:rsidRPr="00AC2F47" w:rsidRDefault="00C76694" w:rsidP="00203F2A">
            <w:pPr>
              <w:pStyle w:val="NoSpacing"/>
              <w:jc w:val="both"/>
              <w:rPr>
                <w:b/>
              </w:rPr>
            </w:pPr>
            <w:r>
              <w:rPr>
                <w:b/>
              </w:rPr>
              <w:t>Unknown</w:t>
            </w:r>
          </w:p>
        </w:tc>
        <w:tc>
          <w:tcPr>
            <w:tcW w:w="718" w:type="dxa"/>
          </w:tcPr>
          <w:p w14:paraId="06E8A22F" w14:textId="240E66CC" w:rsidR="00C76694" w:rsidRPr="00AC2F47" w:rsidRDefault="00C76694" w:rsidP="00203F2A">
            <w:pPr>
              <w:pStyle w:val="NoSpacing"/>
              <w:jc w:val="both"/>
              <w:rPr>
                <w:b/>
              </w:rPr>
            </w:pPr>
            <w:r w:rsidRPr="00AC2F47">
              <w:rPr>
                <w:b/>
              </w:rPr>
              <w:t>N.A.</w:t>
            </w:r>
          </w:p>
        </w:tc>
        <w:tc>
          <w:tcPr>
            <w:tcW w:w="718" w:type="dxa"/>
          </w:tcPr>
          <w:p w14:paraId="25A2A511" w14:textId="77777777" w:rsidR="00C76694" w:rsidRPr="00AC2F47" w:rsidRDefault="00C76694" w:rsidP="00203F2A">
            <w:pPr>
              <w:pStyle w:val="NoSpacing"/>
              <w:jc w:val="both"/>
              <w:rPr>
                <w:b/>
              </w:rPr>
            </w:pPr>
            <w:r w:rsidRPr="00AC2F47">
              <w:rPr>
                <w:b/>
              </w:rPr>
              <w:t>YES</w:t>
            </w:r>
          </w:p>
        </w:tc>
        <w:tc>
          <w:tcPr>
            <w:tcW w:w="718" w:type="dxa"/>
          </w:tcPr>
          <w:p w14:paraId="6BA3354B" w14:textId="77777777" w:rsidR="00C76694" w:rsidRPr="00AC2F47" w:rsidRDefault="00C76694" w:rsidP="00203F2A">
            <w:pPr>
              <w:pStyle w:val="NoSpacing"/>
              <w:jc w:val="both"/>
              <w:rPr>
                <w:b/>
              </w:rPr>
            </w:pPr>
            <w:r w:rsidRPr="00AC2F47">
              <w:rPr>
                <w:b/>
              </w:rPr>
              <w:t>NO</w:t>
            </w:r>
          </w:p>
        </w:tc>
      </w:tr>
      <w:tr w:rsidR="00C76694" w:rsidRPr="00AC2F47" w14:paraId="51436CB5" w14:textId="77777777" w:rsidTr="00C76694">
        <w:tc>
          <w:tcPr>
            <w:tcW w:w="419" w:type="dxa"/>
          </w:tcPr>
          <w:p w14:paraId="1887B038" w14:textId="77777777" w:rsidR="00C76694" w:rsidRPr="00AC2F47" w:rsidRDefault="00C76694" w:rsidP="00203F2A">
            <w:pPr>
              <w:pStyle w:val="NoSpacing"/>
              <w:jc w:val="both"/>
              <w:rPr>
                <w:sz w:val="20"/>
                <w:szCs w:val="20"/>
              </w:rPr>
            </w:pPr>
            <w:r>
              <w:rPr>
                <w:sz w:val="20"/>
                <w:szCs w:val="20"/>
              </w:rPr>
              <w:t>1</w:t>
            </w:r>
          </w:p>
        </w:tc>
        <w:tc>
          <w:tcPr>
            <w:tcW w:w="6097" w:type="dxa"/>
          </w:tcPr>
          <w:p w14:paraId="28801383" w14:textId="77777777" w:rsidR="00C76694" w:rsidRPr="00AC2F47" w:rsidRDefault="00C76694" w:rsidP="00203F2A">
            <w:pPr>
              <w:pStyle w:val="NoSpacing"/>
              <w:jc w:val="both"/>
              <w:rPr>
                <w:sz w:val="20"/>
                <w:szCs w:val="20"/>
              </w:rPr>
            </w:pPr>
            <w:r>
              <w:rPr>
                <w:sz w:val="20"/>
                <w:szCs w:val="20"/>
              </w:rPr>
              <w:t>Are all planned activities under the proposed sub-project sufficiently and legally covered (or are in the process of obtaining) all required</w:t>
            </w:r>
            <w:r w:rsidRPr="00AC2F47">
              <w:rPr>
                <w:sz w:val="20"/>
                <w:szCs w:val="20"/>
              </w:rPr>
              <w:t xml:space="preserve"> </w:t>
            </w:r>
            <w:r>
              <w:rPr>
                <w:sz w:val="20"/>
                <w:szCs w:val="20"/>
              </w:rPr>
              <w:t xml:space="preserve">and </w:t>
            </w:r>
            <w:r w:rsidRPr="00AC2F47">
              <w:rPr>
                <w:sz w:val="20"/>
                <w:szCs w:val="20"/>
              </w:rPr>
              <w:t>valid operating permit, licenses</w:t>
            </w:r>
            <w:r>
              <w:rPr>
                <w:sz w:val="20"/>
                <w:szCs w:val="20"/>
              </w:rPr>
              <w:t xml:space="preserve"> and</w:t>
            </w:r>
            <w:r w:rsidRPr="00AC2F47">
              <w:rPr>
                <w:sz w:val="20"/>
                <w:szCs w:val="20"/>
              </w:rPr>
              <w:t xml:space="preserve"> approvals</w:t>
            </w:r>
            <w:r>
              <w:rPr>
                <w:sz w:val="20"/>
                <w:szCs w:val="20"/>
              </w:rPr>
              <w:t>.</w:t>
            </w:r>
          </w:p>
        </w:tc>
        <w:tc>
          <w:tcPr>
            <w:tcW w:w="1110" w:type="dxa"/>
          </w:tcPr>
          <w:p w14:paraId="00CDB67A" w14:textId="77777777" w:rsidR="00C76694" w:rsidRPr="00AC2F47" w:rsidRDefault="00C76694" w:rsidP="00203F2A">
            <w:pPr>
              <w:pStyle w:val="NoSpacing"/>
              <w:jc w:val="both"/>
              <w:rPr>
                <w:sz w:val="20"/>
                <w:szCs w:val="20"/>
              </w:rPr>
            </w:pPr>
          </w:p>
        </w:tc>
        <w:tc>
          <w:tcPr>
            <w:tcW w:w="718" w:type="dxa"/>
          </w:tcPr>
          <w:p w14:paraId="547940C9" w14:textId="74C33B7A" w:rsidR="00C76694" w:rsidRPr="00AC2F47" w:rsidRDefault="00C76694" w:rsidP="00203F2A">
            <w:pPr>
              <w:pStyle w:val="NoSpacing"/>
              <w:jc w:val="both"/>
              <w:rPr>
                <w:sz w:val="20"/>
                <w:szCs w:val="20"/>
              </w:rPr>
            </w:pPr>
          </w:p>
        </w:tc>
        <w:tc>
          <w:tcPr>
            <w:tcW w:w="718" w:type="dxa"/>
            <w:shd w:val="clear" w:color="auto" w:fill="70AD47" w:themeFill="accent6"/>
          </w:tcPr>
          <w:p w14:paraId="4AB741B3" w14:textId="77777777" w:rsidR="00C76694" w:rsidRPr="00AC2F47" w:rsidRDefault="00C76694" w:rsidP="00203F2A">
            <w:pPr>
              <w:pStyle w:val="NoSpacing"/>
              <w:jc w:val="both"/>
              <w:rPr>
                <w:sz w:val="20"/>
                <w:szCs w:val="20"/>
              </w:rPr>
            </w:pPr>
          </w:p>
        </w:tc>
        <w:tc>
          <w:tcPr>
            <w:tcW w:w="718" w:type="dxa"/>
          </w:tcPr>
          <w:p w14:paraId="73605255" w14:textId="77777777" w:rsidR="00C76694" w:rsidRPr="00AC2F47" w:rsidRDefault="00C76694" w:rsidP="00203F2A">
            <w:pPr>
              <w:pStyle w:val="NoSpacing"/>
              <w:jc w:val="both"/>
              <w:rPr>
                <w:sz w:val="20"/>
                <w:szCs w:val="20"/>
              </w:rPr>
            </w:pPr>
          </w:p>
        </w:tc>
      </w:tr>
      <w:tr w:rsidR="00C76694" w:rsidRPr="00AC2F47" w14:paraId="3E638EC2" w14:textId="77777777" w:rsidTr="00C76694">
        <w:tc>
          <w:tcPr>
            <w:tcW w:w="419" w:type="dxa"/>
          </w:tcPr>
          <w:p w14:paraId="22AE2FE7" w14:textId="77777777" w:rsidR="00C76694" w:rsidRPr="00AC2F47" w:rsidRDefault="00C76694" w:rsidP="00203F2A">
            <w:pPr>
              <w:pStyle w:val="NoSpacing"/>
              <w:jc w:val="both"/>
              <w:rPr>
                <w:sz w:val="20"/>
                <w:szCs w:val="20"/>
              </w:rPr>
            </w:pPr>
            <w:r>
              <w:rPr>
                <w:sz w:val="20"/>
                <w:szCs w:val="20"/>
              </w:rPr>
              <w:t>2</w:t>
            </w:r>
          </w:p>
        </w:tc>
        <w:tc>
          <w:tcPr>
            <w:tcW w:w="6097" w:type="dxa"/>
          </w:tcPr>
          <w:p w14:paraId="0F7063B9" w14:textId="6F5E55DB" w:rsidR="00C76694" w:rsidRDefault="00C76694" w:rsidP="00203F2A">
            <w:pPr>
              <w:pStyle w:val="NoSpacing"/>
              <w:jc w:val="both"/>
              <w:rPr>
                <w:sz w:val="20"/>
                <w:szCs w:val="20"/>
              </w:rPr>
            </w:pPr>
            <w:r w:rsidRPr="00AC2F47">
              <w:rPr>
                <w:sz w:val="20"/>
                <w:szCs w:val="20"/>
              </w:rPr>
              <w:t>Do</w:t>
            </w:r>
            <w:r>
              <w:rPr>
                <w:sz w:val="20"/>
                <w:szCs w:val="20"/>
              </w:rPr>
              <w:t xml:space="preserve"> all planned activities under the proposed sub-project </w:t>
            </w:r>
            <w:r w:rsidRPr="00AC2F47">
              <w:rPr>
                <w:sz w:val="20"/>
                <w:szCs w:val="20"/>
              </w:rPr>
              <w:t xml:space="preserve">meet </w:t>
            </w:r>
            <w:r>
              <w:rPr>
                <w:sz w:val="20"/>
                <w:szCs w:val="20"/>
              </w:rPr>
              <w:t>Suriname’s E</w:t>
            </w:r>
            <w:r w:rsidRPr="00AC2F47">
              <w:rPr>
                <w:sz w:val="20"/>
                <w:szCs w:val="20"/>
              </w:rPr>
              <w:t xml:space="preserve">nvironmental </w:t>
            </w:r>
            <w:r>
              <w:rPr>
                <w:sz w:val="20"/>
                <w:szCs w:val="20"/>
              </w:rPr>
              <w:t>R</w:t>
            </w:r>
            <w:r w:rsidRPr="00AC2F47">
              <w:rPr>
                <w:sz w:val="20"/>
                <w:szCs w:val="20"/>
              </w:rPr>
              <w:t>egulations regarding</w:t>
            </w:r>
            <w:r>
              <w:rPr>
                <w:sz w:val="20"/>
                <w:szCs w:val="20"/>
              </w:rPr>
              <w:t>:</w:t>
            </w:r>
          </w:p>
          <w:p w14:paraId="65AE6986" w14:textId="77777777" w:rsidR="00C76694" w:rsidRDefault="00C76694" w:rsidP="00203F2A">
            <w:pPr>
              <w:pStyle w:val="NoSpacing"/>
              <w:numPr>
                <w:ilvl w:val="0"/>
                <w:numId w:val="21"/>
              </w:numPr>
              <w:jc w:val="both"/>
              <w:rPr>
                <w:sz w:val="20"/>
                <w:szCs w:val="20"/>
              </w:rPr>
            </w:pPr>
            <w:r w:rsidRPr="00AC2F47">
              <w:rPr>
                <w:sz w:val="20"/>
                <w:szCs w:val="20"/>
              </w:rPr>
              <w:t xml:space="preserve">air, water and </w:t>
            </w:r>
            <w:r>
              <w:rPr>
                <w:sz w:val="20"/>
                <w:szCs w:val="20"/>
              </w:rPr>
              <w:t>soil pollution</w:t>
            </w:r>
          </w:p>
          <w:p w14:paraId="6F133828" w14:textId="77777777" w:rsidR="00C76694" w:rsidRPr="00AC2F47" w:rsidRDefault="00C76694" w:rsidP="00203F2A">
            <w:pPr>
              <w:pStyle w:val="NoSpacing"/>
              <w:numPr>
                <w:ilvl w:val="0"/>
                <w:numId w:val="21"/>
              </w:numPr>
              <w:jc w:val="both"/>
              <w:rPr>
                <w:sz w:val="20"/>
                <w:szCs w:val="20"/>
              </w:rPr>
            </w:pPr>
            <w:r>
              <w:rPr>
                <w:sz w:val="20"/>
                <w:szCs w:val="20"/>
              </w:rPr>
              <w:t xml:space="preserve">liquid and </w:t>
            </w:r>
            <w:r w:rsidRPr="00AC2F47">
              <w:rPr>
                <w:sz w:val="20"/>
                <w:szCs w:val="20"/>
              </w:rPr>
              <w:t>solid waste management</w:t>
            </w:r>
          </w:p>
        </w:tc>
        <w:tc>
          <w:tcPr>
            <w:tcW w:w="1110" w:type="dxa"/>
          </w:tcPr>
          <w:p w14:paraId="5AFAA87C" w14:textId="77777777" w:rsidR="00C76694" w:rsidRPr="00AC2F47" w:rsidRDefault="00C76694" w:rsidP="00203F2A">
            <w:pPr>
              <w:pStyle w:val="NoSpacing"/>
              <w:jc w:val="both"/>
              <w:rPr>
                <w:sz w:val="20"/>
                <w:szCs w:val="20"/>
              </w:rPr>
            </w:pPr>
          </w:p>
        </w:tc>
        <w:tc>
          <w:tcPr>
            <w:tcW w:w="718" w:type="dxa"/>
          </w:tcPr>
          <w:p w14:paraId="4F5E47BF" w14:textId="6EDE233C" w:rsidR="00C76694" w:rsidRPr="00AC2F47" w:rsidRDefault="00C76694" w:rsidP="00203F2A">
            <w:pPr>
              <w:pStyle w:val="NoSpacing"/>
              <w:jc w:val="both"/>
              <w:rPr>
                <w:sz w:val="20"/>
                <w:szCs w:val="20"/>
              </w:rPr>
            </w:pPr>
          </w:p>
        </w:tc>
        <w:tc>
          <w:tcPr>
            <w:tcW w:w="718" w:type="dxa"/>
            <w:shd w:val="clear" w:color="auto" w:fill="70AD47" w:themeFill="accent6"/>
          </w:tcPr>
          <w:p w14:paraId="6EF355E8" w14:textId="77777777" w:rsidR="00C76694" w:rsidRPr="00AC2F47" w:rsidRDefault="00C76694" w:rsidP="00203F2A">
            <w:pPr>
              <w:pStyle w:val="NoSpacing"/>
              <w:jc w:val="both"/>
              <w:rPr>
                <w:sz w:val="20"/>
                <w:szCs w:val="20"/>
              </w:rPr>
            </w:pPr>
          </w:p>
        </w:tc>
        <w:tc>
          <w:tcPr>
            <w:tcW w:w="718" w:type="dxa"/>
          </w:tcPr>
          <w:p w14:paraId="0833983A" w14:textId="77777777" w:rsidR="00C76694" w:rsidRPr="00AC2F47" w:rsidRDefault="00C76694" w:rsidP="00203F2A">
            <w:pPr>
              <w:pStyle w:val="NoSpacing"/>
              <w:jc w:val="both"/>
              <w:rPr>
                <w:sz w:val="20"/>
                <w:szCs w:val="20"/>
              </w:rPr>
            </w:pPr>
          </w:p>
        </w:tc>
      </w:tr>
      <w:tr w:rsidR="00C76694" w:rsidRPr="00AC2F47" w14:paraId="2E9A02E6" w14:textId="77777777" w:rsidTr="00C76694">
        <w:tc>
          <w:tcPr>
            <w:tcW w:w="419" w:type="dxa"/>
          </w:tcPr>
          <w:p w14:paraId="0C689055" w14:textId="77777777" w:rsidR="00C76694" w:rsidRPr="00AC2F47" w:rsidRDefault="00C76694" w:rsidP="00203F2A">
            <w:pPr>
              <w:pStyle w:val="NoSpacing"/>
              <w:jc w:val="both"/>
              <w:rPr>
                <w:sz w:val="20"/>
                <w:szCs w:val="20"/>
              </w:rPr>
            </w:pPr>
            <w:r>
              <w:rPr>
                <w:sz w:val="20"/>
                <w:szCs w:val="20"/>
              </w:rPr>
              <w:t>3</w:t>
            </w:r>
          </w:p>
        </w:tc>
        <w:tc>
          <w:tcPr>
            <w:tcW w:w="6097" w:type="dxa"/>
          </w:tcPr>
          <w:p w14:paraId="2275B6EA" w14:textId="77777777" w:rsidR="00C76694" w:rsidRDefault="00C76694" w:rsidP="00203F2A">
            <w:pPr>
              <w:pStyle w:val="NoSpacing"/>
              <w:jc w:val="both"/>
              <w:rPr>
                <w:sz w:val="20"/>
                <w:szCs w:val="20"/>
              </w:rPr>
            </w:pPr>
            <w:r w:rsidRPr="00AC2F47">
              <w:rPr>
                <w:sz w:val="20"/>
                <w:szCs w:val="20"/>
              </w:rPr>
              <w:t xml:space="preserve">Does the </w:t>
            </w:r>
            <w:r>
              <w:rPr>
                <w:sz w:val="20"/>
                <w:szCs w:val="20"/>
              </w:rPr>
              <w:t>applicant / implementing entity</w:t>
            </w:r>
            <w:r w:rsidRPr="00AC2F47">
              <w:rPr>
                <w:sz w:val="20"/>
                <w:szCs w:val="20"/>
              </w:rPr>
              <w:t xml:space="preserve"> have any outstanding environmental </w:t>
            </w:r>
            <w:r>
              <w:rPr>
                <w:sz w:val="20"/>
                <w:szCs w:val="20"/>
              </w:rPr>
              <w:t>issues</w:t>
            </w:r>
            <w:r w:rsidRPr="00AC2F47">
              <w:rPr>
                <w:sz w:val="20"/>
                <w:szCs w:val="20"/>
              </w:rPr>
              <w:t xml:space="preserve">, fines or penalties or any other environmental liabilities? </w:t>
            </w:r>
          </w:p>
          <w:p w14:paraId="18F70507" w14:textId="77777777" w:rsidR="00C76694" w:rsidRPr="00AC2F47" w:rsidRDefault="00C76694" w:rsidP="00203F2A">
            <w:pPr>
              <w:pStyle w:val="NoSpacing"/>
              <w:jc w:val="both"/>
              <w:rPr>
                <w:sz w:val="20"/>
                <w:szCs w:val="20"/>
              </w:rPr>
            </w:pPr>
            <w:r w:rsidRPr="00AC2F47">
              <w:rPr>
                <w:sz w:val="20"/>
                <w:szCs w:val="20"/>
              </w:rPr>
              <w:t>Examples include:</w:t>
            </w:r>
          </w:p>
          <w:p w14:paraId="5788A519" w14:textId="77777777" w:rsidR="00C76694" w:rsidRPr="00AC2F47" w:rsidRDefault="00C76694" w:rsidP="00203F2A">
            <w:pPr>
              <w:pStyle w:val="NoSpacing"/>
              <w:jc w:val="both"/>
              <w:rPr>
                <w:sz w:val="20"/>
                <w:szCs w:val="20"/>
              </w:rPr>
            </w:pPr>
            <w:r w:rsidRPr="00AC2F47">
              <w:rPr>
                <w:sz w:val="20"/>
                <w:szCs w:val="20"/>
              </w:rPr>
              <w:t>• lack of permit</w:t>
            </w:r>
            <w:r>
              <w:rPr>
                <w:sz w:val="20"/>
                <w:szCs w:val="20"/>
              </w:rPr>
              <w:t>s</w:t>
            </w:r>
          </w:p>
          <w:p w14:paraId="30329BD5" w14:textId="77777777" w:rsidR="00C76694" w:rsidRPr="00AC2F47" w:rsidRDefault="00C76694" w:rsidP="00203F2A">
            <w:pPr>
              <w:pStyle w:val="NoSpacing"/>
              <w:jc w:val="both"/>
              <w:rPr>
                <w:sz w:val="20"/>
                <w:szCs w:val="20"/>
              </w:rPr>
            </w:pPr>
            <w:r w:rsidRPr="00AC2F47">
              <w:rPr>
                <w:sz w:val="20"/>
                <w:szCs w:val="20"/>
              </w:rPr>
              <w:t>• legal claims against the company due to environmental or social issues</w:t>
            </w:r>
          </w:p>
          <w:p w14:paraId="2090F580" w14:textId="77777777" w:rsidR="00C76694" w:rsidRPr="00AC2F47" w:rsidRDefault="00C76694" w:rsidP="00203F2A">
            <w:pPr>
              <w:pStyle w:val="NoSpacing"/>
              <w:jc w:val="both"/>
              <w:rPr>
                <w:sz w:val="20"/>
                <w:szCs w:val="20"/>
              </w:rPr>
            </w:pPr>
            <w:r w:rsidRPr="00AC2F47">
              <w:rPr>
                <w:sz w:val="20"/>
                <w:szCs w:val="20"/>
              </w:rPr>
              <w:t>• contaminated soil or areas stained with chemical releases</w:t>
            </w:r>
          </w:p>
          <w:p w14:paraId="7426EF09" w14:textId="77777777" w:rsidR="00C76694" w:rsidRPr="00AC2F47" w:rsidRDefault="00C76694" w:rsidP="00203F2A">
            <w:pPr>
              <w:pStyle w:val="NoSpacing"/>
              <w:jc w:val="both"/>
              <w:rPr>
                <w:sz w:val="20"/>
                <w:szCs w:val="20"/>
              </w:rPr>
            </w:pPr>
            <w:r w:rsidRPr="00AC2F47">
              <w:rPr>
                <w:sz w:val="20"/>
                <w:szCs w:val="20"/>
              </w:rPr>
              <w:t>• drums, waste pits, stockpiled chemicals</w:t>
            </w:r>
          </w:p>
          <w:p w14:paraId="14AD2DAC" w14:textId="77777777" w:rsidR="00C76694" w:rsidRPr="00AC2F47" w:rsidRDefault="00C76694" w:rsidP="00203F2A">
            <w:pPr>
              <w:pStyle w:val="NoSpacing"/>
              <w:jc w:val="both"/>
              <w:rPr>
                <w:sz w:val="20"/>
                <w:szCs w:val="20"/>
              </w:rPr>
            </w:pPr>
            <w:r w:rsidRPr="00AC2F47">
              <w:rPr>
                <w:sz w:val="20"/>
                <w:szCs w:val="20"/>
              </w:rPr>
              <w:t>• dead or stressed vegetation</w:t>
            </w:r>
          </w:p>
          <w:p w14:paraId="52BDEDA2" w14:textId="77777777" w:rsidR="00C76694" w:rsidRPr="00AC2F47" w:rsidRDefault="00C76694" w:rsidP="00203F2A">
            <w:pPr>
              <w:pStyle w:val="NoSpacing"/>
              <w:jc w:val="both"/>
              <w:rPr>
                <w:sz w:val="20"/>
                <w:szCs w:val="20"/>
              </w:rPr>
            </w:pPr>
            <w:r w:rsidRPr="00AC2F47">
              <w:rPr>
                <w:sz w:val="20"/>
                <w:szCs w:val="20"/>
              </w:rPr>
              <w:t>• contaminated waterways, canals or ditches</w:t>
            </w:r>
          </w:p>
        </w:tc>
        <w:tc>
          <w:tcPr>
            <w:tcW w:w="1110" w:type="dxa"/>
          </w:tcPr>
          <w:p w14:paraId="79194237" w14:textId="77777777" w:rsidR="00C76694" w:rsidRPr="00AC2F47" w:rsidRDefault="00C76694" w:rsidP="00203F2A">
            <w:pPr>
              <w:pStyle w:val="NoSpacing"/>
              <w:jc w:val="both"/>
              <w:rPr>
                <w:sz w:val="20"/>
                <w:szCs w:val="20"/>
              </w:rPr>
            </w:pPr>
          </w:p>
        </w:tc>
        <w:tc>
          <w:tcPr>
            <w:tcW w:w="718" w:type="dxa"/>
          </w:tcPr>
          <w:p w14:paraId="5B524AFF" w14:textId="5D1E93CF" w:rsidR="00C76694" w:rsidRPr="00AC2F47" w:rsidRDefault="00C76694" w:rsidP="00203F2A">
            <w:pPr>
              <w:pStyle w:val="NoSpacing"/>
              <w:jc w:val="both"/>
              <w:rPr>
                <w:sz w:val="20"/>
                <w:szCs w:val="20"/>
              </w:rPr>
            </w:pPr>
          </w:p>
        </w:tc>
        <w:tc>
          <w:tcPr>
            <w:tcW w:w="718" w:type="dxa"/>
          </w:tcPr>
          <w:p w14:paraId="7F140F18" w14:textId="77777777" w:rsidR="00C76694" w:rsidRPr="00AC2F47" w:rsidRDefault="00C76694" w:rsidP="00203F2A">
            <w:pPr>
              <w:pStyle w:val="NoSpacing"/>
              <w:jc w:val="both"/>
              <w:rPr>
                <w:sz w:val="20"/>
                <w:szCs w:val="20"/>
              </w:rPr>
            </w:pPr>
          </w:p>
        </w:tc>
        <w:tc>
          <w:tcPr>
            <w:tcW w:w="718" w:type="dxa"/>
            <w:shd w:val="clear" w:color="auto" w:fill="70AD47" w:themeFill="accent6"/>
          </w:tcPr>
          <w:p w14:paraId="3F941297" w14:textId="77777777" w:rsidR="00C76694" w:rsidRPr="00AC2F47" w:rsidRDefault="00C76694" w:rsidP="00203F2A">
            <w:pPr>
              <w:pStyle w:val="NoSpacing"/>
              <w:jc w:val="both"/>
              <w:rPr>
                <w:sz w:val="20"/>
                <w:szCs w:val="20"/>
              </w:rPr>
            </w:pPr>
          </w:p>
        </w:tc>
      </w:tr>
      <w:tr w:rsidR="00C76694" w:rsidRPr="00AC2F47" w14:paraId="7FDEB79D" w14:textId="77777777" w:rsidTr="00C76694">
        <w:tc>
          <w:tcPr>
            <w:tcW w:w="419" w:type="dxa"/>
          </w:tcPr>
          <w:p w14:paraId="656DF570" w14:textId="77777777" w:rsidR="00C76694" w:rsidRPr="00AC2F47" w:rsidRDefault="00C76694" w:rsidP="00203F2A">
            <w:pPr>
              <w:pStyle w:val="NoSpacing"/>
              <w:jc w:val="both"/>
              <w:rPr>
                <w:sz w:val="20"/>
                <w:szCs w:val="20"/>
              </w:rPr>
            </w:pPr>
            <w:r>
              <w:rPr>
                <w:sz w:val="20"/>
                <w:szCs w:val="20"/>
              </w:rPr>
              <w:t>4</w:t>
            </w:r>
          </w:p>
        </w:tc>
        <w:tc>
          <w:tcPr>
            <w:tcW w:w="6097" w:type="dxa"/>
          </w:tcPr>
          <w:p w14:paraId="466DB941" w14:textId="77777777" w:rsidR="00C76694" w:rsidRDefault="00C76694" w:rsidP="00203F2A">
            <w:pPr>
              <w:pStyle w:val="NoSpacing"/>
              <w:jc w:val="both"/>
              <w:rPr>
                <w:sz w:val="20"/>
                <w:szCs w:val="20"/>
              </w:rPr>
            </w:pPr>
            <w:r w:rsidRPr="00AC2F47">
              <w:rPr>
                <w:sz w:val="20"/>
                <w:szCs w:val="20"/>
              </w:rPr>
              <w:t>Have there been any complaints raised by local</w:t>
            </w:r>
            <w:r>
              <w:rPr>
                <w:sz w:val="20"/>
                <w:szCs w:val="20"/>
              </w:rPr>
              <w:t>ly</w:t>
            </w:r>
            <w:r w:rsidRPr="00AC2F47">
              <w:rPr>
                <w:sz w:val="20"/>
                <w:szCs w:val="20"/>
              </w:rPr>
              <w:t xml:space="preserve"> affected groups or NGOs regarding </w:t>
            </w:r>
            <w:r>
              <w:rPr>
                <w:sz w:val="20"/>
                <w:szCs w:val="20"/>
              </w:rPr>
              <w:t xml:space="preserve">(anticipated) </w:t>
            </w:r>
            <w:r w:rsidRPr="00AC2F47">
              <w:rPr>
                <w:sz w:val="20"/>
                <w:szCs w:val="20"/>
              </w:rPr>
              <w:t xml:space="preserve">conditions at the </w:t>
            </w:r>
            <w:r>
              <w:rPr>
                <w:sz w:val="20"/>
                <w:szCs w:val="20"/>
              </w:rPr>
              <w:t xml:space="preserve">(proposed) </w:t>
            </w:r>
            <w:r w:rsidRPr="00AC2F47">
              <w:rPr>
                <w:sz w:val="20"/>
                <w:szCs w:val="20"/>
              </w:rPr>
              <w:t xml:space="preserve">facility? </w:t>
            </w:r>
          </w:p>
          <w:p w14:paraId="7A68DE35" w14:textId="77777777" w:rsidR="00C76694" w:rsidRPr="00AC2F47" w:rsidRDefault="00C76694" w:rsidP="00203F2A">
            <w:pPr>
              <w:pStyle w:val="NoSpacing"/>
              <w:jc w:val="both"/>
              <w:rPr>
                <w:sz w:val="20"/>
                <w:szCs w:val="20"/>
              </w:rPr>
            </w:pPr>
            <w:r w:rsidRPr="00AC2F47">
              <w:rPr>
                <w:sz w:val="20"/>
                <w:szCs w:val="20"/>
              </w:rPr>
              <w:t>Examples include:</w:t>
            </w:r>
          </w:p>
          <w:p w14:paraId="2421912A" w14:textId="77777777" w:rsidR="00C76694" w:rsidRPr="00AC2F47" w:rsidRDefault="00C76694" w:rsidP="00203F2A">
            <w:pPr>
              <w:pStyle w:val="NoSpacing"/>
              <w:jc w:val="both"/>
              <w:rPr>
                <w:sz w:val="20"/>
                <w:szCs w:val="20"/>
              </w:rPr>
            </w:pPr>
            <w:r w:rsidRPr="00AC2F47">
              <w:rPr>
                <w:sz w:val="20"/>
                <w:szCs w:val="20"/>
              </w:rPr>
              <w:t xml:space="preserve">• material complaints from the public </w:t>
            </w:r>
            <w:r>
              <w:rPr>
                <w:sz w:val="20"/>
                <w:szCs w:val="20"/>
              </w:rPr>
              <w:t>over</w:t>
            </w:r>
            <w:r w:rsidRPr="00AC2F47">
              <w:rPr>
                <w:sz w:val="20"/>
                <w:szCs w:val="20"/>
              </w:rPr>
              <w:t xml:space="preserve"> the last three (3) years related to environmental, social, or health and safety aspects</w:t>
            </w:r>
          </w:p>
          <w:p w14:paraId="36CAC01D" w14:textId="77777777" w:rsidR="00C76694" w:rsidRPr="00AC2F47" w:rsidRDefault="00C76694" w:rsidP="00203F2A">
            <w:pPr>
              <w:pStyle w:val="NoSpacing"/>
              <w:jc w:val="both"/>
              <w:rPr>
                <w:sz w:val="20"/>
                <w:szCs w:val="20"/>
              </w:rPr>
            </w:pPr>
            <w:r w:rsidRPr="00AC2F47">
              <w:rPr>
                <w:sz w:val="20"/>
                <w:szCs w:val="20"/>
              </w:rPr>
              <w:t xml:space="preserve">• legal claims against the </w:t>
            </w:r>
            <w:r>
              <w:rPr>
                <w:sz w:val="20"/>
                <w:szCs w:val="20"/>
              </w:rPr>
              <w:t>applicant</w:t>
            </w:r>
            <w:r w:rsidRPr="00AC2F47">
              <w:rPr>
                <w:sz w:val="20"/>
                <w:szCs w:val="20"/>
              </w:rPr>
              <w:t xml:space="preserve"> due to environmental or social issues</w:t>
            </w:r>
          </w:p>
          <w:p w14:paraId="1B38F9CB" w14:textId="77777777" w:rsidR="00C76694" w:rsidRPr="00AC2F47" w:rsidRDefault="00C76694" w:rsidP="00203F2A">
            <w:pPr>
              <w:pStyle w:val="NoSpacing"/>
              <w:jc w:val="both"/>
              <w:rPr>
                <w:sz w:val="20"/>
                <w:szCs w:val="20"/>
              </w:rPr>
            </w:pPr>
            <w:r w:rsidRPr="00AC2F47">
              <w:rPr>
                <w:sz w:val="20"/>
                <w:szCs w:val="20"/>
              </w:rPr>
              <w:t>• significant accidents or deaths of workers or public</w:t>
            </w:r>
          </w:p>
          <w:p w14:paraId="73D3B1BE" w14:textId="77777777" w:rsidR="00C76694" w:rsidRPr="00AC2F47" w:rsidRDefault="00C76694" w:rsidP="00203F2A">
            <w:pPr>
              <w:pStyle w:val="NoSpacing"/>
              <w:jc w:val="both"/>
              <w:rPr>
                <w:sz w:val="20"/>
                <w:szCs w:val="20"/>
              </w:rPr>
            </w:pPr>
            <w:r w:rsidRPr="00AC2F47">
              <w:rPr>
                <w:sz w:val="20"/>
                <w:szCs w:val="20"/>
              </w:rPr>
              <w:t>• environmental incidents or accidents (spills, dust clouds, releases, etc.)</w:t>
            </w:r>
          </w:p>
        </w:tc>
        <w:tc>
          <w:tcPr>
            <w:tcW w:w="1110" w:type="dxa"/>
          </w:tcPr>
          <w:p w14:paraId="0ED0D461" w14:textId="77777777" w:rsidR="00C76694" w:rsidRPr="00AC2F47" w:rsidRDefault="00C76694" w:rsidP="00203F2A">
            <w:pPr>
              <w:pStyle w:val="NoSpacing"/>
              <w:jc w:val="both"/>
              <w:rPr>
                <w:sz w:val="20"/>
                <w:szCs w:val="20"/>
              </w:rPr>
            </w:pPr>
          </w:p>
        </w:tc>
        <w:tc>
          <w:tcPr>
            <w:tcW w:w="718" w:type="dxa"/>
          </w:tcPr>
          <w:p w14:paraId="1B56AD6D" w14:textId="590E25E6" w:rsidR="00C76694" w:rsidRPr="00AC2F47" w:rsidRDefault="00C76694" w:rsidP="00203F2A">
            <w:pPr>
              <w:pStyle w:val="NoSpacing"/>
              <w:jc w:val="both"/>
              <w:rPr>
                <w:sz w:val="20"/>
                <w:szCs w:val="20"/>
              </w:rPr>
            </w:pPr>
          </w:p>
        </w:tc>
        <w:tc>
          <w:tcPr>
            <w:tcW w:w="718" w:type="dxa"/>
          </w:tcPr>
          <w:p w14:paraId="6747FB8C" w14:textId="77777777" w:rsidR="00C76694" w:rsidRPr="00AC2F47" w:rsidRDefault="00C76694" w:rsidP="00203F2A">
            <w:pPr>
              <w:pStyle w:val="NoSpacing"/>
              <w:jc w:val="both"/>
              <w:rPr>
                <w:sz w:val="20"/>
                <w:szCs w:val="20"/>
              </w:rPr>
            </w:pPr>
          </w:p>
        </w:tc>
        <w:tc>
          <w:tcPr>
            <w:tcW w:w="718" w:type="dxa"/>
            <w:shd w:val="clear" w:color="auto" w:fill="70AD47" w:themeFill="accent6"/>
          </w:tcPr>
          <w:p w14:paraId="4F8A189A" w14:textId="77777777" w:rsidR="00C76694" w:rsidRPr="00AC2F47" w:rsidRDefault="00C76694" w:rsidP="00203F2A">
            <w:pPr>
              <w:pStyle w:val="NoSpacing"/>
              <w:jc w:val="both"/>
              <w:rPr>
                <w:sz w:val="20"/>
                <w:szCs w:val="20"/>
              </w:rPr>
            </w:pPr>
          </w:p>
        </w:tc>
      </w:tr>
      <w:tr w:rsidR="00C76694" w:rsidRPr="00AC2F47" w14:paraId="061EFE40" w14:textId="77777777" w:rsidTr="00C76694">
        <w:tc>
          <w:tcPr>
            <w:tcW w:w="419" w:type="dxa"/>
          </w:tcPr>
          <w:p w14:paraId="1E3702EA" w14:textId="77777777" w:rsidR="00C76694" w:rsidRPr="00AC2F47" w:rsidRDefault="00C76694" w:rsidP="00203F2A">
            <w:pPr>
              <w:pStyle w:val="NoSpacing"/>
              <w:jc w:val="both"/>
              <w:rPr>
                <w:sz w:val="20"/>
                <w:szCs w:val="20"/>
              </w:rPr>
            </w:pPr>
            <w:r>
              <w:rPr>
                <w:sz w:val="20"/>
                <w:szCs w:val="20"/>
              </w:rPr>
              <w:t>5</w:t>
            </w:r>
          </w:p>
        </w:tc>
        <w:tc>
          <w:tcPr>
            <w:tcW w:w="6097" w:type="dxa"/>
          </w:tcPr>
          <w:p w14:paraId="3F778EAB" w14:textId="77777777" w:rsidR="00C76694" w:rsidRPr="00AC2F47" w:rsidRDefault="00C76694" w:rsidP="00203F2A">
            <w:pPr>
              <w:pStyle w:val="NoSpacing"/>
              <w:jc w:val="both"/>
              <w:rPr>
                <w:sz w:val="20"/>
                <w:szCs w:val="20"/>
              </w:rPr>
            </w:pPr>
            <w:r w:rsidRPr="00AC2F47">
              <w:rPr>
                <w:sz w:val="20"/>
                <w:szCs w:val="20"/>
              </w:rPr>
              <w:t xml:space="preserve">Will the sub-project generate water effluents </w:t>
            </w:r>
            <w:proofErr w:type="gramStart"/>
            <w:r w:rsidRPr="00AC2F47">
              <w:rPr>
                <w:sz w:val="20"/>
                <w:szCs w:val="20"/>
              </w:rPr>
              <w:t>that:</w:t>
            </w:r>
            <w:proofErr w:type="gramEnd"/>
          </w:p>
          <w:p w14:paraId="68A910C8" w14:textId="30A5F727" w:rsidR="00C76694" w:rsidRPr="00AC2F47" w:rsidRDefault="00C76694" w:rsidP="00203F2A">
            <w:pPr>
              <w:pStyle w:val="NoSpacing"/>
              <w:jc w:val="both"/>
              <w:rPr>
                <w:sz w:val="20"/>
                <w:szCs w:val="20"/>
              </w:rPr>
            </w:pPr>
            <w:r w:rsidRPr="00AC2F47">
              <w:rPr>
                <w:sz w:val="20"/>
                <w:szCs w:val="20"/>
              </w:rPr>
              <w:t xml:space="preserve">• violate </w:t>
            </w:r>
            <w:r>
              <w:rPr>
                <w:sz w:val="20"/>
                <w:szCs w:val="20"/>
              </w:rPr>
              <w:t xml:space="preserve">Suriname’s </w:t>
            </w:r>
            <w:r w:rsidRPr="00AC2F47">
              <w:rPr>
                <w:sz w:val="20"/>
                <w:szCs w:val="20"/>
              </w:rPr>
              <w:t>effluent standards</w:t>
            </w:r>
            <w:r w:rsidR="00396FF3">
              <w:rPr>
                <w:sz w:val="20"/>
                <w:szCs w:val="20"/>
              </w:rPr>
              <w:t xml:space="preserve"> (?)</w:t>
            </w:r>
          </w:p>
          <w:p w14:paraId="38F5C09E" w14:textId="14A3BCD7" w:rsidR="00C76694" w:rsidRPr="00AC2F47" w:rsidRDefault="00C76694" w:rsidP="00203F2A">
            <w:pPr>
              <w:pStyle w:val="NoSpacing"/>
              <w:jc w:val="both"/>
              <w:rPr>
                <w:sz w:val="20"/>
                <w:szCs w:val="20"/>
              </w:rPr>
            </w:pPr>
            <w:r w:rsidRPr="00AC2F47">
              <w:rPr>
                <w:sz w:val="20"/>
                <w:szCs w:val="20"/>
              </w:rPr>
              <w:t xml:space="preserve">• result in long term violation of </w:t>
            </w:r>
            <w:r>
              <w:rPr>
                <w:sz w:val="20"/>
                <w:szCs w:val="20"/>
              </w:rPr>
              <w:t xml:space="preserve">Suriname’s </w:t>
            </w:r>
            <w:r w:rsidRPr="00AC2F47">
              <w:rPr>
                <w:sz w:val="20"/>
                <w:szCs w:val="20"/>
              </w:rPr>
              <w:t>water quality standards</w:t>
            </w:r>
            <w:r w:rsidR="00396FF3">
              <w:rPr>
                <w:sz w:val="20"/>
                <w:szCs w:val="20"/>
              </w:rPr>
              <w:t xml:space="preserve"> (?)</w:t>
            </w:r>
          </w:p>
          <w:p w14:paraId="46EB3FD2" w14:textId="77777777" w:rsidR="00C76694" w:rsidRPr="00AC2F47" w:rsidRDefault="00C76694" w:rsidP="00203F2A">
            <w:pPr>
              <w:pStyle w:val="NoSpacing"/>
              <w:jc w:val="both"/>
              <w:rPr>
                <w:sz w:val="20"/>
                <w:szCs w:val="20"/>
              </w:rPr>
            </w:pPr>
            <w:r w:rsidRPr="00AC2F47">
              <w:rPr>
                <w:sz w:val="20"/>
                <w:szCs w:val="20"/>
              </w:rPr>
              <w:t>• contaminate public drinking water supply</w:t>
            </w:r>
          </w:p>
          <w:p w14:paraId="49FC2DA3" w14:textId="77777777" w:rsidR="00C76694" w:rsidRPr="00AC2F47" w:rsidRDefault="00C76694" w:rsidP="00203F2A">
            <w:pPr>
              <w:pStyle w:val="NoSpacing"/>
              <w:jc w:val="both"/>
              <w:rPr>
                <w:sz w:val="20"/>
                <w:szCs w:val="20"/>
              </w:rPr>
            </w:pPr>
            <w:r w:rsidRPr="00AC2F47">
              <w:rPr>
                <w:sz w:val="20"/>
                <w:szCs w:val="20"/>
              </w:rPr>
              <w:t>• contaminate underground water resources</w:t>
            </w:r>
          </w:p>
          <w:p w14:paraId="6A6F9197" w14:textId="77777777" w:rsidR="00C76694" w:rsidRPr="00AC2F47" w:rsidRDefault="00C76694" w:rsidP="00203F2A">
            <w:pPr>
              <w:pStyle w:val="NoSpacing"/>
              <w:jc w:val="both"/>
              <w:rPr>
                <w:sz w:val="20"/>
                <w:szCs w:val="20"/>
              </w:rPr>
            </w:pPr>
            <w:r w:rsidRPr="00AC2F47">
              <w:rPr>
                <w:sz w:val="20"/>
                <w:szCs w:val="20"/>
              </w:rPr>
              <w:t>• harm fish or aquatic ecosystems</w:t>
            </w:r>
          </w:p>
          <w:p w14:paraId="553143B7" w14:textId="77777777" w:rsidR="00C76694" w:rsidRPr="00AC2F47" w:rsidRDefault="00C76694" w:rsidP="00203F2A">
            <w:pPr>
              <w:pStyle w:val="NoSpacing"/>
              <w:jc w:val="both"/>
              <w:rPr>
                <w:sz w:val="20"/>
                <w:szCs w:val="20"/>
              </w:rPr>
            </w:pPr>
            <w:r w:rsidRPr="00AC2F47">
              <w:rPr>
                <w:sz w:val="20"/>
                <w:szCs w:val="20"/>
              </w:rPr>
              <w:t xml:space="preserve">• contaminate a natural habitat or </w:t>
            </w:r>
            <w:r>
              <w:rPr>
                <w:sz w:val="20"/>
                <w:szCs w:val="20"/>
              </w:rPr>
              <w:t>P</w:t>
            </w:r>
            <w:r w:rsidRPr="00AC2F47">
              <w:rPr>
                <w:sz w:val="20"/>
                <w:szCs w:val="20"/>
              </w:rPr>
              <w:t xml:space="preserve">rotected </w:t>
            </w:r>
            <w:r>
              <w:rPr>
                <w:sz w:val="20"/>
                <w:szCs w:val="20"/>
              </w:rPr>
              <w:t>A</w:t>
            </w:r>
            <w:r w:rsidRPr="00AC2F47">
              <w:rPr>
                <w:sz w:val="20"/>
                <w:szCs w:val="20"/>
              </w:rPr>
              <w:t>rea</w:t>
            </w:r>
          </w:p>
          <w:p w14:paraId="5DFFB8F7" w14:textId="77777777" w:rsidR="00C76694" w:rsidRPr="00AC2F47" w:rsidRDefault="00C76694" w:rsidP="00203F2A">
            <w:pPr>
              <w:pStyle w:val="NoSpacing"/>
              <w:jc w:val="both"/>
              <w:rPr>
                <w:sz w:val="20"/>
                <w:szCs w:val="20"/>
              </w:rPr>
            </w:pPr>
            <w:r w:rsidRPr="00AC2F47">
              <w:rPr>
                <w:sz w:val="20"/>
                <w:szCs w:val="20"/>
              </w:rPr>
              <w:t>• are difficult, expensive, or hard to control</w:t>
            </w:r>
          </w:p>
          <w:p w14:paraId="3CC12B61" w14:textId="77777777" w:rsidR="00396FF3" w:rsidRDefault="00C76694" w:rsidP="00203F2A">
            <w:pPr>
              <w:pStyle w:val="NoSpacing"/>
              <w:jc w:val="both"/>
              <w:rPr>
                <w:sz w:val="20"/>
                <w:szCs w:val="20"/>
              </w:rPr>
            </w:pPr>
            <w:r w:rsidRPr="00AC2F47">
              <w:rPr>
                <w:sz w:val="20"/>
                <w:szCs w:val="20"/>
              </w:rPr>
              <w:t xml:space="preserve">• alter downstream river basin </w:t>
            </w:r>
            <w:r w:rsidR="00396FF3" w:rsidRPr="00AC2F47">
              <w:rPr>
                <w:sz w:val="20"/>
                <w:szCs w:val="20"/>
              </w:rPr>
              <w:t>characteristics</w:t>
            </w:r>
            <w:r w:rsidR="00396FF3" w:rsidRPr="00E17705">
              <w:rPr>
                <w:sz w:val="20"/>
                <w:szCs w:val="20"/>
              </w:rPr>
              <w:t xml:space="preserve"> </w:t>
            </w:r>
          </w:p>
          <w:p w14:paraId="6A781AE1" w14:textId="1243592F" w:rsidR="00C76694" w:rsidRDefault="00396FF3" w:rsidP="00203F2A">
            <w:pPr>
              <w:pStyle w:val="NoSpacing"/>
              <w:jc w:val="both"/>
              <w:rPr>
                <w:sz w:val="20"/>
                <w:szCs w:val="20"/>
              </w:rPr>
            </w:pPr>
            <w:r w:rsidRPr="00E17705">
              <w:rPr>
                <w:sz w:val="20"/>
                <w:szCs w:val="20"/>
              </w:rPr>
              <w:t>are</w:t>
            </w:r>
            <w:r w:rsidR="00C76694" w:rsidRPr="00E17705">
              <w:rPr>
                <w:sz w:val="20"/>
                <w:szCs w:val="20"/>
              </w:rPr>
              <w:t xml:space="preserve"> inconsistent with World Bank EHS Guidelines</w:t>
            </w:r>
          </w:p>
          <w:p w14:paraId="48593DE9" w14:textId="6FA8DBB5" w:rsidR="00396FF3" w:rsidRPr="00AC2F47" w:rsidRDefault="00714288" w:rsidP="00203F2A">
            <w:pPr>
              <w:pStyle w:val="NoSpacing"/>
              <w:jc w:val="both"/>
              <w:rPr>
                <w:sz w:val="20"/>
                <w:szCs w:val="20"/>
              </w:rPr>
            </w:pPr>
            <w:hyperlink r:id="rId22" w:history="1">
              <w:r w:rsidR="00396FF3" w:rsidRPr="0081706B">
                <w:rPr>
                  <w:rStyle w:val="Hyperlink"/>
                  <w:sz w:val="20"/>
                  <w:szCs w:val="20"/>
                </w:rPr>
                <w:t>https://www.ifc.org/wps/wcm/connect/topics_ext_content/ifc_external_corporate_site/sustainability-at-ifc/policies-standards/ehs-guidelines</w:t>
              </w:r>
            </w:hyperlink>
            <w:r w:rsidR="00396FF3">
              <w:rPr>
                <w:sz w:val="20"/>
                <w:szCs w:val="20"/>
              </w:rPr>
              <w:t xml:space="preserve"> </w:t>
            </w:r>
          </w:p>
        </w:tc>
        <w:tc>
          <w:tcPr>
            <w:tcW w:w="1110" w:type="dxa"/>
          </w:tcPr>
          <w:p w14:paraId="7BA004EE" w14:textId="77777777" w:rsidR="00C76694" w:rsidRPr="00AC2F47" w:rsidRDefault="00C76694" w:rsidP="00203F2A">
            <w:pPr>
              <w:pStyle w:val="NoSpacing"/>
              <w:jc w:val="both"/>
              <w:rPr>
                <w:sz w:val="20"/>
                <w:szCs w:val="20"/>
              </w:rPr>
            </w:pPr>
          </w:p>
        </w:tc>
        <w:tc>
          <w:tcPr>
            <w:tcW w:w="718" w:type="dxa"/>
          </w:tcPr>
          <w:p w14:paraId="22A8F906" w14:textId="7C704F52" w:rsidR="00C76694" w:rsidRPr="00AC2F47" w:rsidRDefault="00C76694" w:rsidP="00203F2A">
            <w:pPr>
              <w:pStyle w:val="NoSpacing"/>
              <w:jc w:val="both"/>
              <w:rPr>
                <w:sz w:val="20"/>
                <w:szCs w:val="20"/>
              </w:rPr>
            </w:pPr>
          </w:p>
        </w:tc>
        <w:tc>
          <w:tcPr>
            <w:tcW w:w="718" w:type="dxa"/>
          </w:tcPr>
          <w:p w14:paraId="47662BCD" w14:textId="77777777" w:rsidR="00C76694" w:rsidRPr="00AC2F47" w:rsidRDefault="00C76694" w:rsidP="00203F2A">
            <w:pPr>
              <w:pStyle w:val="NoSpacing"/>
              <w:jc w:val="both"/>
              <w:rPr>
                <w:sz w:val="20"/>
                <w:szCs w:val="20"/>
              </w:rPr>
            </w:pPr>
          </w:p>
        </w:tc>
        <w:tc>
          <w:tcPr>
            <w:tcW w:w="718" w:type="dxa"/>
            <w:shd w:val="clear" w:color="auto" w:fill="70AD47" w:themeFill="accent6"/>
          </w:tcPr>
          <w:p w14:paraId="35AB4265" w14:textId="77777777" w:rsidR="00C76694" w:rsidRPr="00AC2F47" w:rsidRDefault="00C76694" w:rsidP="00203F2A">
            <w:pPr>
              <w:pStyle w:val="NoSpacing"/>
              <w:jc w:val="both"/>
              <w:rPr>
                <w:sz w:val="20"/>
                <w:szCs w:val="20"/>
              </w:rPr>
            </w:pPr>
          </w:p>
        </w:tc>
      </w:tr>
      <w:tr w:rsidR="00C76694" w:rsidRPr="00AC2F47" w14:paraId="0F171E19" w14:textId="77777777" w:rsidTr="00C76694">
        <w:tc>
          <w:tcPr>
            <w:tcW w:w="419" w:type="dxa"/>
          </w:tcPr>
          <w:p w14:paraId="6E0CA3C1" w14:textId="77777777" w:rsidR="00C76694" w:rsidRPr="00AC2F47" w:rsidRDefault="00C76694" w:rsidP="00203F2A">
            <w:pPr>
              <w:pStyle w:val="NoSpacing"/>
              <w:jc w:val="both"/>
              <w:rPr>
                <w:sz w:val="20"/>
                <w:szCs w:val="20"/>
              </w:rPr>
            </w:pPr>
            <w:r>
              <w:rPr>
                <w:sz w:val="20"/>
                <w:szCs w:val="20"/>
              </w:rPr>
              <w:t>6</w:t>
            </w:r>
          </w:p>
        </w:tc>
        <w:tc>
          <w:tcPr>
            <w:tcW w:w="6097" w:type="dxa"/>
          </w:tcPr>
          <w:p w14:paraId="75F32064" w14:textId="77777777" w:rsidR="00C76694" w:rsidRPr="00AC2F47" w:rsidRDefault="00C76694" w:rsidP="00203F2A">
            <w:pPr>
              <w:pStyle w:val="NoSpacing"/>
              <w:jc w:val="both"/>
              <w:rPr>
                <w:sz w:val="20"/>
                <w:szCs w:val="20"/>
              </w:rPr>
            </w:pPr>
            <w:r w:rsidRPr="00AC2F47">
              <w:rPr>
                <w:sz w:val="20"/>
                <w:szCs w:val="20"/>
              </w:rPr>
              <w:t xml:space="preserve">Will the sub-project generate air emissions </w:t>
            </w:r>
            <w:proofErr w:type="gramStart"/>
            <w:r w:rsidRPr="00AC2F47">
              <w:rPr>
                <w:sz w:val="20"/>
                <w:szCs w:val="20"/>
              </w:rPr>
              <w:t>that:</w:t>
            </w:r>
            <w:proofErr w:type="gramEnd"/>
          </w:p>
          <w:p w14:paraId="0B2E9125" w14:textId="77777777" w:rsidR="00C76694" w:rsidRPr="00AC2F47" w:rsidRDefault="00C76694" w:rsidP="00203F2A">
            <w:pPr>
              <w:pStyle w:val="NoSpacing"/>
              <w:jc w:val="both"/>
              <w:rPr>
                <w:sz w:val="20"/>
                <w:szCs w:val="20"/>
              </w:rPr>
            </w:pPr>
            <w:r w:rsidRPr="00AC2F47">
              <w:rPr>
                <w:sz w:val="20"/>
                <w:szCs w:val="20"/>
              </w:rPr>
              <w:t xml:space="preserve">• violate </w:t>
            </w:r>
            <w:r>
              <w:rPr>
                <w:sz w:val="20"/>
                <w:szCs w:val="20"/>
              </w:rPr>
              <w:t xml:space="preserve">Suriname’s </w:t>
            </w:r>
            <w:r w:rsidRPr="00AC2F47">
              <w:rPr>
                <w:sz w:val="20"/>
                <w:szCs w:val="20"/>
              </w:rPr>
              <w:t>air emission standards</w:t>
            </w:r>
          </w:p>
          <w:p w14:paraId="1482F2D0" w14:textId="77777777" w:rsidR="00C76694" w:rsidRPr="00AC2F47" w:rsidRDefault="00C76694" w:rsidP="00203F2A">
            <w:pPr>
              <w:pStyle w:val="NoSpacing"/>
              <w:jc w:val="both"/>
              <w:rPr>
                <w:sz w:val="20"/>
                <w:szCs w:val="20"/>
              </w:rPr>
            </w:pPr>
            <w:r w:rsidRPr="00AC2F47">
              <w:rPr>
                <w:sz w:val="20"/>
                <w:szCs w:val="20"/>
              </w:rPr>
              <w:t xml:space="preserve">• result in a </w:t>
            </w:r>
            <w:proofErr w:type="gramStart"/>
            <w:r w:rsidRPr="00AC2F47">
              <w:rPr>
                <w:sz w:val="20"/>
                <w:szCs w:val="20"/>
              </w:rPr>
              <w:t>long term</w:t>
            </w:r>
            <w:proofErr w:type="gramEnd"/>
            <w:r w:rsidRPr="00AC2F47">
              <w:rPr>
                <w:sz w:val="20"/>
                <w:szCs w:val="20"/>
              </w:rPr>
              <w:t xml:space="preserve"> violation of </w:t>
            </w:r>
            <w:r>
              <w:rPr>
                <w:sz w:val="20"/>
                <w:szCs w:val="20"/>
              </w:rPr>
              <w:t xml:space="preserve">Suriname’s </w:t>
            </w:r>
            <w:r w:rsidRPr="00AC2F47">
              <w:rPr>
                <w:sz w:val="20"/>
                <w:szCs w:val="20"/>
              </w:rPr>
              <w:t>air quality standards</w:t>
            </w:r>
          </w:p>
          <w:p w14:paraId="7EA9DC24" w14:textId="77777777" w:rsidR="00C76694" w:rsidRPr="00AC2F47" w:rsidRDefault="00C76694" w:rsidP="00203F2A">
            <w:pPr>
              <w:pStyle w:val="NoSpacing"/>
              <w:jc w:val="both"/>
              <w:rPr>
                <w:sz w:val="20"/>
                <w:szCs w:val="20"/>
              </w:rPr>
            </w:pPr>
            <w:r w:rsidRPr="00AC2F47">
              <w:rPr>
                <w:sz w:val="20"/>
                <w:szCs w:val="20"/>
              </w:rPr>
              <w:t>• release pollutants that affect downwind sensitive receptors (hospitals, schools, population centres, sensitive crops</w:t>
            </w:r>
            <w:r>
              <w:rPr>
                <w:sz w:val="20"/>
                <w:szCs w:val="20"/>
              </w:rPr>
              <w:t>,</w:t>
            </w:r>
            <w:r w:rsidRPr="00AC2F47">
              <w:rPr>
                <w:sz w:val="20"/>
                <w:szCs w:val="20"/>
              </w:rPr>
              <w:t xml:space="preserve"> etc.)</w:t>
            </w:r>
          </w:p>
          <w:p w14:paraId="556F5553" w14:textId="77777777" w:rsidR="00C76694" w:rsidRPr="00AC2F47" w:rsidRDefault="00C76694" w:rsidP="00203F2A">
            <w:pPr>
              <w:pStyle w:val="NoSpacing"/>
              <w:jc w:val="both"/>
              <w:rPr>
                <w:sz w:val="20"/>
                <w:szCs w:val="20"/>
              </w:rPr>
            </w:pPr>
            <w:r w:rsidRPr="00AC2F47">
              <w:rPr>
                <w:sz w:val="20"/>
                <w:szCs w:val="20"/>
              </w:rPr>
              <w:t>• harm sensitive ecosystems (e.g. forests)</w:t>
            </w:r>
          </w:p>
          <w:p w14:paraId="2B2941EC" w14:textId="77777777" w:rsidR="00C76694" w:rsidRPr="00AC2F47" w:rsidRDefault="00C76694" w:rsidP="00203F2A">
            <w:pPr>
              <w:pStyle w:val="NoSpacing"/>
              <w:jc w:val="both"/>
              <w:rPr>
                <w:sz w:val="20"/>
                <w:szCs w:val="20"/>
              </w:rPr>
            </w:pPr>
            <w:r w:rsidRPr="00AC2F47">
              <w:rPr>
                <w:sz w:val="20"/>
                <w:szCs w:val="20"/>
              </w:rPr>
              <w:t xml:space="preserve">• impact a natural habitat or </w:t>
            </w:r>
            <w:r>
              <w:rPr>
                <w:sz w:val="20"/>
                <w:szCs w:val="20"/>
              </w:rPr>
              <w:t>P</w:t>
            </w:r>
            <w:r w:rsidRPr="00AC2F47">
              <w:rPr>
                <w:sz w:val="20"/>
                <w:szCs w:val="20"/>
              </w:rPr>
              <w:t xml:space="preserve">rotected </w:t>
            </w:r>
            <w:r>
              <w:rPr>
                <w:sz w:val="20"/>
                <w:szCs w:val="20"/>
              </w:rPr>
              <w:t>A</w:t>
            </w:r>
            <w:r w:rsidRPr="00AC2F47">
              <w:rPr>
                <w:sz w:val="20"/>
                <w:szCs w:val="20"/>
              </w:rPr>
              <w:t>rea</w:t>
            </w:r>
          </w:p>
          <w:p w14:paraId="68D2BC5F" w14:textId="77777777" w:rsidR="00C76694" w:rsidRDefault="00C76694" w:rsidP="00203F2A">
            <w:pPr>
              <w:pStyle w:val="NoSpacing"/>
              <w:jc w:val="both"/>
              <w:rPr>
                <w:sz w:val="20"/>
                <w:szCs w:val="20"/>
              </w:rPr>
            </w:pPr>
            <w:r w:rsidRPr="00AC2F47">
              <w:rPr>
                <w:sz w:val="20"/>
                <w:szCs w:val="20"/>
              </w:rPr>
              <w:t>• are difficult, expensive, or hard to control</w:t>
            </w:r>
          </w:p>
          <w:p w14:paraId="779166D8" w14:textId="77777777" w:rsidR="00C76694" w:rsidRPr="00AC2F47" w:rsidRDefault="00C76694" w:rsidP="00203F2A">
            <w:pPr>
              <w:pStyle w:val="NoSpacing"/>
              <w:jc w:val="both"/>
              <w:rPr>
                <w:sz w:val="20"/>
                <w:szCs w:val="20"/>
              </w:rPr>
            </w:pPr>
            <w:r w:rsidRPr="00E17705">
              <w:rPr>
                <w:sz w:val="20"/>
                <w:szCs w:val="20"/>
              </w:rPr>
              <w:t>are inconsistent with World Bank EHS Guidelines</w:t>
            </w:r>
          </w:p>
        </w:tc>
        <w:tc>
          <w:tcPr>
            <w:tcW w:w="1110" w:type="dxa"/>
          </w:tcPr>
          <w:p w14:paraId="64E66EA8" w14:textId="77777777" w:rsidR="00C76694" w:rsidRPr="00AC2F47" w:rsidRDefault="00C76694" w:rsidP="00203F2A">
            <w:pPr>
              <w:pStyle w:val="NoSpacing"/>
              <w:jc w:val="both"/>
              <w:rPr>
                <w:sz w:val="20"/>
                <w:szCs w:val="20"/>
              </w:rPr>
            </w:pPr>
          </w:p>
        </w:tc>
        <w:tc>
          <w:tcPr>
            <w:tcW w:w="718" w:type="dxa"/>
          </w:tcPr>
          <w:p w14:paraId="2023609C" w14:textId="44EA2050" w:rsidR="00C76694" w:rsidRPr="00AC2F47" w:rsidRDefault="00C76694" w:rsidP="00203F2A">
            <w:pPr>
              <w:pStyle w:val="NoSpacing"/>
              <w:jc w:val="both"/>
              <w:rPr>
                <w:sz w:val="20"/>
                <w:szCs w:val="20"/>
              </w:rPr>
            </w:pPr>
          </w:p>
        </w:tc>
        <w:tc>
          <w:tcPr>
            <w:tcW w:w="718" w:type="dxa"/>
          </w:tcPr>
          <w:p w14:paraId="083E0922" w14:textId="77777777" w:rsidR="00C76694" w:rsidRPr="00AC2F47" w:rsidRDefault="00C76694" w:rsidP="00203F2A">
            <w:pPr>
              <w:pStyle w:val="NoSpacing"/>
              <w:jc w:val="both"/>
              <w:rPr>
                <w:sz w:val="20"/>
                <w:szCs w:val="20"/>
              </w:rPr>
            </w:pPr>
          </w:p>
        </w:tc>
        <w:tc>
          <w:tcPr>
            <w:tcW w:w="718" w:type="dxa"/>
            <w:shd w:val="clear" w:color="auto" w:fill="70AD47" w:themeFill="accent6"/>
          </w:tcPr>
          <w:p w14:paraId="4EF10344" w14:textId="77777777" w:rsidR="00C76694" w:rsidRPr="00AC2F47" w:rsidRDefault="00C76694" w:rsidP="00203F2A">
            <w:pPr>
              <w:pStyle w:val="NoSpacing"/>
              <w:jc w:val="both"/>
              <w:rPr>
                <w:sz w:val="20"/>
                <w:szCs w:val="20"/>
              </w:rPr>
            </w:pPr>
          </w:p>
        </w:tc>
      </w:tr>
      <w:tr w:rsidR="00C76694" w:rsidRPr="00AC2F47" w14:paraId="630E7FAD" w14:textId="77777777" w:rsidTr="00C76694">
        <w:tc>
          <w:tcPr>
            <w:tcW w:w="419" w:type="dxa"/>
          </w:tcPr>
          <w:p w14:paraId="04EA691F" w14:textId="77777777" w:rsidR="00C76694" w:rsidRPr="00AC2F47" w:rsidRDefault="00C76694" w:rsidP="00203F2A">
            <w:pPr>
              <w:pStyle w:val="NoSpacing"/>
              <w:jc w:val="both"/>
              <w:rPr>
                <w:sz w:val="20"/>
                <w:szCs w:val="20"/>
              </w:rPr>
            </w:pPr>
            <w:r>
              <w:rPr>
                <w:sz w:val="20"/>
                <w:szCs w:val="20"/>
              </w:rPr>
              <w:t>7</w:t>
            </w:r>
          </w:p>
        </w:tc>
        <w:tc>
          <w:tcPr>
            <w:tcW w:w="6097" w:type="dxa"/>
          </w:tcPr>
          <w:p w14:paraId="2FCF7B0B" w14:textId="77777777" w:rsidR="00C76694" w:rsidRPr="00AC2F47" w:rsidRDefault="00C76694" w:rsidP="00203F2A">
            <w:pPr>
              <w:pStyle w:val="NoSpacing"/>
              <w:jc w:val="both"/>
              <w:rPr>
                <w:sz w:val="20"/>
                <w:szCs w:val="20"/>
              </w:rPr>
            </w:pPr>
            <w:r w:rsidRPr="00AC2F47">
              <w:rPr>
                <w:sz w:val="20"/>
                <w:szCs w:val="20"/>
              </w:rPr>
              <w:t xml:space="preserve">Will the sub-project generate noise levels </w:t>
            </w:r>
            <w:proofErr w:type="gramStart"/>
            <w:r w:rsidRPr="00AC2F47">
              <w:rPr>
                <w:sz w:val="20"/>
                <w:szCs w:val="20"/>
              </w:rPr>
              <w:t>that:</w:t>
            </w:r>
            <w:proofErr w:type="gramEnd"/>
          </w:p>
          <w:p w14:paraId="45B011FD" w14:textId="185073EC" w:rsidR="00C76694" w:rsidRPr="00AC2F47" w:rsidRDefault="00C76694" w:rsidP="00203F2A">
            <w:pPr>
              <w:pStyle w:val="NoSpacing"/>
              <w:jc w:val="both"/>
              <w:rPr>
                <w:sz w:val="20"/>
                <w:szCs w:val="20"/>
              </w:rPr>
            </w:pPr>
            <w:r w:rsidRPr="00AC2F47">
              <w:rPr>
                <w:sz w:val="20"/>
                <w:szCs w:val="20"/>
              </w:rPr>
              <w:t xml:space="preserve">• violate </w:t>
            </w:r>
            <w:r>
              <w:rPr>
                <w:sz w:val="20"/>
                <w:szCs w:val="20"/>
              </w:rPr>
              <w:t xml:space="preserve">Suriname’s </w:t>
            </w:r>
            <w:r w:rsidRPr="00AC2F47">
              <w:rPr>
                <w:sz w:val="20"/>
                <w:szCs w:val="20"/>
              </w:rPr>
              <w:t>noise standards</w:t>
            </w:r>
            <w:r w:rsidR="00396FF3">
              <w:rPr>
                <w:sz w:val="20"/>
                <w:szCs w:val="20"/>
              </w:rPr>
              <w:t xml:space="preserve"> (?)</w:t>
            </w:r>
          </w:p>
          <w:p w14:paraId="0EAEEB35" w14:textId="77777777" w:rsidR="00C76694" w:rsidRDefault="00C76694" w:rsidP="00203F2A">
            <w:pPr>
              <w:pStyle w:val="NoSpacing"/>
              <w:jc w:val="both"/>
              <w:rPr>
                <w:sz w:val="20"/>
                <w:szCs w:val="20"/>
              </w:rPr>
            </w:pPr>
            <w:r w:rsidRPr="00AC2F47">
              <w:rPr>
                <w:sz w:val="20"/>
                <w:szCs w:val="20"/>
              </w:rPr>
              <w:t>• impact particularly sensitive receptors (natural habitats, hospitals, schools, local population centres</w:t>
            </w:r>
            <w:r>
              <w:rPr>
                <w:sz w:val="20"/>
                <w:szCs w:val="20"/>
              </w:rPr>
              <w:t>, etc.</w:t>
            </w:r>
            <w:r w:rsidRPr="00AC2F47">
              <w:rPr>
                <w:sz w:val="20"/>
                <w:szCs w:val="20"/>
              </w:rPr>
              <w:t>)</w:t>
            </w:r>
          </w:p>
          <w:p w14:paraId="678210FD" w14:textId="77777777" w:rsidR="00C76694" w:rsidRPr="00AC2F47" w:rsidRDefault="00C76694" w:rsidP="00203F2A">
            <w:pPr>
              <w:pStyle w:val="NoSpacing"/>
              <w:jc w:val="both"/>
              <w:rPr>
                <w:sz w:val="20"/>
                <w:szCs w:val="20"/>
              </w:rPr>
            </w:pPr>
            <w:r w:rsidRPr="00E17705">
              <w:rPr>
                <w:sz w:val="20"/>
                <w:szCs w:val="20"/>
              </w:rPr>
              <w:t>are inconsistent with World Bank EHS Guidelines</w:t>
            </w:r>
          </w:p>
        </w:tc>
        <w:tc>
          <w:tcPr>
            <w:tcW w:w="1110" w:type="dxa"/>
          </w:tcPr>
          <w:p w14:paraId="0BA7F347" w14:textId="77777777" w:rsidR="00C76694" w:rsidRPr="00AC2F47" w:rsidRDefault="00C76694" w:rsidP="00203F2A">
            <w:pPr>
              <w:pStyle w:val="NoSpacing"/>
              <w:jc w:val="both"/>
              <w:rPr>
                <w:sz w:val="20"/>
                <w:szCs w:val="20"/>
              </w:rPr>
            </w:pPr>
          </w:p>
        </w:tc>
        <w:tc>
          <w:tcPr>
            <w:tcW w:w="718" w:type="dxa"/>
          </w:tcPr>
          <w:p w14:paraId="03D2B7B8" w14:textId="77301BD0" w:rsidR="00C76694" w:rsidRPr="00AC2F47" w:rsidRDefault="00C76694" w:rsidP="00203F2A">
            <w:pPr>
              <w:pStyle w:val="NoSpacing"/>
              <w:jc w:val="both"/>
              <w:rPr>
                <w:sz w:val="20"/>
                <w:szCs w:val="20"/>
              </w:rPr>
            </w:pPr>
          </w:p>
        </w:tc>
        <w:tc>
          <w:tcPr>
            <w:tcW w:w="718" w:type="dxa"/>
          </w:tcPr>
          <w:p w14:paraId="45DEC058" w14:textId="77777777" w:rsidR="00C76694" w:rsidRPr="00AC2F47" w:rsidRDefault="00C76694" w:rsidP="00203F2A">
            <w:pPr>
              <w:pStyle w:val="NoSpacing"/>
              <w:jc w:val="both"/>
              <w:rPr>
                <w:sz w:val="20"/>
                <w:szCs w:val="20"/>
              </w:rPr>
            </w:pPr>
          </w:p>
        </w:tc>
        <w:tc>
          <w:tcPr>
            <w:tcW w:w="718" w:type="dxa"/>
            <w:shd w:val="clear" w:color="auto" w:fill="70AD47" w:themeFill="accent6"/>
          </w:tcPr>
          <w:p w14:paraId="0D85DA25" w14:textId="77777777" w:rsidR="00C76694" w:rsidRPr="00AC2F47" w:rsidRDefault="00C76694" w:rsidP="00203F2A">
            <w:pPr>
              <w:pStyle w:val="NoSpacing"/>
              <w:jc w:val="both"/>
              <w:rPr>
                <w:sz w:val="20"/>
                <w:szCs w:val="20"/>
              </w:rPr>
            </w:pPr>
          </w:p>
        </w:tc>
      </w:tr>
      <w:tr w:rsidR="00C76694" w:rsidRPr="00AC2F47" w14:paraId="27891C16" w14:textId="77777777" w:rsidTr="00C76694">
        <w:tc>
          <w:tcPr>
            <w:tcW w:w="419" w:type="dxa"/>
          </w:tcPr>
          <w:p w14:paraId="3E44FF91" w14:textId="77777777" w:rsidR="00C76694" w:rsidRPr="00AC2F47" w:rsidRDefault="00C76694" w:rsidP="00203F2A">
            <w:pPr>
              <w:pStyle w:val="NoSpacing"/>
              <w:jc w:val="both"/>
              <w:rPr>
                <w:sz w:val="20"/>
                <w:szCs w:val="20"/>
              </w:rPr>
            </w:pPr>
            <w:r>
              <w:rPr>
                <w:sz w:val="20"/>
                <w:szCs w:val="20"/>
              </w:rPr>
              <w:t>8</w:t>
            </w:r>
          </w:p>
        </w:tc>
        <w:tc>
          <w:tcPr>
            <w:tcW w:w="6097" w:type="dxa"/>
          </w:tcPr>
          <w:p w14:paraId="780D30D8" w14:textId="77777777" w:rsidR="00C76694" w:rsidRPr="00AC2F47" w:rsidRDefault="00C76694" w:rsidP="00203F2A">
            <w:pPr>
              <w:pStyle w:val="NoSpacing"/>
              <w:jc w:val="both"/>
              <w:rPr>
                <w:sz w:val="20"/>
                <w:szCs w:val="20"/>
              </w:rPr>
            </w:pPr>
            <w:r w:rsidRPr="00AC2F47">
              <w:rPr>
                <w:sz w:val="20"/>
                <w:szCs w:val="20"/>
              </w:rPr>
              <w:t>8. Will the sub</w:t>
            </w:r>
            <w:r>
              <w:rPr>
                <w:sz w:val="20"/>
                <w:szCs w:val="20"/>
              </w:rPr>
              <w:t>-</w:t>
            </w:r>
            <w:r w:rsidRPr="00AC2F47">
              <w:rPr>
                <w:sz w:val="20"/>
                <w:szCs w:val="20"/>
              </w:rPr>
              <w:t>project consume, store, produce or utilize hazardous materials that:</w:t>
            </w:r>
          </w:p>
          <w:p w14:paraId="2D17C023" w14:textId="77777777" w:rsidR="00C76694" w:rsidRPr="00AC2F47" w:rsidRDefault="00C76694" w:rsidP="00203F2A">
            <w:pPr>
              <w:pStyle w:val="NoSpacing"/>
              <w:jc w:val="both"/>
              <w:rPr>
                <w:sz w:val="20"/>
                <w:szCs w:val="20"/>
              </w:rPr>
            </w:pPr>
            <w:r w:rsidRPr="00AC2F47">
              <w:rPr>
                <w:sz w:val="20"/>
                <w:szCs w:val="20"/>
              </w:rPr>
              <w:t>• require special permits or licenses</w:t>
            </w:r>
          </w:p>
          <w:p w14:paraId="0332C753" w14:textId="77777777" w:rsidR="00C76694" w:rsidRPr="00AC2F47" w:rsidRDefault="00C76694" w:rsidP="00203F2A">
            <w:pPr>
              <w:pStyle w:val="NoSpacing"/>
              <w:jc w:val="both"/>
              <w:rPr>
                <w:sz w:val="20"/>
                <w:szCs w:val="20"/>
              </w:rPr>
            </w:pPr>
            <w:r w:rsidRPr="00AC2F47">
              <w:rPr>
                <w:sz w:val="20"/>
                <w:szCs w:val="20"/>
              </w:rPr>
              <w:t>• require licensed or trained personnel</w:t>
            </w:r>
          </w:p>
          <w:p w14:paraId="4E156F01" w14:textId="77777777" w:rsidR="00C76694" w:rsidRPr="00AC2F47" w:rsidRDefault="00C76694" w:rsidP="00203F2A">
            <w:pPr>
              <w:pStyle w:val="NoSpacing"/>
              <w:jc w:val="both"/>
              <w:rPr>
                <w:sz w:val="20"/>
                <w:szCs w:val="20"/>
              </w:rPr>
            </w:pPr>
            <w:r w:rsidRPr="00AC2F47">
              <w:rPr>
                <w:sz w:val="20"/>
                <w:szCs w:val="20"/>
              </w:rPr>
              <w:t>• are outlawed or banned in EU or Western countries</w:t>
            </w:r>
          </w:p>
          <w:p w14:paraId="27504785" w14:textId="77777777" w:rsidR="00C76694" w:rsidRPr="00AC2F47" w:rsidRDefault="00C76694" w:rsidP="00203F2A">
            <w:pPr>
              <w:pStyle w:val="NoSpacing"/>
              <w:jc w:val="both"/>
              <w:rPr>
                <w:sz w:val="20"/>
                <w:szCs w:val="20"/>
              </w:rPr>
            </w:pPr>
            <w:r w:rsidRPr="00AC2F47">
              <w:rPr>
                <w:sz w:val="20"/>
                <w:szCs w:val="20"/>
              </w:rPr>
              <w:t>• are difficult, expensive, or hard to manage</w:t>
            </w:r>
          </w:p>
          <w:p w14:paraId="4DD46EBD" w14:textId="77777777" w:rsidR="00C76694" w:rsidRPr="00AC2F47" w:rsidRDefault="00C76694" w:rsidP="00203F2A">
            <w:pPr>
              <w:pStyle w:val="NoSpacing"/>
              <w:jc w:val="both"/>
              <w:rPr>
                <w:sz w:val="20"/>
                <w:szCs w:val="20"/>
              </w:rPr>
            </w:pPr>
            <w:r w:rsidRPr="00AC2F47">
              <w:rPr>
                <w:sz w:val="20"/>
                <w:szCs w:val="20"/>
              </w:rPr>
              <w:t>• have a high risk of explosion, fire, or danger to workers</w:t>
            </w:r>
          </w:p>
          <w:p w14:paraId="69A9360E" w14:textId="77777777" w:rsidR="00C76694" w:rsidRPr="00AC2F47" w:rsidRDefault="00C76694" w:rsidP="00203F2A">
            <w:pPr>
              <w:pStyle w:val="NoSpacing"/>
              <w:jc w:val="both"/>
              <w:rPr>
                <w:sz w:val="20"/>
                <w:szCs w:val="20"/>
              </w:rPr>
            </w:pPr>
            <w:r w:rsidRPr="00AC2F47">
              <w:rPr>
                <w:sz w:val="20"/>
                <w:szCs w:val="20"/>
              </w:rPr>
              <w:t>• are vulnerable to seismic, flood, terrorist attack, or other danger</w:t>
            </w:r>
          </w:p>
          <w:p w14:paraId="1B8B986C" w14:textId="77777777" w:rsidR="00C76694" w:rsidRPr="00AC2F47" w:rsidRDefault="00C76694" w:rsidP="00203F2A">
            <w:pPr>
              <w:pStyle w:val="NoSpacing"/>
              <w:jc w:val="both"/>
              <w:rPr>
                <w:sz w:val="20"/>
                <w:szCs w:val="20"/>
              </w:rPr>
            </w:pPr>
            <w:r w:rsidRPr="00E17705">
              <w:rPr>
                <w:sz w:val="20"/>
                <w:szCs w:val="20"/>
              </w:rPr>
              <w:t>are inconsistent with World Bank EHS Guidelines</w:t>
            </w:r>
          </w:p>
        </w:tc>
        <w:tc>
          <w:tcPr>
            <w:tcW w:w="1110" w:type="dxa"/>
          </w:tcPr>
          <w:p w14:paraId="5998A791" w14:textId="77777777" w:rsidR="00C76694" w:rsidRPr="00AC2F47" w:rsidRDefault="00C76694" w:rsidP="00203F2A">
            <w:pPr>
              <w:pStyle w:val="NoSpacing"/>
              <w:jc w:val="both"/>
              <w:rPr>
                <w:sz w:val="20"/>
                <w:szCs w:val="20"/>
              </w:rPr>
            </w:pPr>
          </w:p>
        </w:tc>
        <w:tc>
          <w:tcPr>
            <w:tcW w:w="718" w:type="dxa"/>
          </w:tcPr>
          <w:p w14:paraId="556318D6" w14:textId="452C8FE2" w:rsidR="00C76694" w:rsidRPr="00AC2F47" w:rsidRDefault="00C76694" w:rsidP="00203F2A">
            <w:pPr>
              <w:pStyle w:val="NoSpacing"/>
              <w:jc w:val="both"/>
              <w:rPr>
                <w:sz w:val="20"/>
                <w:szCs w:val="20"/>
              </w:rPr>
            </w:pPr>
          </w:p>
        </w:tc>
        <w:tc>
          <w:tcPr>
            <w:tcW w:w="718" w:type="dxa"/>
          </w:tcPr>
          <w:p w14:paraId="55BCAD05" w14:textId="77777777" w:rsidR="00C76694" w:rsidRPr="00AC2F47" w:rsidRDefault="00C76694" w:rsidP="00203F2A">
            <w:pPr>
              <w:pStyle w:val="NoSpacing"/>
              <w:jc w:val="both"/>
              <w:rPr>
                <w:sz w:val="20"/>
                <w:szCs w:val="20"/>
              </w:rPr>
            </w:pPr>
          </w:p>
        </w:tc>
        <w:tc>
          <w:tcPr>
            <w:tcW w:w="718" w:type="dxa"/>
            <w:shd w:val="clear" w:color="auto" w:fill="70AD47" w:themeFill="accent6"/>
          </w:tcPr>
          <w:p w14:paraId="42468C82" w14:textId="77777777" w:rsidR="00C76694" w:rsidRPr="00AC2F47" w:rsidRDefault="00C76694" w:rsidP="00203F2A">
            <w:pPr>
              <w:pStyle w:val="NoSpacing"/>
              <w:jc w:val="both"/>
              <w:rPr>
                <w:sz w:val="20"/>
                <w:szCs w:val="20"/>
              </w:rPr>
            </w:pPr>
          </w:p>
        </w:tc>
      </w:tr>
      <w:tr w:rsidR="00C76694" w:rsidRPr="00AC2F47" w14:paraId="6D16E0E2" w14:textId="77777777" w:rsidTr="00C76694">
        <w:tc>
          <w:tcPr>
            <w:tcW w:w="419" w:type="dxa"/>
          </w:tcPr>
          <w:p w14:paraId="52074F0F" w14:textId="77777777" w:rsidR="00C76694" w:rsidRPr="00AC2F47" w:rsidRDefault="00C76694" w:rsidP="00203F2A">
            <w:pPr>
              <w:pStyle w:val="NoSpacing"/>
              <w:jc w:val="both"/>
              <w:rPr>
                <w:sz w:val="20"/>
                <w:szCs w:val="20"/>
              </w:rPr>
            </w:pPr>
            <w:r>
              <w:rPr>
                <w:sz w:val="20"/>
                <w:szCs w:val="20"/>
              </w:rPr>
              <w:t>9</w:t>
            </w:r>
          </w:p>
        </w:tc>
        <w:tc>
          <w:tcPr>
            <w:tcW w:w="6097" w:type="dxa"/>
          </w:tcPr>
          <w:p w14:paraId="7D70CED5" w14:textId="77777777" w:rsidR="00C76694" w:rsidRPr="00AC2F47" w:rsidRDefault="00C76694" w:rsidP="00203F2A">
            <w:pPr>
              <w:pStyle w:val="NoSpacing"/>
              <w:jc w:val="both"/>
              <w:rPr>
                <w:sz w:val="20"/>
                <w:szCs w:val="20"/>
              </w:rPr>
            </w:pPr>
            <w:r w:rsidRPr="00AC2F47">
              <w:rPr>
                <w:sz w:val="20"/>
                <w:szCs w:val="20"/>
              </w:rPr>
              <w:t xml:space="preserve">Will the sub-project be located within or close to sensitive areas such </w:t>
            </w:r>
            <w:proofErr w:type="gramStart"/>
            <w:r w:rsidRPr="00AC2F47">
              <w:rPr>
                <w:sz w:val="20"/>
                <w:szCs w:val="20"/>
              </w:rPr>
              <w:t>as:</w:t>
            </w:r>
            <w:proofErr w:type="gramEnd"/>
          </w:p>
          <w:p w14:paraId="6BBBC028" w14:textId="77777777" w:rsidR="00C76694" w:rsidRPr="00AC2F47" w:rsidRDefault="00C76694" w:rsidP="00203F2A">
            <w:pPr>
              <w:pStyle w:val="NoSpacing"/>
              <w:jc w:val="both"/>
              <w:rPr>
                <w:sz w:val="20"/>
                <w:szCs w:val="20"/>
              </w:rPr>
            </w:pPr>
            <w:r w:rsidRPr="00AC2F47">
              <w:rPr>
                <w:sz w:val="20"/>
                <w:szCs w:val="20"/>
              </w:rPr>
              <w:t xml:space="preserve">• </w:t>
            </w:r>
            <w:r>
              <w:rPr>
                <w:sz w:val="20"/>
                <w:szCs w:val="20"/>
              </w:rPr>
              <w:t>P</w:t>
            </w:r>
            <w:r w:rsidRPr="00AC2F47">
              <w:rPr>
                <w:sz w:val="20"/>
                <w:szCs w:val="20"/>
              </w:rPr>
              <w:t xml:space="preserve">rotected </w:t>
            </w:r>
            <w:r>
              <w:rPr>
                <w:sz w:val="20"/>
                <w:szCs w:val="20"/>
              </w:rPr>
              <w:t>A</w:t>
            </w:r>
            <w:r w:rsidRPr="00AC2F47">
              <w:rPr>
                <w:sz w:val="20"/>
                <w:szCs w:val="20"/>
              </w:rPr>
              <w:t>reas or areas under consideration by the Government for official protection status?</w:t>
            </w:r>
          </w:p>
          <w:p w14:paraId="1CC7A543" w14:textId="77777777" w:rsidR="00C76694" w:rsidRPr="00AC2F47" w:rsidRDefault="00C76694" w:rsidP="00203F2A">
            <w:pPr>
              <w:pStyle w:val="NoSpacing"/>
              <w:jc w:val="both"/>
              <w:rPr>
                <w:sz w:val="20"/>
                <w:szCs w:val="20"/>
              </w:rPr>
            </w:pPr>
            <w:r w:rsidRPr="00AC2F47">
              <w:rPr>
                <w:sz w:val="20"/>
                <w:szCs w:val="20"/>
              </w:rPr>
              <w:t>• forested areas</w:t>
            </w:r>
          </w:p>
          <w:p w14:paraId="321BB004" w14:textId="77777777" w:rsidR="00C76694" w:rsidRPr="00AC2F47" w:rsidRDefault="00C76694" w:rsidP="00203F2A">
            <w:pPr>
              <w:pStyle w:val="NoSpacing"/>
              <w:jc w:val="both"/>
              <w:rPr>
                <w:sz w:val="20"/>
                <w:szCs w:val="20"/>
              </w:rPr>
            </w:pPr>
            <w:r w:rsidRPr="00AC2F47">
              <w:rPr>
                <w:sz w:val="20"/>
                <w:szCs w:val="20"/>
              </w:rPr>
              <w:t>• coastlines, wetlands, or other bodies of water</w:t>
            </w:r>
          </w:p>
          <w:p w14:paraId="6B3C5787" w14:textId="77777777" w:rsidR="00C76694" w:rsidRPr="00AC2F47" w:rsidRDefault="00C76694" w:rsidP="00203F2A">
            <w:pPr>
              <w:pStyle w:val="NoSpacing"/>
              <w:jc w:val="both"/>
              <w:rPr>
                <w:sz w:val="20"/>
                <w:szCs w:val="20"/>
              </w:rPr>
            </w:pPr>
            <w:r w:rsidRPr="00AC2F47">
              <w:rPr>
                <w:sz w:val="20"/>
                <w:szCs w:val="20"/>
              </w:rPr>
              <w:t>• river valleys where well-preserved vegetation still exists</w:t>
            </w:r>
          </w:p>
        </w:tc>
        <w:tc>
          <w:tcPr>
            <w:tcW w:w="1110" w:type="dxa"/>
          </w:tcPr>
          <w:p w14:paraId="41551404" w14:textId="77777777" w:rsidR="00C76694" w:rsidRPr="00AC2F47" w:rsidRDefault="00C76694" w:rsidP="00203F2A">
            <w:pPr>
              <w:pStyle w:val="NoSpacing"/>
              <w:jc w:val="both"/>
              <w:rPr>
                <w:sz w:val="20"/>
                <w:szCs w:val="20"/>
              </w:rPr>
            </w:pPr>
          </w:p>
        </w:tc>
        <w:tc>
          <w:tcPr>
            <w:tcW w:w="718" w:type="dxa"/>
          </w:tcPr>
          <w:p w14:paraId="04F6BA3A" w14:textId="5061570B" w:rsidR="00C76694" w:rsidRPr="00AC2F47" w:rsidRDefault="00C76694" w:rsidP="00203F2A">
            <w:pPr>
              <w:pStyle w:val="NoSpacing"/>
              <w:jc w:val="both"/>
              <w:rPr>
                <w:sz w:val="20"/>
                <w:szCs w:val="20"/>
              </w:rPr>
            </w:pPr>
          </w:p>
        </w:tc>
        <w:tc>
          <w:tcPr>
            <w:tcW w:w="718" w:type="dxa"/>
          </w:tcPr>
          <w:p w14:paraId="0852F101" w14:textId="77777777" w:rsidR="00C76694" w:rsidRPr="00AC2F47" w:rsidRDefault="00C76694" w:rsidP="00203F2A">
            <w:pPr>
              <w:pStyle w:val="NoSpacing"/>
              <w:jc w:val="both"/>
              <w:rPr>
                <w:sz w:val="20"/>
                <w:szCs w:val="20"/>
              </w:rPr>
            </w:pPr>
          </w:p>
        </w:tc>
        <w:tc>
          <w:tcPr>
            <w:tcW w:w="718" w:type="dxa"/>
            <w:shd w:val="clear" w:color="auto" w:fill="70AD47" w:themeFill="accent6"/>
          </w:tcPr>
          <w:p w14:paraId="70F47419" w14:textId="77777777" w:rsidR="00C76694" w:rsidRPr="00AC2F47" w:rsidRDefault="00C76694" w:rsidP="00203F2A">
            <w:pPr>
              <w:pStyle w:val="NoSpacing"/>
              <w:jc w:val="both"/>
              <w:rPr>
                <w:sz w:val="20"/>
                <w:szCs w:val="20"/>
              </w:rPr>
            </w:pPr>
          </w:p>
        </w:tc>
      </w:tr>
      <w:tr w:rsidR="00C76694" w:rsidRPr="00AC2F47" w14:paraId="6D14AAD3" w14:textId="77777777" w:rsidTr="00C76694">
        <w:tc>
          <w:tcPr>
            <w:tcW w:w="419" w:type="dxa"/>
          </w:tcPr>
          <w:p w14:paraId="21BE3D68" w14:textId="77777777" w:rsidR="00C76694" w:rsidRPr="00AC2F47" w:rsidRDefault="00C76694" w:rsidP="00203F2A">
            <w:pPr>
              <w:pStyle w:val="NoSpacing"/>
              <w:jc w:val="both"/>
              <w:rPr>
                <w:sz w:val="20"/>
                <w:szCs w:val="20"/>
              </w:rPr>
            </w:pPr>
            <w:r>
              <w:rPr>
                <w:sz w:val="20"/>
                <w:szCs w:val="20"/>
              </w:rPr>
              <w:t>10</w:t>
            </w:r>
          </w:p>
        </w:tc>
        <w:tc>
          <w:tcPr>
            <w:tcW w:w="6097" w:type="dxa"/>
          </w:tcPr>
          <w:p w14:paraId="1A4689A3" w14:textId="77777777" w:rsidR="00C76694" w:rsidRPr="00AC2F47" w:rsidRDefault="00C76694" w:rsidP="00203F2A">
            <w:pPr>
              <w:pStyle w:val="NoSpacing"/>
              <w:jc w:val="both"/>
              <w:rPr>
                <w:sz w:val="20"/>
                <w:szCs w:val="20"/>
              </w:rPr>
            </w:pPr>
            <w:r w:rsidRPr="00AC2F47">
              <w:rPr>
                <w:sz w:val="20"/>
                <w:szCs w:val="20"/>
              </w:rPr>
              <w:t>Will the sub-project potentially impact areas of known local, regional or national cultural heritage significance? These may include:</w:t>
            </w:r>
          </w:p>
          <w:p w14:paraId="1F1AF74D" w14:textId="77777777" w:rsidR="00C76694" w:rsidRPr="00AC2F47" w:rsidRDefault="00C76694" w:rsidP="00203F2A">
            <w:pPr>
              <w:pStyle w:val="NoSpacing"/>
              <w:jc w:val="both"/>
              <w:rPr>
                <w:sz w:val="20"/>
                <w:szCs w:val="20"/>
              </w:rPr>
            </w:pPr>
            <w:r w:rsidRPr="00AC2F47">
              <w:rPr>
                <w:sz w:val="20"/>
                <w:szCs w:val="20"/>
              </w:rPr>
              <w:t>• historical structures</w:t>
            </w:r>
          </w:p>
          <w:p w14:paraId="688E0A94" w14:textId="77777777" w:rsidR="00C76694" w:rsidRPr="00AC2F47" w:rsidRDefault="00C76694" w:rsidP="00203F2A">
            <w:pPr>
              <w:pStyle w:val="NoSpacing"/>
              <w:jc w:val="both"/>
              <w:rPr>
                <w:sz w:val="20"/>
                <w:szCs w:val="20"/>
              </w:rPr>
            </w:pPr>
            <w:r w:rsidRPr="00AC2F47">
              <w:rPr>
                <w:sz w:val="20"/>
                <w:szCs w:val="20"/>
              </w:rPr>
              <w:t>• archaeological sites</w:t>
            </w:r>
          </w:p>
          <w:p w14:paraId="2C38C627" w14:textId="77777777" w:rsidR="00C76694" w:rsidRPr="00AC2F47" w:rsidRDefault="00C76694" w:rsidP="00203F2A">
            <w:pPr>
              <w:pStyle w:val="NoSpacing"/>
              <w:jc w:val="both"/>
              <w:rPr>
                <w:sz w:val="20"/>
                <w:szCs w:val="20"/>
              </w:rPr>
            </w:pPr>
            <w:r w:rsidRPr="00AC2F47">
              <w:rPr>
                <w:sz w:val="20"/>
                <w:szCs w:val="20"/>
              </w:rPr>
              <w:t>• buildings or areas not officially protected but recognized by the local population as significant</w:t>
            </w:r>
          </w:p>
        </w:tc>
        <w:tc>
          <w:tcPr>
            <w:tcW w:w="1110" w:type="dxa"/>
          </w:tcPr>
          <w:p w14:paraId="7718F8D8" w14:textId="77777777" w:rsidR="00C76694" w:rsidRPr="00AC2F47" w:rsidRDefault="00C76694" w:rsidP="00203F2A">
            <w:pPr>
              <w:pStyle w:val="NoSpacing"/>
              <w:jc w:val="both"/>
              <w:rPr>
                <w:sz w:val="20"/>
                <w:szCs w:val="20"/>
              </w:rPr>
            </w:pPr>
          </w:p>
        </w:tc>
        <w:tc>
          <w:tcPr>
            <w:tcW w:w="718" w:type="dxa"/>
          </w:tcPr>
          <w:p w14:paraId="19169FB6" w14:textId="77EDC12E" w:rsidR="00C76694" w:rsidRPr="00AC2F47" w:rsidRDefault="00C76694" w:rsidP="00203F2A">
            <w:pPr>
              <w:pStyle w:val="NoSpacing"/>
              <w:jc w:val="both"/>
              <w:rPr>
                <w:sz w:val="20"/>
                <w:szCs w:val="20"/>
              </w:rPr>
            </w:pPr>
          </w:p>
        </w:tc>
        <w:tc>
          <w:tcPr>
            <w:tcW w:w="718" w:type="dxa"/>
          </w:tcPr>
          <w:p w14:paraId="13F9BEEB" w14:textId="77777777" w:rsidR="00C76694" w:rsidRPr="00AC2F47" w:rsidRDefault="00C76694" w:rsidP="00203F2A">
            <w:pPr>
              <w:pStyle w:val="NoSpacing"/>
              <w:jc w:val="both"/>
              <w:rPr>
                <w:sz w:val="20"/>
                <w:szCs w:val="20"/>
              </w:rPr>
            </w:pPr>
          </w:p>
        </w:tc>
        <w:tc>
          <w:tcPr>
            <w:tcW w:w="718" w:type="dxa"/>
            <w:shd w:val="clear" w:color="auto" w:fill="70AD47" w:themeFill="accent6"/>
          </w:tcPr>
          <w:p w14:paraId="6F1E00E1" w14:textId="77777777" w:rsidR="00C76694" w:rsidRPr="00AC2F47" w:rsidRDefault="00C76694" w:rsidP="00203F2A">
            <w:pPr>
              <w:pStyle w:val="NoSpacing"/>
              <w:jc w:val="both"/>
              <w:rPr>
                <w:sz w:val="20"/>
                <w:szCs w:val="20"/>
              </w:rPr>
            </w:pPr>
          </w:p>
        </w:tc>
      </w:tr>
      <w:tr w:rsidR="00C76694" w:rsidRPr="00AC2F47" w14:paraId="1DF6BD03" w14:textId="77777777" w:rsidTr="00C76694">
        <w:tc>
          <w:tcPr>
            <w:tcW w:w="419" w:type="dxa"/>
          </w:tcPr>
          <w:p w14:paraId="4CEA60DB" w14:textId="77777777" w:rsidR="00C76694" w:rsidRPr="00AC2F47" w:rsidRDefault="00C76694" w:rsidP="00203F2A">
            <w:pPr>
              <w:pStyle w:val="NoSpacing"/>
              <w:jc w:val="both"/>
              <w:rPr>
                <w:sz w:val="20"/>
                <w:szCs w:val="20"/>
              </w:rPr>
            </w:pPr>
            <w:r>
              <w:rPr>
                <w:sz w:val="20"/>
                <w:szCs w:val="20"/>
              </w:rPr>
              <w:t>11</w:t>
            </w:r>
          </w:p>
        </w:tc>
        <w:tc>
          <w:tcPr>
            <w:tcW w:w="6097" w:type="dxa"/>
          </w:tcPr>
          <w:p w14:paraId="5692834E" w14:textId="59737EDC" w:rsidR="00C76694" w:rsidRPr="00AC2F47" w:rsidRDefault="00C76694" w:rsidP="00203F2A">
            <w:pPr>
              <w:pStyle w:val="NoSpacing"/>
              <w:jc w:val="both"/>
              <w:rPr>
                <w:sz w:val="20"/>
                <w:szCs w:val="20"/>
              </w:rPr>
            </w:pPr>
            <w:r>
              <w:rPr>
                <w:sz w:val="20"/>
                <w:szCs w:val="20"/>
              </w:rPr>
              <w:t>Will</w:t>
            </w:r>
            <w:r w:rsidRPr="00AC2F47">
              <w:rPr>
                <w:sz w:val="20"/>
                <w:szCs w:val="20"/>
              </w:rPr>
              <w:t xml:space="preserve"> occupational health and safety</w:t>
            </w:r>
            <w:r>
              <w:rPr>
                <w:sz w:val="20"/>
                <w:szCs w:val="20"/>
              </w:rPr>
              <w:t xml:space="preserve"> be </w:t>
            </w:r>
            <w:r w:rsidRPr="00AC2F47">
              <w:rPr>
                <w:sz w:val="20"/>
                <w:szCs w:val="20"/>
              </w:rPr>
              <w:t xml:space="preserve">adequately addressed in the </w:t>
            </w:r>
            <w:r>
              <w:rPr>
                <w:sz w:val="20"/>
                <w:szCs w:val="20"/>
              </w:rPr>
              <w:t>applicants (planned)</w:t>
            </w:r>
            <w:r w:rsidRPr="00AC2F47">
              <w:rPr>
                <w:sz w:val="20"/>
                <w:szCs w:val="20"/>
              </w:rPr>
              <w:t xml:space="preserve"> day to day operations, and are the following routinely included:</w:t>
            </w:r>
          </w:p>
          <w:p w14:paraId="4DC427B1" w14:textId="77777777" w:rsidR="00C76694" w:rsidRPr="00AC2F47" w:rsidRDefault="00C76694" w:rsidP="00203F2A">
            <w:pPr>
              <w:pStyle w:val="NoSpacing"/>
              <w:jc w:val="both"/>
              <w:rPr>
                <w:sz w:val="20"/>
                <w:szCs w:val="20"/>
              </w:rPr>
            </w:pPr>
            <w:r w:rsidRPr="00AC2F47">
              <w:rPr>
                <w:sz w:val="20"/>
                <w:szCs w:val="20"/>
              </w:rPr>
              <w:t>• identification of hazardous tasks and training as required?</w:t>
            </w:r>
          </w:p>
          <w:p w14:paraId="7933A1C4" w14:textId="77777777" w:rsidR="00C76694" w:rsidRPr="00AC2F47" w:rsidRDefault="00C76694" w:rsidP="00203F2A">
            <w:pPr>
              <w:pStyle w:val="NoSpacing"/>
              <w:jc w:val="both"/>
              <w:rPr>
                <w:sz w:val="20"/>
                <w:szCs w:val="20"/>
              </w:rPr>
            </w:pPr>
            <w:r w:rsidRPr="00AC2F47">
              <w:rPr>
                <w:sz w:val="20"/>
                <w:szCs w:val="20"/>
              </w:rPr>
              <w:t>• use of personal protective equipment (dust masks, hard hats, work boots, etc.) as required?</w:t>
            </w:r>
          </w:p>
          <w:p w14:paraId="4CD1CEB1" w14:textId="77777777" w:rsidR="00C76694" w:rsidRPr="00AC2F47" w:rsidRDefault="00C76694" w:rsidP="00203F2A">
            <w:pPr>
              <w:pStyle w:val="NoSpacing"/>
              <w:jc w:val="both"/>
              <w:rPr>
                <w:sz w:val="20"/>
                <w:szCs w:val="20"/>
              </w:rPr>
            </w:pPr>
            <w:r w:rsidRPr="00AC2F47">
              <w:rPr>
                <w:sz w:val="20"/>
                <w:szCs w:val="20"/>
              </w:rPr>
              <w:t>• first aid and emergency plans?</w:t>
            </w:r>
          </w:p>
          <w:p w14:paraId="27F34B1F" w14:textId="77777777" w:rsidR="00C76694" w:rsidRPr="00AC2F47" w:rsidRDefault="00C76694" w:rsidP="00203F2A">
            <w:pPr>
              <w:pStyle w:val="NoSpacing"/>
              <w:jc w:val="both"/>
              <w:rPr>
                <w:sz w:val="20"/>
                <w:szCs w:val="20"/>
              </w:rPr>
            </w:pPr>
            <w:r w:rsidRPr="00AC2F47">
              <w:rPr>
                <w:sz w:val="20"/>
                <w:szCs w:val="20"/>
              </w:rPr>
              <w:t>• supervision and enforcement of rules and regulations regarding health and safety?</w:t>
            </w:r>
          </w:p>
          <w:p w14:paraId="3B95B08A" w14:textId="77777777" w:rsidR="00C76694" w:rsidRPr="00AC2F47" w:rsidRDefault="00C76694" w:rsidP="00203F2A">
            <w:pPr>
              <w:pStyle w:val="NoSpacing"/>
              <w:jc w:val="both"/>
              <w:rPr>
                <w:sz w:val="20"/>
                <w:szCs w:val="20"/>
              </w:rPr>
            </w:pPr>
            <w:r w:rsidRPr="00AC2F47">
              <w:rPr>
                <w:sz w:val="20"/>
                <w:szCs w:val="20"/>
              </w:rPr>
              <w:t>• road safety, safe ingress and egress to the property for delivery and equipment?</w:t>
            </w:r>
          </w:p>
          <w:p w14:paraId="78A27486" w14:textId="77777777" w:rsidR="00C76694" w:rsidRPr="00AC2F47" w:rsidRDefault="00C76694" w:rsidP="00203F2A">
            <w:pPr>
              <w:pStyle w:val="NoSpacing"/>
              <w:jc w:val="both"/>
              <w:rPr>
                <w:sz w:val="20"/>
                <w:szCs w:val="20"/>
              </w:rPr>
            </w:pPr>
            <w:r w:rsidRPr="00AC2F47">
              <w:rPr>
                <w:sz w:val="20"/>
                <w:szCs w:val="20"/>
              </w:rPr>
              <w:t>• accident and incident reporting, investigation and resolution?</w:t>
            </w:r>
          </w:p>
        </w:tc>
        <w:tc>
          <w:tcPr>
            <w:tcW w:w="1110" w:type="dxa"/>
          </w:tcPr>
          <w:p w14:paraId="2F3482A6" w14:textId="77777777" w:rsidR="00C76694" w:rsidRPr="00AC2F47" w:rsidRDefault="00C76694" w:rsidP="00203F2A">
            <w:pPr>
              <w:pStyle w:val="NoSpacing"/>
              <w:jc w:val="both"/>
              <w:rPr>
                <w:sz w:val="20"/>
                <w:szCs w:val="20"/>
              </w:rPr>
            </w:pPr>
          </w:p>
        </w:tc>
        <w:tc>
          <w:tcPr>
            <w:tcW w:w="718" w:type="dxa"/>
          </w:tcPr>
          <w:p w14:paraId="0B5D2315" w14:textId="140F6F7B" w:rsidR="00C76694" w:rsidRPr="00AC2F47" w:rsidRDefault="00C76694" w:rsidP="00203F2A">
            <w:pPr>
              <w:pStyle w:val="NoSpacing"/>
              <w:jc w:val="both"/>
              <w:rPr>
                <w:sz w:val="20"/>
                <w:szCs w:val="20"/>
              </w:rPr>
            </w:pPr>
          </w:p>
        </w:tc>
        <w:tc>
          <w:tcPr>
            <w:tcW w:w="718" w:type="dxa"/>
            <w:shd w:val="clear" w:color="auto" w:fill="70AD47" w:themeFill="accent6"/>
          </w:tcPr>
          <w:p w14:paraId="0F178D69" w14:textId="77777777" w:rsidR="00C76694" w:rsidRPr="00AC2F47" w:rsidRDefault="00C76694" w:rsidP="00203F2A">
            <w:pPr>
              <w:pStyle w:val="NoSpacing"/>
              <w:jc w:val="both"/>
              <w:rPr>
                <w:sz w:val="20"/>
                <w:szCs w:val="20"/>
              </w:rPr>
            </w:pPr>
          </w:p>
        </w:tc>
        <w:tc>
          <w:tcPr>
            <w:tcW w:w="718" w:type="dxa"/>
          </w:tcPr>
          <w:p w14:paraId="1598B224" w14:textId="77777777" w:rsidR="00C76694" w:rsidRPr="00AC2F47" w:rsidRDefault="00C76694" w:rsidP="00203F2A">
            <w:pPr>
              <w:pStyle w:val="NoSpacing"/>
              <w:jc w:val="both"/>
              <w:rPr>
                <w:sz w:val="20"/>
                <w:szCs w:val="20"/>
              </w:rPr>
            </w:pPr>
          </w:p>
        </w:tc>
      </w:tr>
      <w:tr w:rsidR="00C76694" w:rsidRPr="00AC2F47" w14:paraId="12FE26A1" w14:textId="77777777" w:rsidTr="00C76694">
        <w:tc>
          <w:tcPr>
            <w:tcW w:w="419" w:type="dxa"/>
          </w:tcPr>
          <w:p w14:paraId="1DBDDCD5" w14:textId="77777777" w:rsidR="00C76694" w:rsidRPr="00AC2F47" w:rsidRDefault="00C76694" w:rsidP="00203F2A">
            <w:pPr>
              <w:pStyle w:val="NoSpacing"/>
              <w:jc w:val="both"/>
              <w:rPr>
                <w:sz w:val="20"/>
                <w:szCs w:val="20"/>
              </w:rPr>
            </w:pPr>
            <w:r>
              <w:rPr>
                <w:sz w:val="20"/>
                <w:szCs w:val="20"/>
              </w:rPr>
              <w:t>12</w:t>
            </w:r>
          </w:p>
        </w:tc>
        <w:tc>
          <w:tcPr>
            <w:tcW w:w="6097" w:type="dxa"/>
          </w:tcPr>
          <w:p w14:paraId="17CD8876" w14:textId="77777777" w:rsidR="00C76694" w:rsidRPr="00AC2F47" w:rsidRDefault="00C76694" w:rsidP="00203F2A">
            <w:pPr>
              <w:pStyle w:val="NoSpacing"/>
              <w:jc w:val="both"/>
              <w:rPr>
                <w:sz w:val="20"/>
                <w:szCs w:val="20"/>
              </w:rPr>
            </w:pPr>
            <w:r w:rsidRPr="00AC2F47">
              <w:rPr>
                <w:sz w:val="20"/>
                <w:szCs w:val="20"/>
              </w:rPr>
              <w:t>Additional social safeguards screening information:</w:t>
            </w:r>
          </w:p>
          <w:p w14:paraId="42F8C95E" w14:textId="77777777" w:rsidR="00C76694" w:rsidRPr="00AC2F47" w:rsidRDefault="00C76694" w:rsidP="00203F2A">
            <w:pPr>
              <w:pStyle w:val="NoSpacing"/>
              <w:jc w:val="both"/>
              <w:rPr>
                <w:sz w:val="20"/>
                <w:szCs w:val="20"/>
              </w:rPr>
            </w:pPr>
            <w:r w:rsidRPr="00AC2F47">
              <w:rPr>
                <w:sz w:val="20"/>
                <w:szCs w:val="20"/>
              </w:rPr>
              <w:t>• Will the sub project activities reduce other people’s access to their economic resources, like land, pasture, water, public services or other resources that they depend on?</w:t>
            </w:r>
          </w:p>
          <w:p w14:paraId="5D520552" w14:textId="77777777" w:rsidR="00C76694" w:rsidRPr="00AC2F47" w:rsidRDefault="00C76694" w:rsidP="00203F2A">
            <w:pPr>
              <w:pStyle w:val="NoSpacing"/>
              <w:jc w:val="both"/>
              <w:rPr>
                <w:sz w:val="20"/>
                <w:szCs w:val="20"/>
              </w:rPr>
            </w:pPr>
            <w:r w:rsidRPr="00AC2F47">
              <w:rPr>
                <w:sz w:val="20"/>
                <w:szCs w:val="20"/>
              </w:rPr>
              <w:t>• Will the project result in resettlement of individuals or families or require the acquisition of land (public or private, temporarily or permanently) for its development?</w:t>
            </w:r>
          </w:p>
          <w:p w14:paraId="2EA30364" w14:textId="77777777" w:rsidR="00C76694" w:rsidRPr="00AC2F47" w:rsidRDefault="00C76694" w:rsidP="00203F2A">
            <w:pPr>
              <w:pStyle w:val="NoSpacing"/>
              <w:jc w:val="both"/>
              <w:rPr>
                <w:sz w:val="20"/>
                <w:szCs w:val="20"/>
              </w:rPr>
            </w:pPr>
            <w:r w:rsidRPr="00AC2F47">
              <w:rPr>
                <w:sz w:val="20"/>
                <w:szCs w:val="20"/>
              </w:rPr>
              <w:t>• Will the project result in the temporary or permanent loss of crops, fruit trees and household infra-structure (such as granaries, outside toilets and kitchens, etc.)?</w:t>
            </w:r>
          </w:p>
          <w:p w14:paraId="22B12AB9" w14:textId="77777777" w:rsidR="00C76694" w:rsidRDefault="00C76694" w:rsidP="00203F2A">
            <w:pPr>
              <w:pStyle w:val="NoSpacing"/>
              <w:jc w:val="both"/>
              <w:rPr>
                <w:sz w:val="20"/>
                <w:szCs w:val="20"/>
              </w:rPr>
            </w:pPr>
            <w:r w:rsidRPr="00AC2F47">
              <w:rPr>
                <w:sz w:val="20"/>
                <w:szCs w:val="20"/>
              </w:rPr>
              <w:t>• Might the project adversely affect vulnerable people and underserved groups (e.g., elderly poor pensioners, physically challenged, women, particularly head of households or widows, etc.) living in the area?</w:t>
            </w:r>
          </w:p>
          <w:p w14:paraId="3EC5DCAF" w14:textId="79D70AE5" w:rsidR="004314E3" w:rsidRPr="00AC2F47" w:rsidRDefault="004314E3" w:rsidP="00203F2A">
            <w:pPr>
              <w:pStyle w:val="NoSpacing"/>
              <w:jc w:val="both"/>
              <w:rPr>
                <w:sz w:val="20"/>
                <w:szCs w:val="20"/>
              </w:rPr>
            </w:pPr>
            <w:r w:rsidRPr="00AC2F47">
              <w:rPr>
                <w:sz w:val="20"/>
                <w:szCs w:val="20"/>
              </w:rPr>
              <w:t>•</w:t>
            </w:r>
            <w:r w:rsidR="00AB2C5E">
              <w:rPr>
                <w:sz w:val="20"/>
                <w:szCs w:val="20"/>
              </w:rPr>
              <w:t>Will the project have specific protocols to manage gender-based violence risks?</w:t>
            </w:r>
          </w:p>
        </w:tc>
        <w:tc>
          <w:tcPr>
            <w:tcW w:w="1110" w:type="dxa"/>
          </w:tcPr>
          <w:p w14:paraId="609D4362" w14:textId="77777777" w:rsidR="00C76694" w:rsidRPr="00AC2F47" w:rsidRDefault="00C76694" w:rsidP="00203F2A">
            <w:pPr>
              <w:pStyle w:val="NoSpacing"/>
              <w:jc w:val="both"/>
              <w:rPr>
                <w:sz w:val="20"/>
                <w:szCs w:val="20"/>
              </w:rPr>
            </w:pPr>
          </w:p>
        </w:tc>
        <w:tc>
          <w:tcPr>
            <w:tcW w:w="718" w:type="dxa"/>
          </w:tcPr>
          <w:p w14:paraId="47AFF8BF" w14:textId="0C84E04B" w:rsidR="00C76694" w:rsidRPr="00AC2F47" w:rsidRDefault="00C76694" w:rsidP="00203F2A">
            <w:pPr>
              <w:pStyle w:val="NoSpacing"/>
              <w:jc w:val="both"/>
              <w:rPr>
                <w:sz w:val="20"/>
                <w:szCs w:val="20"/>
              </w:rPr>
            </w:pPr>
          </w:p>
        </w:tc>
        <w:tc>
          <w:tcPr>
            <w:tcW w:w="718" w:type="dxa"/>
          </w:tcPr>
          <w:p w14:paraId="44E682B1" w14:textId="77777777" w:rsidR="00C76694" w:rsidRPr="00AC2F47" w:rsidRDefault="00C76694" w:rsidP="00203F2A">
            <w:pPr>
              <w:pStyle w:val="NoSpacing"/>
              <w:jc w:val="both"/>
              <w:rPr>
                <w:sz w:val="20"/>
                <w:szCs w:val="20"/>
              </w:rPr>
            </w:pPr>
          </w:p>
        </w:tc>
        <w:tc>
          <w:tcPr>
            <w:tcW w:w="718" w:type="dxa"/>
            <w:shd w:val="clear" w:color="auto" w:fill="70AD47" w:themeFill="accent6"/>
          </w:tcPr>
          <w:p w14:paraId="5A3088D5" w14:textId="77777777" w:rsidR="00C76694" w:rsidRPr="00AC2F47" w:rsidRDefault="00C76694" w:rsidP="00203F2A">
            <w:pPr>
              <w:pStyle w:val="NoSpacing"/>
              <w:jc w:val="both"/>
              <w:rPr>
                <w:sz w:val="20"/>
                <w:szCs w:val="20"/>
              </w:rPr>
            </w:pPr>
          </w:p>
        </w:tc>
      </w:tr>
    </w:tbl>
    <w:p w14:paraId="5833ED6C" w14:textId="2A05C23F" w:rsidR="002F4130" w:rsidRPr="00BF52A8" w:rsidRDefault="009B2314" w:rsidP="00203F2A">
      <w:pPr>
        <w:pStyle w:val="NoSpacing"/>
        <w:jc w:val="both"/>
        <w:rPr>
          <w:i/>
          <w:sz w:val="20"/>
        </w:rPr>
      </w:pPr>
      <w:r w:rsidRPr="00BF52A8">
        <w:rPr>
          <w:i/>
          <w:sz w:val="20"/>
        </w:rPr>
        <w:t>*(</w:t>
      </w:r>
      <w:r w:rsidR="00396FF3" w:rsidRPr="00BF52A8">
        <w:rPr>
          <w:i/>
          <w:sz w:val="20"/>
        </w:rPr>
        <w:t>In case the p</w:t>
      </w:r>
      <w:r w:rsidR="00FD4DD2" w:rsidRPr="00BF52A8">
        <w:rPr>
          <w:i/>
          <w:sz w:val="20"/>
        </w:rPr>
        <w:t xml:space="preserve">roposed sub-project </w:t>
      </w:r>
      <w:r w:rsidR="00396FF3" w:rsidRPr="00BF52A8">
        <w:rPr>
          <w:i/>
          <w:sz w:val="20"/>
        </w:rPr>
        <w:t>trigger</w:t>
      </w:r>
      <w:r w:rsidR="008D6E8E" w:rsidRPr="00BF52A8">
        <w:rPr>
          <w:i/>
          <w:sz w:val="20"/>
        </w:rPr>
        <w:t>s</w:t>
      </w:r>
      <w:r w:rsidR="00396FF3" w:rsidRPr="00BF52A8">
        <w:rPr>
          <w:i/>
          <w:sz w:val="20"/>
        </w:rPr>
        <w:t xml:space="preserve"> </w:t>
      </w:r>
      <w:r w:rsidR="00FD4DD2" w:rsidRPr="00BF52A8">
        <w:rPr>
          <w:i/>
          <w:sz w:val="20"/>
        </w:rPr>
        <w:t xml:space="preserve">any of the </w:t>
      </w:r>
      <w:r w:rsidR="00396FF3" w:rsidRPr="00BF52A8">
        <w:rPr>
          <w:i/>
          <w:sz w:val="20"/>
        </w:rPr>
        <w:t>above listed issues</w:t>
      </w:r>
      <w:r w:rsidR="00FD4DD2" w:rsidRPr="00BF52A8">
        <w:rPr>
          <w:i/>
          <w:sz w:val="20"/>
        </w:rPr>
        <w:t xml:space="preserve"> (answer i</w:t>
      </w:r>
      <w:r w:rsidR="006E3B9C" w:rsidRPr="00BF52A8">
        <w:rPr>
          <w:i/>
          <w:sz w:val="20"/>
        </w:rPr>
        <w:t>s</w:t>
      </w:r>
      <w:r w:rsidR="00FD4DD2" w:rsidRPr="00BF52A8">
        <w:rPr>
          <w:i/>
          <w:sz w:val="20"/>
        </w:rPr>
        <w:t xml:space="preserve"> </w:t>
      </w:r>
      <w:r w:rsidR="008D6E8E" w:rsidRPr="00BF52A8">
        <w:rPr>
          <w:i/>
          <w:sz w:val="20"/>
        </w:rPr>
        <w:t>outside</w:t>
      </w:r>
      <w:r w:rsidR="00FD4DD2" w:rsidRPr="00BF52A8">
        <w:rPr>
          <w:i/>
          <w:sz w:val="20"/>
        </w:rPr>
        <w:t xml:space="preserve"> the ‘green’)</w:t>
      </w:r>
      <w:r w:rsidR="00396FF3" w:rsidRPr="00BF52A8">
        <w:rPr>
          <w:i/>
          <w:sz w:val="20"/>
        </w:rPr>
        <w:t>, then the proposed sub-project</w:t>
      </w:r>
      <w:r w:rsidR="00FD4DD2" w:rsidRPr="00BF52A8">
        <w:rPr>
          <w:i/>
          <w:sz w:val="20"/>
        </w:rPr>
        <w:t xml:space="preserve"> </w:t>
      </w:r>
      <w:r w:rsidR="003F3861" w:rsidRPr="00BF52A8">
        <w:rPr>
          <w:i/>
          <w:sz w:val="20"/>
        </w:rPr>
        <w:t xml:space="preserve">may have </w:t>
      </w:r>
      <w:r w:rsidR="00FD4DD2" w:rsidRPr="00BF52A8">
        <w:rPr>
          <w:i/>
          <w:sz w:val="20"/>
        </w:rPr>
        <w:t>potential</w:t>
      </w:r>
      <w:r w:rsidR="00BA6BF6" w:rsidRPr="00BF52A8">
        <w:rPr>
          <w:i/>
          <w:sz w:val="20"/>
        </w:rPr>
        <w:t xml:space="preserve"> significant </w:t>
      </w:r>
      <w:r w:rsidR="00FD4DD2" w:rsidRPr="00BF52A8">
        <w:rPr>
          <w:i/>
          <w:sz w:val="20"/>
        </w:rPr>
        <w:t xml:space="preserve">environmental </w:t>
      </w:r>
      <w:r w:rsidR="006E3B9C" w:rsidRPr="00BF52A8">
        <w:rPr>
          <w:i/>
          <w:sz w:val="20"/>
        </w:rPr>
        <w:t>and/</w:t>
      </w:r>
      <w:r w:rsidR="00FD4DD2" w:rsidRPr="00BF52A8">
        <w:rPr>
          <w:i/>
          <w:sz w:val="20"/>
        </w:rPr>
        <w:t>or social risk</w:t>
      </w:r>
      <w:r w:rsidR="003F3861" w:rsidRPr="00BF52A8">
        <w:rPr>
          <w:i/>
          <w:sz w:val="20"/>
        </w:rPr>
        <w:t xml:space="preserve">; </w:t>
      </w:r>
      <w:r w:rsidR="00FD4DD2" w:rsidRPr="00BF52A8">
        <w:rPr>
          <w:i/>
          <w:sz w:val="20"/>
        </w:rPr>
        <w:t xml:space="preserve">further investigation and/or a site visit by </w:t>
      </w:r>
      <w:r w:rsidR="00FE55A4" w:rsidRPr="00BF52A8">
        <w:rPr>
          <w:i/>
          <w:sz w:val="20"/>
        </w:rPr>
        <w:t>the PIU designated person(s)</w:t>
      </w:r>
      <w:r w:rsidR="003F3861" w:rsidRPr="00BF52A8">
        <w:rPr>
          <w:i/>
          <w:sz w:val="20"/>
        </w:rPr>
        <w:t xml:space="preserve"> is needed</w:t>
      </w:r>
      <w:r w:rsidRPr="00BF52A8">
        <w:rPr>
          <w:i/>
          <w:sz w:val="20"/>
        </w:rPr>
        <w:t>)</w:t>
      </w:r>
      <w:r w:rsidR="00FD4DD2" w:rsidRPr="00BF52A8">
        <w:rPr>
          <w:i/>
          <w:sz w:val="20"/>
        </w:rPr>
        <w:t>.</w:t>
      </w:r>
      <w:r w:rsidR="002F4130" w:rsidRPr="00BF52A8">
        <w:rPr>
          <w:i/>
          <w:sz w:val="20"/>
        </w:rPr>
        <w:t xml:space="preserve"> </w:t>
      </w:r>
    </w:p>
    <w:p w14:paraId="2D48893B" w14:textId="77777777" w:rsidR="002F4130" w:rsidRDefault="002F4130" w:rsidP="00203F2A">
      <w:pPr>
        <w:pStyle w:val="NoSpacing"/>
        <w:jc w:val="both"/>
      </w:pPr>
    </w:p>
    <w:p w14:paraId="2756CD60" w14:textId="01C5FBB0" w:rsidR="002F4130" w:rsidRDefault="002F4130" w:rsidP="00203F2A">
      <w:pPr>
        <w:pStyle w:val="NoSpacing"/>
        <w:jc w:val="both"/>
      </w:pPr>
      <w:r>
        <w:t xml:space="preserve">The finding of further investigation will support the preliminary decision whether a </w:t>
      </w:r>
      <w:proofErr w:type="gramStart"/>
      <w:r>
        <w:t>particular proposed</w:t>
      </w:r>
      <w:proofErr w:type="gramEnd"/>
      <w:r>
        <w:t xml:space="preserve"> activity or sub-project </w:t>
      </w:r>
      <w:r w:rsidR="009F7FB0">
        <w:t xml:space="preserve">has significant </w:t>
      </w:r>
      <w:r>
        <w:t>may expose compliance problems (significant environmental or social risk</w:t>
      </w:r>
      <w:r w:rsidR="009F7FB0">
        <w:t>s or impacts that cannot be adequately reduced or compensated for</w:t>
      </w:r>
      <w:r>
        <w:t>) resulting in:</w:t>
      </w:r>
    </w:p>
    <w:p w14:paraId="4811A8FA" w14:textId="3A2974DF" w:rsidR="002F4130" w:rsidRDefault="002F4130" w:rsidP="00203F2A">
      <w:pPr>
        <w:pStyle w:val="NoSpacing"/>
        <w:numPr>
          <w:ilvl w:val="0"/>
          <w:numId w:val="24"/>
        </w:numPr>
        <w:jc w:val="both"/>
      </w:pPr>
      <w:r>
        <w:t xml:space="preserve">Exclusion from </w:t>
      </w:r>
      <w:r w:rsidR="00190610">
        <w:t>SCSD</w:t>
      </w:r>
      <w:r>
        <w:t xml:space="preserve"> Project support;</w:t>
      </w:r>
    </w:p>
    <w:p w14:paraId="688C5523" w14:textId="7F761737" w:rsidR="002F4130" w:rsidRDefault="002F4130" w:rsidP="00203F2A">
      <w:pPr>
        <w:pStyle w:val="NoSpacing"/>
        <w:numPr>
          <w:ilvl w:val="0"/>
          <w:numId w:val="24"/>
        </w:numPr>
        <w:jc w:val="both"/>
      </w:pPr>
      <w:r>
        <w:t xml:space="preserve">The need for an Environment and Social Management Plan (ESMP) </w:t>
      </w:r>
      <w:r w:rsidR="00BA6BF6">
        <w:t xml:space="preserve">of which the steps to be taken are </w:t>
      </w:r>
      <w:r>
        <w:t>described in in Section 7 of this ESMF document.</w:t>
      </w:r>
    </w:p>
    <w:p w14:paraId="57E9A379" w14:textId="77777777" w:rsidR="002F4130" w:rsidRDefault="002F4130" w:rsidP="00203F2A">
      <w:pPr>
        <w:pStyle w:val="NoSpacing"/>
        <w:jc w:val="both"/>
      </w:pPr>
    </w:p>
    <w:p w14:paraId="76259F17" w14:textId="77777777" w:rsidR="00857E65" w:rsidRDefault="00857E65" w:rsidP="00203F2A">
      <w:pPr>
        <w:pStyle w:val="NoSpacing"/>
        <w:jc w:val="both"/>
      </w:pPr>
    </w:p>
    <w:p w14:paraId="380B7475" w14:textId="77777777" w:rsidR="002949DE" w:rsidRDefault="002949DE" w:rsidP="00203F2A">
      <w:pPr>
        <w:jc w:val="both"/>
      </w:pPr>
      <w:r>
        <w:br w:type="page"/>
      </w:r>
    </w:p>
    <w:p w14:paraId="74C63E73" w14:textId="4A4469D5" w:rsidR="002949DE" w:rsidRDefault="002949DE" w:rsidP="00203F2A">
      <w:pPr>
        <w:pStyle w:val="Heading2"/>
        <w:jc w:val="both"/>
      </w:pPr>
      <w:bookmarkStart w:id="54" w:name="_Toc531965028"/>
      <w:bookmarkStart w:id="55" w:name="_Hlk529712979"/>
      <w:r>
        <w:t xml:space="preserve">Annex 2: </w:t>
      </w:r>
      <w:r w:rsidR="000A0472">
        <w:tab/>
      </w:r>
      <w:r>
        <w:t>Guidelines for Preparing an Integrated Pest Management Plan</w:t>
      </w:r>
      <w:bookmarkEnd w:id="54"/>
    </w:p>
    <w:bookmarkEnd w:id="55"/>
    <w:p w14:paraId="7456C712" w14:textId="6167093D" w:rsidR="002949DE" w:rsidRDefault="002949DE" w:rsidP="00203F2A">
      <w:pPr>
        <w:pStyle w:val="NoSpacing"/>
        <w:jc w:val="both"/>
      </w:pPr>
    </w:p>
    <w:p w14:paraId="48DA4998" w14:textId="5B31E848" w:rsidR="002949DE" w:rsidRDefault="002949DE" w:rsidP="00203F2A">
      <w:pPr>
        <w:pStyle w:val="NoSpacing"/>
        <w:shd w:val="clear" w:color="auto" w:fill="D9D9D9" w:themeFill="background1" w:themeFillShade="D9"/>
        <w:jc w:val="both"/>
      </w:pPr>
      <w:r>
        <w:t>GENERAL</w:t>
      </w:r>
    </w:p>
    <w:p w14:paraId="24A8E974" w14:textId="77777777" w:rsidR="002949DE" w:rsidRDefault="002949DE" w:rsidP="00203F2A">
      <w:pPr>
        <w:pStyle w:val="NoSpacing"/>
        <w:jc w:val="both"/>
      </w:pPr>
    </w:p>
    <w:p w14:paraId="670E07AC" w14:textId="2FE9B69B" w:rsidR="002949DE" w:rsidRPr="00F067FA" w:rsidRDefault="002949DE" w:rsidP="00203F2A">
      <w:pPr>
        <w:pStyle w:val="NoSpacing"/>
        <w:jc w:val="both"/>
        <w:rPr>
          <w:b/>
        </w:rPr>
      </w:pPr>
      <w:r w:rsidRPr="00F067FA">
        <w:rPr>
          <w:b/>
        </w:rPr>
        <w:t>1</w:t>
      </w:r>
      <w:r w:rsidRPr="00F067FA">
        <w:rPr>
          <w:b/>
        </w:rPr>
        <w:tab/>
        <w:t>Provide background which would outline:</w:t>
      </w:r>
    </w:p>
    <w:p w14:paraId="6740FCA6" w14:textId="4FF8D42E" w:rsidR="002949DE" w:rsidRDefault="002949DE" w:rsidP="00203F2A">
      <w:pPr>
        <w:pStyle w:val="NoSpacing"/>
        <w:numPr>
          <w:ilvl w:val="1"/>
          <w:numId w:val="28"/>
        </w:numPr>
        <w:jc w:val="both"/>
      </w:pPr>
      <w:r>
        <w:t>the purpose of the Plan,</w:t>
      </w:r>
    </w:p>
    <w:p w14:paraId="2D6327C1" w14:textId="655A612E" w:rsidR="002949DE" w:rsidRDefault="002949DE" w:rsidP="00203F2A">
      <w:pPr>
        <w:pStyle w:val="NoSpacing"/>
        <w:numPr>
          <w:ilvl w:val="1"/>
          <w:numId w:val="28"/>
        </w:numPr>
        <w:jc w:val="both"/>
      </w:pPr>
      <w:r>
        <w:t>indicate the pest management authorities, and</w:t>
      </w:r>
    </w:p>
    <w:p w14:paraId="40200323" w14:textId="6FE8C071" w:rsidR="002949DE" w:rsidRDefault="002949DE" w:rsidP="00203F2A">
      <w:pPr>
        <w:pStyle w:val="NoSpacing"/>
        <w:numPr>
          <w:ilvl w:val="1"/>
          <w:numId w:val="28"/>
        </w:numPr>
        <w:jc w:val="both"/>
      </w:pPr>
      <w:r>
        <w:t>describe the pest management program objective.</w:t>
      </w:r>
    </w:p>
    <w:p w14:paraId="27252A76" w14:textId="77777777" w:rsidR="002949DE" w:rsidRDefault="002949DE" w:rsidP="00203F2A">
      <w:pPr>
        <w:pStyle w:val="NoSpacing"/>
        <w:jc w:val="both"/>
      </w:pPr>
    </w:p>
    <w:p w14:paraId="57DAB50D" w14:textId="7EAF39E0" w:rsidR="002949DE" w:rsidRPr="00F067FA" w:rsidRDefault="002949DE" w:rsidP="00203F2A">
      <w:pPr>
        <w:pStyle w:val="NoSpacing"/>
        <w:ind w:left="705" w:hanging="705"/>
        <w:jc w:val="both"/>
        <w:rPr>
          <w:b/>
        </w:rPr>
      </w:pPr>
      <w:r w:rsidRPr="00F067FA">
        <w:rPr>
          <w:b/>
        </w:rPr>
        <w:t>2</w:t>
      </w:r>
      <w:r w:rsidRPr="00F067FA">
        <w:rPr>
          <w:b/>
        </w:rPr>
        <w:tab/>
        <w:t>Responsibilities of individuals (e.g. Director, Pest Management Coordinator, Pest Management Personnel, etc.).</w:t>
      </w:r>
    </w:p>
    <w:p w14:paraId="7C6098CC" w14:textId="77777777" w:rsidR="002949DE" w:rsidRDefault="002949DE" w:rsidP="00203F2A">
      <w:pPr>
        <w:pStyle w:val="NoSpacing"/>
        <w:jc w:val="both"/>
      </w:pPr>
    </w:p>
    <w:p w14:paraId="5A1B8453" w14:textId="77777777" w:rsidR="002949DE" w:rsidRPr="00F067FA" w:rsidRDefault="002949DE" w:rsidP="00203F2A">
      <w:pPr>
        <w:pStyle w:val="NoSpacing"/>
        <w:ind w:left="705" w:hanging="705"/>
        <w:jc w:val="both"/>
        <w:rPr>
          <w:b/>
        </w:rPr>
      </w:pPr>
      <w:r w:rsidRPr="00F067FA">
        <w:rPr>
          <w:b/>
        </w:rPr>
        <w:t>3</w:t>
      </w:r>
      <w:r w:rsidRPr="00F067FA">
        <w:rPr>
          <w:b/>
        </w:rPr>
        <w:tab/>
        <w:t>General Information which should provide data on land use and soil, in the area where the pesticides are applied:</w:t>
      </w:r>
    </w:p>
    <w:p w14:paraId="5C50B2EB" w14:textId="3174944A" w:rsidR="002949DE" w:rsidRDefault="002949DE" w:rsidP="00203F2A">
      <w:pPr>
        <w:pStyle w:val="NoSpacing"/>
        <w:ind w:left="1416"/>
        <w:jc w:val="both"/>
      </w:pPr>
      <w:r>
        <w:t>Climate and Geo-morphology,</w:t>
      </w:r>
    </w:p>
    <w:p w14:paraId="6E117BA8" w14:textId="6069BA7D" w:rsidR="002949DE" w:rsidRDefault="002949DE" w:rsidP="00203F2A">
      <w:pPr>
        <w:pStyle w:val="NoSpacing"/>
        <w:ind w:left="708" w:firstLine="708"/>
        <w:jc w:val="both"/>
      </w:pPr>
      <w:r>
        <w:t xml:space="preserve">Settlements </w:t>
      </w:r>
      <w:proofErr w:type="gramStart"/>
      <w:r>
        <w:t>in the area of</w:t>
      </w:r>
      <w:proofErr w:type="gramEnd"/>
      <w:r>
        <w:t xml:space="preserve"> concern and Population,</w:t>
      </w:r>
    </w:p>
    <w:p w14:paraId="0D226DD0" w14:textId="532444EC" w:rsidR="002949DE" w:rsidRDefault="002949DE" w:rsidP="00203F2A">
      <w:pPr>
        <w:pStyle w:val="NoSpacing"/>
        <w:ind w:left="708" w:firstLine="708"/>
        <w:jc w:val="both"/>
      </w:pPr>
      <w:r>
        <w:t>Surface water, etc., and</w:t>
      </w:r>
    </w:p>
    <w:p w14:paraId="20D2CB96" w14:textId="6BDD6AD3" w:rsidR="002949DE" w:rsidRDefault="002949DE" w:rsidP="00203F2A">
      <w:pPr>
        <w:pStyle w:val="NoSpacing"/>
        <w:ind w:left="708" w:firstLine="708"/>
        <w:jc w:val="both"/>
      </w:pPr>
      <w:r>
        <w:t>an inventory of land use and layout of facilities.</w:t>
      </w:r>
    </w:p>
    <w:p w14:paraId="51D90E89" w14:textId="77777777" w:rsidR="002949DE" w:rsidRDefault="002949DE" w:rsidP="00203F2A">
      <w:pPr>
        <w:pStyle w:val="NoSpacing"/>
        <w:jc w:val="both"/>
      </w:pPr>
    </w:p>
    <w:p w14:paraId="0F0F7DD5" w14:textId="1BC53373" w:rsidR="002949DE" w:rsidRPr="00F067FA" w:rsidRDefault="002949DE" w:rsidP="00203F2A">
      <w:pPr>
        <w:pStyle w:val="NoSpacing"/>
        <w:jc w:val="both"/>
        <w:rPr>
          <w:b/>
        </w:rPr>
      </w:pPr>
      <w:r w:rsidRPr="00F067FA">
        <w:rPr>
          <w:b/>
        </w:rPr>
        <w:t>4</w:t>
      </w:r>
      <w:r w:rsidRPr="00F067FA">
        <w:rPr>
          <w:b/>
        </w:rPr>
        <w:tab/>
        <w:t>Priority of Pest Management (e.g., undesirable vegetation, vertebrate pests, etc.)</w:t>
      </w:r>
      <w:r w:rsidR="00F067FA">
        <w:rPr>
          <w:b/>
        </w:rPr>
        <w:t>.</w:t>
      </w:r>
    </w:p>
    <w:p w14:paraId="605B029C" w14:textId="389A3479" w:rsidR="002949DE" w:rsidRDefault="002949DE" w:rsidP="00203F2A">
      <w:pPr>
        <w:pStyle w:val="NoSpacing"/>
        <w:jc w:val="both"/>
      </w:pPr>
    </w:p>
    <w:p w14:paraId="0EDBCF64" w14:textId="29FF8AD5" w:rsidR="002949DE" w:rsidRDefault="002949DE" w:rsidP="00203F2A">
      <w:pPr>
        <w:pStyle w:val="NoSpacing"/>
        <w:shd w:val="clear" w:color="auto" w:fill="D9D9D9" w:themeFill="background1" w:themeFillShade="D9"/>
        <w:jc w:val="both"/>
      </w:pPr>
      <w:r>
        <w:t>IPM PLAN</w:t>
      </w:r>
      <w:r w:rsidR="00A8389B">
        <w:t xml:space="preserve"> </w:t>
      </w:r>
    </w:p>
    <w:p w14:paraId="73A849FD" w14:textId="77777777" w:rsidR="002949DE" w:rsidRDefault="002949DE" w:rsidP="00203F2A">
      <w:pPr>
        <w:pStyle w:val="NoSpacing"/>
        <w:jc w:val="both"/>
      </w:pPr>
    </w:p>
    <w:p w14:paraId="1E7FF749" w14:textId="7926D284" w:rsidR="002949DE" w:rsidRPr="00F067FA" w:rsidRDefault="002949DE" w:rsidP="00203F2A">
      <w:pPr>
        <w:pStyle w:val="NoSpacing"/>
        <w:jc w:val="both"/>
        <w:rPr>
          <w:b/>
        </w:rPr>
      </w:pPr>
      <w:r w:rsidRPr="00F067FA">
        <w:rPr>
          <w:b/>
        </w:rPr>
        <w:t>5</w:t>
      </w:r>
      <w:r w:rsidRPr="00F067FA">
        <w:rPr>
          <w:b/>
        </w:rPr>
        <w:tab/>
        <w:t>Integrated Pest Management</w:t>
      </w:r>
    </w:p>
    <w:p w14:paraId="2E3E727A" w14:textId="77777777" w:rsidR="002949DE" w:rsidRDefault="002949DE" w:rsidP="00203F2A">
      <w:pPr>
        <w:pStyle w:val="NoSpacing"/>
        <w:jc w:val="both"/>
      </w:pPr>
    </w:p>
    <w:p w14:paraId="618288BE" w14:textId="77777777" w:rsidR="002949DE" w:rsidRDefault="002949DE" w:rsidP="00203F2A">
      <w:pPr>
        <w:pStyle w:val="NoSpacing"/>
        <w:jc w:val="both"/>
      </w:pPr>
      <w:r>
        <w:t xml:space="preserve">Principles of the Integrated Pest Management are: </w:t>
      </w:r>
    </w:p>
    <w:p w14:paraId="52C7DBF9" w14:textId="77777777" w:rsidR="004B2EDB" w:rsidRDefault="002949DE" w:rsidP="00203F2A">
      <w:pPr>
        <w:pStyle w:val="NoSpacing"/>
        <w:numPr>
          <w:ilvl w:val="2"/>
          <w:numId w:val="29"/>
        </w:numPr>
        <w:ind w:left="567" w:hanging="567"/>
        <w:jc w:val="both"/>
      </w:pPr>
      <w:r>
        <w:t xml:space="preserve">Mechanical and Physical Control. This type of control alters the environment in which a pest lives, traps and removes pests where they are not wanted, or excludes pests. </w:t>
      </w:r>
    </w:p>
    <w:p w14:paraId="302B9B62" w14:textId="0114FE80" w:rsidR="004B2EDB" w:rsidRDefault="002949DE" w:rsidP="00203F2A">
      <w:pPr>
        <w:pStyle w:val="NoSpacing"/>
        <w:numPr>
          <w:ilvl w:val="2"/>
          <w:numId w:val="29"/>
        </w:numPr>
        <w:ind w:left="567" w:hanging="567"/>
        <w:jc w:val="both"/>
      </w:pPr>
      <w:r>
        <w:t>Cultural Control. Strategies in this method involve manipulating environmental conditions to suppress or eliminate pests. For example, spreading manure from stables onto fields to dry prevents fly breeding. Elimination of food and water for pests through good sanitary practices may prevent pest populations from becoming established or from increasing.</w:t>
      </w:r>
    </w:p>
    <w:p w14:paraId="7C719BB1" w14:textId="77777777" w:rsidR="004B2EDB" w:rsidRDefault="002949DE" w:rsidP="00203F2A">
      <w:pPr>
        <w:pStyle w:val="NoSpacing"/>
        <w:numPr>
          <w:ilvl w:val="2"/>
          <w:numId w:val="29"/>
        </w:numPr>
        <w:ind w:left="567" w:hanging="567"/>
        <w:jc w:val="both"/>
      </w:pPr>
      <w:r>
        <w:t>Biological Control. In this control strategy, predators, parasites or disease organisms are used to control pest populations. Sterile flies may be released to lower reproductivity. Viruses and bacteria may be used which control growth or otherwise kill insects. Parasitic wasps may be introduced to kill eggs, larvae or other life stages.</w:t>
      </w:r>
    </w:p>
    <w:p w14:paraId="2CBA8CAF" w14:textId="10039ABD" w:rsidR="002949DE" w:rsidRDefault="002949DE" w:rsidP="00203F2A">
      <w:pPr>
        <w:pStyle w:val="NoSpacing"/>
        <w:numPr>
          <w:ilvl w:val="2"/>
          <w:numId w:val="29"/>
        </w:numPr>
        <w:ind w:left="567" w:hanging="567"/>
        <w:jc w:val="both"/>
      </w:pPr>
      <w:r>
        <w:t xml:space="preserve">Chemical Control. Pesticides kill living organisms, whether they will be plants or animals. </w:t>
      </w:r>
      <w:r w:rsidR="004B2EDB">
        <w:t>In IPM t</w:t>
      </w:r>
      <w:r>
        <w:t>he trend is to use pesticides which have limited residual action. While this has reduced human exposure and lessened environmental impact, the cost of chemical control has risen due to requirements for more frequent application. Since personal protection and special handling and storage requirements are necessary with the use of chemicals, the overall cost of using chemicals as a sole means of control can be quite costly when compared with non</w:t>
      </w:r>
      <w:r w:rsidR="004B2EDB">
        <w:t>-</w:t>
      </w:r>
      <w:r>
        <w:t>chemical control methods.</w:t>
      </w:r>
    </w:p>
    <w:p w14:paraId="4B1B3485" w14:textId="77777777" w:rsidR="004B2EDB" w:rsidRDefault="004B2EDB" w:rsidP="00203F2A">
      <w:pPr>
        <w:pStyle w:val="NoSpacing"/>
        <w:jc w:val="both"/>
      </w:pPr>
    </w:p>
    <w:p w14:paraId="3FC4E792" w14:textId="77777777" w:rsidR="004B2EDB" w:rsidRDefault="002949DE" w:rsidP="00203F2A">
      <w:pPr>
        <w:pStyle w:val="NoSpacing"/>
        <w:jc w:val="both"/>
      </w:pPr>
      <w:r>
        <w:t>5</w:t>
      </w:r>
      <w:r w:rsidR="004B2EDB">
        <w:t>.1</w:t>
      </w:r>
      <w:r w:rsidR="004B2EDB">
        <w:tab/>
      </w:r>
      <w:r>
        <w:t>Integrated Pest Management Outlines.</w:t>
      </w:r>
    </w:p>
    <w:p w14:paraId="7C63BE03" w14:textId="2627A727" w:rsidR="004B2EDB" w:rsidRDefault="002949DE" w:rsidP="00203F2A">
      <w:pPr>
        <w:pStyle w:val="NoSpacing"/>
        <w:jc w:val="both"/>
      </w:pPr>
      <w:r>
        <w:t>This chapter addresses each major pest or category of similar pests by site, in separate outlines</w:t>
      </w:r>
      <w:r w:rsidR="00305081">
        <w:t>, based on the above described IPM principles and hierarchy</w:t>
      </w:r>
      <w:r>
        <w:t>.</w:t>
      </w:r>
    </w:p>
    <w:p w14:paraId="7D2489AE" w14:textId="77777777" w:rsidR="004B2EDB" w:rsidRDefault="004B2EDB" w:rsidP="00203F2A">
      <w:pPr>
        <w:pStyle w:val="NoSpacing"/>
        <w:jc w:val="both"/>
      </w:pPr>
    </w:p>
    <w:p w14:paraId="771A4C09" w14:textId="77777777" w:rsidR="004B2EDB" w:rsidRDefault="002949DE" w:rsidP="00203F2A">
      <w:pPr>
        <w:pStyle w:val="NoSpacing"/>
        <w:jc w:val="both"/>
      </w:pPr>
      <w:r>
        <w:t>5.</w:t>
      </w:r>
      <w:r w:rsidR="004B2EDB">
        <w:t>2</w:t>
      </w:r>
      <w:r w:rsidR="004B2EDB">
        <w:tab/>
      </w:r>
      <w:r>
        <w:t>Annual Workload for Surveillance, Prevention, and Control.</w:t>
      </w:r>
    </w:p>
    <w:p w14:paraId="0BB3F1AA" w14:textId="282066F2" w:rsidR="002949DE" w:rsidRDefault="002949DE" w:rsidP="00203F2A">
      <w:pPr>
        <w:pStyle w:val="NoSpacing"/>
        <w:jc w:val="both"/>
      </w:pPr>
      <w:r>
        <w:t xml:space="preserve">In this </w:t>
      </w:r>
      <w:r w:rsidR="004B2EDB">
        <w:t>c</w:t>
      </w:r>
      <w:r>
        <w:t xml:space="preserve">hapter </w:t>
      </w:r>
      <w:proofErr w:type="gramStart"/>
      <w:r>
        <w:t>has to</w:t>
      </w:r>
      <w:proofErr w:type="gramEnd"/>
      <w:r>
        <w:t xml:space="preserve"> be indicated the number of man-hours expended for surveillance, prevention, and</w:t>
      </w:r>
      <w:r w:rsidR="004B2EDB">
        <w:t xml:space="preserve"> </w:t>
      </w:r>
      <w:r>
        <w:t xml:space="preserve">control of pests. </w:t>
      </w:r>
    </w:p>
    <w:p w14:paraId="51BF97B0" w14:textId="77777777" w:rsidR="00305081" w:rsidRDefault="00305081" w:rsidP="00203F2A">
      <w:pPr>
        <w:pStyle w:val="NoSpacing"/>
        <w:jc w:val="both"/>
      </w:pPr>
    </w:p>
    <w:p w14:paraId="783E1E43" w14:textId="77538B88" w:rsidR="004B2EDB" w:rsidRPr="00F067FA" w:rsidRDefault="002949DE" w:rsidP="00203F2A">
      <w:pPr>
        <w:pStyle w:val="NoSpacing"/>
        <w:jc w:val="both"/>
        <w:rPr>
          <w:b/>
        </w:rPr>
      </w:pPr>
      <w:r w:rsidRPr="00F067FA">
        <w:rPr>
          <w:b/>
        </w:rPr>
        <w:t>6</w:t>
      </w:r>
      <w:r w:rsidR="004B2EDB" w:rsidRPr="00F067FA">
        <w:rPr>
          <w:b/>
        </w:rPr>
        <w:tab/>
      </w:r>
      <w:r w:rsidRPr="00F067FA">
        <w:rPr>
          <w:b/>
        </w:rPr>
        <w:t>Health and Safety</w:t>
      </w:r>
    </w:p>
    <w:p w14:paraId="178673EC" w14:textId="77777777" w:rsidR="00305081" w:rsidRDefault="00305081" w:rsidP="00203F2A">
      <w:pPr>
        <w:pStyle w:val="NoSpacing"/>
        <w:jc w:val="both"/>
      </w:pPr>
    </w:p>
    <w:p w14:paraId="7C3331D1" w14:textId="3F95FE00" w:rsidR="002949DE" w:rsidRDefault="002949DE" w:rsidP="00203F2A">
      <w:pPr>
        <w:pStyle w:val="NoSpacing"/>
        <w:jc w:val="both"/>
      </w:pPr>
      <w:r>
        <w:t xml:space="preserve">This chapter should contain health and safety requirements as follows: </w:t>
      </w:r>
    </w:p>
    <w:p w14:paraId="7BF865EC" w14:textId="77777777" w:rsidR="004B2EDB" w:rsidRDefault="002949DE" w:rsidP="00203F2A">
      <w:pPr>
        <w:pStyle w:val="NoSpacing"/>
        <w:numPr>
          <w:ilvl w:val="0"/>
          <w:numId w:val="30"/>
        </w:numPr>
        <w:jc w:val="both"/>
      </w:pPr>
      <w:r>
        <w:t xml:space="preserve">Medical Surveillance of Pest Management Personnel. All personnel who apply pesticides </w:t>
      </w:r>
      <w:proofErr w:type="gramStart"/>
      <w:r>
        <w:t>have to</w:t>
      </w:r>
      <w:proofErr w:type="gramEnd"/>
      <w:r>
        <w:t xml:space="preserve"> are included in a medical surveillance program</w:t>
      </w:r>
      <w:r w:rsidR="004B2EDB">
        <w:t>;</w:t>
      </w:r>
    </w:p>
    <w:p w14:paraId="2407C95E" w14:textId="77777777" w:rsidR="004B2EDB" w:rsidRDefault="002949DE" w:rsidP="00203F2A">
      <w:pPr>
        <w:pStyle w:val="NoSpacing"/>
        <w:numPr>
          <w:ilvl w:val="0"/>
          <w:numId w:val="30"/>
        </w:numPr>
        <w:jc w:val="both"/>
      </w:pPr>
      <w:r>
        <w:t>Hazard Communication. Pest management personnel are given hazard communication training, to include hazardous materials in his workplace. Additional training is to be given to new employees or when new hazardous materials are introduced into the workplace</w:t>
      </w:r>
      <w:r w:rsidR="004B2EDB">
        <w:t>;</w:t>
      </w:r>
    </w:p>
    <w:p w14:paraId="2B05E197" w14:textId="77777777" w:rsidR="00305081" w:rsidRDefault="002949DE" w:rsidP="00203F2A">
      <w:pPr>
        <w:pStyle w:val="NoSpacing"/>
        <w:numPr>
          <w:ilvl w:val="0"/>
          <w:numId w:val="30"/>
        </w:numPr>
        <w:jc w:val="both"/>
      </w:pPr>
      <w:r>
        <w:t xml:space="preserve">Personal Protective Equipment. </w:t>
      </w:r>
      <w:r w:rsidR="004B2EDB">
        <w:t xml:space="preserve">Here </w:t>
      </w:r>
      <w:proofErr w:type="gramStart"/>
      <w:r>
        <w:t>has to</w:t>
      </w:r>
      <w:proofErr w:type="gramEnd"/>
      <w:r>
        <w:t xml:space="preserve"> be described approved masks, respirators, chemical resistant gloves and boots, and protective clothing (as specified by laws, regulations and/or the pesticide label) are provided to pesticide applicators. These items are used as required during the mixing and application of pesticides. Pesticide</w:t>
      </w:r>
      <w:r w:rsidR="004B2EDB">
        <w:t xml:space="preserve"> </w:t>
      </w:r>
      <w:r>
        <w:t>contaminated protective clothing is not be laundered at home but commercially. Severely contaminated clothing is not laundered, but is considered a pesticide-related waste and disposed, as applicable for hazardous waste</w:t>
      </w:r>
      <w:r w:rsidR="004B2EDB">
        <w:t>;</w:t>
      </w:r>
    </w:p>
    <w:p w14:paraId="679CB1CE" w14:textId="32F6396D" w:rsidR="002949DE" w:rsidRDefault="002949DE" w:rsidP="00203F2A">
      <w:pPr>
        <w:pStyle w:val="NoSpacing"/>
        <w:numPr>
          <w:ilvl w:val="0"/>
          <w:numId w:val="30"/>
        </w:numPr>
        <w:jc w:val="both"/>
      </w:pPr>
      <w:r>
        <w:t xml:space="preserve">Fire Protection. The fire safety protection requirements </w:t>
      </w:r>
      <w:proofErr w:type="gramStart"/>
      <w:r>
        <w:t>has</w:t>
      </w:r>
      <w:proofErr w:type="gramEnd"/>
      <w:r>
        <w:t xml:space="preserve"> to be established; the pest management coordinator has to control implementation of measures to prevent fire. </w:t>
      </w:r>
    </w:p>
    <w:p w14:paraId="3837E0F8" w14:textId="77777777" w:rsidR="00305081" w:rsidRDefault="00305081" w:rsidP="00203F2A">
      <w:pPr>
        <w:pStyle w:val="NoSpacing"/>
        <w:jc w:val="both"/>
      </w:pPr>
    </w:p>
    <w:p w14:paraId="015E08D3" w14:textId="5B1CC88E" w:rsidR="002949DE" w:rsidRPr="00F067FA" w:rsidRDefault="002949DE" w:rsidP="00203F2A">
      <w:pPr>
        <w:pStyle w:val="NoSpacing"/>
        <w:jc w:val="both"/>
        <w:rPr>
          <w:b/>
        </w:rPr>
      </w:pPr>
      <w:r w:rsidRPr="00F067FA">
        <w:rPr>
          <w:b/>
        </w:rPr>
        <w:t>7</w:t>
      </w:r>
      <w:r w:rsidR="00305081" w:rsidRPr="00F067FA">
        <w:rPr>
          <w:b/>
        </w:rPr>
        <w:tab/>
      </w:r>
      <w:r w:rsidRPr="00F067FA">
        <w:rPr>
          <w:b/>
        </w:rPr>
        <w:t>Environmental Considerations</w:t>
      </w:r>
    </w:p>
    <w:p w14:paraId="5E9EBC5B" w14:textId="77777777" w:rsidR="00305081" w:rsidRDefault="00305081" w:rsidP="00203F2A">
      <w:pPr>
        <w:pStyle w:val="NoSpacing"/>
        <w:jc w:val="both"/>
      </w:pPr>
    </w:p>
    <w:p w14:paraId="043D56F4" w14:textId="77777777" w:rsidR="00305081" w:rsidRDefault="002949DE" w:rsidP="00203F2A">
      <w:pPr>
        <w:pStyle w:val="NoSpacing"/>
        <w:jc w:val="both"/>
      </w:pPr>
      <w:r>
        <w:t>7.1</w:t>
      </w:r>
      <w:r w:rsidR="00305081">
        <w:tab/>
      </w:r>
      <w:r>
        <w:t xml:space="preserve">Protection of the Public. Precautions are taken during pesticide application to protect the public, on and off the </w:t>
      </w:r>
      <w:r w:rsidR="00305081">
        <w:t xml:space="preserve">field or </w:t>
      </w:r>
      <w:r>
        <w:t xml:space="preserve">installation. Pesticides should not be applied </w:t>
      </w:r>
      <w:r w:rsidR="00305081">
        <w:t>in the field</w:t>
      </w:r>
      <w:r>
        <w:t xml:space="preserve"> when the wind speed exceeds 155 m/min. Whenever pesticides are applied, care is taken to make sure that any spray drift is kept away from individuals, including the applicator. </w:t>
      </w:r>
    </w:p>
    <w:p w14:paraId="0F854A17" w14:textId="4D4FAA19" w:rsidR="002949DE" w:rsidRDefault="002949DE" w:rsidP="00203F2A">
      <w:pPr>
        <w:pStyle w:val="NoSpacing"/>
        <w:jc w:val="both"/>
      </w:pPr>
      <w:r>
        <w:t xml:space="preserve">Pesticide application indoors is accomplished by individuals wearing the proper personal protective clothing and equipment. At no time are personnel permitted in a treatment area during pesticide application unless they have met the medical monitoring standards and are appropriately protected. </w:t>
      </w:r>
    </w:p>
    <w:p w14:paraId="13A13FF8" w14:textId="77777777" w:rsidR="00305081" w:rsidRDefault="00305081" w:rsidP="00203F2A">
      <w:pPr>
        <w:pStyle w:val="NoSpacing"/>
        <w:jc w:val="both"/>
      </w:pPr>
    </w:p>
    <w:p w14:paraId="59C8A9D7" w14:textId="77777777" w:rsidR="00305081" w:rsidRDefault="002949DE" w:rsidP="00203F2A">
      <w:pPr>
        <w:pStyle w:val="NoSpacing"/>
        <w:jc w:val="both"/>
      </w:pPr>
      <w:r>
        <w:t>7.2</w:t>
      </w:r>
      <w:r w:rsidR="00305081">
        <w:tab/>
      </w:r>
      <w:r>
        <w:t>Sensitive Areas. No pesticides are applied directly to wetlands or water areas (lakes, rivers, etc.) unless use in such sites is specifically approved.</w:t>
      </w:r>
    </w:p>
    <w:p w14:paraId="07781A1E" w14:textId="4100E11B" w:rsidR="002949DE" w:rsidRDefault="002949DE" w:rsidP="00203F2A">
      <w:pPr>
        <w:pStyle w:val="NoSpacing"/>
        <w:jc w:val="both"/>
      </w:pPr>
      <w:r>
        <w:t xml:space="preserve"> </w:t>
      </w:r>
    </w:p>
    <w:p w14:paraId="258EB400" w14:textId="13A32018" w:rsidR="002949DE" w:rsidRDefault="002949DE" w:rsidP="00203F2A">
      <w:pPr>
        <w:pStyle w:val="NoSpacing"/>
        <w:jc w:val="both"/>
      </w:pPr>
      <w:r>
        <w:t>7.3</w:t>
      </w:r>
      <w:r w:rsidR="00305081">
        <w:tab/>
      </w:r>
      <w:r>
        <w:t>Endangered/Protected Species and Critical Habitats. The Pest Management Coordinator periodically evaluates ongoing pest control operations and evaluates all new pest control operations to ensure compliance with the list of endangered species</w:t>
      </w:r>
      <w:r w:rsidR="00305081">
        <w:t>.</w:t>
      </w:r>
      <w:r>
        <w:t xml:space="preserve"> No pest management operations are conducted that are likely to have a negative impact on endangered or protected species or their habitats without prior approval from environmental authorities.</w:t>
      </w:r>
    </w:p>
    <w:p w14:paraId="741305D1" w14:textId="77777777" w:rsidR="00305081" w:rsidRDefault="00305081" w:rsidP="00203F2A">
      <w:pPr>
        <w:pStyle w:val="NoSpacing"/>
        <w:jc w:val="both"/>
      </w:pPr>
    </w:p>
    <w:p w14:paraId="1658A240" w14:textId="77777777" w:rsidR="00305081" w:rsidRDefault="002949DE" w:rsidP="00203F2A">
      <w:pPr>
        <w:pStyle w:val="NoSpacing"/>
        <w:jc w:val="both"/>
      </w:pPr>
      <w:r>
        <w:t>7.4</w:t>
      </w:r>
      <w:r w:rsidR="00305081">
        <w:tab/>
      </w:r>
      <w:r>
        <w:t xml:space="preserve">Environmental Documentation. An environmental assessment which specifically addresses the pesticide use program </w:t>
      </w:r>
      <w:r w:rsidR="00305081">
        <w:t>should</w:t>
      </w:r>
      <w:r>
        <w:t xml:space="preserve"> been prepared. This plan is referenced in the assessment as documentation of pesticide use. </w:t>
      </w:r>
    </w:p>
    <w:p w14:paraId="2BD6CEDA" w14:textId="77777777" w:rsidR="00203F2A" w:rsidRDefault="00203F2A" w:rsidP="00203F2A">
      <w:pPr>
        <w:pStyle w:val="NoSpacing"/>
        <w:jc w:val="both"/>
      </w:pPr>
    </w:p>
    <w:p w14:paraId="6ACA5663" w14:textId="77777777" w:rsidR="00203F2A" w:rsidRDefault="00203F2A" w:rsidP="00203F2A">
      <w:pPr>
        <w:pStyle w:val="NoSpacing"/>
        <w:jc w:val="both"/>
      </w:pPr>
    </w:p>
    <w:p w14:paraId="6F6101F5" w14:textId="77777777" w:rsidR="00203F2A" w:rsidRDefault="00203F2A" w:rsidP="00203F2A">
      <w:pPr>
        <w:pStyle w:val="NoSpacing"/>
        <w:jc w:val="both"/>
      </w:pPr>
    </w:p>
    <w:p w14:paraId="779506B7" w14:textId="77777777" w:rsidR="00203F2A" w:rsidRDefault="00203F2A" w:rsidP="00203F2A">
      <w:pPr>
        <w:pStyle w:val="NoSpacing"/>
        <w:jc w:val="both"/>
      </w:pPr>
    </w:p>
    <w:p w14:paraId="2B2F9E48" w14:textId="77777777" w:rsidR="00203F2A" w:rsidRDefault="00203F2A" w:rsidP="00203F2A">
      <w:pPr>
        <w:pStyle w:val="NoSpacing"/>
        <w:jc w:val="both"/>
      </w:pPr>
    </w:p>
    <w:p w14:paraId="5CD7F71D" w14:textId="77777777" w:rsidR="00203F2A" w:rsidRDefault="00203F2A" w:rsidP="00203F2A">
      <w:pPr>
        <w:pStyle w:val="NoSpacing"/>
        <w:jc w:val="both"/>
      </w:pPr>
    </w:p>
    <w:p w14:paraId="642FEDE6" w14:textId="77777777" w:rsidR="00203F2A" w:rsidRDefault="00203F2A" w:rsidP="00203F2A">
      <w:pPr>
        <w:pStyle w:val="NoSpacing"/>
        <w:jc w:val="both"/>
      </w:pPr>
    </w:p>
    <w:p w14:paraId="1DC66CA5" w14:textId="77777777" w:rsidR="00203F2A" w:rsidRDefault="00203F2A" w:rsidP="00203F2A">
      <w:pPr>
        <w:pStyle w:val="NoSpacing"/>
        <w:jc w:val="both"/>
      </w:pPr>
    </w:p>
    <w:p w14:paraId="6042B27B" w14:textId="77777777" w:rsidR="00203F2A" w:rsidRDefault="00203F2A" w:rsidP="00203F2A">
      <w:pPr>
        <w:pStyle w:val="NoSpacing"/>
        <w:jc w:val="both"/>
      </w:pPr>
    </w:p>
    <w:p w14:paraId="2DF335B7" w14:textId="77777777" w:rsidR="00203F2A" w:rsidRDefault="00203F2A" w:rsidP="00203F2A">
      <w:pPr>
        <w:pStyle w:val="NoSpacing"/>
        <w:jc w:val="both"/>
      </w:pPr>
    </w:p>
    <w:p w14:paraId="666085F8" w14:textId="77777777" w:rsidR="00203F2A" w:rsidRDefault="00203F2A" w:rsidP="00203F2A">
      <w:pPr>
        <w:pStyle w:val="NoSpacing"/>
        <w:jc w:val="both"/>
      </w:pPr>
    </w:p>
    <w:p w14:paraId="79C60FE4" w14:textId="77777777" w:rsidR="00203F2A" w:rsidRDefault="00203F2A" w:rsidP="00203F2A">
      <w:pPr>
        <w:pStyle w:val="NoSpacing"/>
        <w:jc w:val="both"/>
      </w:pPr>
    </w:p>
    <w:p w14:paraId="3E5C9DA8" w14:textId="77777777" w:rsidR="00203F2A" w:rsidRDefault="00203F2A" w:rsidP="00203F2A">
      <w:pPr>
        <w:pStyle w:val="NoSpacing"/>
        <w:jc w:val="both"/>
      </w:pPr>
    </w:p>
    <w:p w14:paraId="02190B61" w14:textId="77777777" w:rsidR="00203F2A" w:rsidRDefault="00203F2A" w:rsidP="00203F2A">
      <w:pPr>
        <w:pStyle w:val="NoSpacing"/>
        <w:jc w:val="both"/>
      </w:pPr>
    </w:p>
    <w:p w14:paraId="15D63772" w14:textId="77777777" w:rsidR="00203F2A" w:rsidRDefault="00203F2A" w:rsidP="00203F2A">
      <w:pPr>
        <w:pStyle w:val="NoSpacing"/>
        <w:jc w:val="both"/>
      </w:pPr>
    </w:p>
    <w:p w14:paraId="6E9C1D94" w14:textId="61552C97" w:rsidR="002949DE" w:rsidRPr="00F067FA" w:rsidRDefault="002949DE" w:rsidP="00203F2A">
      <w:pPr>
        <w:pStyle w:val="NoSpacing"/>
        <w:jc w:val="both"/>
      </w:pPr>
    </w:p>
    <w:p w14:paraId="0D537C7F" w14:textId="3F9B3872" w:rsidR="00AD5E3A" w:rsidRPr="00F067FA" w:rsidRDefault="00F067FA" w:rsidP="00203F2A">
      <w:pPr>
        <w:pStyle w:val="NoSpacing"/>
        <w:jc w:val="both"/>
      </w:pPr>
      <w:r w:rsidRPr="00F067FA">
        <w:rPr>
          <w:b/>
        </w:rPr>
        <w:t>8</w:t>
      </w:r>
      <w:r w:rsidRPr="00F067FA">
        <w:rPr>
          <w:b/>
        </w:rPr>
        <w:tab/>
      </w:r>
      <w:r w:rsidR="00AD5E3A" w:rsidRPr="00F067FA">
        <w:rPr>
          <w:b/>
        </w:rPr>
        <w:t>List of Prohibited Pesticides</w:t>
      </w:r>
    </w:p>
    <w:p w14:paraId="56DBDA45" w14:textId="77777777" w:rsidR="00AD5E3A" w:rsidRPr="00F067FA" w:rsidRDefault="00AD5E3A" w:rsidP="00203F2A">
      <w:pPr>
        <w:pStyle w:val="NoSpacing"/>
        <w:jc w:val="both"/>
      </w:pPr>
    </w:p>
    <w:p w14:paraId="4B516381" w14:textId="77777777" w:rsidR="00AD5E3A" w:rsidRDefault="00AD5E3A" w:rsidP="00203F2A">
      <w:pPr>
        <w:pStyle w:val="NoSpacing"/>
        <w:jc w:val="both"/>
        <w:rPr>
          <w:bCs/>
          <w:lang w:eastAsia="en-029"/>
        </w:rPr>
      </w:pPr>
      <w:r w:rsidRPr="00F067FA">
        <w:rPr>
          <w:bCs/>
          <w:lang w:eastAsia="en-029"/>
        </w:rPr>
        <w:t>Prohibited pesticides are listed below and include the WHO “dirty dozen” which are prohibited as well:</w:t>
      </w:r>
    </w:p>
    <w:p w14:paraId="200068CB" w14:textId="77777777" w:rsidR="00203F2A" w:rsidRDefault="00203F2A" w:rsidP="00203F2A">
      <w:pPr>
        <w:pStyle w:val="NoSpacing"/>
        <w:jc w:val="both"/>
        <w:rPr>
          <w:bCs/>
          <w:lang w:eastAsia="en-029"/>
        </w:rPr>
      </w:pPr>
    </w:p>
    <w:p w14:paraId="4AC0E439" w14:textId="77777777" w:rsidR="00203F2A" w:rsidRPr="00F067FA" w:rsidRDefault="00203F2A" w:rsidP="00203F2A">
      <w:pPr>
        <w:pStyle w:val="NoSpacing"/>
        <w:jc w:val="both"/>
        <w:rPr>
          <w:bCs/>
          <w:color w:val="FFFFFF"/>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1"/>
      </w:tblGrid>
      <w:tr w:rsidR="00F067FA" w14:paraId="2DA5EDE8" w14:textId="77777777" w:rsidTr="00F067FA">
        <w:tc>
          <w:tcPr>
            <w:tcW w:w="4531" w:type="dxa"/>
          </w:tcPr>
          <w:p w14:paraId="76BB1672" w14:textId="56130CE5" w:rsidR="00F067FA" w:rsidRDefault="00F067FA" w:rsidP="00203F2A">
            <w:pPr>
              <w:pStyle w:val="NoSpacing"/>
              <w:jc w:val="both"/>
              <w:rPr>
                <w:b/>
                <w:bCs/>
                <w:color w:val="FFFFFF"/>
              </w:rPr>
            </w:pPr>
            <w:r w:rsidRPr="00EB47DB">
              <w:rPr>
                <w:rFonts w:eastAsia="DejaVuSans"/>
                <w:color w:val="000000"/>
                <w:lang w:eastAsia="en-029"/>
              </w:rPr>
              <w:t>2,4,</w:t>
            </w:r>
            <w:proofErr w:type="gramStart"/>
            <w:r w:rsidRPr="00EB47DB">
              <w:rPr>
                <w:rFonts w:eastAsia="DejaVuSans"/>
                <w:color w:val="000000"/>
                <w:lang w:eastAsia="en-029"/>
              </w:rPr>
              <w:t>5,-</w:t>
            </w:r>
            <w:proofErr w:type="gramEnd"/>
            <w:r w:rsidRPr="00EB47DB">
              <w:rPr>
                <w:rFonts w:eastAsia="DejaVuSans"/>
                <w:color w:val="000000"/>
                <w:lang w:eastAsia="en-029"/>
              </w:rPr>
              <w:t xml:space="preserve">T </w:t>
            </w:r>
          </w:p>
        </w:tc>
        <w:tc>
          <w:tcPr>
            <w:tcW w:w="4531" w:type="dxa"/>
          </w:tcPr>
          <w:p w14:paraId="02590F20" w14:textId="304B74B5" w:rsidR="00F067FA" w:rsidRDefault="00F067FA" w:rsidP="00203F2A">
            <w:pPr>
              <w:pStyle w:val="NoSpacing"/>
              <w:jc w:val="both"/>
              <w:rPr>
                <w:b/>
                <w:bCs/>
                <w:color w:val="FFFFFF"/>
              </w:rPr>
            </w:pPr>
            <w:proofErr w:type="spellStart"/>
            <w:r w:rsidRPr="00642688">
              <w:rPr>
                <w:rFonts w:eastAsia="DejaVuSans"/>
                <w:color w:val="000000"/>
                <w:lang w:val="fr-FR" w:eastAsia="en-029"/>
              </w:rPr>
              <w:t>Mirex</w:t>
            </w:r>
            <w:proofErr w:type="spellEnd"/>
          </w:p>
        </w:tc>
      </w:tr>
      <w:tr w:rsidR="00F067FA" w14:paraId="64BE59FF" w14:textId="77777777" w:rsidTr="00F067FA">
        <w:tc>
          <w:tcPr>
            <w:tcW w:w="4531" w:type="dxa"/>
          </w:tcPr>
          <w:p w14:paraId="66CE2DCA" w14:textId="33E291F9" w:rsidR="00F067FA" w:rsidRDefault="00F067FA" w:rsidP="00203F2A">
            <w:pPr>
              <w:pStyle w:val="NoSpacing"/>
              <w:jc w:val="both"/>
              <w:rPr>
                <w:b/>
                <w:bCs/>
                <w:color w:val="FFFFFF"/>
              </w:rPr>
            </w:pPr>
            <w:r w:rsidRPr="00EB47DB">
              <w:rPr>
                <w:rFonts w:eastAsia="DejaVuSans"/>
                <w:color w:val="000000"/>
                <w:lang w:eastAsia="en-029"/>
              </w:rPr>
              <w:t>Aldicarb</w:t>
            </w:r>
          </w:p>
        </w:tc>
        <w:tc>
          <w:tcPr>
            <w:tcW w:w="4531" w:type="dxa"/>
          </w:tcPr>
          <w:p w14:paraId="0EBF8783" w14:textId="59C902EB" w:rsidR="00F067FA" w:rsidRDefault="00F067FA" w:rsidP="00203F2A">
            <w:pPr>
              <w:pStyle w:val="NoSpacing"/>
              <w:jc w:val="both"/>
              <w:rPr>
                <w:b/>
                <w:bCs/>
                <w:color w:val="FFFFFF"/>
              </w:rPr>
            </w:pPr>
            <w:r w:rsidRPr="00642688">
              <w:rPr>
                <w:rFonts w:eastAsia="DejaVuSans"/>
                <w:color w:val="000000"/>
                <w:lang w:val="fr-FR" w:eastAsia="en-029"/>
              </w:rPr>
              <w:t>Paraquat</w:t>
            </w:r>
          </w:p>
        </w:tc>
      </w:tr>
      <w:tr w:rsidR="00F067FA" w14:paraId="79F71A2D" w14:textId="77777777" w:rsidTr="00F067FA">
        <w:tc>
          <w:tcPr>
            <w:tcW w:w="4531" w:type="dxa"/>
          </w:tcPr>
          <w:p w14:paraId="0F59EE1C" w14:textId="1606BCB3" w:rsidR="00F067FA" w:rsidRDefault="00F067FA" w:rsidP="00203F2A">
            <w:pPr>
              <w:pStyle w:val="NoSpacing"/>
              <w:jc w:val="both"/>
              <w:rPr>
                <w:b/>
                <w:bCs/>
                <w:color w:val="FFFFFF"/>
              </w:rPr>
            </w:pPr>
            <w:r w:rsidRPr="00EB47DB">
              <w:rPr>
                <w:rFonts w:eastAsia="DejaVuSans"/>
                <w:color w:val="000000"/>
                <w:lang w:eastAsia="en-029"/>
              </w:rPr>
              <w:t>Aldrin</w:t>
            </w:r>
          </w:p>
        </w:tc>
        <w:tc>
          <w:tcPr>
            <w:tcW w:w="4531" w:type="dxa"/>
          </w:tcPr>
          <w:p w14:paraId="08107221" w14:textId="0F81CFEF" w:rsidR="00F067FA" w:rsidRDefault="00F067FA" w:rsidP="00203F2A">
            <w:pPr>
              <w:pStyle w:val="NoSpacing"/>
              <w:jc w:val="both"/>
              <w:rPr>
                <w:b/>
                <w:bCs/>
                <w:color w:val="FFFFFF"/>
              </w:rPr>
            </w:pPr>
            <w:r w:rsidRPr="00642688">
              <w:rPr>
                <w:rFonts w:eastAsia="DejaVuSans"/>
                <w:color w:val="000000"/>
                <w:lang w:eastAsia="en-029"/>
              </w:rPr>
              <w:t>Pentachlorophenol</w:t>
            </w:r>
          </w:p>
        </w:tc>
      </w:tr>
      <w:tr w:rsidR="00F067FA" w14:paraId="3E2564E0" w14:textId="77777777" w:rsidTr="00F067FA">
        <w:tc>
          <w:tcPr>
            <w:tcW w:w="4531" w:type="dxa"/>
          </w:tcPr>
          <w:p w14:paraId="3500079E" w14:textId="1B81DE32" w:rsidR="00F067FA" w:rsidRDefault="00F067FA" w:rsidP="00203F2A">
            <w:pPr>
              <w:pStyle w:val="NoSpacing"/>
              <w:jc w:val="both"/>
              <w:rPr>
                <w:b/>
                <w:bCs/>
                <w:color w:val="FFFFFF"/>
              </w:rPr>
            </w:pPr>
            <w:r w:rsidRPr="00EB47DB">
              <w:rPr>
                <w:rFonts w:eastAsia="DejaVuSans"/>
                <w:color w:val="000000"/>
                <w:lang w:eastAsia="en-029"/>
              </w:rPr>
              <w:t>Binapacryl</w:t>
            </w:r>
          </w:p>
        </w:tc>
        <w:tc>
          <w:tcPr>
            <w:tcW w:w="4531" w:type="dxa"/>
          </w:tcPr>
          <w:p w14:paraId="5D310F50" w14:textId="0212C025" w:rsidR="00F067FA" w:rsidRDefault="00F067FA" w:rsidP="00203F2A">
            <w:pPr>
              <w:pStyle w:val="NoSpacing"/>
              <w:jc w:val="both"/>
              <w:rPr>
                <w:b/>
                <w:bCs/>
                <w:color w:val="FFFFFF"/>
              </w:rPr>
            </w:pPr>
            <w:proofErr w:type="spellStart"/>
            <w:r w:rsidRPr="00642688">
              <w:rPr>
                <w:rFonts w:eastAsia="DejaVuSans"/>
                <w:color w:val="000000"/>
                <w:lang w:eastAsia="en-029"/>
              </w:rPr>
              <w:t>Toxaphene</w:t>
            </w:r>
            <w:proofErr w:type="spellEnd"/>
          </w:p>
        </w:tc>
      </w:tr>
      <w:tr w:rsidR="00F067FA" w14:paraId="3051A463" w14:textId="77777777" w:rsidTr="00F067FA">
        <w:tc>
          <w:tcPr>
            <w:tcW w:w="4531" w:type="dxa"/>
          </w:tcPr>
          <w:p w14:paraId="70623145" w14:textId="6035DC5C" w:rsidR="00F067FA" w:rsidRDefault="00F067FA" w:rsidP="00203F2A">
            <w:pPr>
              <w:pStyle w:val="NoSpacing"/>
              <w:jc w:val="both"/>
              <w:rPr>
                <w:b/>
                <w:bCs/>
                <w:color w:val="FFFFFF"/>
              </w:rPr>
            </w:pPr>
            <w:r w:rsidRPr="00EB47DB">
              <w:rPr>
                <w:rFonts w:eastAsia="DejaVuSans"/>
                <w:color w:val="000000"/>
                <w:lang w:eastAsia="en-029"/>
              </w:rPr>
              <w:t>Captafol</w:t>
            </w:r>
          </w:p>
        </w:tc>
        <w:tc>
          <w:tcPr>
            <w:tcW w:w="4531" w:type="dxa"/>
          </w:tcPr>
          <w:p w14:paraId="02090D58" w14:textId="24620763" w:rsidR="00F067FA" w:rsidRDefault="00F067FA" w:rsidP="00203F2A">
            <w:pPr>
              <w:pStyle w:val="NoSpacing"/>
              <w:jc w:val="both"/>
              <w:rPr>
                <w:b/>
                <w:bCs/>
                <w:color w:val="FFFFFF"/>
              </w:rPr>
            </w:pPr>
            <w:r w:rsidRPr="00642688">
              <w:rPr>
                <w:rFonts w:eastAsia="DejaVuSans"/>
                <w:color w:val="000000"/>
                <w:lang w:val="fr-FR" w:eastAsia="en-029"/>
              </w:rPr>
              <w:t>Monocrotophos</w:t>
            </w:r>
          </w:p>
        </w:tc>
      </w:tr>
      <w:tr w:rsidR="00F067FA" w14:paraId="17179409" w14:textId="77777777" w:rsidTr="00F067FA">
        <w:tc>
          <w:tcPr>
            <w:tcW w:w="4531" w:type="dxa"/>
          </w:tcPr>
          <w:p w14:paraId="6B65E3ED" w14:textId="0D53981B" w:rsidR="00F067FA" w:rsidRDefault="00F067FA" w:rsidP="00203F2A">
            <w:pPr>
              <w:pStyle w:val="NoSpacing"/>
              <w:jc w:val="both"/>
              <w:rPr>
                <w:b/>
                <w:bCs/>
                <w:color w:val="FFFFFF"/>
              </w:rPr>
            </w:pPr>
            <w:r w:rsidRPr="00EB47DB">
              <w:rPr>
                <w:rFonts w:eastAsia="DejaVuSans"/>
                <w:color w:val="000000"/>
                <w:lang w:eastAsia="en-029"/>
              </w:rPr>
              <w:t>Chlordane</w:t>
            </w:r>
          </w:p>
        </w:tc>
        <w:tc>
          <w:tcPr>
            <w:tcW w:w="4531" w:type="dxa"/>
          </w:tcPr>
          <w:p w14:paraId="3EE5F5E8" w14:textId="5FC2206E" w:rsidR="00F067FA" w:rsidRDefault="00F067FA" w:rsidP="00203F2A">
            <w:pPr>
              <w:pStyle w:val="NoSpacing"/>
              <w:jc w:val="both"/>
              <w:rPr>
                <w:b/>
                <w:bCs/>
                <w:color w:val="FFFFFF"/>
              </w:rPr>
            </w:pPr>
            <w:proofErr w:type="spellStart"/>
            <w:proofErr w:type="gramStart"/>
            <w:r w:rsidRPr="00642688">
              <w:rPr>
                <w:rFonts w:eastAsia="DejaVuSans"/>
                <w:color w:val="000000"/>
                <w:lang w:val="fr-FR" w:eastAsia="en-029"/>
              </w:rPr>
              <w:t>methamidophos</w:t>
            </w:r>
            <w:proofErr w:type="spellEnd"/>
            <w:proofErr w:type="gramEnd"/>
          </w:p>
        </w:tc>
      </w:tr>
      <w:tr w:rsidR="00F067FA" w14:paraId="5C7A01DA" w14:textId="77777777" w:rsidTr="00F067FA">
        <w:tc>
          <w:tcPr>
            <w:tcW w:w="4531" w:type="dxa"/>
          </w:tcPr>
          <w:p w14:paraId="7DFC2AB6" w14:textId="5AFEFFC0" w:rsidR="00F067FA" w:rsidRDefault="00F067FA" w:rsidP="00203F2A">
            <w:pPr>
              <w:pStyle w:val="NoSpacing"/>
              <w:jc w:val="both"/>
              <w:rPr>
                <w:b/>
                <w:bCs/>
                <w:color w:val="FFFFFF"/>
              </w:rPr>
            </w:pPr>
            <w:r w:rsidRPr="00EB47DB">
              <w:rPr>
                <w:rFonts w:eastAsia="DejaVuSans"/>
                <w:color w:val="000000"/>
                <w:lang w:eastAsia="en-029"/>
              </w:rPr>
              <w:t>Chlordecone</w:t>
            </w:r>
          </w:p>
        </w:tc>
        <w:tc>
          <w:tcPr>
            <w:tcW w:w="4531" w:type="dxa"/>
          </w:tcPr>
          <w:p w14:paraId="4DFF76B6" w14:textId="35630709" w:rsidR="00F067FA" w:rsidRDefault="00F067FA" w:rsidP="00203F2A">
            <w:pPr>
              <w:pStyle w:val="NoSpacing"/>
              <w:jc w:val="both"/>
              <w:rPr>
                <w:b/>
                <w:bCs/>
                <w:color w:val="FFFFFF"/>
              </w:rPr>
            </w:pPr>
            <w:r w:rsidRPr="00642688">
              <w:rPr>
                <w:rFonts w:eastAsia="DejaVuSans"/>
                <w:color w:val="000000"/>
                <w:lang w:val="fr-FR" w:eastAsia="en-029"/>
              </w:rPr>
              <w:t>Phosphamidon</w:t>
            </w:r>
          </w:p>
        </w:tc>
      </w:tr>
      <w:tr w:rsidR="00F067FA" w14:paraId="536CA4A8" w14:textId="77777777" w:rsidTr="00F067FA">
        <w:tc>
          <w:tcPr>
            <w:tcW w:w="4531" w:type="dxa"/>
          </w:tcPr>
          <w:p w14:paraId="332D6CBB" w14:textId="03A64E95" w:rsidR="00F067FA" w:rsidRDefault="00F067FA" w:rsidP="00203F2A">
            <w:pPr>
              <w:pStyle w:val="NoSpacing"/>
              <w:jc w:val="both"/>
              <w:rPr>
                <w:b/>
                <w:bCs/>
                <w:color w:val="FFFFFF"/>
              </w:rPr>
            </w:pPr>
            <w:r w:rsidRPr="00EB47DB">
              <w:rPr>
                <w:rFonts w:eastAsia="DejaVuSans"/>
                <w:color w:val="000000"/>
                <w:lang w:eastAsia="en-029"/>
              </w:rPr>
              <w:t>Chlordimeform</w:t>
            </w:r>
          </w:p>
        </w:tc>
        <w:tc>
          <w:tcPr>
            <w:tcW w:w="4531" w:type="dxa"/>
          </w:tcPr>
          <w:p w14:paraId="70B10DD5" w14:textId="3311AD67" w:rsidR="00F067FA" w:rsidRDefault="00F067FA" w:rsidP="00203F2A">
            <w:pPr>
              <w:pStyle w:val="NoSpacing"/>
              <w:jc w:val="both"/>
              <w:rPr>
                <w:b/>
                <w:bCs/>
                <w:color w:val="FFFFFF"/>
              </w:rPr>
            </w:pPr>
            <w:r w:rsidRPr="00642688">
              <w:rPr>
                <w:rFonts w:eastAsia="DejaVuSans"/>
                <w:color w:val="000000"/>
                <w:lang w:eastAsia="en-029"/>
              </w:rPr>
              <w:t>Methyl parathion</w:t>
            </w:r>
          </w:p>
        </w:tc>
      </w:tr>
      <w:tr w:rsidR="00F067FA" w14:paraId="7001DD31" w14:textId="77777777" w:rsidTr="00F067FA">
        <w:tc>
          <w:tcPr>
            <w:tcW w:w="4531" w:type="dxa"/>
          </w:tcPr>
          <w:p w14:paraId="36039CE5" w14:textId="1E2157D6" w:rsidR="00F067FA" w:rsidRDefault="00F067FA" w:rsidP="00203F2A">
            <w:pPr>
              <w:pStyle w:val="NoSpacing"/>
              <w:jc w:val="both"/>
              <w:rPr>
                <w:b/>
                <w:bCs/>
                <w:color w:val="FFFFFF"/>
              </w:rPr>
            </w:pPr>
            <w:proofErr w:type="spellStart"/>
            <w:r w:rsidRPr="00EB47DB">
              <w:rPr>
                <w:rFonts w:eastAsia="DejaVuSans"/>
                <w:color w:val="000000"/>
                <w:lang w:eastAsia="en-029"/>
              </w:rPr>
              <w:t>Chlorobenzilate</w:t>
            </w:r>
            <w:proofErr w:type="spellEnd"/>
          </w:p>
        </w:tc>
        <w:tc>
          <w:tcPr>
            <w:tcW w:w="4531" w:type="dxa"/>
          </w:tcPr>
          <w:p w14:paraId="43A6C5DF" w14:textId="483606AF" w:rsidR="00F067FA" w:rsidRDefault="00F067FA" w:rsidP="00203F2A">
            <w:pPr>
              <w:pStyle w:val="NoSpacing"/>
              <w:jc w:val="both"/>
              <w:rPr>
                <w:b/>
                <w:bCs/>
                <w:color w:val="FFFFFF"/>
              </w:rPr>
            </w:pPr>
            <w:r w:rsidRPr="00642688">
              <w:rPr>
                <w:rFonts w:eastAsia="DejaVuSans"/>
                <w:color w:val="000000"/>
                <w:lang w:eastAsia="en-029"/>
              </w:rPr>
              <w:t>Parathion</w:t>
            </w:r>
          </w:p>
        </w:tc>
      </w:tr>
      <w:tr w:rsidR="00F067FA" w14:paraId="5E1110CC" w14:textId="77777777" w:rsidTr="00F067FA">
        <w:tc>
          <w:tcPr>
            <w:tcW w:w="4531" w:type="dxa"/>
          </w:tcPr>
          <w:p w14:paraId="66598EE3" w14:textId="00337EF1" w:rsidR="00F067FA" w:rsidRDefault="00F067FA" w:rsidP="00203F2A">
            <w:pPr>
              <w:pStyle w:val="NoSpacing"/>
              <w:jc w:val="both"/>
              <w:rPr>
                <w:b/>
                <w:bCs/>
                <w:color w:val="FFFFFF"/>
              </w:rPr>
            </w:pPr>
            <w:r w:rsidRPr="00EB47DB">
              <w:rPr>
                <w:rFonts w:eastAsia="DejaVuSans"/>
                <w:color w:val="000000"/>
                <w:lang w:eastAsia="en-029"/>
              </w:rPr>
              <w:t>DDT</w:t>
            </w:r>
          </w:p>
        </w:tc>
        <w:tc>
          <w:tcPr>
            <w:tcW w:w="4531" w:type="dxa"/>
          </w:tcPr>
          <w:p w14:paraId="14CB8098" w14:textId="5BAB3F3D" w:rsidR="00F067FA" w:rsidRDefault="00F067FA" w:rsidP="00203F2A">
            <w:pPr>
              <w:pStyle w:val="NoSpacing"/>
              <w:jc w:val="both"/>
              <w:rPr>
                <w:b/>
                <w:bCs/>
                <w:color w:val="FFFFFF"/>
              </w:rPr>
            </w:pPr>
            <w:proofErr w:type="spellStart"/>
            <w:r w:rsidRPr="00642688">
              <w:rPr>
                <w:rFonts w:eastAsia="DejaVuSans"/>
                <w:color w:val="000000"/>
                <w:lang w:eastAsia="en-029"/>
              </w:rPr>
              <w:t>Alphahexachlorocyclohexane</w:t>
            </w:r>
            <w:proofErr w:type="spellEnd"/>
          </w:p>
        </w:tc>
      </w:tr>
      <w:tr w:rsidR="00F067FA" w14:paraId="69B93C5E" w14:textId="77777777" w:rsidTr="00F067FA">
        <w:tc>
          <w:tcPr>
            <w:tcW w:w="4531" w:type="dxa"/>
          </w:tcPr>
          <w:p w14:paraId="7A7123BF" w14:textId="5299A0FE" w:rsidR="00F067FA" w:rsidRDefault="00F067FA" w:rsidP="00203F2A">
            <w:pPr>
              <w:pStyle w:val="NoSpacing"/>
              <w:jc w:val="both"/>
              <w:rPr>
                <w:b/>
                <w:bCs/>
                <w:color w:val="FFFFFF"/>
              </w:rPr>
            </w:pPr>
            <w:r w:rsidRPr="00EB47DB">
              <w:rPr>
                <w:rFonts w:eastAsia="DejaVuSans"/>
                <w:color w:val="000000"/>
                <w:lang w:eastAsia="en-029"/>
              </w:rPr>
              <w:t>Dieldrin</w:t>
            </w:r>
          </w:p>
        </w:tc>
        <w:tc>
          <w:tcPr>
            <w:tcW w:w="4531" w:type="dxa"/>
          </w:tcPr>
          <w:p w14:paraId="61753D30" w14:textId="53A5F4EE" w:rsidR="00F067FA" w:rsidRDefault="00F067FA" w:rsidP="00203F2A">
            <w:pPr>
              <w:pStyle w:val="NoSpacing"/>
              <w:jc w:val="both"/>
              <w:rPr>
                <w:b/>
                <w:bCs/>
                <w:color w:val="FFFFFF"/>
              </w:rPr>
            </w:pPr>
            <w:r w:rsidRPr="00642688">
              <w:rPr>
                <w:rFonts w:eastAsia="DejaVuSans"/>
                <w:color w:val="000000"/>
                <w:lang w:eastAsia="en-029"/>
              </w:rPr>
              <w:t>Beta-HCH</w:t>
            </w:r>
          </w:p>
        </w:tc>
      </w:tr>
      <w:tr w:rsidR="00F067FA" w14:paraId="41EB0B6D" w14:textId="77777777" w:rsidTr="00F067FA">
        <w:tc>
          <w:tcPr>
            <w:tcW w:w="4531" w:type="dxa"/>
          </w:tcPr>
          <w:p w14:paraId="072B6BF1" w14:textId="6AC20803" w:rsidR="00F067FA" w:rsidRDefault="00F067FA" w:rsidP="00203F2A">
            <w:pPr>
              <w:pStyle w:val="NoSpacing"/>
              <w:jc w:val="both"/>
              <w:rPr>
                <w:b/>
                <w:bCs/>
                <w:color w:val="FFFFFF"/>
              </w:rPr>
            </w:pPr>
            <w:proofErr w:type="spellStart"/>
            <w:r w:rsidRPr="00EB47DB">
              <w:rPr>
                <w:rFonts w:eastAsia="DejaVuSans"/>
                <w:color w:val="000000"/>
                <w:lang w:eastAsia="en-029"/>
              </w:rPr>
              <w:t>Dinoseb</w:t>
            </w:r>
            <w:proofErr w:type="spellEnd"/>
            <w:r w:rsidRPr="00EB47DB">
              <w:rPr>
                <w:rFonts w:eastAsia="DejaVuSans"/>
                <w:color w:val="000000"/>
                <w:lang w:eastAsia="en-029"/>
              </w:rPr>
              <w:t xml:space="preserve"> and </w:t>
            </w:r>
            <w:proofErr w:type="spellStart"/>
            <w:r w:rsidRPr="00EB47DB">
              <w:rPr>
                <w:rFonts w:eastAsia="DejaVuSans"/>
                <w:color w:val="000000"/>
                <w:lang w:eastAsia="en-029"/>
              </w:rPr>
              <w:t>dinoseb</w:t>
            </w:r>
            <w:proofErr w:type="spellEnd"/>
            <w:r w:rsidRPr="00EB47DB">
              <w:rPr>
                <w:rFonts w:eastAsia="DejaVuSans"/>
                <w:color w:val="000000"/>
                <w:lang w:eastAsia="en-029"/>
              </w:rPr>
              <w:t xml:space="preserve"> salts </w:t>
            </w:r>
          </w:p>
        </w:tc>
        <w:tc>
          <w:tcPr>
            <w:tcW w:w="4531" w:type="dxa"/>
          </w:tcPr>
          <w:p w14:paraId="27D8C42F" w14:textId="20B22C46" w:rsidR="00F067FA" w:rsidRDefault="00F067FA" w:rsidP="00203F2A">
            <w:pPr>
              <w:pStyle w:val="NoSpacing"/>
              <w:jc w:val="both"/>
              <w:rPr>
                <w:b/>
                <w:bCs/>
                <w:color w:val="FFFFFF"/>
              </w:rPr>
            </w:pPr>
            <w:proofErr w:type="spellStart"/>
            <w:r w:rsidRPr="00642688">
              <w:rPr>
                <w:rFonts w:eastAsia="DejaVuSans"/>
                <w:color w:val="000000"/>
                <w:lang w:eastAsia="en-029"/>
              </w:rPr>
              <w:t>Pentachlorobenzene</w:t>
            </w:r>
            <w:proofErr w:type="spellEnd"/>
          </w:p>
        </w:tc>
      </w:tr>
      <w:tr w:rsidR="00F067FA" w14:paraId="547D4107" w14:textId="77777777" w:rsidTr="00F067FA">
        <w:tc>
          <w:tcPr>
            <w:tcW w:w="4531" w:type="dxa"/>
          </w:tcPr>
          <w:p w14:paraId="259C56AD" w14:textId="30BA5E37" w:rsidR="00F067FA" w:rsidRDefault="00F067FA" w:rsidP="00203F2A">
            <w:pPr>
              <w:pStyle w:val="NoSpacing"/>
              <w:jc w:val="both"/>
              <w:rPr>
                <w:b/>
                <w:bCs/>
                <w:color w:val="FFFFFF"/>
              </w:rPr>
            </w:pPr>
            <w:r w:rsidRPr="00EB47DB">
              <w:rPr>
                <w:rFonts w:eastAsia="DejaVuSans"/>
                <w:color w:val="000000"/>
                <w:lang w:val="fr-FR" w:eastAsia="en-029"/>
              </w:rPr>
              <w:t>1,2-Dibromoethane (EDB)</w:t>
            </w:r>
          </w:p>
        </w:tc>
        <w:tc>
          <w:tcPr>
            <w:tcW w:w="4531" w:type="dxa"/>
          </w:tcPr>
          <w:p w14:paraId="79B5F4CC" w14:textId="77777777" w:rsidR="00F067FA" w:rsidRDefault="00F067FA" w:rsidP="00203F2A">
            <w:pPr>
              <w:pStyle w:val="NoSpacing"/>
              <w:jc w:val="both"/>
              <w:rPr>
                <w:b/>
                <w:bCs/>
                <w:color w:val="FFFFFF"/>
              </w:rPr>
            </w:pPr>
          </w:p>
        </w:tc>
      </w:tr>
      <w:tr w:rsidR="00F067FA" w14:paraId="6F09340E" w14:textId="77777777" w:rsidTr="00F067FA">
        <w:tc>
          <w:tcPr>
            <w:tcW w:w="4531" w:type="dxa"/>
          </w:tcPr>
          <w:p w14:paraId="2C9E7071" w14:textId="78BD38DF" w:rsidR="00F067FA" w:rsidRDefault="00F067FA" w:rsidP="00203F2A">
            <w:pPr>
              <w:pStyle w:val="NoSpacing"/>
              <w:jc w:val="both"/>
              <w:rPr>
                <w:b/>
                <w:bCs/>
                <w:color w:val="FFFFFF"/>
              </w:rPr>
            </w:pPr>
            <w:proofErr w:type="spellStart"/>
            <w:r w:rsidRPr="00EB47DB">
              <w:rPr>
                <w:rFonts w:eastAsia="DejaVuSans"/>
                <w:color w:val="000000"/>
                <w:lang w:val="fr-FR" w:eastAsia="en-029"/>
              </w:rPr>
              <w:t>Endrin</w:t>
            </w:r>
            <w:proofErr w:type="spellEnd"/>
          </w:p>
        </w:tc>
        <w:tc>
          <w:tcPr>
            <w:tcW w:w="4531" w:type="dxa"/>
          </w:tcPr>
          <w:p w14:paraId="554C669B" w14:textId="48850551" w:rsidR="00F067FA" w:rsidRDefault="00F067FA" w:rsidP="00203F2A">
            <w:pPr>
              <w:pStyle w:val="NoSpacing"/>
              <w:jc w:val="both"/>
              <w:rPr>
                <w:b/>
                <w:bCs/>
                <w:color w:val="FFFFFF"/>
              </w:rPr>
            </w:pPr>
          </w:p>
        </w:tc>
      </w:tr>
      <w:tr w:rsidR="00F067FA" w14:paraId="0BBF78E0" w14:textId="77777777" w:rsidTr="00F067FA">
        <w:tc>
          <w:tcPr>
            <w:tcW w:w="4531" w:type="dxa"/>
          </w:tcPr>
          <w:p w14:paraId="0B27F899" w14:textId="0E3BBB80" w:rsidR="00F067FA" w:rsidRDefault="00F067FA" w:rsidP="00203F2A">
            <w:pPr>
              <w:pStyle w:val="NoSpacing"/>
              <w:jc w:val="both"/>
              <w:rPr>
                <w:b/>
                <w:bCs/>
                <w:color w:val="FFFFFF"/>
              </w:rPr>
            </w:pPr>
            <w:proofErr w:type="spellStart"/>
            <w:r w:rsidRPr="00EB47DB">
              <w:rPr>
                <w:rFonts w:eastAsia="DejaVuSans"/>
                <w:color w:val="000000"/>
                <w:lang w:eastAsia="en-029"/>
              </w:rPr>
              <w:t>Fluoracetamide</w:t>
            </w:r>
            <w:proofErr w:type="spellEnd"/>
          </w:p>
        </w:tc>
        <w:tc>
          <w:tcPr>
            <w:tcW w:w="4531" w:type="dxa"/>
          </w:tcPr>
          <w:p w14:paraId="1778AE32" w14:textId="3229D2B0" w:rsidR="00F067FA" w:rsidRDefault="00F067FA" w:rsidP="00203F2A">
            <w:pPr>
              <w:pStyle w:val="NoSpacing"/>
              <w:jc w:val="both"/>
              <w:rPr>
                <w:b/>
                <w:bCs/>
                <w:color w:val="FFFFFF"/>
              </w:rPr>
            </w:pPr>
          </w:p>
        </w:tc>
      </w:tr>
      <w:tr w:rsidR="00F067FA" w14:paraId="25AD66D7" w14:textId="77777777" w:rsidTr="00F067FA">
        <w:tc>
          <w:tcPr>
            <w:tcW w:w="4531" w:type="dxa"/>
          </w:tcPr>
          <w:p w14:paraId="071318A8" w14:textId="2494D3FA" w:rsidR="00F067FA" w:rsidRDefault="00F067FA" w:rsidP="00203F2A">
            <w:pPr>
              <w:pStyle w:val="NoSpacing"/>
              <w:jc w:val="both"/>
              <w:rPr>
                <w:b/>
                <w:bCs/>
                <w:color w:val="FFFFFF"/>
              </w:rPr>
            </w:pPr>
            <w:r w:rsidRPr="00EB47DB">
              <w:rPr>
                <w:rFonts w:eastAsia="DejaVuSans"/>
                <w:color w:val="000000"/>
                <w:lang w:eastAsia="en-029"/>
              </w:rPr>
              <w:t>HCH (mixed isomers)</w:t>
            </w:r>
          </w:p>
        </w:tc>
        <w:tc>
          <w:tcPr>
            <w:tcW w:w="4531" w:type="dxa"/>
          </w:tcPr>
          <w:p w14:paraId="02A59763" w14:textId="098470C0" w:rsidR="00F067FA" w:rsidRDefault="00F067FA" w:rsidP="00203F2A">
            <w:pPr>
              <w:pStyle w:val="NoSpacing"/>
              <w:jc w:val="both"/>
              <w:rPr>
                <w:b/>
                <w:bCs/>
                <w:color w:val="FFFFFF"/>
              </w:rPr>
            </w:pPr>
          </w:p>
        </w:tc>
      </w:tr>
      <w:tr w:rsidR="00F067FA" w14:paraId="0B893069" w14:textId="77777777" w:rsidTr="00F067FA">
        <w:tc>
          <w:tcPr>
            <w:tcW w:w="4531" w:type="dxa"/>
          </w:tcPr>
          <w:p w14:paraId="2C1CCACD" w14:textId="7C94D351" w:rsidR="00F067FA" w:rsidRDefault="00F067FA" w:rsidP="00203F2A">
            <w:pPr>
              <w:pStyle w:val="NoSpacing"/>
              <w:jc w:val="both"/>
              <w:rPr>
                <w:b/>
                <w:bCs/>
                <w:color w:val="FFFFFF"/>
              </w:rPr>
            </w:pPr>
            <w:r w:rsidRPr="00EB47DB">
              <w:rPr>
                <w:rFonts w:eastAsia="DejaVuSans"/>
                <w:color w:val="000000"/>
                <w:lang w:eastAsia="en-029"/>
              </w:rPr>
              <w:t>Heptachlor</w:t>
            </w:r>
          </w:p>
        </w:tc>
        <w:tc>
          <w:tcPr>
            <w:tcW w:w="4531" w:type="dxa"/>
          </w:tcPr>
          <w:p w14:paraId="679CF5A9" w14:textId="38E61BD0" w:rsidR="00F067FA" w:rsidRDefault="00F067FA" w:rsidP="00203F2A">
            <w:pPr>
              <w:pStyle w:val="NoSpacing"/>
              <w:jc w:val="both"/>
              <w:rPr>
                <w:b/>
                <w:bCs/>
                <w:color w:val="FFFFFF"/>
              </w:rPr>
            </w:pPr>
          </w:p>
        </w:tc>
      </w:tr>
      <w:tr w:rsidR="00F067FA" w14:paraId="6DBE330C" w14:textId="77777777" w:rsidTr="00F067FA">
        <w:tc>
          <w:tcPr>
            <w:tcW w:w="4531" w:type="dxa"/>
          </w:tcPr>
          <w:p w14:paraId="51A4A85C" w14:textId="747BBEC9" w:rsidR="00F067FA" w:rsidRDefault="00F067FA" w:rsidP="00203F2A">
            <w:pPr>
              <w:pStyle w:val="NoSpacing"/>
              <w:jc w:val="both"/>
              <w:rPr>
                <w:b/>
                <w:bCs/>
                <w:color w:val="FFFFFF"/>
              </w:rPr>
            </w:pPr>
            <w:r w:rsidRPr="00EB47DB">
              <w:rPr>
                <w:rFonts w:eastAsia="DejaVuSans"/>
                <w:color w:val="000000"/>
                <w:lang w:eastAsia="en-029"/>
              </w:rPr>
              <w:t>Hexachlorobenzene</w:t>
            </w:r>
          </w:p>
        </w:tc>
        <w:tc>
          <w:tcPr>
            <w:tcW w:w="4531" w:type="dxa"/>
          </w:tcPr>
          <w:p w14:paraId="34DBC26A" w14:textId="6EC5DEE4" w:rsidR="00F067FA" w:rsidRDefault="00F067FA" w:rsidP="00203F2A">
            <w:pPr>
              <w:pStyle w:val="NoSpacing"/>
              <w:jc w:val="both"/>
              <w:rPr>
                <w:b/>
                <w:bCs/>
                <w:color w:val="FFFFFF"/>
              </w:rPr>
            </w:pPr>
          </w:p>
        </w:tc>
      </w:tr>
      <w:tr w:rsidR="00F067FA" w14:paraId="7B9CCA28" w14:textId="77777777" w:rsidTr="00F067FA">
        <w:tc>
          <w:tcPr>
            <w:tcW w:w="4531" w:type="dxa"/>
          </w:tcPr>
          <w:p w14:paraId="34B94BB2" w14:textId="4A5328AB" w:rsidR="00F067FA" w:rsidRDefault="00F067FA" w:rsidP="00203F2A">
            <w:pPr>
              <w:pStyle w:val="NoSpacing"/>
              <w:jc w:val="both"/>
              <w:rPr>
                <w:b/>
                <w:bCs/>
                <w:color w:val="FFFFFF"/>
              </w:rPr>
            </w:pPr>
            <w:r w:rsidRPr="00EB47DB">
              <w:rPr>
                <w:rFonts w:eastAsia="DejaVuSans"/>
                <w:color w:val="000000"/>
                <w:lang w:eastAsia="en-029"/>
              </w:rPr>
              <w:t>lindane</w:t>
            </w:r>
          </w:p>
        </w:tc>
        <w:tc>
          <w:tcPr>
            <w:tcW w:w="4531" w:type="dxa"/>
          </w:tcPr>
          <w:p w14:paraId="4399BAB7" w14:textId="3804B2FC" w:rsidR="00F067FA" w:rsidRDefault="00F067FA" w:rsidP="00203F2A">
            <w:pPr>
              <w:pStyle w:val="NoSpacing"/>
              <w:jc w:val="both"/>
              <w:rPr>
                <w:b/>
                <w:bCs/>
                <w:color w:val="FFFFFF"/>
              </w:rPr>
            </w:pPr>
          </w:p>
        </w:tc>
      </w:tr>
      <w:tr w:rsidR="00F067FA" w14:paraId="7D7F2EBF" w14:textId="77777777" w:rsidTr="00F067FA">
        <w:tc>
          <w:tcPr>
            <w:tcW w:w="4531" w:type="dxa"/>
          </w:tcPr>
          <w:p w14:paraId="49044BE7" w14:textId="734C0781" w:rsidR="00F067FA" w:rsidRDefault="00F067FA" w:rsidP="00203F2A">
            <w:pPr>
              <w:pStyle w:val="NoSpacing"/>
              <w:jc w:val="both"/>
              <w:rPr>
                <w:b/>
                <w:bCs/>
                <w:color w:val="FFFFFF"/>
              </w:rPr>
            </w:pPr>
            <w:r w:rsidRPr="00EB47DB">
              <w:rPr>
                <w:rFonts w:eastAsia="DejaVuSans"/>
                <w:color w:val="000000"/>
                <w:lang w:eastAsia="en-029"/>
              </w:rPr>
              <w:t>Mercury compounds</w:t>
            </w:r>
          </w:p>
        </w:tc>
        <w:tc>
          <w:tcPr>
            <w:tcW w:w="4531" w:type="dxa"/>
          </w:tcPr>
          <w:p w14:paraId="44E0C1FF" w14:textId="27534597" w:rsidR="00F067FA" w:rsidRDefault="00F067FA" w:rsidP="00203F2A">
            <w:pPr>
              <w:pStyle w:val="NoSpacing"/>
              <w:jc w:val="both"/>
              <w:rPr>
                <w:b/>
                <w:bCs/>
                <w:color w:val="FFFFFF"/>
              </w:rPr>
            </w:pPr>
          </w:p>
        </w:tc>
      </w:tr>
      <w:tr w:rsidR="00F067FA" w14:paraId="10D2A24E" w14:textId="77777777" w:rsidTr="00F067FA">
        <w:tc>
          <w:tcPr>
            <w:tcW w:w="4531" w:type="dxa"/>
          </w:tcPr>
          <w:p w14:paraId="133150CC" w14:textId="46C8C278" w:rsidR="00F067FA" w:rsidRDefault="00F067FA" w:rsidP="00203F2A">
            <w:pPr>
              <w:pStyle w:val="NoSpacing"/>
              <w:jc w:val="both"/>
              <w:rPr>
                <w:b/>
                <w:bCs/>
                <w:color w:val="FFFFFF"/>
              </w:rPr>
            </w:pPr>
            <w:r w:rsidRPr="00EB47DB">
              <w:rPr>
                <w:rFonts w:eastAsia="DejaVuSans"/>
                <w:color w:val="000000"/>
                <w:lang w:eastAsia="en-029"/>
              </w:rPr>
              <w:t>2,4,</w:t>
            </w:r>
            <w:proofErr w:type="gramStart"/>
            <w:r w:rsidRPr="00EB47DB">
              <w:rPr>
                <w:rFonts w:eastAsia="DejaVuSans"/>
                <w:color w:val="000000"/>
                <w:lang w:eastAsia="en-029"/>
              </w:rPr>
              <w:t>5,-</w:t>
            </w:r>
            <w:proofErr w:type="gramEnd"/>
            <w:r w:rsidRPr="00EB47DB">
              <w:rPr>
                <w:rFonts w:eastAsia="DejaVuSans"/>
                <w:color w:val="000000"/>
                <w:lang w:eastAsia="en-029"/>
              </w:rPr>
              <w:t xml:space="preserve">T </w:t>
            </w:r>
          </w:p>
        </w:tc>
        <w:tc>
          <w:tcPr>
            <w:tcW w:w="4531" w:type="dxa"/>
          </w:tcPr>
          <w:p w14:paraId="65F55BE1" w14:textId="77777777" w:rsidR="00F067FA" w:rsidRDefault="00F067FA" w:rsidP="00203F2A">
            <w:pPr>
              <w:pStyle w:val="NoSpacing"/>
              <w:jc w:val="both"/>
              <w:rPr>
                <w:b/>
                <w:bCs/>
                <w:color w:val="FFFFFF"/>
              </w:rPr>
            </w:pPr>
          </w:p>
        </w:tc>
      </w:tr>
      <w:tr w:rsidR="00F067FA" w14:paraId="4D953327" w14:textId="77777777" w:rsidTr="00F067FA">
        <w:tc>
          <w:tcPr>
            <w:tcW w:w="4531" w:type="dxa"/>
          </w:tcPr>
          <w:p w14:paraId="7BA93C76" w14:textId="1ED950EF" w:rsidR="00F067FA" w:rsidRDefault="00F067FA" w:rsidP="00203F2A">
            <w:pPr>
              <w:pStyle w:val="NoSpacing"/>
              <w:jc w:val="both"/>
              <w:rPr>
                <w:b/>
                <w:bCs/>
                <w:color w:val="FFFFFF"/>
              </w:rPr>
            </w:pPr>
            <w:r w:rsidRPr="00EB47DB">
              <w:rPr>
                <w:rFonts w:eastAsia="DejaVuSans"/>
                <w:color w:val="000000"/>
                <w:lang w:eastAsia="en-029"/>
              </w:rPr>
              <w:t>Aldicarb</w:t>
            </w:r>
          </w:p>
        </w:tc>
        <w:tc>
          <w:tcPr>
            <w:tcW w:w="4531" w:type="dxa"/>
          </w:tcPr>
          <w:p w14:paraId="26816890" w14:textId="77777777" w:rsidR="00F067FA" w:rsidRDefault="00F067FA" w:rsidP="00203F2A">
            <w:pPr>
              <w:pStyle w:val="NoSpacing"/>
              <w:jc w:val="both"/>
              <w:rPr>
                <w:b/>
                <w:bCs/>
                <w:color w:val="FFFFFF"/>
              </w:rPr>
            </w:pPr>
          </w:p>
        </w:tc>
      </w:tr>
      <w:tr w:rsidR="00F067FA" w14:paraId="5E9E3A53" w14:textId="77777777" w:rsidTr="00F067FA">
        <w:tc>
          <w:tcPr>
            <w:tcW w:w="4531" w:type="dxa"/>
          </w:tcPr>
          <w:p w14:paraId="6FD84D03" w14:textId="1202A46A" w:rsidR="00F067FA" w:rsidRDefault="00F067FA" w:rsidP="00203F2A">
            <w:pPr>
              <w:pStyle w:val="NoSpacing"/>
              <w:jc w:val="both"/>
              <w:rPr>
                <w:b/>
                <w:bCs/>
                <w:color w:val="FFFFFF"/>
              </w:rPr>
            </w:pPr>
            <w:r w:rsidRPr="00EB47DB">
              <w:rPr>
                <w:rFonts w:eastAsia="DejaVuSans"/>
                <w:color w:val="000000"/>
                <w:lang w:eastAsia="en-029"/>
              </w:rPr>
              <w:t>Aldrin</w:t>
            </w:r>
          </w:p>
        </w:tc>
        <w:tc>
          <w:tcPr>
            <w:tcW w:w="4531" w:type="dxa"/>
          </w:tcPr>
          <w:p w14:paraId="580F50DE" w14:textId="77777777" w:rsidR="00F067FA" w:rsidRDefault="00F067FA" w:rsidP="00203F2A">
            <w:pPr>
              <w:pStyle w:val="NoSpacing"/>
              <w:jc w:val="both"/>
              <w:rPr>
                <w:b/>
                <w:bCs/>
                <w:color w:val="FFFFFF"/>
              </w:rPr>
            </w:pPr>
          </w:p>
        </w:tc>
      </w:tr>
      <w:tr w:rsidR="00F067FA" w14:paraId="79B64C26" w14:textId="77777777" w:rsidTr="00F067FA">
        <w:tc>
          <w:tcPr>
            <w:tcW w:w="4531" w:type="dxa"/>
          </w:tcPr>
          <w:p w14:paraId="77306EA5" w14:textId="0A6A23D8" w:rsidR="00F067FA" w:rsidRDefault="00F067FA" w:rsidP="00203F2A">
            <w:pPr>
              <w:pStyle w:val="NoSpacing"/>
              <w:jc w:val="both"/>
              <w:rPr>
                <w:b/>
                <w:bCs/>
                <w:color w:val="FFFFFF"/>
              </w:rPr>
            </w:pPr>
            <w:r w:rsidRPr="00EB47DB">
              <w:rPr>
                <w:rFonts w:eastAsia="DejaVuSans"/>
                <w:color w:val="000000"/>
                <w:lang w:eastAsia="en-029"/>
              </w:rPr>
              <w:t>Binapacryl</w:t>
            </w:r>
          </w:p>
        </w:tc>
        <w:tc>
          <w:tcPr>
            <w:tcW w:w="4531" w:type="dxa"/>
          </w:tcPr>
          <w:p w14:paraId="1811B0BF" w14:textId="77777777" w:rsidR="00F067FA" w:rsidRDefault="00F067FA" w:rsidP="00203F2A">
            <w:pPr>
              <w:pStyle w:val="NoSpacing"/>
              <w:jc w:val="both"/>
              <w:rPr>
                <w:b/>
                <w:bCs/>
                <w:color w:val="FFFFFF"/>
              </w:rPr>
            </w:pPr>
          </w:p>
        </w:tc>
      </w:tr>
    </w:tbl>
    <w:p w14:paraId="540BCC28" w14:textId="77777777" w:rsidR="00AD5E3A" w:rsidRPr="00F067FA" w:rsidRDefault="00AD5E3A" w:rsidP="00203F2A">
      <w:pPr>
        <w:pStyle w:val="NoSpacing"/>
        <w:jc w:val="both"/>
        <w:rPr>
          <w:b/>
          <w:bCs/>
          <w:color w:val="FFFFFF"/>
        </w:rPr>
      </w:pPr>
    </w:p>
    <w:p w14:paraId="63A3EBC0" w14:textId="40A175BE" w:rsidR="00F067FA" w:rsidRDefault="00F067FA" w:rsidP="00203F2A">
      <w:pPr>
        <w:jc w:val="both"/>
        <w:rPr>
          <w:b/>
          <w:bCs/>
          <w:color w:val="FFFFFF"/>
        </w:rPr>
      </w:pPr>
      <w:r>
        <w:rPr>
          <w:b/>
          <w:bCs/>
          <w:color w:val="FFFFFF"/>
        </w:rPr>
        <w:br w:type="page"/>
      </w:r>
    </w:p>
    <w:p w14:paraId="2723ACA2" w14:textId="5642F3EC" w:rsidR="00CF20D0" w:rsidRPr="00EA0435" w:rsidRDefault="00CF20D0" w:rsidP="00203F2A">
      <w:pPr>
        <w:pStyle w:val="Heading2"/>
        <w:jc w:val="both"/>
      </w:pPr>
      <w:bookmarkStart w:id="56" w:name="_Toc531965029"/>
      <w:r w:rsidRPr="00EA0435">
        <w:t>A</w:t>
      </w:r>
      <w:r w:rsidR="00A125E2">
        <w:t>nne</w:t>
      </w:r>
      <w:r w:rsidRPr="00EA0435">
        <w:t xml:space="preserve">x </w:t>
      </w:r>
      <w:r w:rsidR="000A0472">
        <w:t>3</w:t>
      </w:r>
      <w:r w:rsidRPr="00EA0435">
        <w:t>:</w:t>
      </w:r>
      <w:r w:rsidR="00EA0435" w:rsidRPr="00EA0435">
        <w:tab/>
      </w:r>
      <w:r w:rsidRPr="00EA0435">
        <w:t>Chance Finds Procedure</w:t>
      </w:r>
      <w:bookmarkEnd w:id="56"/>
      <w:r w:rsidRPr="00EA0435">
        <w:t xml:space="preserve"> </w:t>
      </w:r>
    </w:p>
    <w:p w14:paraId="1EA297AC" w14:textId="438DC160" w:rsidR="00CF20D0" w:rsidRDefault="00CF20D0" w:rsidP="00203F2A">
      <w:pPr>
        <w:pStyle w:val="NoSpacing"/>
        <w:jc w:val="both"/>
      </w:pPr>
      <w:r>
        <w:t xml:space="preserve"> </w:t>
      </w:r>
    </w:p>
    <w:p w14:paraId="0DDBFDFA" w14:textId="77777777" w:rsidR="00A8389B" w:rsidRPr="00BF52A8" w:rsidRDefault="00A8389B" w:rsidP="00203F2A">
      <w:pPr>
        <w:pStyle w:val="NoSpacing"/>
        <w:jc w:val="both"/>
      </w:pPr>
      <w:r>
        <w:t xml:space="preserve">Under the Safeguards triggered under this project is </w:t>
      </w:r>
      <w:r w:rsidRPr="00BF52A8">
        <w:t xml:space="preserve">OP 4.11 Physical Cultural Resources. This policy addresses physical cultural resources, which are defined as movable or immovable objects, sites, structures, groups of structures, and natural features and landscapes that have archaeological, paleontological, historical, architectural, religious, aesthetic, or other cultural significance. </w:t>
      </w:r>
    </w:p>
    <w:p w14:paraId="4BAB1937" w14:textId="77777777" w:rsidR="00A8389B" w:rsidRPr="00BF52A8" w:rsidRDefault="00A8389B" w:rsidP="00203F2A">
      <w:pPr>
        <w:pStyle w:val="NoSpacing"/>
        <w:jc w:val="both"/>
      </w:pPr>
    </w:p>
    <w:p w14:paraId="7DF33210" w14:textId="77777777" w:rsidR="00A8389B" w:rsidRPr="00B84B98" w:rsidRDefault="00A8389B" w:rsidP="00203F2A">
      <w:pPr>
        <w:pStyle w:val="NoSpacing"/>
        <w:jc w:val="both"/>
        <w:rPr>
          <w:sz w:val="20"/>
          <w:szCs w:val="20"/>
        </w:rPr>
      </w:pPr>
      <w:r w:rsidRPr="00BF52A8">
        <w:t>Although the project is not expected to have direct negative impacts on cultural property, ‘chance finds’ during implementation of activities could be possible. ‘Chance finds’ procedures are incorporated into the ESMF, including procedures to identify PCRs and address potential impacts. Mapping efforts should seek to identify areas of important cultural heritage, including those of importance to Indigenous Peoples</w:t>
      </w:r>
      <w:r w:rsidRPr="00E85E8B">
        <w:rPr>
          <w:sz w:val="20"/>
          <w:szCs w:val="20"/>
        </w:rPr>
        <w:t>.</w:t>
      </w:r>
    </w:p>
    <w:p w14:paraId="2ECE01CB" w14:textId="4CC78851" w:rsidR="00A8389B" w:rsidRPr="00BF52A8" w:rsidRDefault="00A8389B" w:rsidP="00203F2A">
      <w:pPr>
        <w:pStyle w:val="NoSpacing"/>
        <w:jc w:val="both"/>
      </w:pPr>
    </w:p>
    <w:p w14:paraId="6EAD92E0" w14:textId="70204076" w:rsidR="005552D2" w:rsidRPr="00EA70A2" w:rsidRDefault="005552D2" w:rsidP="00203F2A">
      <w:pPr>
        <w:pStyle w:val="NoSpacing"/>
        <w:jc w:val="both"/>
      </w:pPr>
      <w:r w:rsidRPr="0011296B">
        <w:rPr>
          <w:i/>
        </w:rPr>
        <w:t xml:space="preserve">Areas of the proposed development activity are subject to heritage survey and assessment at the planning, preparation and implementation stage. These surveys are based on surface indications alone, and it is therefore possible that sites or items of heritage significance will be found </w:t>
      </w:r>
      <w:proofErr w:type="gramStart"/>
      <w:r w:rsidRPr="0011296B">
        <w:rPr>
          <w:i/>
        </w:rPr>
        <w:t>in the course of</w:t>
      </w:r>
      <w:proofErr w:type="gramEnd"/>
      <w:r w:rsidRPr="0011296B">
        <w:rPr>
          <w:i/>
        </w:rPr>
        <w:t xml:space="preserve"> development work. The Chance Finds Procedure (CFP) set out here covers the reporting and management of such finds.</w:t>
      </w:r>
      <w:r w:rsidR="0011296B">
        <w:rPr>
          <w:i/>
        </w:rPr>
        <w:t xml:space="preserve"> </w:t>
      </w:r>
      <w:r w:rsidRPr="0011296B">
        <w:rPr>
          <w:i/>
        </w:rPr>
        <w:t xml:space="preserve">The Chance Finds Procedure covers the actions to be taken from the discovery of a heritage site or item, to its investigation and assessment by a trained </w:t>
      </w:r>
      <w:r w:rsidR="00C05890" w:rsidRPr="0011296B">
        <w:rPr>
          <w:i/>
        </w:rPr>
        <w:t xml:space="preserve">expert (e.g. </w:t>
      </w:r>
      <w:r w:rsidRPr="00EA70A2">
        <w:rPr>
          <w:i/>
        </w:rPr>
        <w:t>archaeologist</w:t>
      </w:r>
      <w:r w:rsidR="00C05890" w:rsidRPr="00EA70A2">
        <w:rPr>
          <w:i/>
        </w:rPr>
        <w:t>)</w:t>
      </w:r>
      <w:r w:rsidRPr="00EA70A2">
        <w:rPr>
          <w:i/>
        </w:rPr>
        <w:t xml:space="preserve"> or </w:t>
      </w:r>
      <w:r w:rsidR="009B2314" w:rsidRPr="00EA70A2">
        <w:rPr>
          <w:i/>
        </w:rPr>
        <w:t>another</w:t>
      </w:r>
      <w:r w:rsidRPr="00EA70A2">
        <w:rPr>
          <w:i/>
        </w:rPr>
        <w:t xml:space="preserve"> qualified person.</w:t>
      </w:r>
      <w:r w:rsidR="00155094" w:rsidRPr="00EA70A2">
        <w:rPr>
          <w:i/>
        </w:rPr>
        <w:t xml:space="preserve"> </w:t>
      </w:r>
      <w:r w:rsidRPr="00EA70A2">
        <w:t xml:space="preserve"> The “chance finds” procedure is intended to ensure compliance with </w:t>
      </w:r>
      <w:r w:rsidR="00155094" w:rsidRPr="00EA70A2">
        <w:t>the Suriname’s Law on Protection and Conservation of Cultural (including historical and scientific) Heritage</w:t>
      </w:r>
      <w:r w:rsidR="00155094" w:rsidRPr="00EA70A2">
        <w:rPr>
          <w:rStyle w:val="FootnoteReference"/>
        </w:rPr>
        <w:footnoteReference w:id="42"/>
      </w:r>
      <w:r w:rsidRPr="00EA70A2">
        <w:t>.</w:t>
      </w:r>
    </w:p>
    <w:p w14:paraId="5D82D010" w14:textId="7E74E142" w:rsidR="005552D2" w:rsidRPr="00EA70A2" w:rsidRDefault="005552D2" w:rsidP="00203F2A">
      <w:pPr>
        <w:pStyle w:val="NoSpacing"/>
        <w:jc w:val="both"/>
      </w:pPr>
    </w:p>
    <w:p w14:paraId="23B206E2" w14:textId="77777777" w:rsidR="00C23564" w:rsidRDefault="00C23564" w:rsidP="00203F2A">
      <w:pPr>
        <w:pStyle w:val="NoSpacing"/>
        <w:jc w:val="both"/>
      </w:pPr>
      <w:r>
        <w:t>The purpose of the procedure is:</w:t>
      </w:r>
    </w:p>
    <w:p w14:paraId="4DC540EA" w14:textId="77777777" w:rsidR="00C23564" w:rsidRDefault="00C23564" w:rsidP="00203F2A">
      <w:pPr>
        <w:pStyle w:val="NoSpacing"/>
        <w:numPr>
          <w:ilvl w:val="0"/>
          <w:numId w:val="6"/>
        </w:numPr>
        <w:jc w:val="both"/>
      </w:pPr>
      <w:r>
        <w:t>To avoid significant adverse impacts to cultural heritage;</w:t>
      </w:r>
    </w:p>
    <w:p w14:paraId="3BDA85B6" w14:textId="23E25180" w:rsidR="00C23564" w:rsidRDefault="00C23564" w:rsidP="00203F2A">
      <w:pPr>
        <w:pStyle w:val="NoSpacing"/>
        <w:numPr>
          <w:ilvl w:val="0"/>
          <w:numId w:val="6"/>
        </w:numPr>
        <w:jc w:val="both"/>
      </w:pPr>
      <w:r>
        <w:t xml:space="preserve">To describe the provisions for managing chance finds through a chance find process which will be applied </w:t>
      </w:r>
      <w:proofErr w:type="gramStart"/>
      <w:r>
        <w:t>in the event that</w:t>
      </w:r>
      <w:proofErr w:type="gramEnd"/>
      <w:r>
        <w:t xml:space="preserve"> cultural heritage is discovered.</w:t>
      </w:r>
      <w:r>
        <w:cr/>
      </w:r>
    </w:p>
    <w:p w14:paraId="5EA16CA3" w14:textId="5979D9D4" w:rsidR="00CF20D0" w:rsidRDefault="00BF4FD4" w:rsidP="00203F2A">
      <w:pPr>
        <w:pStyle w:val="NoSpacing"/>
        <w:jc w:val="both"/>
      </w:pPr>
      <w:r>
        <w:t xml:space="preserve">During the preparation and implementation of any sub-project, </w:t>
      </w:r>
      <w:r w:rsidR="00C05890">
        <w:t>the CFP</w:t>
      </w:r>
      <w:r w:rsidR="00CF20D0">
        <w:t xml:space="preserve"> will be used as follows: </w:t>
      </w:r>
    </w:p>
    <w:p w14:paraId="71D18A2B" w14:textId="77777777" w:rsidR="00CF20D0" w:rsidRDefault="00CF20D0" w:rsidP="00203F2A">
      <w:pPr>
        <w:pStyle w:val="NoSpacing"/>
        <w:jc w:val="both"/>
      </w:pPr>
      <w:r>
        <w:t xml:space="preserve"> </w:t>
      </w:r>
    </w:p>
    <w:p w14:paraId="60E8A79E" w14:textId="77777777" w:rsidR="008334E5" w:rsidRDefault="00CF20D0" w:rsidP="00203F2A">
      <w:pPr>
        <w:pStyle w:val="NoSpacing"/>
        <w:numPr>
          <w:ilvl w:val="0"/>
          <w:numId w:val="8"/>
        </w:numPr>
        <w:jc w:val="both"/>
      </w:pPr>
      <w:r>
        <w:t xml:space="preserve">Stop the construction activities </w:t>
      </w:r>
      <w:proofErr w:type="gramStart"/>
      <w:r>
        <w:t>in the area of</w:t>
      </w:r>
      <w:proofErr w:type="gramEnd"/>
      <w:r>
        <w:t xml:space="preserve"> the chance find;</w:t>
      </w:r>
    </w:p>
    <w:p w14:paraId="79D01C49" w14:textId="77777777" w:rsidR="008334E5" w:rsidRDefault="008334E5" w:rsidP="00203F2A">
      <w:pPr>
        <w:pStyle w:val="NoSpacing"/>
        <w:numPr>
          <w:ilvl w:val="0"/>
          <w:numId w:val="8"/>
        </w:numPr>
        <w:jc w:val="both"/>
      </w:pPr>
      <w:r>
        <w:t>Map and d</w:t>
      </w:r>
      <w:r w:rsidR="00CF20D0">
        <w:t>elineate the discovered site or area;</w:t>
      </w:r>
    </w:p>
    <w:p w14:paraId="1ECC137C" w14:textId="77777777" w:rsidR="008334E5" w:rsidRDefault="00CF20D0" w:rsidP="00203F2A">
      <w:pPr>
        <w:pStyle w:val="NoSpacing"/>
        <w:numPr>
          <w:ilvl w:val="0"/>
          <w:numId w:val="8"/>
        </w:numPr>
        <w:jc w:val="both"/>
      </w:pPr>
      <w:r>
        <w:t>Secure the site to prevent any damage or loss of removable objects. In cases of removable antiquities or sensitive remains, a night guard shall be present until the responsible authorities take over</w:t>
      </w:r>
      <w:r w:rsidR="008334E5">
        <w:t xml:space="preserve"> responsibility</w:t>
      </w:r>
      <w:r>
        <w:t>;</w:t>
      </w:r>
    </w:p>
    <w:p w14:paraId="43D2E96A" w14:textId="7F5D7DA9" w:rsidR="008334E5" w:rsidRDefault="00CF20D0" w:rsidP="00203F2A">
      <w:pPr>
        <w:pStyle w:val="NoSpacing"/>
        <w:numPr>
          <w:ilvl w:val="0"/>
          <w:numId w:val="8"/>
        </w:numPr>
        <w:jc w:val="both"/>
      </w:pPr>
      <w:r>
        <w:t>Notify the supervis</w:t>
      </w:r>
      <w:r w:rsidR="008334E5">
        <w:t>ing e</w:t>
      </w:r>
      <w:r>
        <w:t xml:space="preserve">ngineer who in turn will notify the responsible authorities and the </w:t>
      </w:r>
      <w:bookmarkStart w:id="57" w:name="_Hlk527043325"/>
      <w:r w:rsidR="00EA70A2">
        <w:t>MINOWC</w:t>
      </w:r>
      <w:bookmarkEnd w:id="57"/>
      <w:r w:rsidR="00EA70A2">
        <w:rPr>
          <w:rStyle w:val="FootnoteReference"/>
        </w:rPr>
        <w:footnoteReference w:id="43"/>
      </w:r>
      <w:r w:rsidR="00EA70A2">
        <w:t xml:space="preserve"> </w:t>
      </w:r>
      <w:r>
        <w:t>immediately (within 24 hours or less);</w:t>
      </w:r>
    </w:p>
    <w:p w14:paraId="4094F11C" w14:textId="6A3A6025" w:rsidR="00BF4FD4" w:rsidRDefault="00CF20D0" w:rsidP="00203F2A">
      <w:pPr>
        <w:pStyle w:val="NoSpacing"/>
        <w:numPr>
          <w:ilvl w:val="0"/>
          <w:numId w:val="8"/>
        </w:numPr>
        <w:jc w:val="both"/>
      </w:pPr>
      <w:r>
        <w:t xml:space="preserve">Responsible authorities and the </w:t>
      </w:r>
      <w:r w:rsidR="00FD423D" w:rsidRPr="00FD423D">
        <w:t>MINOWC</w:t>
      </w:r>
      <w:r>
        <w:t xml:space="preserve"> would </w:t>
      </w:r>
      <w:proofErr w:type="gramStart"/>
      <w:r>
        <w:t>be in charge of</w:t>
      </w:r>
      <w:proofErr w:type="gramEnd"/>
      <w:r>
        <w:t xml:space="preserve"> protecting and preserving the site before deciding on subsequent appropriate procedures. This would require a preliminary evaluation of the findings to be performed by the </w:t>
      </w:r>
      <w:r w:rsidR="00BF4FD4">
        <w:t xml:space="preserve">expert(s) </w:t>
      </w:r>
      <w:r>
        <w:t xml:space="preserve">of </w:t>
      </w:r>
      <w:r w:rsidR="00BF4FD4">
        <w:t xml:space="preserve">(or on behalf of) </w:t>
      </w:r>
      <w:r>
        <w:t>the</w:t>
      </w:r>
      <w:r w:rsidR="00FD423D" w:rsidRPr="00FD423D">
        <w:t xml:space="preserve"> MINOWC</w:t>
      </w:r>
      <w:r>
        <w:t xml:space="preserve"> (within 72 hours). The significance and importance of the findings should be assessed according to the criteria relevant to cultural heritage</w:t>
      </w:r>
      <w:r w:rsidR="00BF4FD4">
        <w:t xml:space="preserve">, including </w:t>
      </w:r>
      <w:r>
        <w:t>the aesthetic, historic, scientific or research, social and economic values;</w:t>
      </w:r>
    </w:p>
    <w:p w14:paraId="1434B02B" w14:textId="25413215" w:rsidR="00BF4FD4" w:rsidRDefault="00CF20D0" w:rsidP="00203F2A">
      <w:pPr>
        <w:pStyle w:val="NoSpacing"/>
        <w:numPr>
          <w:ilvl w:val="0"/>
          <w:numId w:val="8"/>
        </w:numPr>
        <w:jc w:val="both"/>
      </w:pPr>
      <w:r>
        <w:t xml:space="preserve">Decisions on how to handle the finding shall be taken by the responsible authorities and the </w:t>
      </w:r>
      <w:r w:rsidR="00FD423D" w:rsidRPr="00FD423D">
        <w:t>MINOWC</w:t>
      </w:r>
      <w:r>
        <w:t>. This could include changes in the layout (such as when finding irremovable remain</w:t>
      </w:r>
      <w:r w:rsidR="0011296B">
        <w:t>s</w:t>
      </w:r>
      <w:r>
        <w:t xml:space="preserve"> of cultural or </w:t>
      </w:r>
      <w:r w:rsidR="0011296B">
        <w:t>archaeological</w:t>
      </w:r>
      <w:r>
        <w:t xml:space="preserve"> importance) conservation, restoration and salvage;</w:t>
      </w:r>
    </w:p>
    <w:p w14:paraId="38E5BF8D" w14:textId="2392617D" w:rsidR="00BF4FD4" w:rsidRDefault="00CF20D0" w:rsidP="00203F2A">
      <w:pPr>
        <w:pStyle w:val="NoSpacing"/>
        <w:numPr>
          <w:ilvl w:val="0"/>
          <w:numId w:val="8"/>
        </w:numPr>
        <w:jc w:val="both"/>
      </w:pPr>
      <w:r>
        <w:t>Implementation for the authority decision concerning the management of the finding shall be communicated in writing by the</w:t>
      </w:r>
      <w:r w:rsidR="00FD423D" w:rsidRPr="00FD423D">
        <w:t xml:space="preserve"> MINOWC</w:t>
      </w:r>
      <w:r>
        <w:t>; and</w:t>
      </w:r>
    </w:p>
    <w:p w14:paraId="6D5ADB1B" w14:textId="3B84EC2A" w:rsidR="00CF20D0" w:rsidRDefault="00CF20D0" w:rsidP="00203F2A">
      <w:pPr>
        <w:pStyle w:val="NoSpacing"/>
        <w:numPr>
          <w:ilvl w:val="0"/>
          <w:numId w:val="8"/>
        </w:numPr>
        <w:jc w:val="both"/>
      </w:pPr>
      <w:r>
        <w:t xml:space="preserve">Construction work could resume only after permission is given from the responsible authorities concerning safeguard of the heritage. </w:t>
      </w:r>
    </w:p>
    <w:p w14:paraId="3AF6C3ED" w14:textId="7F3368D7" w:rsidR="00BF4FD4" w:rsidRDefault="00BF4FD4" w:rsidP="00203F2A">
      <w:pPr>
        <w:pStyle w:val="NoSpacing"/>
        <w:jc w:val="both"/>
      </w:pPr>
    </w:p>
    <w:p w14:paraId="6B8757CD" w14:textId="77777777" w:rsidR="00C23564" w:rsidRDefault="00C23564" w:rsidP="00203F2A">
      <w:pPr>
        <w:pStyle w:val="NoSpacing"/>
        <w:jc w:val="both"/>
      </w:pPr>
      <w:r>
        <w:t>Should human remains be found, the following actions will be required:</w:t>
      </w:r>
    </w:p>
    <w:p w14:paraId="42403122" w14:textId="77777777" w:rsidR="00C23564" w:rsidRDefault="00C23564" w:rsidP="00203F2A">
      <w:pPr>
        <w:pStyle w:val="NoSpacing"/>
        <w:numPr>
          <w:ilvl w:val="0"/>
          <w:numId w:val="9"/>
        </w:numPr>
        <w:jc w:val="both"/>
      </w:pPr>
      <w:r>
        <w:t>Apply the change find procedure as described above;</w:t>
      </w:r>
    </w:p>
    <w:p w14:paraId="33A9C14A" w14:textId="46D5C907" w:rsidR="00C23564" w:rsidRDefault="00C23564" w:rsidP="00203F2A">
      <w:pPr>
        <w:pStyle w:val="NoSpacing"/>
        <w:numPr>
          <w:ilvl w:val="0"/>
          <w:numId w:val="9"/>
        </w:numPr>
        <w:jc w:val="both"/>
      </w:pPr>
      <w:r>
        <w:t>Schedule a field inspection with an expert to confirm that remains are human;</w:t>
      </w:r>
    </w:p>
    <w:p w14:paraId="126908DB" w14:textId="01D9FE66" w:rsidR="00C23564" w:rsidRDefault="00C23564" w:rsidP="00203F2A">
      <w:pPr>
        <w:pStyle w:val="NoSpacing"/>
        <w:numPr>
          <w:ilvl w:val="0"/>
          <w:numId w:val="9"/>
        </w:numPr>
        <w:jc w:val="both"/>
      </w:pPr>
      <w:r>
        <w:t xml:space="preserve">Advise and liaise with </w:t>
      </w:r>
      <w:r w:rsidR="00FD423D" w:rsidRPr="00FD423D">
        <w:t>MINOWC</w:t>
      </w:r>
      <w:r>
        <w:t xml:space="preserve"> and Police;</w:t>
      </w:r>
    </w:p>
    <w:p w14:paraId="62856C49" w14:textId="0D08A7A7" w:rsidR="00C23564" w:rsidRDefault="00C23564" w:rsidP="00203F2A">
      <w:pPr>
        <w:pStyle w:val="NoSpacing"/>
        <w:numPr>
          <w:ilvl w:val="0"/>
          <w:numId w:val="9"/>
        </w:numPr>
        <w:jc w:val="both"/>
      </w:pPr>
      <w:r>
        <w:t xml:space="preserve">Remains will be recovered and removed either to the </w:t>
      </w:r>
      <w:r w:rsidR="00FD423D">
        <w:t>n</w:t>
      </w:r>
      <w:r>
        <w:t xml:space="preserve">ational </w:t>
      </w:r>
      <w:r w:rsidR="00FD423D">
        <w:t>f</w:t>
      </w:r>
      <w:r>
        <w:t xml:space="preserve">orensic </w:t>
      </w:r>
      <w:r w:rsidR="00FD423D">
        <w:t>l</w:t>
      </w:r>
      <w:r>
        <w:t>aboratory</w:t>
      </w:r>
      <w:r w:rsidR="00FD423D">
        <w:t xml:space="preserve"> or the mortuary</w:t>
      </w:r>
      <w:r>
        <w:t>.</w:t>
      </w:r>
      <w:r w:rsidR="00FD423D">
        <w:t xml:space="preserve"> </w:t>
      </w:r>
    </w:p>
    <w:p w14:paraId="724A07A6" w14:textId="1D145BC6" w:rsidR="0011296B" w:rsidRDefault="0011296B" w:rsidP="00203F2A">
      <w:pPr>
        <w:pStyle w:val="NoSpacing"/>
        <w:jc w:val="both"/>
      </w:pPr>
    </w:p>
    <w:p w14:paraId="1315C954" w14:textId="62AFA5ED" w:rsidR="00A125E2" w:rsidRDefault="00CF20D0" w:rsidP="00203F2A">
      <w:pPr>
        <w:pStyle w:val="NoSpacing"/>
        <w:jc w:val="both"/>
      </w:pPr>
      <w:r>
        <w:t>These procedures must be referred to as standard provisions in construction contracts, when applicable</w:t>
      </w:r>
      <w:r w:rsidR="00BF4FD4">
        <w:t>.</w:t>
      </w:r>
      <w:r>
        <w:t xml:space="preserve"> During project supervision, the </w:t>
      </w:r>
      <w:r w:rsidR="00BF4FD4">
        <w:t>s</w:t>
      </w:r>
      <w:r>
        <w:t xml:space="preserve">ite </w:t>
      </w:r>
      <w:r w:rsidR="00BF4FD4">
        <w:t>e</w:t>
      </w:r>
      <w:r>
        <w:t xml:space="preserve">ngineer shall monitor the above regulations relating to the treatment </w:t>
      </w:r>
      <w:r w:rsidR="00BF4FD4">
        <w:t>i</w:t>
      </w:r>
      <w:r>
        <w:t xml:space="preserve">f any </w:t>
      </w:r>
      <w:r w:rsidR="00BF4FD4">
        <w:t>‘</w:t>
      </w:r>
      <w:r>
        <w:t>chance find</w:t>
      </w:r>
      <w:r w:rsidR="00BF4FD4">
        <w:t>’</w:t>
      </w:r>
      <w:r>
        <w:t xml:space="preserve"> </w:t>
      </w:r>
      <w:r w:rsidR="00BF4FD4">
        <w:t>is encountered /</w:t>
      </w:r>
      <w:r>
        <w:t xml:space="preserve"> observed</w:t>
      </w:r>
      <w:r w:rsidR="00BF4FD4">
        <w:t>.</w:t>
      </w:r>
      <w:r w:rsidR="00A125E2">
        <w:br w:type="page"/>
      </w:r>
    </w:p>
    <w:p w14:paraId="590F0BE3" w14:textId="77777777" w:rsidR="00151C85" w:rsidRDefault="00151C85" w:rsidP="00203F2A">
      <w:pPr>
        <w:pStyle w:val="NoSpacing"/>
        <w:jc w:val="both"/>
      </w:pPr>
    </w:p>
    <w:p w14:paraId="3147FAE7" w14:textId="6BA334DE" w:rsidR="00151C85" w:rsidRPr="00A125E2" w:rsidRDefault="00151C85" w:rsidP="00203F2A">
      <w:pPr>
        <w:pStyle w:val="Heading2"/>
        <w:jc w:val="both"/>
      </w:pPr>
      <w:bookmarkStart w:id="58" w:name="_Toc531965030"/>
      <w:r w:rsidRPr="00A125E2">
        <w:t xml:space="preserve">Annex </w:t>
      </w:r>
      <w:r w:rsidR="000A0472">
        <w:t>4</w:t>
      </w:r>
      <w:r w:rsidRPr="00A125E2">
        <w:t>:</w:t>
      </w:r>
      <w:r w:rsidRPr="00A125E2">
        <w:tab/>
      </w:r>
      <w:r w:rsidR="00A70CE4">
        <w:t xml:space="preserve">Safeguards Documents </w:t>
      </w:r>
      <w:r w:rsidR="00115B0D">
        <w:t>Consultations: Stakeholder Attendance</w:t>
      </w:r>
      <w:bookmarkEnd w:id="58"/>
    </w:p>
    <w:p w14:paraId="317137ED" w14:textId="77777777" w:rsidR="00151C85" w:rsidRDefault="00151C85" w:rsidP="00203F2A">
      <w:pPr>
        <w:pStyle w:val="NoSpacing"/>
        <w:jc w:val="both"/>
      </w:pPr>
    </w:p>
    <w:p w14:paraId="5E5CE29E" w14:textId="15658D28" w:rsidR="0034715E" w:rsidRDefault="00486711" w:rsidP="00203F2A">
      <w:pPr>
        <w:pStyle w:val="NoSpacing"/>
        <w:jc w:val="both"/>
      </w:pPr>
      <w:r>
        <w:t>During the week of November 12 - 16, 2018, several stakeholder meeting</w:t>
      </w:r>
      <w:r w:rsidR="002C502D">
        <w:t>s</w:t>
      </w:r>
      <w:r>
        <w:t xml:space="preserve"> were held to introduce, explain, discuss and consult on the draft versions of the </w:t>
      </w:r>
      <w:r w:rsidR="00190610">
        <w:t>SCSD</w:t>
      </w:r>
      <w:r>
        <w:t xml:space="preserve"> Project</w:t>
      </w:r>
      <w:r w:rsidR="002C502D">
        <w:t xml:space="preserve"> safeguard documents</w:t>
      </w:r>
      <w:r>
        <w:t xml:space="preserve">, all facilitated by MTIT </w:t>
      </w:r>
      <w:r w:rsidR="002C502D">
        <w:t xml:space="preserve">and MNR </w:t>
      </w:r>
      <w:r>
        <w:t xml:space="preserve">in Paramaribo. Consultations were attended by both representatives of the line ministries and those representing SMEs and Business Support Organisations </w:t>
      </w:r>
      <w:r w:rsidR="002C502D">
        <w:t>(</w:t>
      </w:r>
      <w:r>
        <w:t xml:space="preserve">BSO). </w:t>
      </w:r>
      <w:r w:rsidR="0034715E">
        <w:t>The below listed persons participated in the range of stakeholders’ consultations throughout the week.</w:t>
      </w:r>
    </w:p>
    <w:p w14:paraId="1B85388D" w14:textId="1E2A787C" w:rsidR="00486711" w:rsidRPr="009F2DDB" w:rsidRDefault="00486711" w:rsidP="00203F2A">
      <w:pPr>
        <w:pStyle w:val="NoSpacing"/>
        <w:jc w:val="both"/>
        <w:rPr>
          <w:b/>
          <w:sz w:val="20"/>
          <w:szCs w:val="20"/>
        </w:rPr>
      </w:pPr>
      <w:r w:rsidRPr="009F2DDB">
        <w:rPr>
          <w:b/>
          <w:sz w:val="20"/>
          <w:szCs w:val="20"/>
        </w:rPr>
        <w:t xml:space="preserve"> </w:t>
      </w:r>
    </w:p>
    <w:p w14:paraId="1E100AAC" w14:textId="366F0222" w:rsidR="00486711" w:rsidRPr="009F2DDB" w:rsidRDefault="00486711" w:rsidP="00203F2A">
      <w:pPr>
        <w:pStyle w:val="NoSpacing"/>
        <w:jc w:val="both"/>
        <w:rPr>
          <w:b/>
          <w:sz w:val="20"/>
          <w:szCs w:val="20"/>
        </w:rPr>
      </w:pPr>
    </w:p>
    <w:tbl>
      <w:tblPr>
        <w:tblStyle w:val="TableGrid"/>
        <w:tblW w:w="8931" w:type="dxa"/>
        <w:tblInd w:w="-5" w:type="dxa"/>
        <w:tblLayout w:type="fixed"/>
        <w:tblLook w:val="04A0" w:firstRow="1" w:lastRow="0" w:firstColumn="1" w:lastColumn="0" w:noHBand="0" w:noVBand="1"/>
      </w:tblPr>
      <w:tblGrid>
        <w:gridCol w:w="526"/>
        <w:gridCol w:w="1560"/>
        <w:gridCol w:w="1418"/>
        <w:gridCol w:w="5406"/>
        <w:gridCol w:w="21"/>
      </w:tblGrid>
      <w:tr w:rsidR="00A02701" w:rsidRPr="009F2DDB" w14:paraId="560BA074" w14:textId="77777777" w:rsidTr="007A3D7B">
        <w:trPr>
          <w:trHeight w:val="530"/>
        </w:trPr>
        <w:tc>
          <w:tcPr>
            <w:tcW w:w="8931" w:type="dxa"/>
            <w:gridSpan w:val="5"/>
            <w:tcBorders>
              <w:top w:val="single" w:sz="4" w:space="0" w:color="auto"/>
              <w:left w:val="single" w:sz="4" w:space="0" w:color="auto"/>
              <w:bottom w:val="single" w:sz="4" w:space="0" w:color="auto"/>
              <w:right w:val="single" w:sz="4" w:space="0" w:color="auto"/>
            </w:tcBorders>
          </w:tcPr>
          <w:p w14:paraId="5ECB29D5" w14:textId="48933B45" w:rsidR="00A02701" w:rsidRPr="00A02701" w:rsidRDefault="00C24116" w:rsidP="00203F2A">
            <w:pPr>
              <w:pStyle w:val="NoSpacing"/>
              <w:jc w:val="both"/>
              <w:rPr>
                <w:b/>
                <w:sz w:val="20"/>
                <w:szCs w:val="20"/>
              </w:rPr>
            </w:pPr>
            <w:bookmarkStart w:id="59" w:name="_Hlk530572055"/>
            <w:r>
              <w:rPr>
                <w:b/>
                <w:sz w:val="20"/>
                <w:szCs w:val="20"/>
              </w:rPr>
              <w:t>Tues</w:t>
            </w:r>
            <w:r w:rsidR="00A02701" w:rsidRPr="00A02701">
              <w:rPr>
                <w:b/>
                <w:sz w:val="20"/>
                <w:szCs w:val="20"/>
              </w:rPr>
              <w:t>day November 1</w:t>
            </w:r>
            <w:r>
              <w:rPr>
                <w:b/>
                <w:sz w:val="20"/>
                <w:szCs w:val="20"/>
              </w:rPr>
              <w:t>3</w:t>
            </w:r>
            <w:r w:rsidR="00A02701" w:rsidRPr="00A02701">
              <w:rPr>
                <w:b/>
                <w:sz w:val="20"/>
                <w:szCs w:val="20"/>
              </w:rPr>
              <w:t xml:space="preserve">, 2018; </w:t>
            </w:r>
            <w:r>
              <w:rPr>
                <w:b/>
                <w:sz w:val="20"/>
                <w:szCs w:val="20"/>
              </w:rPr>
              <w:t>09:0</w:t>
            </w:r>
            <w:r w:rsidR="00A02701" w:rsidRPr="00A02701">
              <w:rPr>
                <w:b/>
                <w:sz w:val="20"/>
                <w:szCs w:val="20"/>
              </w:rPr>
              <w:t xml:space="preserve">0 </w:t>
            </w:r>
            <w:r>
              <w:rPr>
                <w:b/>
                <w:sz w:val="20"/>
                <w:szCs w:val="20"/>
              </w:rPr>
              <w:t>-</w:t>
            </w:r>
            <w:r w:rsidR="00A02701" w:rsidRPr="00A02701">
              <w:rPr>
                <w:b/>
                <w:sz w:val="20"/>
                <w:szCs w:val="20"/>
              </w:rPr>
              <w:t xml:space="preserve"> 1</w:t>
            </w:r>
            <w:r>
              <w:rPr>
                <w:b/>
                <w:sz w:val="20"/>
                <w:szCs w:val="20"/>
              </w:rPr>
              <w:t>2</w:t>
            </w:r>
            <w:r w:rsidR="00A02701" w:rsidRPr="00A02701">
              <w:rPr>
                <w:b/>
                <w:sz w:val="20"/>
                <w:szCs w:val="20"/>
              </w:rPr>
              <w:t>:30 h. Location MTIT</w:t>
            </w:r>
          </w:p>
          <w:p w14:paraId="2014B90B" w14:textId="1DD6DF1E" w:rsidR="00A02701" w:rsidRPr="009F2DDB" w:rsidRDefault="00C24116" w:rsidP="00203F2A">
            <w:pPr>
              <w:pStyle w:val="NoSpacing"/>
              <w:jc w:val="both"/>
              <w:rPr>
                <w:sz w:val="20"/>
                <w:szCs w:val="20"/>
              </w:rPr>
            </w:pPr>
            <w:r>
              <w:rPr>
                <w:b/>
                <w:sz w:val="20"/>
                <w:szCs w:val="20"/>
              </w:rPr>
              <w:t>Consultation &amp; Working sessions on the (i) Indigenous and Tribal Peoples Safeguards documents and (ii) the E</w:t>
            </w:r>
            <w:r w:rsidR="00A02701" w:rsidRPr="00A02701">
              <w:rPr>
                <w:b/>
                <w:sz w:val="20"/>
                <w:szCs w:val="20"/>
              </w:rPr>
              <w:t>nvironmental and Social Management Framework</w:t>
            </w:r>
            <w:r>
              <w:rPr>
                <w:b/>
                <w:sz w:val="20"/>
                <w:szCs w:val="20"/>
              </w:rPr>
              <w:t xml:space="preserve"> (all draft for consultation)</w:t>
            </w:r>
          </w:p>
        </w:tc>
      </w:tr>
      <w:bookmarkEnd w:id="59"/>
      <w:tr w:rsidR="00C24116" w:rsidRPr="009F2DDB" w14:paraId="760C51F3" w14:textId="77777777" w:rsidTr="007A3D7B">
        <w:trPr>
          <w:trHeight w:val="291"/>
        </w:trPr>
        <w:tc>
          <w:tcPr>
            <w:tcW w:w="893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076722" w14:textId="53A047E4" w:rsidR="00C24116" w:rsidRPr="009F2DDB" w:rsidRDefault="00C24116" w:rsidP="00203F2A">
            <w:pPr>
              <w:pStyle w:val="NoSpacing"/>
              <w:jc w:val="both"/>
              <w:rPr>
                <w:sz w:val="20"/>
                <w:szCs w:val="20"/>
              </w:rPr>
            </w:pPr>
            <w:r>
              <w:rPr>
                <w:b/>
                <w:sz w:val="20"/>
                <w:szCs w:val="20"/>
              </w:rPr>
              <w:t xml:space="preserve">SESSION </w:t>
            </w:r>
            <w:r w:rsidRPr="009F2DDB">
              <w:rPr>
                <w:b/>
                <w:sz w:val="20"/>
                <w:szCs w:val="20"/>
              </w:rPr>
              <w:t>1</w:t>
            </w:r>
            <w:r>
              <w:rPr>
                <w:b/>
                <w:sz w:val="20"/>
                <w:szCs w:val="20"/>
              </w:rPr>
              <w:t>: Indigenous and Tribal Peoples Policy Framework (ITPPF)</w:t>
            </w:r>
          </w:p>
        </w:tc>
      </w:tr>
      <w:tr w:rsidR="002C502D" w:rsidRPr="009F2DDB" w14:paraId="3E4FE8B9" w14:textId="77777777" w:rsidTr="002C502D">
        <w:trPr>
          <w:gridAfter w:val="1"/>
          <w:wAfter w:w="21" w:type="dxa"/>
          <w:trHeight w:val="260"/>
        </w:trPr>
        <w:tc>
          <w:tcPr>
            <w:tcW w:w="526" w:type="dxa"/>
            <w:tcBorders>
              <w:top w:val="single" w:sz="4" w:space="0" w:color="auto"/>
              <w:left w:val="single" w:sz="4" w:space="0" w:color="auto"/>
              <w:bottom w:val="single" w:sz="4" w:space="0" w:color="auto"/>
              <w:right w:val="single" w:sz="4" w:space="0" w:color="auto"/>
            </w:tcBorders>
            <w:hideMark/>
          </w:tcPr>
          <w:p w14:paraId="51B0C5DF" w14:textId="77777777" w:rsidR="002C502D" w:rsidRPr="009F2DDB" w:rsidRDefault="002C502D" w:rsidP="00203F2A">
            <w:pPr>
              <w:pStyle w:val="NoSpacing"/>
              <w:jc w:val="both"/>
              <w:rPr>
                <w:sz w:val="20"/>
                <w:szCs w:val="20"/>
              </w:rPr>
            </w:pPr>
            <w:r w:rsidRPr="009F2DDB">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05A3D9C0" w14:textId="77777777" w:rsidR="002C502D" w:rsidRPr="009F2DDB" w:rsidRDefault="002C502D" w:rsidP="00203F2A">
            <w:pPr>
              <w:pStyle w:val="NoSpacing"/>
              <w:jc w:val="both"/>
              <w:rPr>
                <w:sz w:val="20"/>
                <w:szCs w:val="20"/>
              </w:rPr>
            </w:pPr>
            <w:proofErr w:type="spellStart"/>
            <w:r w:rsidRPr="009F2DDB">
              <w:rPr>
                <w:sz w:val="20"/>
                <w:szCs w:val="20"/>
              </w:rPr>
              <w:t>Ajeremi</w:t>
            </w:r>
            <w:proofErr w:type="spellEnd"/>
          </w:p>
        </w:tc>
        <w:tc>
          <w:tcPr>
            <w:tcW w:w="1418" w:type="dxa"/>
            <w:tcBorders>
              <w:top w:val="single" w:sz="4" w:space="0" w:color="auto"/>
              <w:left w:val="single" w:sz="4" w:space="0" w:color="auto"/>
              <w:bottom w:val="single" w:sz="4" w:space="0" w:color="auto"/>
              <w:right w:val="single" w:sz="4" w:space="0" w:color="auto"/>
            </w:tcBorders>
          </w:tcPr>
          <w:p w14:paraId="79E55724" w14:textId="77777777" w:rsidR="002C502D" w:rsidRPr="009F2DDB" w:rsidRDefault="002C502D" w:rsidP="00203F2A">
            <w:pPr>
              <w:pStyle w:val="NoSpacing"/>
              <w:jc w:val="both"/>
              <w:rPr>
                <w:sz w:val="20"/>
                <w:szCs w:val="20"/>
              </w:rPr>
            </w:pPr>
            <w:proofErr w:type="spellStart"/>
            <w:r w:rsidRPr="009F2DDB">
              <w:rPr>
                <w:sz w:val="20"/>
                <w:szCs w:val="20"/>
              </w:rPr>
              <w:t>Inarda</w:t>
            </w:r>
            <w:proofErr w:type="spellEnd"/>
          </w:p>
        </w:tc>
        <w:tc>
          <w:tcPr>
            <w:tcW w:w="5406" w:type="dxa"/>
            <w:tcBorders>
              <w:top w:val="single" w:sz="4" w:space="0" w:color="auto"/>
              <w:left w:val="single" w:sz="4" w:space="0" w:color="auto"/>
              <w:bottom w:val="single" w:sz="4" w:space="0" w:color="auto"/>
              <w:right w:val="single" w:sz="4" w:space="0" w:color="auto"/>
            </w:tcBorders>
          </w:tcPr>
          <w:p w14:paraId="6E4CE95A" w14:textId="6D2B26A9" w:rsidR="002C502D" w:rsidRPr="009F2DDB" w:rsidRDefault="002C502D" w:rsidP="00203F2A">
            <w:pPr>
              <w:pStyle w:val="NoSpacing"/>
              <w:jc w:val="both"/>
              <w:rPr>
                <w:sz w:val="20"/>
                <w:szCs w:val="20"/>
              </w:rPr>
            </w:pPr>
            <w:r>
              <w:rPr>
                <w:sz w:val="20"/>
                <w:szCs w:val="20"/>
              </w:rPr>
              <w:t>Ministry of Regional Development (MRD)</w:t>
            </w:r>
          </w:p>
        </w:tc>
      </w:tr>
      <w:tr w:rsidR="002C502D" w:rsidRPr="009F2DDB" w14:paraId="38615EF7" w14:textId="77777777" w:rsidTr="002C502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1A9FCCAA" w14:textId="77777777" w:rsidR="002C502D" w:rsidRPr="009F2DDB" w:rsidRDefault="002C502D" w:rsidP="00203F2A">
            <w:pPr>
              <w:pStyle w:val="NoSpacing"/>
              <w:jc w:val="both"/>
              <w:rPr>
                <w:sz w:val="20"/>
                <w:szCs w:val="20"/>
              </w:rPr>
            </w:pPr>
            <w:r w:rsidRPr="009F2DDB">
              <w:rPr>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7F7B45DC" w14:textId="77777777" w:rsidR="002C502D" w:rsidRPr="009F2DDB" w:rsidRDefault="002C502D" w:rsidP="00203F2A">
            <w:pPr>
              <w:pStyle w:val="NoSpacing"/>
              <w:jc w:val="both"/>
              <w:rPr>
                <w:sz w:val="20"/>
                <w:szCs w:val="20"/>
              </w:rPr>
            </w:pPr>
            <w:proofErr w:type="spellStart"/>
            <w:r w:rsidRPr="009F2DDB">
              <w:rPr>
                <w:sz w:val="20"/>
                <w:szCs w:val="20"/>
              </w:rPr>
              <w:t>Adraai</w:t>
            </w:r>
            <w:proofErr w:type="spellEnd"/>
          </w:p>
        </w:tc>
        <w:tc>
          <w:tcPr>
            <w:tcW w:w="1418" w:type="dxa"/>
            <w:tcBorders>
              <w:top w:val="single" w:sz="4" w:space="0" w:color="auto"/>
              <w:left w:val="single" w:sz="4" w:space="0" w:color="auto"/>
              <w:bottom w:val="single" w:sz="4" w:space="0" w:color="auto"/>
              <w:right w:val="single" w:sz="4" w:space="0" w:color="auto"/>
            </w:tcBorders>
          </w:tcPr>
          <w:p w14:paraId="3733FA4A" w14:textId="77777777" w:rsidR="002C502D" w:rsidRPr="009F2DDB" w:rsidRDefault="002C502D" w:rsidP="00203F2A">
            <w:pPr>
              <w:pStyle w:val="NoSpacing"/>
              <w:jc w:val="both"/>
              <w:rPr>
                <w:sz w:val="20"/>
                <w:szCs w:val="20"/>
              </w:rPr>
            </w:pPr>
            <w:r w:rsidRPr="009F2DDB">
              <w:rPr>
                <w:sz w:val="20"/>
                <w:szCs w:val="20"/>
              </w:rPr>
              <w:t>Consuela</w:t>
            </w:r>
          </w:p>
        </w:tc>
        <w:tc>
          <w:tcPr>
            <w:tcW w:w="5406" w:type="dxa"/>
            <w:tcBorders>
              <w:top w:val="single" w:sz="4" w:space="0" w:color="auto"/>
              <w:left w:val="single" w:sz="4" w:space="0" w:color="auto"/>
              <w:bottom w:val="single" w:sz="4" w:space="0" w:color="auto"/>
              <w:right w:val="single" w:sz="4" w:space="0" w:color="auto"/>
            </w:tcBorders>
          </w:tcPr>
          <w:p w14:paraId="6015BBFA" w14:textId="77777777" w:rsidR="002C502D" w:rsidRPr="009F2DDB" w:rsidRDefault="002C502D" w:rsidP="00203F2A">
            <w:pPr>
              <w:pStyle w:val="NoSpacing"/>
              <w:jc w:val="both"/>
              <w:rPr>
                <w:sz w:val="20"/>
                <w:szCs w:val="20"/>
              </w:rPr>
            </w:pPr>
            <w:r w:rsidRPr="009F2DDB">
              <w:rPr>
                <w:sz w:val="20"/>
                <w:szCs w:val="20"/>
              </w:rPr>
              <w:t>MTIT-CUS</w:t>
            </w:r>
          </w:p>
        </w:tc>
      </w:tr>
      <w:tr w:rsidR="002C502D" w:rsidRPr="009F2DDB" w14:paraId="7859F978" w14:textId="77777777" w:rsidTr="002C502D">
        <w:trPr>
          <w:gridAfter w:val="1"/>
          <w:wAfter w:w="21" w:type="dxa"/>
          <w:trHeight w:val="98"/>
        </w:trPr>
        <w:tc>
          <w:tcPr>
            <w:tcW w:w="526" w:type="dxa"/>
            <w:tcBorders>
              <w:top w:val="single" w:sz="4" w:space="0" w:color="auto"/>
              <w:left w:val="single" w:sz="4" w:space="0" w:color="auto"/>
              <w:bottom w:val="single" w:sz="4" w:space="0" w:color="auto"/>
              <w:right w:val="single" w:sz="4" w:space="0" w:color="auto"/>
            </w:tcBorders>
            <w:hideMark/>
          </w:tcPr>
          <w:p w14:paraId="0A84FFAD" w14:textId="77777777" w:rsidR="002C502D" w:rsidRPr="009F2DDB" w:rsidRDefault="002C502D" w:rsidP="00203F2A">
            <w:pPr>
              <w:pStyle w:val="NoSpacing"/>
              <w:jc w:val="both"/>
              <w:rPr>
                <w:sz w:val="20"/>
                <w:szCs w:val="20"/>
              </w:rPr>
            </w:pPr>
            <w:bookmarkStart w:id="60" w:name="_Hlk530571901"/>
            <w:r w:rsidRPr="009F2DDB">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2B515070" w14:textId="77777777" w:rsidR="002C502D" w:rsidRPr="009F2DDB" w:rsidRDefault="002C502D" w:rsidP="00203F2A">
            <w:pPr>
              <w:pStyle w:val="NoSpacing"/>
              <w:jc w:val="both"/>
              <w:rPr>
                <w:sz w:val="20"/>
                <w:szCs w:val="20"/>
              </w:rPr>
            </w:pPr>
            <w:r w:rsidRPr="009F2DDB">
              <w:rPr>
                <w:sz w:val="20"/>
                <w:szCs w:val="20"/>
              </w:rPr>
              <w:t>Monorath</w:t>
            </w:r>
          </w:p>
        </w:tc>
        <w:tc>
          <w:tcPr>
            <w:tcW w:w="1418" w:type="dxa"/>
            <w:tcBorders>
              <w:top w:val="single" w:sz="4" w:space="0" w:color="auto"/>
              <w:left w:val="single" w:sz="4" w:space="0" w:color="auto"/>
              <w:bottom w:val="single" w:sz="4" w:space="0" w:color="auto"/>
              <w:right w:val="single" w:sz="4" w:space="0" w:color="auto"/>
            </w:tcBorders>
          </w:tcPr>
          <w:p w14:paraId="6987A231" w14:textId="77777777" w:rsidR="002C502D" w:rsidRPr="009F2DDB" w:rsidRDefault="002C502D" w:rsidP="00203F2A">
            <w:pPr>
              <w:pStyle w:val="NoSpacing"/>
              <w:jc w:val="both"/>
              <w:rPr>
                <w:sz w:val="20"/>
                <w:szCs w:val="20"/>
              </w:rPr>
            </w:pPr>
            <w:r w:rsidRPr="009F2DDB">
              <w:rPr>
                <w:sz w:val="20"/>
                <w:szCs w:val="20"/>
              </w:rPr>
              <w:t>Angela</w:t>
            </w:r>
          </w:p>
        </w:tc>
        <w:tc>
          <w:tcPr>
            <w:tcW w:w="5406" w:type="dxa"/>
            <w:tcBorders>
              <w:top w:val="single" w:sz="4" w:space="0" w:color="auto"/>
              <w:left w:val="single" w:sz="4" w:space="0" w:color="auto"/>
              <w:bottom w:val="single" w:sz="4" w:space="0" w:color="auto"/>
              <w:right w:val="single" w:sz="4" w:space="0" w:color="auto"/>
            </w:tcBorders>
          </w:tcPr>
          <w:p w14:paraId="136612E9" w14:textId="2D2B771D" w:rsidR="002C502D" w:rsidRPr="009F2DDB" w:rsidRDefault="002C502D" w:rsidP="00203F2A">
            <w:pPr>
              <w:pStyle w:val="NoSpacing"/>
              <w:jc w:val="both"/>
              <w:rPr>
                <w:sz w:val="20"/>
                <w:szCs w:val="20"/>
              </w:rPr>
            </w:pPr>
            <w:r>
              <w:rPr>
                <w:sz w:val="20"/>
                <w:szCs w:val="20"/>
              </w:rPr>
              <w:t xml:space="preserve">Ministry of </w:t>
            </w:r>
            <w:r w:rsidRPr="009F2DDB">
              <w:rPr>
                <w:sz w:val="20"/>
                <w:szCs w:val="20"/>
              </w:rPr>
              <w:t>Natural Resources</w:t>
            </w:r>
            <w:r>
              <w:rPr>
                <w:sz w:val="20"/>
                <w:szCs w:val="20"/>
              </w:rPr>
              <w:t xml:space="preserve"> (MNR)</w:t>
            </w:r>
          </w:p>
        </w:tc>
      </w:tr>
      <w:bookmarkEnd w:id="60"/>
      <w:tr w:rsidR="002C502D" w:rsidRPr="009F2DDB" w14:paraId="2E5F76B3" w14:textId="77777777" w:rsidTr="002C502D">
        <w:trPr>
          <w:gridAfter w:val="1"/>
          <w:wAfter w:w="21" w:type="dxa"/>
          <w:trHeight w:val="530"/>
        </w:trPr>
        <w:tc>
          <w:tcPr>
            <w:tcW w:w="526" w:type="dxa"/>
            <w:tcBorders>
              <w:top w:val="single" w:sz="4" w:space="0" w:color="auto"/>
              <w:left w:val="single" w:sz="4" w:space="0" w:color="auto"/>
              <w:bottom w:val="single" w:sz="4" w:space="0" w:color="auto"/>
              <w:right w:val="single" w:sz="4" w:space="0" w:color="auto"/>
            </w:tcBorders>
          </w:tcPr>
          <w:p w14:paraId="2EC46662" w14:textId="77777777" w:rsidR="002C502D" w:rsidRPr="009F2DDB" w:rsidRDefault="002C502D" w:rsidP="00203F2A">
            <w:pPr>
              <w:pStyle w:val="NoSpacing"/>
              <w:jc w:val="both"/>
              <w:rPr>
                <w:sz w:val="20"/>
                <w:szCs w:val="20"/>
              </w:rPr>
            </w:pPr>
            <w:r w:rsidRPr="009F2DDB">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3F9885C2" w14:textId="77777777" w:rsidR="002C502D" w:rsidRPr="009F2DDB" w:rsidRDefault="002C502D" w:rsidP="00203F2A">
            <w:pPr>
              <w:pStyle w:val="NoSpacing"/>
              <w:jc w:val="both"/>
              <w:rPr>
                <w:sz w:val="20"/>
                <w:szCs w:val="20"/>
              </w:rPr>
            </w:pPr>
            <w:proofErr w:type="spellStart"/>
            <w:r w:rsidRPr="009F2DDB">
              <w:rPr>
                <w:sz w:val="20"/>
                <w:szCs w:val="20"/>
              </w:rPr>
              <w:t>Tjon</w:t>
            </w:r>
            <w:proofErr w:type="spellEnd"/>
            <w:r w:rsidRPr="009F2DDB">
              <w:rPr>
                <w:sz w:val="20"/>
                <w:szCs w:val="20"/>
              </w:rPr>
              <w:t xml:space="preserve"> A Kon</w:t>
            </w:r>
          </w:p>
        </w:tc>
        <w:tc>
          <w:tcPr>
            <w:tcW w:w="1418" w:type="dxa"/>
            <w:tcBorders>
              <w:top w:val="single" w:sz="4" w:space="0" w:color="auto"/>
              <w:left w:val="single" w:sz="4" w:space="0" w:color="auto"/>
              <w:bottom w:val="single" w:sz="4" w:space="0" w:color="auto"/>
              <w:right w:val="single" w:sz="4" w:space="0" w:color="auto"/>
            </w:tcBorders>
          </w:tcPr>
          <w:p w14:paraId="59503A3E" w14:textId="77777777" w:rsidR="002C502D" w:rsidRPr="009F2DDB" w:rsidRDefault="002C502D" w:rsidP="00203F2A">
            <w:pPr>
              <w:pStyle w:val="NoSpacing"/>
              <w:jc w:val="both"/>
              <w:rPr>
                <w:sz w:val="20"/>
                <w:szCs w:val="20"/>
              </w:rPr>
            </w:pPr>
            <w:r w:rsidRPr="009F2DDB">
              <w:rPr>
                <w:sz w:val="20"/>
                <w:szCs w:val="20"/>
              </w:rPr>
              <w:t>Quan</w:t>
            </w:r>
          </w:p>
        </w:tc>
        <w:tc>
          <w:tcPr>
            <w:tcW w:w="5406" w:type="dxa"/>
            <w:tcBorders>
              <w:top w:val="single" w:sz="4" w:space="0" w:color="auto"/>
              <w:left w:val="single" w:sz="4" w:space="0" w:color="auto"/>
              <w:bottom w:val="single" w:sz="4" w:space="0" w:color="auto"/>
              <w:right w:val="single" w:sz="4" w:space="0" w:color="auto"/>
            </w:tcBorders>
          </w:tcPr>
          <w:p w14:paraId="75D74366" w14:textId="0FFDBEE4" w:rsidR="002C502D" w:rsidRPr="009F2DDB" w:rsidRDefault="002C502D" w:rsidP="00203F2A">
            <w:pPr>
              <w:pStyle w:val="NoSpacing"/>
              <w:jc w:val="both"/>
              <w:rPr>
                <w:sz w:val="20"/>
                <w:szCs w:val="20"/>
              </w:rPr>
            </w:pPr>
            <w:r>
              <w:rPr>
                <w:sz w:val="20"/>
                <w:szCs w:val="20"/>
              </w:rPr>
              <w:t>National Institute for the Environment and Development in Suriname (NIMOS)</w:t>
            </w:r>
          </w:p>
        </w:tc>
      </w:tr>
      <w:tr w:rsidR="002C502D" w:rsidRPr="009F2DDB" w14:paraId="61A15D0C" w14:textId="77777777" w:rsidTr="002C502D">
        <w:trPr>
          <w:gridAfter w:val="1"/>
          <w:wAfter w:w="21" w:type="dxa"/>
          <w:trHeight w:val="125"/>
        </w:trPr>
        <w:tc>
          <w:tcPr>
            <w:tcW w:w="526" w:type="dxa"/>
            <w:tcBorders>
              <w:top w:val="single" w:sz="4" w:space="0" w:color="auto"/>
              <w:left w:val="single" w:sz="4" w:space="0" w:color="auto"/>
              <w:bottom w:val="single" w:sz="4" w:space="0" w:color="auto"/>
              <w:right w:val="single" w:sz="4" w:space="0" w:color="auto"/>
            </w:tcBorders>
            <w:hideMark/>
          </w:tcPr>
          <w:p w14:paraId="1F597DD5" w14:textId="77777777" w:rsidR="002C502D" w:rsidRPr="009F2DDB" w:rsidRDefault="002C502D" w:rsidP="00203F2A">
            <w:pPr>
              <w:pStyle w:val="NoSpacing"/>
              <w:jc w:val="both"/>
              <w:rPr>
                <w:sz w:val="20"/>
                <w:szCs w:val="20"/>
              </w:rPr>
            </w:pPr>
            <w:r w:rsidRPr="009F2DDB">
              <w:rPr>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473D0ED3" w14:textId="77777777" w:rsidR="002C502D" w:rsidRPr="009F2DDB" w:rsidRDefault="002C502D" w:rsidP="00203F2A">
            <w:pPr>
              <w:pStyle w:val="NoSpacing"/>
              <w:jc w:val="both"/>
              <w:rPr>
                <w:sz w:val="20"/>
                <w:szCs w:val="20"/>
              </w:rPr>
            </w:pPr>
            <w:proofErr w:type="spellStart"/>
            <w:r w:rsidRPr="009F2DDB">
              <w:rPr>
                <w:sz w:val="20"/>
                <w:szCs w:val="20"/>
              </w:rPr>
              <w:t>Kanape</w:t>
            </w:r>
            <w:proofErr w:type="spellEnd"/>
          </w:p>
        </w:tc>
        <w:tc>
          <w:tcPr>
            <w:tcW w:w="1418" w:type="dxa"/>
            <w:tcBorders>
              <w:top w:val="single" w:sz="4" w:space="0" w:color="auto"/>
              <w:left w:val="single" w:sz="4" w:space="0" w:color="auto"/>
              <w:bottom w:val="single" w:sz="4" w:space="0" w:color="auto"/>
              <w:right w:val="single" w:sz="4" w:space="0" w:color="auto"/>
            </w:tcBorders>
          </w:tcPr>
          <w:p w14:paraId="0C6E8235" w14:textId="77777777" w:rsidR="002C502D" w:rsidRPr="009F2DDB" w:rsidRDefault="002C502D" w:rsidP="00203F2A">
            <w:pPr>
              <w:pStyle w:val="NoSpacing"/>
              <w:jc w:val="both"/>
              <w:rPr>
                <w:sz w:val="20"/>
                <w:szCs w:val="20"/>
              </w:rPr>
            </w:pPr>
            <w:proofErr w:type="spellStart"/>
            <w:r w:rsidRPr="009F2DDB">
              <w:rPr>
                <w:sz w:val="20"/>
                <w:szCs w:val="20"/>
              </w:rPr>
              <w:t>Josifat</w:t>
            </w:r>
            <w:proofErr w:type="spellEnd"/>
            <w:r w:rsidRPr="009F2DDB">
              <w:rPr>
                <w:sz w:val="20"/>
                <w:szCs w:val="20"/>
              </w:rPr>
              <w:t xml:space="preserve"> Obed</w:t>
            </w:r>
          </w:p>
        </w:tc>
        <w:tc>
          <w:tcPr>
            <w:tcW w:w="5406" w:type="dxa"/>
            <w:tcBorders>
              <w:top w:val="single" w:sz="4" w:space="0" w:color="auto"/>
              <w:left w:val="single" w:sz="4" w:space="0" w:color="auto"/>
              <w:bottom w:val="single" w:sz="4" w:space="0" w:color="auto"/>
              <w:right w:val="single" w:sz="4" w:space="0" w:color="auto"/>
            </w:tcBorders>
          </w:tcPr>
          <w:p w14:paraId="0685DEA9" w14:textId="0C6E5362" w:rsidR="002C502D" w:rsidRPr="009F2DDB" w:rsidRDefault="002C502D" w:rsidP="00203F2A">
            <w:pPr>
              <w:pStyle w:val="NoSpacing"/>
              <w:jc w:val="both"/>
              <w:rPr>
                <w:sz w:val="20"/>
                <w:szCs w:val="20"/>
              </w:rPr>
            </w:pPr>
            <w:r>
              <w:rPr>
                <w:sz w:val="20"/>
                <w:szCs w:val="20"/>
              </w:rPr>
              <w:t>MRD</w:t>
            </w:r>
          </w:p>
        </w:tc>
      </w:tr>
      <w:tr w:rsidR="002C502D" w:rsidRPr="009F2DDB" w14:paraId="60CBCD9A" w14:textId="77777777" w:rsidTr="002C502D">
        <w:trPr>
          <w:gridAfter w:val="1"/>
          <w:wAfter w:w="21" w:type="dxa"/>
          <w:trHeight w:val="143"/>
        </w:trPr>
        <w:tc>
          <w:tcPr>
            <w:tcW w:w="526" w:type="dxa"/>
            <w:tcBorders>
              <w:top w:val="single" w:sz="4" w:space="0" w:color="auto"/>
              <w:left w:val="single" w:sz="4" w:space="0" w:color="auto"/>
              <w:bottom w:val="single" w:sz="4" w:space="0" w:color="auto"/>
              <w:right w:val="single" w:sz="4" w:space="0" w:color="auto"/>
            </w:tcBorders>
          </w:tcPr>
          <w:p w14:paraId="067B8B00" w14:textId="77777777" w:rsidR="002C502D" w:rsidRPr="009F2DDB" w:rsidRDefault="002C502D" w:rsidP="00203F2A">
            <w:pPr>
              <w:pStyle w:val="NoSpacing"/>
              <w:jc w:val="both"/>
              <w:rPr>
                <w:sz w:val="20"/>
                <w:szCs w:val="20"/>
              </w:rPr>
            </w:pPr>
            <w:bookmarkStart w:id="61" w:name="_Hlk530572265"/>
            <w:r w:rsidRPr="009F2DDB">
              <w:rPr>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4C903938" w14:textId="77777777" w:rsidR="002C502D" w:rsidRPr="009F2DDB" w:rsidRDefault="002C502D" w:rsidP="00203F2A">
            <w:pPr>
              <w:pStyle w:val="NoSpacing"/>
              <w:jc w:val="both"/>
              <w:rPr>
                <w:sz w:val="20"/>
                <w:szCs w:val="20"/>
              </w:rPr>
            </w:pPr>
            <w:r w:rsidRPr="009F2DDB">
              <w:rPr>
                <w:sz w:val="20"/>
                <w:szCs w:val="20"/>
              </w:rPr>
              <w:t>Van Dijk</w:t>
            </w:r>
          </w:p>
        </w:tc>
        <w:tc>
          <w:tcPr>
            <w:tcW w:w="1418" w:type="dxa"/>
            <w:tcBorders>
              <w:top w:val="single" w:sz="4" w:space="0" w:color="auto"/>
              <w:left w:val="single" w:sz="4" w:space="0" w:color="auto"/>
              <w:bottom w:val="single" w:sz="4" w:space="0" w:color="auto"/>
              <w:right w:val="single" w:sz="4" w:space="0" w:color="auto"/>
            </w:tcBorders>
          </w:tcPr>
          <w:p w14:paraId="53EFF85A" w14:textId="77777777" w:rsidR="002C502D" w:rsidRPr="009F2DDB" w:rsidRDefault="002C502D" w:rsidP="00203F2A">
            <w:pPr>
              <w:pStyle w:val="NoSpacing"/>
              <w:jc w:val="both"/>
              <w:rPr>
                <w:sz w:val="20"/>
                <w:szCs w:val="20"/>
              </w:rPr>
            </w:pPr>
            <w:r w:rsidRPr="009F2DDB">
              <w:rPr>
                <w:sz w:val="20"/>
                <w:szCs w:val="20"/>
              </w:rPr>
              <w:t>Sietze</w:t>
            </w:r>
          </w:p>
        </w:tc>
        <w:tc>
          <w:tcPr>
            <w:tcW w:w="5406" w:type="dxa"/>
            <w:tcBorders>
              <w:top w:val="single" w:sz="4" w:space="0" w:color="auto"/>
              <w:left w:val="single" w:sz="4" w:space="0" w:color="auto"/>
              <w:bottom w:val="single" w:sz="4" w:space="0" w:color="auto"/>
              <w:right w:val="single" w:sz="4" w:space="0" w:color="auto"/>
            </w:tcBorders>
          </w:tcPr>
          <w:p w14:paraId="38177AD3" w14:textId="7E349F01" w:rsidR="002C502D" w:rsidRPr="009F2DDB" w:rsidRDefault="002C502D" w:rsidP="00203F2A">
            <w:pPr>
              <w:pStyle w:val="NoSpacing"/>
              <w:jc w:val="both"/>
              <w:rPr>
                <w:sz w:val="20"/>
                <w:szCs w:val="20"/>
              </w:rPr>
            </w:pPr>
            <w:r w:rsidRPr="009F2DDB">
              <w:rPr>
                <w:sz w:val="20"/>
                <w:szCs w:val="20"/>
              </w:rPr>
              <w:t>ESS</w:t>
            </w:r>
            <w:r>
              <w:rPr>
                <w:sz w:val="20"/>
                <w:szCs w:val="20"/>
              </w:rPr>
              <w:t xml:space="preserve"> – WBG consultant</w:t>
            </w:r>
          </w:p>
        </w:tc>
      </w:tr>
      <w:tr w:rsidR="002C502D" w:rsidRPr="009F2DDB" w14:paraId="0F8D1E1E" w14:textId="77777777" w:rsidTr="002C502D">
        <w:trPr>
          <w:gridAfter w:val="1"/>
          <w:wAfter w:w="21" w:type="dxa"/>
          <w:trHeight w:val="152"/>
        </w:trPr>
        <w:tc>
          <w:tcPr>
            <w:tcW w:w="526" w:type="dxa"/>
            <w:tcBorders>
              <w:top w:val="single" w:sz="4" w:space="0" w:color="auto"/>
              <w:left w:val="single" w:sz="4" w:space="0" w:color="auto"/>
              <w:bottom w:val="single" w:sz="4" w:space="0" w:color="auto"/>
              <w:right w:val="single" w:sz="4" w:space="0" w:color="auto"/>
            </w:tcBorders>
            <w:hideMark/>
          </w:tcPr>
          <w:p w14:paraId="059B8403" w14:textId="77777777" w:rsidR="002C502D" w:rsidRPr="009F2DDB" w:rsidRDefault="002C502D" w:rsidP="00203F2A">
            <w:pPr>
              <w:pStyle w:val="NoSpacing"/>
              <w:jc w:val="both"/>
              <w:rPr>
                <w:sz w:val="20"/>
                <w:szCs w:val="20"/>
              </w:rPr>
            </w:pPr>
            <w:bookmarkStart w:id="62" w:name="_Hlk530571728"/>
            <w:bookmarkEnd w:id="61"/>
            <w:r w:rsidRPr="009F2DDB">
              <w:rPr>
                <w:sz w:val="20"/>
                <w:szCs w:val="20"/>
              </w:rPr>
              <w:t>7</w:t>
            </w:r>
          </w:p>
        </w:tc>
        <w:tc>
          <w:tcPr>
            <w:tcW w:w="1560" w:type="dxa"/>
            <w:tcBorders>
              <w:top w:val="single" w:sz="4" w:space="0" w:color="auto"/>
              <w:left w:val="single" w:sz="4" w:space="0" w:color="auto"/>
              <w:bottom w:val="single" w:sz="4" w:space="0" w:color="auto"/>
              <w:right w:val="single" w:sz="4" w:space="0" w:color="auto"/>
            </w:tcBorders>
          </w:tcPr>
          <w:p w14:paraId="3A240C41" w14:textId="77777777" w:rsidR="002C502D" w:rsidRPr="009F2DDB" w:rsidRDefault="002C502D" w:rsidP="00203F2A">
            <w:pPr>
              <w:pStyle w:val="NoSpacing"/>
              <w:jc w:val="both"/>
              <w:rPr>
                <w:sz w:val="20"/>
                <w:szCs w:val="20"/>
              </w:rPr>
            </w:pPr>
            <w:r w:rsidRPr="009F2DDB">
              <w:rPr>
                <w:sz w:val="20"/>
                <w:szCs w:val="20"/>
              </w:rPr>
              <w:t>Renfurm</w:t>
            </w:r>
          </w:p>
        </w:tc>
        <w:tc>
          <w:tcPr>
            <w:tcW w:w="1418" w:type="dxa"/>
            <w:tcBorders>
              <w:top w:val="single" w:sz="4" w:space="0" w:color="auto"/>
              <w:left w:val="single" w:sz="4" w:space="0" w:color="auto"/>
              <w:bottom w:val="single" w:sz="4" w:space="0" w:color="auto"/>
              <w:right w:val="single" w:sz="4" w:space="0" w:color="auto"/>
            </w:tcBorders>
          </w:tcPr>
          <w:p w14:paraId="13F6F70D" w14:textId="77777777" w:rsidR="002C502D" w:rsidRPr="009F2DDB" w:rsidRDefault="002C502D" w:rsidP="00203F2A">
            <w:pPr>
              <w:pStyle w:val="NoSpacing"/>
              <w:jc w:val="both"/>
              <w:rPr>
                <w:sz w:val="20"/>
                <w:szCs w:val="20"/>
              </w:rPr>
            </w:pPr>
            <w:r w:rsidRPr="009F2DDB">
              <w:rPr>
                <w:sz w:val="20"/>
                <w:szCs w:val="20"/>
              </w:rPr>
              <w:t>Jerrol</w:t>
            </w:r>
          </w:p>
        </w:tc>
        <w:tc>
          <w:tcPr>
            <w:tcW w:w="5406" w:type="dxa"/>
            <w:tcBorders>
              <w:top w:val="single" w:sz="4" w:space="0" w:color="auto"/>
              <w:left w:val="single" w:sz="4" w:space="0" w:color="auto"/>
              <w:bottom w:val="single" w:sz="4" w:space="0" w:color="auto"/>
              <w:right w:val="single" w:sz="4" w:space="0" w:color="auto"/>
            </w:tcBorders>
          </w:tcPr>
          <w:p w14:paraId="0470749C" w14:textId="73E255C3" w:rsidR="002C502D" w:rsidRPr="009F2DDB" w:rsidRDefault="002C502D" w:rsidP="00203F2A">
            <w:pPr>
              <w:pStyle w:val="NoSpacing"/>
              <w:jc w:val="both"/>
              <w:rPr>
                <w:sz w:val="20"/>
                <w:szCs w:val="20"/>
              </w:rPr>
            </w:pPr>
            <w:r w:rsidRPr="009F2DDB">
              <w:rPr>
                <w:sz w:val="20"/>
                <w:szCs w:val="20"/>
              </w:rPr>
              <w:t>MTIT</w:t>
            </w:r>
            <w:r>
              <w:rPr>
                <w:sz w:val="20"/>
                <w:szCs w:val="20"/>
              </w:rPr>
              <w:t xml:space="preserve"> – </w:t>
            </w:r>
            <w:r w:rsidRPr="009F2DDB">
              <w:rPr>
                <w:sz w:val="20"/>
                <w:szCs w:val="20"/>
              </w:rPr>
              <w:t>PU</w:t>
            </w:r>
          </w:p>
        </w:tc>
      </w:tr>
      <w:bookmarkEnd w:id="62"/>
      <w:tr w:rsidR="002C502D" w:rsidRPr="007A3D7B" w14:paraId="23117147" w14:textId="77777777" w:rsidTr="002C502D">
        <w:trPr>
          <w:gridAfter w:val="1"/>
          <w:wAfter w:w="21" w:type="dxa"/>
          <w:trHeight w:val="80"/>
        </w:trPr>
        <w:tc>
          <w:tcPr>
            <w:tcW w:w="526" w:type="dxa"/>
            <w:tcBorders>
              <w:top w:val="single" w:sz="4" w:space="0" w:color="auto"/>
              <w:left w:val="single" w:sz="4" w:space="0" w:color="auto"/>
              <w:bottom w:val="single" w:sz="4" w:space="0" w:color="auto"/>
              <w:right w:val="single" w:sz="4" w:space="0" w:color="auto"/>
            </w:tcBorders>
          </w:tcPr>
          <w:p w14:paraId="1F0EC7CF" w14:textId="055D37E1" w:rsidR="002C502D" w:rsidRPr="007A3D7B" w:rsidRDefault="002C502D" w:rsidP="00203F2A">
            <w:pPr>
              <w:pStyle w:val="NoSpacing"/>
              <w:jc w:val="both"/>
              <w:rPr>
                <w:sz w:val="20"/>
                <w:szCs w:val="20"/>
              </w:rPr>
            </w:pPr>
            <w:r>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15141B81" w14:textId="46DD3D67" w:rsidR="002C502D" w:rsidRPr="007A3D7B" w:rsidRDefault="002C502D" w:rsidP="00203F2A">
            <w:pPr>
              <w:pStyle w:val="NoSpacing"/>
              <w:jc w:val="both"/>
              <w:rPr>
                <w:sz w:val="20"/>
                <w:szCs w:val="20"/>
              </w:rPr>
            </w:pPr>
            <w:r w:rsidRPr="007A3D7B">
              <w:rPr>
                <w:sz w:val="20"/>
                <w:szCs w:val="20"/>
              </w:rPr>
              <w:t>Anderson</w:t>
            </w:r>
          </w:p>
        </w:tc>
        <w:tc>
          <w:tcPr>
            <w:tcW w:w="1418" w:type="dxa"/>
            <w:tcBorders>
              <w:top w:val="single" w:sz="4" w:space="0" w:color="auto"/>
              <w:left w:val="single" w:sz="4" w:space="0" w:color="auto"/>
              <w:bottom w:val="single" w:sz="4" w:space="0" w:color="auto"/>
              <w:right w:val="single" w:sz="4" w:space="0" w:color="auto"/>
            </w:tcBorders>
          </w:tcPr>
          <w:p w14:paraId="3F6FEC65" w14:textId="30898045" w:rsidR="002C502D" w:rsidRPr="007A3D7B" w:rsidRDefault="002C502D" w:rsidP="00203F2A">
            <w:pPr>
              <w:pStyle w:val="NoSpacing"/>
              <w:jc w:val="both"/>
              <w:rPr>
                <w:sz w:val="20"/>
                <w:szCs w:val="20"/>
              </w:rPr>
            </w:pPr>
            <w:r w:rsidRPr="007A3D7B">
              <w:rPr>
                <w:sz w:val="20"/>
                <w:szCs w:val="20"/>
              </w:rPr>
              <w:t>John</w:t>
            </w:r>
          </w:p>
        </w:tc>
        <w:tc>
          <w:tcPr>
            <w:tcW w:w="5406" w:type="dxa"/>
            <w:tcBorders>
              <w:top w:val="single" w:sz="4" w:space="0" w:color="auto"/>
              <w:left w:val="single" w:sz="4" w:space="0" w:color="auto"/>
              <w:bottom w:val="single" w:sz="4" w:space="0" w:color="auto"/>
              <w:right w:val="single" w:sz="4" w:space="0" w:color="auto"/>
            </w:tcBorders>
          </w:tcPr>
          <w:p w14:paraId="43CCB1F0" w14:textId="260AA777" w:rsidR="002C502D" w:rsidRPr="007A3D7B" w:rsidRDefault="002C502D" w:rsidP="00203F2A">
            <w:pPr>
              <w:pStyle w:val="NoSpacing"/>
              <w:jc w:val="both"/>
              <w:rPr>
                <w:sz w:val="20"/>
                <w:szCs w:val="20"/>
              </w:rPr>
            </w:pPr>
            <w:r w:rsidRPr="007A3D7B">
              <w:rPr>
                <w:sz w:val="20"/>
                <w:szCs w:val="20"/>
              </w:rPr>
              <w:t>WBG</w:t>
            </w:r>
          </w:p>
        </w:tc>
      </w:tr>
      <w:tr w:rsidR="002C502D" w:rsidRPr="009F2DDB" w14:paraId="2F399E59" w14:textId="77777777" w:rsidTr="002C502D">
        <w:trPr>
          <w:gridAfter w:val="1"/>
          <w:wAfter w:w="21" w:type="dxa"/>
          <w:trHeight w:val="98"/>
        </w:trPr>
        <w:tc>
          <w:tcPr>
            <w:tcW w:w="526" w:type="dxa"/>
            <w:tcBorders>
              <w:top w:val="single" w:sz="4" w:space="0" w:color="auto"/>
              <w:left w:val="single" w:sz="4" w:space="0" w:color="auto"/>
              <w:bottom w:val="single" w:sz="4" w:space="0" w:color="auto"/>
              <w:right w:val="single" w:sz="4" w:space="0" w:color="auto"/>
            </w:tcBorders>
            <w:hideMark/>
          </w:tcPr>
          <w:p w14:paraId="33C912E8" w14:textId="6DDEB1D3" w:rsidR="002C502D" w:rsidRPr="009F2DDB" w:rsidRDefault="002C502D" w:rsidP="00203F2A">
            <w:pPr>
              <w:pStyle w:val="NoSpacing"/>
              <w:jc w:val="both"/>
              <w:rPr>
                <w:sz w:val="20"/>
                <w:szCs w:val="20"/>
              </w:rPr>
            </w:pPr>
            <w:r>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14:paraId="43E715FD" w14:textId="77777777" w:rsidR="002C502D" w:rsidRPr="009F2DDB" w:rsidRDefault="002C502D" w:rsidP="00203F2A">
            <w:pPr>
              <w:pStyle w:val="NoSpacing"/>
              <w:jc w:val="both"/>
              <w:rPr>
                <w:sz w:val="20"/>
                <w:szCs w:val="20"/>
              </w:rPr>
            </w:pPr>
            <w:r w:rsidRPr="009F2DDB">
              <w:rPr>
                <w:sz w:val="20"/>
                <w:szCs w:val="20"/>
              </w:rPr>
              <w:t>Djasman</w:t>
            </w:r>
          </w:p>
        </w:tc>
        <w:tc>
          <w:tcPr>
            <w:tcW w:w="1418" w:type="dxa"/>
            <w:tcBorders>
              <w:top w:val="single" w:sz="4" w:space="0" w:color="auto"/>
              <w:left w:val="single" w:sz="4" w:space="0" w:color="auto"/>
              <w:bottom w:val="single" w:sz="4" w:space="0" w:color="auto"/>
              <w:right w:val="single" w:sz="4" w:space="0" w:color="auto"/>
            </w:tcBorders>
          </w:tcPr>
          <w:p w14:paraId="13435E3C" w14:textId="77777777" w:rsidR="002C502D" w:rsidRPr="009F2DDB" w:rsidRDefault="002C502D" w:rsidP="00203F2A">
            <w:pPr>
              <w:pStyle w:val="NoSpacing"/>
              <w:jc w:val="both"/>
              <w:rPr>
                <w:sz w:val="20"/>
                <w:szCs w:val="20"/>
              </w:rPr>
            </w:pPr>
            <w:r w:rsidRPr="009F2DDB">
              <w:rPr>
                <w:sz w:val="20"/>
                <w:szCs w:val="20"/>
              </w:rPr>
              <w:t>Jean</w:t>
            </w:r>
          </w:p>
        </w:tc>
        <w:tc>
          <w:tcPr>
            <w:tcW w:w="5406" w:type="dxa"/>
            <w:tcBorders>
              <w:top w:val="single" w:sz="4" w:space="0" w:color="auto"/>
              <w:left w:val="single" w:sz="4" w:space="0" w:color="auto"/>
              <w:bottom w:val="single" w:sz="4" w:space="0" w:color="auto"/>
              <w:right w:val="single" w:sz="4" w:space="0" w:color="auto"/>
            </w:tcBorders>
          </w:tcPr>
          <w:p w14:paraId="1A82D6AD" w14:textId="3DB890AC" w:rsidR="002C502D" w:rsidRPr="009F2DDB" w:rsidRDefault="002C502D" w:rsidP="00203F2A">
            <w:pPr>
              <w:pStyle w:val="NoSpacing"/>
              <w:jc w:val="both"/>
              <w:rPr>
                <w:sz w:val="20"/>
                <w:szCs w:val="20"/>
              </w:rPr>
            </w:pPr>
            <w:r w:rsidRPr="009F2DDB">
              <w:rPr>
                <w:sz w:val="20"/>
                <w:szCs w:val="20"/>
              </w:rPr>
              <w:t>MTIT</w:t>
            </w:r>
            <w:r>
              <w:rPr>
                <w:sz w:val="20"/>
                <w:szCs w:val="20"/>
              </w:rPr>
              <w:t xml:space="preserve"> – </w:t>
            </w:r>
            <w:r w:rsidRPr="009F2DDB">
              <w:rPr>
                <w:sz w:val="20"/>
                <w:szCs w:val="20"/>
              </w:rPr>
              <w:t>PU</w:t>
            </w:r>
          </w:p>
        </w:tc>
      </w:tr>
      <w:tr w:rsidR="002C502D" w:rsidRPr="009F2DDB" w14:paraId="109A4080" w14:textId="77777777" w:rsidTr="002C502D">
        <w:trPr>
          <w:gridAfter w:val="1"/>
          <w:wAfter w:w="21" w:type="dxa"/>
          <w:trHeight w:val="107"/>
        </w:trPr>
        <w:tc>
          <w:tcPr>
            <w:tcW w:w="526" w:type="dxa"/>
            <w:tcBorders>
              <w:top w:val="single" w:sz="4" w:space="0" w:color="auto"/>
              <w:left w:val="single" w:sz="4" w:space="0" w:color="auto"/>
              <w:bottom w:val="single" w:sz="4" w:space="0" w:color="auto"/>
              <w:right w:val="single" w:sz="4" w:space="0" w:color="auto"/>
            </w:tcBorders>
            <w:hideMark/>
          </w:tcPr>
          <w:p w14:paraId="507C7DE5" w14:textId="6C6C84E8" w:rsidR="002C502D" w:rsidRPr="009F2DDB" w:rsidRDefault="002C502D" w:rsidP="00203F2A">
            <w:pPr>
              <w:pStyle w:val="NoSpacing"/>
              <w:jc w:val="both"/>
              <w:rPr>
                <w:sz w:val="20"/>
                <w:szCs w:val="20"/>
              </w:rPr>
            </w:pPr>
            <w:r>
              <w:rPr>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52F6918F" w14:textId="77777777" w:rsidR="002C502D" w:rsidRPr="009F2DDB" w:rsidRDefault="002C502D" w:rsidP="00203F2A">
            <w:pPr>
              <w:pStyle w:val="NoSpacing"/>
              <w:jc w:val="both"/>
              <w:rPr>
                <w:sz w:val="20"/>
                <w:szCs w:val="20"/>
              </w:rPr>
            </w:pPr>
            <w:r w:rsidRPr="009F2DDB">
              <w:rPr>
                <w:sz w:val="20"/>
                <w:szCs w:val="20"/>
              </w:rPr>
              <w:t>Gurcanlar</w:t>
            </w:r>
          </w:p>
        </w:tc>
        <w:tc>
          <w:tcPr>
            <w:tcW w:w="1418" w:type="dxa"/>
            <w:tcBorders>
              <w:top w:val="single" w:sz="4" w:space="0" w:color="auto"/>
              <w:left w:val="single" w:sz="4" w:space="0" w:color="auto"/>
              <w:bottom w:val="single" w:sz="4" w:space="0" w:color="auto"/>
              <w:right w:val="single" w:sz="4" w:space="0" w:color="auto"/>
            </w:tcBorders>
          </w:tcPr>
          <w:p w14:paraId="583AECD8" w14:textId="77777777" w:rsidR="002C502D" w:rsidRPr="009F2DDB" w:rsidRDefault="002C502D" w:rsidP="00203F2A">
            <w:pPr>
              <w:pStyle w:val="NoSpacing"/>
              <w:jc w:val="both"/>
              <w:rPr>
                <w:sz w:val="20"/>
                <w:szCs w:val="20"/>
              </w:rPr>
            </w:pPr>
            <w:r w:rsidRPr="009F2DDB">
              <w:rPr>
                <w:sz w:val="20"/>
                <w:szCs w:val="20"/>
              </w:rPr>
              <w:t>Tugba</w:t>
            </w:r>
          </w:p>
        </w:tc>
        <w:tc>
          <w:tcPr>
            <w:tcW w:w="5406" w:type="dxa"/>
            <w:tcBorders>
              <w:top w:val="single" w:sz="4" w:space="0" w:color="auto"/>
              <w:left w:val="single" w:sz="4" w:space="0" w:color="auto"/>
              <w:bottom w:val="single" w:sz="4" w:space="0" w:color="auto"/>
              <w:right w:val="single" w:sz="4" w:space="0" w:color="auto"/>
            </w:tcBorders>
          </w:tcPr>
          <w:p w14:paraId="679D08C3" w14:textId="77777777" w:rsidR="002C502D" w:rsidRPr="009F2DDB" w:rsidRDefault="002C502D" w:rsidP="00203F2A">
            <w:pPr>
              <w:pStyle w:val="NoSpacing"/>
              <w:jc w:val="both"/>
              <w:rPr>
                <w:sz w:val="20"/>
                <w:szCs w:val="20"/>
              </w:rPr>
            </w:pPr>
            <w:r w:rsidRPr="009F2DDB">
              <w:rPr>
                <w:sz w:val="20"/>
                <w:szCs w:val="20"/>
              </w:rPr>
              <w:t>WBG</w:t>
            </w:r>
          </w:p>
        </w:tc>
      </w:tr>
      <w:tr w:rsidR="002C502D" w:rsidRPr="009F2DDB" w14:paraId="28A92712" w14:textId="77777777" w:rsidTr="002C502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08A93802" w14:textId="4950EBCC" w:rsidR="002C502D" w:rsidRPr="009F2DDB" w:rsidRDefault="002C502D" w:rsidP="00203F2A">
            <w:pPr>
              <w:pStyle w:val="NoSpacing"/>
              <w:jc w:val="both"/>
              <w:rPr>
                <w:sz w:val="20"/>
                <w:szCs w:val="20"/>
              </w:rPr>
            </w:pPr>
            <w:r w:rsidRPr="009F2DDB">
              <w:rPr>
                <w:sz w:val="20"/>
                <w:szCs w:val="20"/>
              </w:rPr>
              <w:t>1</w:t>
            </w:r>
            <w:r>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5ED65F78" w14:textId="77777777" w:rsidR="002C502D" w:rsidRPr="009F2DDB" w:rsidRDefault="002C502D" w:rsidP="00203F2A">
            <w:pPr>
              <w:pStyle w:val="NoSpacing"/>
              <w:jc w:val="both"/>
              <w:rPr>
                <w:sz w:val="20"/>
                <w:szCs w:val="20"/>
              </w:rPr>
            </w:pPr>
            <w:r w:rsidRPr="009F2DDB">
              <w:rPr>
                <w:sz w:val="20"/>
                <w:szCs w:val="20"/>
              </w:rPr>
              <w:t>Marbach</w:t>
            </w:r>
          </w:p>
        </w:tc>
        <w:tc>
          <w:tcPr>
            <w:tcW w:w="1418" w:type="dxa"/>
            <w:tcBorders>
              <w:top w:val="single" w:sz="4" w:space="0" w:color="auto"/>
              <w:left w:val="single" w:sz="4" w:space="0" w:color="auto"/>
              <w:bottom w:val="single" w:sz="4" w:space="0" w:color="auto"/>
              <w:right w:val="single" w:sz="4" w:space="0" w:color="auto"/>
            </w:tcBorders>
          </w:tcPr>
          <w:p w14:paraId="61196804" w14:textId="77777777" w:rsidR="002C502D" w:rsidRPr="009F2DDB" w:rsidRDefault="002C502D" w:rsidP="00203F2A">
            <w:pPr>
              <w:pStyle w:val="NoSpacing"/>
              <w:jc w:val="both"/>
              <w:rPr>
                <w:sz w:val="20"/>
                <w:szCs w:val="20"/>
              </w:rPr>
            </w:pPr>
            <w:r w:rsidRPr="009F2DDB">
              <w:rPr>
                <w:sz w:val="20"/>
                <w:szCs w:val="20"/>
              </w:rPr>
              <w:t>Vivian</w:t>
            </w:r>
          </w:p>
        </w:tc>
        <w:tc>
          <w:tcPr>
            <w:tcW w:w="5406" w:type="dxa"/>
            <w:tcBorders>
              <w:top w:val="single" w:sz="4" w:space="0" w:color="auto"/>
              <w:left w:val="single" w:sz="4" w:space="0" w:color="auto"/>
              <w:bottom w:val="single" w:sz="4" w:space="0" w:color="auto"/>
              <w:right w:val="single" w:sz="4" w:space="0" w:color="auto"/>
            </w:tcBorders>
          </w:tcPr>
          <w:p w14:paraId="26B85119" w14:textId="59B2F565"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 xml:space="preserve"> Industry</w:t>
            </w:r>
          </w:p>
        </w:tc>
      </w:tr>
      <w:tr w:rsidR="002C502D" w:rsidRPr="009F2DDB" w14:paraId="0602D1C2" w14:textId="77777777" w:rsidTr="002C502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tcPr>
          <w:p w14:paraId="7C4CB44D" w14:textId="120E195A" w:rsidR="002C502D" w:rsidRPr="009F2DDB" w:rsidRDefault="002C502D" w:rsidP="00203F2A">
            <w:pPr>
              <w:pStyle w:val="NoSpacing"/>
              <w:jc w:val="both"/>
              <w:rPr>
                <w:sz w:val="20"/>
                <w:szCs w:val="20"/>
              </w:rPr>
            </w:pPr>
            <w:bookmarkStart w:id="63" w:name="_Hlk530571653"/>
            <w:r>
              <w:rPr>
                <w:sz w:val="20"/>
                <w:szCs w:val="20"/>
              </w:rPr>
              <w:t>12</w:t>
            </w:r>
          </w:p>
        </w:tc>
        <w:tc>
          <w:tcPr>
            <w:tcW w:w="1560" w:type="dxa"/>
            <w:tcBorders>
              <w:top w:val="single" w:sz="4" w:space="0" w:color="auto"/>
              <w:left w:val="single" w:sz="4" w:space="0" w:color="auto"/>
              <w:bottom w:val="single" w:sz="4" w:space="0" w:color="auto"/>
              <w:right w:val="single" w:sz="4" w:space="0" w:color="auto"/>
            </w:tcBorders>
          </w:tcPr>
          <w:p w14:paraId="25ADFB37" w14:textId="02BF71DB" w:rsidR="002C502D" w:rsidRPr="009F2DDB" w:rsidRDefault="002C502D" w:rsidP="00203F2A">
            <w:pPr>
              <w:pStyle w:val="NoSpacing"/>
              <w:jc w:val="both"/>
              <w:rPr>
                <w:sz w:val="20"/>
                <w:szCs w:val="20"/>
              </w:rPr>
            </w:pPr>
            <w:r>
              <w:rPr>
                <w:sz w:val="20"/>
                <w:szCs w:val="20"/>
              </w:rPr>
              <w:t>Heemskerk</w:t>
            </w:r>
          </w:p>
        </w:tc>
        <w:tc>
          <w:tcPr>
            <w:tcW w:w="1418" w:type="dxa"/>
            <w:tcBorders>
              <w:top w:val="single" w:sz="4" w:space="0" w:color="auto"/>
              <w:left w:val="single" w:sz="4" w:space="0" w:color="auto"/>
              <w:bottom w:val="single" w:sz="4" w:space="0" w:color="auto"/>
              <w:right w:val="single" w:sz="4" w:space="0" w:color="auto"/>
            </w:tcBorders>
          </w:tcPr>
          <w:p w14:paraId="1E8B2F98" w14:textId="2D0FD63F" w:rsidR="002C502D" w:rsidRPr="009F2DDB" w:rsidRDefault="002C502D" w:rsidP="00203F2A">
            <w:pPr>
              <w:pStyle w:val="NoSpacing"/>
              <w:jc w:val="both"/>
              <w:rPr>
                <w:sz w:val="20"/>
                <w:szCs w:val="20"/>
              </w:rPr>
            </w:pPr>
            <w:r>
              <w:rPr>
                <w:sz w:val="20"/>
                <w:szCs w:val="20"/>
              </w:rPr>
              <w:t>Marieke</w:t>
            </w:r>
          </w:p>
        </w:tc>
        <w:tc>
          <w:tcPr>
            <w:tcW w:w="5406" w:type="dxa"/>
            <w:tcBorders>
              <w:top w:val="single" w:sz="4" w:space="0" w:color="auto"/>
              <w:left w:val="single" w:sz="4" w:space="0" w:color="auto"/>
              <w:bottom w:val="single" w:sz="4" w:space="0" w:color="auto"/>
              <w:right w:val="single" w:sz="4" w:space="0" w:color="auto"/>
            </w:tcBorders>
          </w:tcPr>
          <w:p w14:paraId="5CADA00D" w14:textId="2D37BEBD" w:rsidR="002C502D" w:rsidRPr="009F2DDB" w:rsidRDefault="002C502D" w:rsidP="00203F2A">
            <w:pPr>
              <w:pStyle w:val="NoSpacing"/>
              <w:jc w:val="both"/>
              <w:rPr>
                <w:sz w:val="20"/>
                <w:szCs w:val="20"/>
              </w:rPr>
            </w:pPr>
            <w:r>
              <w:rPr>
                <w:sz w:val="20"/>
                <w:szCs w:val="20"/>
              </w:rPr>
              <w:t>Social Solutions – WBG consultant</w:t>
            </w:r>
          </w:p>
        </w:tc>
      </w:tr>
      <w:bookmarkEnd w:id="63"/>
      <w:tr w:rsidR="00C24116" w:rsidRPr="009F2DDB" w14:paraId="7C3B4D80" w14:textId="77777777" w:rsidTr="007A3D7B">
        <w:trPr>
          <w:trHeight w:val="530"/>
        </w:trPr>
        <w:tc>
          <w:tcPr>
            <w:tcW w:w="893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ACA051" w14:textId="77777777" w:rsidR="007A3D7B" w:rsidRDefault="00C24116" w:rsidP="00203F2A">
            <w:pPr>
              <w:pStyle w:val="NoSpacing"/>
              <w:jc w:val="both"/>
              <w:rPr>
                <w:b/>
                <w:sz w:val="20"/>
                <w:szCs w:val="20"/>
              </w:rPr>
            </w:pPr>
            <w:r w:rsidRPr="009F2DDB">
              <w:rPr>
                <w:b/>
                <w:sz w:val="20"/>
                <w:szCs w:val="20"/>
              </w:rPr>
              <w:t>S</w:t>
            </w:r>
            <w:r>
              <w:rPr>
                <w:b/>
                <w:sz w:val="20"/>
                <w:szCs w:val="20"/>
              </w:rPr>
              <w:t>ESSION</w:t>
            </w:r>
            <w:r w:rsidRPr="009F2DDB">
              <w:rPr>
                <w:b/>
                <w:sz w:val="20"/>
                <w:szCs w:val="20"/>
              </w:rPr>
              <w:t xml:space="preserve"> 2</w:t>
            </w:r>
            <w:r>
              <w:rPr>
                <w:b/>
                <w:sz w:val="20"/>
                <w:szCs w:val="20"/>
              </w:rPr>
              <w:t xml:space="preserve">: Environmental and Social </w:t>
            </w:r>
            <w:r w:rsidR="007A3D7B">
              <w:rPr>
                <w:b/>
                <w:sz w:val="20"/>
                <w:szCs w:val="20"/>
              </w:rPr>
              <w:t xml:space="preserve">Management </w:t>
            </w:r>
            <w:r>
              <w:rPr>
                <w:b/>
                <w:sz w:val="20"/>
                <w:szCs w:val="20"/>
              </w:rPr>
              <w:t xml:space="preserve">Framework </w:t>
            </w:r>
            <w:r w:rsidR="007A3D7B">
              <w:rPr>
                <w:b/>
                <w:sz w:val="20"/>
                <w:szCs w:val="20"/>
              </w:rPr>
              <w:t xml:space="preserve">(ESMF) </w:t>
            </w:r>
          </w:p>
          <w:p w14:paraId="12E527FA" w14:textId="44B594DA" w:rsidR="00C24116" w:rsidRPr="007A3D7B" w:rsidRDefault="007A3D7B" w:rsidP="00203F2A">
            <w:pPr>
              <w:pStyle w:val="NoSpacing"/>
              <w:jc w:val="both"/>
              <w:rPr>
                <w:sz w:val="20"/>
                <w:szCs w:val="20"/>
              </w:rPr>
            </w:pPr>
            <w:r>
              <w:rPr>
                <w:b/>
                <w:sz w:val="20"/>
                <w:szCs w:val="20"/>
              </w:rPr>
              <w:t xml:space="preserve">Including the Resettlement Policy Framework (RPF) </w:t>
            </w:r>
            <w:r>
              <w:rPr>
                <w:sz w:val="20"/>
                <w:szCs w:val="20"/>
              </w:rPr>
              <w:t>(as an annex to the ESMF)</w:t>
            </w:r>
          </w:p>
        </w:tc>
      </w:tr>
      <w:tr w:rsidR="002C502D" w:rsidRPr="009F2DDB" w14:paraId="5DC764B4" w14:textId="77777777" w:rsidTr="00C414FD">
        <w:trPr>
          <w:gridAfter w:val="1"/>
          <w:wAfter w:w="21" w:type="dxa"/>
          <w:trHeight w:val="152"/>
        </w:trPr>
        <w:tc>
          <w:tcPr>
            <w:tcW w:w="526" w:type="dxa"/>
            <w:tcBorders>
              <w:top w:val="single" w:sz="4" w:space="0" w:color="auto"/>
              <w:left w:val="single" w:sz="4" w:space="0" w:color="auto"/>
              <w:bottom w:val="single" w:sz="4" w:space="0" w:color="auto"/>
              <w:right w:val="single" w:sz="4" w:space="0" w:color="auto"/>
            </w:tcBorders>
            <w:hideMark/>
          </w:tcPr>
          <w:p w14:paraId="0A1923BC" w14:textId="77777777" w:rsidR="002C502D" w:rsidRPr="009F2DDB" w:rsidRDefault="002C502D" w:rsidP="00203F2A">
            <w:pPr>
              <w:pStyle w:val="NoSpacing"/>
              <w:jc w:val="both"/>
              <w:rPr>
                <w:sz w:val="20"/>
                <w:szCs w:val="20"/>
              </w:rPr>
            </w:pPr>
            <w:r w:rsidRPr="009F2DDB">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017C9D12" w14:textId="77777777" w:rsidR="002C502D" w:rsidRPr="009F2DDB" w:rsidRDefault="002C502D" w:rsidP="00203F2A">
            <w:pPr>
              <w:pStyle w:val="NoSpacing"/>
              <w:jc w:val="both"/>
              <w:rPr>
                <w:sz w:val="20"/>
                <w:szCs w:val="20"/>
              </w:rPr>
            </w:pPr>
            <w:r w:rsidRPr="009F2DDB">
              <w:rPr>
                <w:sz w:val="20"/>
                <w:szCs w:val="20"/>
              </w:rPr>
              <w:t>Nojodimedjo</w:t>
            </w:r>
          </w:p>
        </w:tc>
        <w:tc>
          <w:tcPr>
            <w:tcW w:w="1418" w:type="dxa"/>
            <w:tcBorders>
              <w:top w:val="single" w:sz="4" w:space="0" w:color="auto"/>
              <w:left w:val="single" w:sz="4" w:space="0" w:color="auto"/>
              <w:bottom w:val="single" w:sz="4" w:space="0" w:color="auto"/>
              <w:right w:val="single" w:sz="4" w:space="0" w:color="auto"/>
            </w:tcBorders>
          </w:tcPr>
          <w:p w14:paraId="24A270BD" w14:textId="77777777" w:rsidR="002C502D" w:rsidRPr="009F2DDB" w:rsidRDefault="002C502D" w:rsidP="00203F2A">
            <w:pPr>
              <w:pStyle w:val="NoSpacing"/>
              <w:jc w:val="both"/>
              <w:rPr>
                <w:sz w:val="20"/>
                <w:szCs w:val="20"/>
              </w:rPr>
            </w:pPr>
            <w:r w:rsidRPr="009F2DDB">
              <w:rPr>
                <w:sz w:val="20"/>
                <w:szCs w:val="20"/>
              </w:rPr>
              <w:t>Raymon</w:t>
            </w:r>
          </w:p>
        </w:tc>
        <w:tc>
          <w:tcPr>
            <w:tcW w:w="5406" w:type="dxa"/>
            <w:tcBorders>
              <w:top w:val="single" w:sz="4" w:space="0" w:color="auto"/>
              <w:left w:val="single" w:sz="4" w:space="0" w:color="auto"/>
              <w:bottom w:val="single" w:sz="4" w:space="0" w:color="auto"/>
              <w:right w:val="single" w:sz="4" w:space="0" w:color="auto"/>
            </w:tcBorders>
          </w:tcPr>
          <w:p w14:paraId="06CBDB28" w14:textId="1A1DAB38" w:rsidR="002C502D" w:rsidRPr="009F2DDB" w:rsidRDefault="002C502D" w:rsidP="00203F2A">
            <w:pPr>
              <w:pStyle w:val="NoSpacing"/>
              <w:jc w:val="both"/>
              <w:rPr>
                <w:sz w:val="20"/>
                <w:szCs w:val="20"/>
              </w:rPr>
            </w:pPr>
            <w:r>
              <w:rPr>
                <w:sz w:val="20"/>
                <w:szCs w:val="20"/>
              </w:rPr>
              <w:t xml:space="preserve">MAAF - </w:t>
            </w:r>
            <w:r w:rsidRPr="009F2DDB">
              <w:rPr>
                <w:sz w:val="20"/>
                <w:szCs w:val="20"/>
              </w:rPr>
              <w:t>PU</w:t>
            </w:r>
          </w:p>
        </w:tc>
      </w:tr>
      <w:tr w:rsidR="002C502D" w:rsidRPr="009F2DDB" w14:paraId="78C4EAA9" w14:textId="77777777" w:rsidTr="00C414FD">
        <w:trPr>
          <w:gridAfter w:val="1"/>
          <w:wAfter w:w="21" w:type="dxa"/>
          <w:trHeight w:val="170"/>
        </w:trPr>
        <w:tc>
          <w:tcPr>
            <w:tcW w:w="526" w:type="dxa"/>
            <w:tcBorders>
              <w:top w:val="single" w:sz="4" w:space="0" w:color="auto"/>
              <w:left w:val="single" w:sz="4" w:space="0" w:color="auto"/>
              <w:bottom w:val="single" w:sz="4" w:space="0" w:color="auto"/>
              <w:right w:val="single" w:sz="4" w:space="0" w:color="auto"/>
            </w:tcBorders>
            <w:hideMark/>
          </w:tcPr>
          <w:p w14:paraId="456F359E" w14:textId="77777777" w:rsidR="002C502D" w:rsidRPr="009F2DDB" w:rsidRDefault="002C502D" w:rsidP="00203F2A">
            <w:pPr>
              <w:pStyle w:val="NoSpacing"/>
              <w:jc w:val="both"/>
              <w:rPr>
                <w:sz w:val="20"/>
                <w:szCs w:val="20"/>
              </w:rPr>
            </w:pPr>
            <w:r w:rsidRPr="009F2DDB">
              <w:rPr>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5668BB46" w14:textId="77777777" w:rsidR="002C502D" w:rsidRPr="009F2DDB" w:rsidRDefault="002C502D" w:rsidP="00203F2A">
            <w:pPr>
              <w:pStyle w:val="NoSpacing"/>
              <w:jc w:val="both"/>
              <w:rPr>
                <w:sz w:val="20"/>
                <w:szCs w:val="20"/>
              </w:rPr>
            </w:pPr>
            <w:proofErr w:type="spellStart"/>
            <w:r w:rsidRPr="009F2DDB">
              <w:rPr>
                <w:sz w:val="20"/>
                <w:szCs w:val="20"/>
              </w:rPr>
              <w:t>Tjon</w:t>
            </w:r>
            <w:proofErr w:type="spellEnd"/>
            <w:r w:rsidRPr="009F2DDB">
              <w:rPr>
                <w:sz w:val="20"/>
                <w:szCs w:val="20"/>
              </w:rPr>
              <w:t xml:space="preserve"> A Kon</w:t>
            </w:r>
          </w:p>
        </w:tc>
        <w:tc>
          <w:tcPr>
            <w:tcW w:w="1418" w:type="dxa"/>
            <w:tcBorders>
              <w:top w:val="single" w:sz="4" w:space="0" w:color="auto"/>
              <w:left w:val="single" w:sz="4" w:space="0" w:color="auto"/>
              <w:bottom w:val="single" w:sz="4" w:space="0" w:color="auto"/>
              <w:right w:val="single" w:sz="4" w:space="0" w:color="auto"/>
            </w:tcBorders>
          </w:tcPr>
          <w:p w14:paraId="0AE55435" w14:textId="77777777" w:rsidR="002C502D" w:rsidRPr="009F2DDB" w:rsidRDefault="002C502D" w:rsidP="00203F2A">
            <w:pPr>
              <w:pStyle w:val="NoSpacing"/>
              <w:jc w:val="both"/>
              <w:rPr>
                <w:sz w:val="20"/>
                <w:szCs w:val="20"/>
              </w:rPr>
            </w:pPr>
            <w:r w:rsidRPr="009F2DDB">
              <w:rPr>
                <w:sz w:val="20"/>
                <w:szCs w:val="20"/>
              </w:rPr>
              <w:t>Quan</w:t>
            </w:r>
          </w:p>
        </w:tc>
        <w:tc>
          <w:tcPr>
            <w:tcW w:w="5406" w:type="dxa"/>
            <w:tcBorders>
              <w:top w:val="single" w:sz="4" w:space="0" w:color="auto"/>
              <w:left w:val="single" w:sz="4" w:space="0" w:color="auto"/>
              <w:bottom w:val="single" w:sz="4" w:space="0" w:color="auto"/>
              <w:right w:val="single" w:sz="4" w:space="0" w:color="auto"/>
            </w:tcBorders>
          </w:tcPr>
          <w:p w14:paraId="1ADC3EB0" w14:textId="629520D7" w:rsidR="002C502D" w:rsidRPr="009F2DDB" w:rsidRDefault="002C502D" w:rsidP="00203F2A">
            <w:pPr>
              <w:pStyle w:val="NoSpacing"/>
              <w:jc w:val="both"/>
              <w:rPr>
                <w:sz w:val="20"/>
                <w:szCs w:val="20"/>
              </w:rPr>
            </w:pPr>
            <w:r w:rsidRPr="009F2DDB">
              <w:rPr>
                <w:sz w:val="20"/>
                <w:szCs w:val="20"/>
              </w:rPr>
              <w:t>N</w:t>
            </w:r>
            <w:r>
              <w:rPr>
                <w:sz w:val="20"/>
                <w:szCs w:val="20"/>
              </w:rPr>
              <w:t>IMOS</w:t>
            </w:r>
          </w:p>
        </w:tc>
      </w:tr>
      <w:tr w:rsidR="002C502D" w:rsidRPr="009F2DDB" w14:paraId="1BFEFFBE" w14:textId="77777777" w:rsidTr="00C414FD">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hideMark/>
          </w:tcPr>
          <w:p w14:paraId="356B4B7C" w14:textId="77777777" w:rsidR="002C502D" w:rsidRPr="009F2DDB" w:rsidRDefault="002C502D" w:rsidP="00203F2A">
            <w:pPr>
              <w:pStyle w:val="NoSpacing"/>
              <w:jc w:val="both"/>
              <w:rPr>
                <w:sz w:val="20"/>
                <w:szCs w:val="20"/>
              </w:rPr>
            </w:pPr>
            <w:r w:rsidRPr="009F2DDB">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703B91B6" w14:textId="77777777" w:rsidR="002C502D" w:rsidRPr="009F2DDB" w:rsidRDefault="002C502D" w:rsidP="00203F2A">
            <w:pPr>
              <w:pStyle w:val="NoSpacing"/>
              <w:jc w:val="both"/>
              <w:rPr>
                <w:sz w:val="20"/>
                <w:szCs w:val="20"/>
              </w:rPr>
            </w:pPr>
            <w:proofErr w:type="spellStart"/>
            <w:r w:rsidRPr="009F2DDB">
              <w:rPr>
                <w:sz w:val="20"/>
                <w:szCs w:val="20"/>
              </w:rPr>
              <w:t>Adraai</w:t>
            </w:r>
            <w:proofErr w:type="spellEnd"/>
          </w:p>
        </w:tc>
        <w:tc>
          <w:tcPr>
            <w:tcW w:w="1418" w:type="dxa"/>
            <w:tcBorders>
              <w:top w:val="single" w:sz="4" w:space="0" w:color="auto"/>
              <w:left w:val="single" w:sz="4" w:space="0" w:color="auto"/>
              <w:bottom w:val="single" w:sz="4" w:space="0" w:color="auto"/>
              <w:right w:val="single" w:sz="4" w:space="0" w:color="auto"/>
            </w:tcBorders>
          </w:tcPr>
          <w:p w14:paraId="3851DFC4" w14:textId="77777777" w:rsidR="002C502D" w:rsidRPr="009F2DDB" w:rsidRDefault="002C502D" w:rsidP="00203F2A">
            <w:pPr>
              <w:pStyle w:val="NoSpacing"/>
              <w:jc w:val="both"/>
              <w:rPr>
                <w:sz w:val="20"/>
                <w:szCs w:val="20"/>
              </w:rPr>
            </w:pPr>
            <w:r w:rsidRPr="009F2DDB">
              <w:rPr>
                <w:sz w:val="20"/>
                <w:szCs w:val="20"/>
              </w:rPr>
              <w:t>Consuela</w:t>
            </w:r>
          </w:p>
        </w:tc>
        <w:tc>
          <w:tcPr>
            <w:tcW w:w="5406" w:type="dxa"/>
            <w:tcBorders>
              <w:top w:val="single" w:sz="4" w:space="0" w:color="auto"/>
              <w:left w:val="single" w:sz="4" w:space="0" w:color="auto"/>
              <w:bottom w:val="single" w:sz="4" w:space="0" w:color="auto"/>
              <w:right w:val="single" w:sz="4" w:space="0" w:color="auto"/>
            </w:tcBorders>
          </w:tcPr>
          <w:p w14:paraId="3802245E" w14:textId="0FF986F8"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CUS</w:t>
            </w:r>
          </w:p>
        </w:tc>
      </w:tr>
      <w:tr w:rsidR="002C502D" w:rsidRPr="009F2DDB" w14:paraId="14B27E69" w14:textId="77777777" w:rsidTr="00C414FD">
        <w:trPr>
          <w:gridAfter w:val="1"/>
          <w:wAfter w:w="21" w:type="dxa"/>
          <w:trHeight w:val="197"/>
        </w:trPr>
        <w:tc>
          <w:tcPr>
            <w:tcW w:w="526" w:type="dxa"/>
            <w:tcBorders>
              <w:top w:val="single" w:sz="4" w:space="0" w:color="auto"/>
              <w:left w:val="single" w:sz="4" w:space="0" w:color="auto"/>
              <w:bottom w:val="single" w:sz="4" w:space="0" w:color="auto"/>
              <w:right w:val="single" w:sz="4" w:space="0" w:color="auto"/>
            </w:tcBorders>
            <w:hideMark/>
          </w:tcPr>
          <w:p w14:paraId="20A5E814" w14:textId="77777777" w:rsidR="002C502D" w:rsidRPr="009F2DDB" w:rsidRDefault="002C502D" w:rsidP="00203F2A">
            <w:pPr>
              <w:pStyle w:val="NoSpacing"/>
              <w:jc w:val="both"/>
              <w:rPr>
                <w:sz w:val="20"/>
                <w:szCs w:val="20"/>
              </w:rPr>
            </w:pPr>
            <w:r w:rsidRPr="009F2DDB">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17C508C1" w14:textId="77777777" w:rsidR="002C502D" w:rsidRPr="009F2DDB" w:rsidRDefault="002C502D" w:rsidP="00203F2A">
            <w:pPr>
              <w:pStyle w:val="NoSpacing"/>
              <w:jc w:val="both"/>
              <w:rPr>
                <w:sz w:val="20"/>
                <w:szCs w:val="20"/>
              </w:rPr>
            </w:pPr>
            <w:proofErr w:type="spellStart"/>
            <w:r w:rsidRPr="009F2DDB">
              <w:rPr>
                <w:sz w:val="20"/>
                <w:szCs w:val="20"/>
              </w:rPr>
              <w:t>Motman</w:t>
            </w:r>
            <w:proofErr w:type="spellEnd"/>
          </w:p>
        </w:tc>
        <w:tc>
          <w:tcPr>
            <w:tcW w:w="1418" w:type="dxa"/>
            <w:tcBorders>
              <w:top w:val="single" w:sz="4" w:space="0" w:color="auto"/>
              <w:left w:val="single" w:sz="4" w:space="0" w:color="auto"/>
              <w:bottom w:val="single" w:sz="4" w:space="0" w:color="auto"/>
              <w:right w:val="single" w:sz="4" w:space="0" w:color="auto"/>
            </w:tcBorders>
          </w:tcPr>
          <w:p w14:paraId="7CEDA482" w14:textId="77777777" w:rsidR="002C502D" w:rsidRPr="009F2DDB" w:rsidRDefault="002C502D" w:rsidP="00203F2A">
            <w:pPr>
              <w:pStyle w:val="NoSpacing"/>
              <w:jc w:val="both"/>
              <w:rPr>
                <w:sz w:val="20"/>
                <w:szCs w:val="20"/>
              </w:rPr>
            </w:pPr>
            <w:r w:rsidRPr="009F2DDB">
              <w:rPr>
                <w:sz w:val="20"/>
                <w:szCs w:val="20"/>
              </w:rPr>
              <w:t>Clyde</w:t>
            </w:r>
          </w:p>
        </w:tc>
        <w:tc>
          <w:tcPr>
            <w:tcW w:w="5406" w:type="dxa"/>
            <w:tcBorders>
              <w:top w:val="single" w:sz="4" w:space="0" w:color="auto"/>
              <w:left w:val="single" w:sz="4" w:space="0" w:color="auto"/>
              <w:bottom w:val="single" w:sz="4" w:space="0" w:color="auto"/>
              <w:right w:val="single" w:sz="4" w:space="0" w:color="auto"/>
            </w:tcBorders>
          </w:tcPr>
          <w:p w14:paraId="43CD0B9C" w14:textId="1E16D8CF" w:rsidR="002C502D" w:rsidRPr="009F2DDB" w:rsidRDefault="002C502D" w:rsidP="00203F2A">
            <w:pPr>
              <w:pStyle w:val="NoSpacing"/>
              <w:jc w:val="both"/>
              <w:rPr>
                <w:sz w:val="20"/>
                <w:szCs w:val="20"/>
              </w:rPr>
            </w:pPr>
            <w:r>
              <w:rPr>
                <w:sz w:val="20"/>
                <w:szCs w:val="20"/>
              </w:rPr>
              <w:t>MRD</w:t>
            </w:r>
          </w:p>
        </w:tc>
      </w:tr>
      <w:tr w:rsidR="002C502D" w:rsidRPr="009F2DDB" w14:paraId="4D794DB7" w14:textId="77777777" w:rsidTr="00C414FD">
        <w:trPr>
          <w:gridAfter w:val="1"/>
          <w:wAfter w:w="21" w:type="dxa"/>
          <w:trHeight w:val="125"/>
        </w:trPr>
        <w:tc>
          <w:tcPr>
            <w:tcW w:w="526" w:type="dxa"/>
            <w:tcBorders>
              <w:top w:val="single" w:sz="4" w:space="0" w:color="auto"/>
              <w:left w:val="single" w:sz="4" w:space="0" w:color="auto"/>
              <w:bottom w:val="single" w:sz="4" w:space="0" w:color="auto"/>
              <w:right w:val="single" w:sz="4" w:space="0" w:color="auto"/>
            </w:tcBorders>
            <w:hideMark/>
          </w:tcPr>
          <w:p w14:paraId="1EA841B0" w14:textId="77777777" w:rsidR="002C502D" w:rsidRPr="009F2DDB" w:rsidRDefault="002C502D" w:rsidP="00203F2A">
            <w:pPr>
              <w:pStyle w:val="NoSpacing"/>
              <w:jc w:val="both"/>
              <w:rPr>
                <w:sz w:val="20"/>
                <w:szCs w:val="20"/>
              </w:rPr>
            </w:pPr>
            <w:r w:rsidRPr="009F2DDB">
              <w:rPr>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37ECB19D" w14:textId="77777777" w:rsidR="002C502D" w:rsidRPr="009F2DDB" w:rsidRDefault="002C502D" w:rsidP="00203F2A">
            <w:pPr>
              <w:pStyle w:val="NoSpacing"/>
              <w:jc w:val="both"/>
              <w:rPr>
                <w:sz w:val="20"/>
                <w:szCs w:val="20"/>
              </w:rPr>
            </w:pPr>
            <w:r w:rsidRPr="009F2DDB">
              <w:rPr>
                <w:sz w:val="20"/>
                <w:szCs w:val="20"/>
              </w:rPr>
              <w:t>Lila</w:t>
            </w:r>
          </w:p>
        </w:tc>
        <w:tc>
          <w:tcPr>
            <w:tcW w:w="1418" w:type="dxa"/>
            <w:tcBorders>
              <w:top w:val="single" w:sz="4" w:space="0" w:color="auto"/>
              <w:left w:val="single" w:sz="4" w:space="0" w:color="auto"/>
              <w:bottom w:val="single" w:sz="4" w:space="0" w:color="auto"/>
              <w:right w:val="single" w:sz="4" w:space="0" w:color="auto"/>
            </w:tcBorders>
          </w:tcPr>
          <w:p w14:paraId="0E66A21D" w14:textId="77777777" w:rsidR="002C502D" w:rsidRPr="009F2DDB" w:rsidRDefault="002C502D" w:rsidP="00203F2A">
            <w:pPr>
              <w:pStyle w:val="NoSpacing"/>
              <w:jc w:val="both"/>
              <w:rPr>
                <w:sz w:val="20"/>
                <w:szCs w:val="20"/>
              </w:rPr>
            </w:pPr>
            <w:proofErr w:type="spellStart"/>
            <w:r w:rsidRPr="009F2DDB">
              <w:rPr>
                <w:sz w:val="20"/>
                <w:szCs w:val="20"/>
              </w:rPr>
              <w:t>Faridy</w:t>
            </w:r>
            <w:proofErr w:type="spellEnd"/>
          </w:p>
        </w:tc>
        <w:tc>
          <w:tcPr>
            <w:tcW w:w="5406" w:type="dxa"/>
            <w:tcBorders>
              <w:top w:val="single" w:sz="4" w:space="0" w:color="auto"/>
              <w:left w:val="single" w:sz="4" w:space="0" w:color="auto"/>
              <w:bottom w:val="single" w:sz="4" w:space="0" w:color="auto"/>
              <w:right w:val="single" w:sz="4" w:space="0" w:color="auto"/>
            </w:tcBorders>
          </w:tcPr>
          <w:p w14:paraId="1265F05B" w14:textId="515D680D" w:rsidR="002C502D" w:rsidRPr="009F2DDB" w:rsidRDefault="002C502D" w:rsidP="00203F2A">
            <w:pPr>
              <w:pStyle w:val="NoSpacing"/>
              <w:jc w:val="both"/>
              <w:rPr>
                <w:sz w:val="20"/>
                <w:szCs w:val="20"/>
              </w:rPr>
            </w:pPr>
            <w:r w:rsidRPr="009F2DDB">
              <w:rPr>
                <w:sz w:val="20"/>
                <w:szCs w:val="20"/>
              </w:rPr>
              <w:t>MTIT</w:t>
            </w:r>
            <w:r>
              <w:rPr>
                <w:sz w:val="20"/>
                <w:szCs w:val="20"/>
              </w:rPr>
              <w:t xml:space="preserve"> - </w:t>
            </w:r>
            <w:r w:rsidRPr="009F2DDB">
              <w:rPr>
                <w:sz w:val="20"/>
                <w:szCs w:val="20"/>
              </w:rPr>
              <w:t>Tourism</w:t>
            </w:r>
            <w:r>
              <w:rPr>
                <w:sz w:val="20"/>
                <w:szCs w:val="20"/>
              </w:rPr>
              <w:t xml:space="preserve"> Dept.</w:t>
            </w:r>
          </w:p>
        </w:tc>
      </w:tr>
      <w:tr w:rsidR="002C502D" w:rsidRPr="009F2DDB" w14:paraId="48BB9B22" w14:textId="77777777" w:rsidTr="00C414FD">
        <w:trPr>
          <w:gridAfter w:val="1"/>
          <w:wAfter w:w="21" w:type="dxa"/>
          <w:trHeight w:val="233"/>
        </w:trPr>
        <w:tc>
          <w:tcPr>
            <w:tcW w:w="526" w:type="dxa"/>
            <w:tcBorders>
              <w:top w:val="single" w:sz="4" w:space="0" w:color="auto"/>
              <w:left w:val="single" w:sz="4" w:space="0" w:color="auto"/>
              <w:bottom w:val="single" w:sz="4" w:space="0" w:color="auto"/>
              <w:right w:val="single" w:sz="4" w:space="0" w:color="auto"/>
            </w:tcBorders>
          </w:tcPr>
          <w:p w14:paraId="41A744F0" w14:textId="77777777" w:rsidR="002C502D" w:rsidRPr="009F2DDB" w:rsidRDefault="002C502D" w:rsidP="00203F2A">
            <w:pPr>
              <w:pStyle w:val="NoSpacing"/>
              <w:jc w:val="both"/>
              <w:rPr>
                <w:sz w:val="20"/>
                <w:szCs w:val="20"/>
              </w:rPr>
            </w:pPr>
            <w:r w:rsidRPr="009F2DDB">
              <w:rPr>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490C94C3" w14:textId="77777777" w:rsidR="002C502D" w:rsidRPr="009F2DDB" w:rsidRDefault="002C502D" w:rsidP="00203F2A">
            <w:pPr>
              <w:pStyle w:val="NoSpacing"/>
              <w:jc w:val="both"/>
              <w:rPr>
                <w:sz w:val="20"/>
                <w:szCs w:val="20"/>
              </w:rPr>
            </w:pPr>
            <w:r w:rsidRPr="009F2DDB">
              <w:rPr>
                <w:sz w:val="20"/>
                <w:szCs w:val="20"/>
              </w:rPr>
              <w:t>Marbach</w:t>
            </w:r>
          </w:p>
        </w:tc>
        <w:tc>
          <w:tcPr>
            <w:tcW w:w="1418" w:type="dxa"/>
            <w:tcBorders>
              <w:top w:val="single" w:sz="4" w:space="0" w:color="auto"/>
              <w:left w:val="single" w:sz="4" w:space="0" w:color="auto"/>
              <w:bottom w:val="single" w:sz="4" w:space="0" w:color="auto"/>
              <w:right w:val="single" w:sz="4" w:space="0" w:color="auto"/>
            </w:tcBorders>
          </w:tcPr>
          <w:p w14:paraId="02B3D40F" w14:textId="77777777" w:rsidR="002C502D" w:rsidRPr="009F2DDB" w:rsidRDefault="002C502D" w:rsidP="00203F2A">
            <w:pPr>
              <w:pStyle w:val="NoSpacing"/>
              <w:jc w:val="both"/>
              <w:rPr>
                <w:sz w:val="20"/>
                <w:szCs w:val="20"/>
              </w:rPr>
            </w:pPr>
            <w:r w:rsidRPr="009F2DDB">
              <w:rPr>
                <w:sz w:val="20"/>
                <w:szCs w:val="20"/>
              </w:rPr>
              <w:t>Vivian</w:t>
            </w:r>
          </w:p>
        </w:tc>
        <w:tc>
          <w:tcPr>
            <w:tcW w:w="5406" w:type="dxa"/>
            <w:tcBorders>
              <w:top w:val="single" w:sz="4" w:space="0" w:color="auto"/>
              <w:left w:val="single" w:sz="4" w:space="0" w:color="auto"/>
              <w:bottom w:val="single" w:sz="4" w:space="0" w:color="auto"/>
              <w:right w:val="single" w:sz="4" w:space="0" w:color="auto"/>
            </w:tcBorders>
          </w:tcPr>
          <w:p w14:paraId="47DB0769" w14:textId="4586B774"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 xml:space="preserve"> Industry</w:t>
            </w:r>
            <w:r>
              <w:rPr>
                <w:sz w:val="20"/>
                <w:szCs w:val="20"/>
              </w:rPr>
              <w:t xml:space="preserve"> Dept.</w:t>
            </w:r>
          </w:p>
        </w:tc>
      </w:tr>
      <w:tr w:rsidR="002C502D" w:rsidRPr="009F2DDB" w14:paraId="25942B23" w14:textId="77777777" w:rsidTr="00C414FD">
        <w:trPr>
          <w:gridAfter w:val="1"/>
          <w:wAfter w:w="21" w:type="dxa"/>
          <w:trHeight w:val="332"/>
        </w:trPr>
        <w:tc>
          <w:tcPr>
            <w:tcW w:w="526" w:type="dxa"/>
            <w:tcBorders>
              <w:top w:val="single" w:sz="4" w:space="0" w:color="auto"/>
              <w:left w:val="single" w:sz="4" w:space="0" w:color="auto"/>
              <w:bottom w:val="single" w:sz="4" w:space="0" w:color="auto"/>
              <w:right w:val="single" w:sz="4" w:space="0" w:color="auto"/>
            </w:tcBorders>
          </w:tcPr>
          <w:p w14:paraId="5F081DFC" w14:textId="38D0D3AB" w:rsidR="002C502D" w:rsidRPr="009F2DDB" w:rsidRDefault="002C502D" w:rsidP="00203F2A">
            <w:pPr>
              <w:pStyle w:val="NoSpacing"/>
              <w:jc w:val="both"/>
              <w:rPr>
                <w:sz w:val="20"/>
                <w:szCs w:val="20"/>
              </w:rPr>
            </w:pPr>
            <w:r>
              <w:rPr>
                <w:sz w:val="20"/>
                <w:szCs w:val="20"/>
              </w:rPr>
              <w:t>7</w:t>
            </w:r>
          </w:p>
        </w:tc>
        <w:tc>
          <w:tcPr>
            <w:tcW w:w="1560" w:type="dxa"/>
            <w:tcBorders>
              <w:top w:val="single" w:sz="4" w:space="0" w:color="auto"/>
              <w:left w:val="single" w:sz="4" w:space="0" w:color="auto"/>
              <w:bottom w:val="single" w:sz="4" w:space="0" w:color="auto"/>
              <w:right w:val="single" w:sz="4" w:space="0" w:color="auto"/>
            </w:tcBorders>
          </w:tcPr>
          <w:p w14:paraId="55732CC2" w14:textId="77777777" w:rsidR="002C502D" w:rsidRPr="009F2DDB" w:rsidRDefault="002C502D" w:rsidP="00203F2A">
            <w:pPr>
              <w:pStyle w:val="NoSpacing"/>
              <w:jc w:val="both"/>
              <w:rPr>
                <w:sz w:val="20"/>
                <w:szCs w:val="20"/>
              </w:rPr>
            </w:pPr>
            <w:r>
              <w:rPr>
                <w:sz w:val="20"/>
                <w:szCs w:val="20"/>
              </w:rPr>
              <w:t>Heemskerk</w:t>
            </w:r>
          </w:p>
        </w:tc>
        <w:tc>
          <w:tcPr>
            <w:tcW w:w="1418" w:type="dxa"/>
            <w:tcBorders>
              <w:top w:val="single" w:sz="4" w:space="0" w:color="auto"/>
              <w:left w:val="single" w:sz="4" w:space="0" w:color="auto"/>
              <w:bottom w:val="single" w:sz="4" w:space="0" w:color="auto"/>
              <w:right w:val="single" w:sz="4" w:space="0" w:color="auto"/>
            </w:tcBorders>
          </w:tcPr>
          <w:p w14:paraId="3E88E1A6" w14:textId="77777777" w:rsidR="002C502D" w:rsidRPr="009F2DDB" w:rsidRDefault="002C502D" w:rsidP="00203F2A">
            <w:pPr>
              <w:pStyle w:val="NoSpacing"/>
              <w:jc w:val="both"/>
              <w:rPr>
                <w:sz w:val="20"/>
                <w:szCs w:val="20"/>
              </w:rPr>
            </w:pPr>
            <w:r>
              <w:rPr>
                <w:sz w:val="20"/>
                <w:szCs w:val="20"/>
              </w:rPr>
              <w:t>Marieke</w:t>
            </w:r>
          </w:p>
        </w:tc>
        <w:tc>
          <w:tcPr>
            <w:tcW w:w="5406" w:type="dxa"/>
            <w:tcBorders>
              <w:top w:val="single" w:sz="4" w:space="0" w:color="auto"/>
              <w:left w:val="single" w:sz="4" w:space="0" w:color="auto"/>
              <w:bottom w:val="single" w:sz="4" w:space="0" w:color="auto"/>
              <w:right w:val="single" w:sz="4" w:space="0" w:color="auto"/>
            </w:tcBorders>
          </w:tcPr>
          <w:p w14:paraId="2445689C" w14:textId="4532641E" w:rsidR="002C502D" w:rsidRPr="009F2DDB" w:rsidRDefault="002C502D" w:rsidP="00203F2A">
            <w:pPr>
              <w:pStyle w:val="NoSpacing"/>
              <w:jc w:val="both"/>
              <w:rPr>
                <w:sz w:val="20"/>
                <w:szCs w:val="20"/>
              </w:rPr>
            </w:pPr>
            <w:r>
              <w:rPr>
                <w:sz w:val="20"/>
                <w:szCs w:val="20"/>
              </w:rPr>
              <w:t>Social Solutions</w:t>
            </w:r>
            <w:r w:rsidR="00902291">
              <w:rPr>
                <w:sz w:val="20"/>
                <w:szCs w:val="20"/>
              </w:rPr>
              <w:t xml:space="preserve"> – WBG consultant</w:t>
            </w:r>
          </w:p>
        </w:tc>
      </w:tr>
      <w:tr w:rsidR="002C502D" w:rsidRPr="009F2DDB" w14:paraId="73ECAAC6" w14:textId="77777777" w:rsidTr="00C414FD">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tcPr>
          <w:p w14:paraId="3901F126" w14:textId="241E7ECE" w:rsidR="002C502D" w:rsidRPr="009F2DDB" w:rsidRDefault="002C502D" w:rsidP="00203F2A">
            <w:pPr>
              <w:pStyle w:val="NoSpacing"/>
              <w:jc w:val="both"/>
              <w:rPr>
                <w:sz w:val="20"/>
                <w:szCs w:val="20"/>
              </w:rPr>
            </w:pPr>
            <w:r>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1A8D046A" w14:textId="77777777" w:rsidR="002C502D" w:rsidRPr="009F2DDB" w:rsidRDefault="002C502D" w:rsidP="00203F2A">
            <w:pPr>
              <w:pStyle w:val="NoSpacing"/>
              <w:jc w:val="both"/>
              <w:rPr>
                <w:sz w:val="20"/>
                <w:szCs w:val="20"/>
              </w:rPr>
            </w:pPr>
            <w:r w:rsidRPr="009F2DDB">
              <w:rPr>
                <w:sz w:val="20"/>
                <w:szCs w:val="20"/>
              </w:rPr>
              <w:t>Van Dijk</w:t>
            </w:r>
          </w:p>
        </w:tc>
        <w:tc>
          <w:tcPr>
            <w:tcW w:w="1418" w:type="dxa"/>
            <w:tcBorders>
              <w:top w:val="single" w:sz="4" w:space="0" w:color="auto"/>
              <w:left w:val="single" w:sz="4" w:space="0" w:color="auto"/>
              <w:bottom w:val="single" w:sz="4" w:space="0" w:color="auto"/>
              <w:right w:val="single" w:sz="4" w:space="0" w:color="auto"/>
            </w:tcBorders>
          </w:tcPr>
          <w:p w14:paraId="2EEF2688" w14:textId="77777777" w:rsidR="002C502D" w:rsidRPr="009F2DDB" w:rsidRDefault="002C502D" w:rsidP="00203F2A">
            <w:pPr>
              <w:pStyle w:val="NoSpacing"/>
              <w:jc w:val="both"/>
              <w:rPr>
                <w:sz w:val="20"/>
                <w:szCs w:val="20"/>
              </w:rPr>
            </w:pPr>
            <w:r w:rsidRPr="009F2DDB">
              <w:rPr>
                <w:sz w:val="20"/>
                <w:szCs w:val="20"/>
              </w:rPr>
              <w:t>Sietze</w:t>
            </w:r>
          </w:p>
        </w:tc>
        <w:tc>
          <w:tcPr>
            <w:tcW w:w="5406" w:type="dxa"/>
            <w:tcBorders>
              <w:top w:val="single" w:sz="4" w:space="0" w:color="auto"/>
              <w:left w:val="single" w:sz="4" w:space="0" w:color="auto"/>
              <w:bottom w:val="single" w:sz="4" w:space="0" w:color="auto"/>
              <w:right w:val="single" w:sz="4" w:space="0" w:color="auto"/>
            </w:tcBorders>
          </w:tcPr>
          <w:p w14:paraId="27A608F3" w14:textId="3959CDA1" w:rsidR="002C502D" w:rsidRPr="009F2DDB" w:rsidRDefault="002C502D" w:rsidP="00203F2A">
            <w:pPr>
              <w:pStyle w:val="NoSpacing"/>
              <w:jc w:val="both"/>
              <w:rPr>
                <w:sz w:val="20"/>
                <w:szCs w:val="20"/>
              </w:rPr>
            </w:pPr>
            <w:r w:rsidRPr="009F2DDB">
              <w:rPr>
                <w:sz w:val="20"/>
                <w:szCs w:val="20"/>
              </w:rPr>
              <w:t>ESS</w:t>
            </w:r>
            <w:r w:rsidR="00902291">
              <w:rPr>
                <w:sz w:val="20"/>
                <w:szCs w:val="20"/>
              </w:rPr>
              <w:t xml:space="preserve"> – WBG consultant</w:t>
            </w:r>
          </w:p>
        </w:tc>
      </w:tr>
      <w:tr w:rsidR="002C502D" w:rsidRPr="008C0A25" w14:paraId="58B38CA0" w14:textId="77777777" w:rsidTr="00C414F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tcPr>
          <w:p w14:paraId="78B74B75" w14:textId="53DD37BB" w:rsidR="002C502D" w:rsidRPr="008C0A25" w:rsidRDefault="002C502D" w:rsidP="00203F2A">
            <w:pPr>
              <w:pStyle w:val="NoSpacing"/>
              <w:jc w:val="both"/>
              <w:rPr>
                <w:sz w:val="20"/>
                <w:szCs w:val="20"/>
              </w:rPr>
            </w:pPr>
            <w:r>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14:paraId="2AD6C203" w14:textId="3965D00A" w:rsidR="002C502D" w:rsidRPr="008C0A25" w:rsidRDefault="002C502D" w:rsidP="00203F2A">
            <w:pPr>
              <w:pStyle w:val="NoSpacing"/>
              <w:jc w:val="both"/>
              <w:rPr>
                <w:sz w:val="20"/>
                <w:szCs w:val="20"/>
              </w:rPr>
            </w:pPr>
            <w:r w:rsidRPr="008C0A25">
              <w:rPr>
                <w:sz w:val="20"/>
                <w:szCs w:val="20"/>
              </w:rPr>
              <w:t>Monorath</w:t>
            </w:r>
          </w:p>
        </w:tc>
        <w:tc>
          <w:tcPr>
            <w:tcW w:w="1418" w:type="dxa"/>
            <w:tcBorders>
              <w:top w:val="single" w:sz="4" w:space="0" w:color="auto"/>
              <w:left w:val="single" w:sz="4" w:space="0" w:color="auto"/>
              <w:bottom w:val="single" w:sz="4" w:space="0" w:color="auto"/>
              <w:right w:val="single" w:sz="4" w:space="0" w:color="auto"/>
            </w:tcBorders>
          </w:tcPr>
          <w:p w14:paraId="0BDDC655" w14:textId="11EAD073" w:rsidR="002C502D" w:rsidRPr="008C0A25" w:rsidRDefault="002C502D" w:rsidP="00203F2A">
            <w:pPr>
              <w:pStyle w:val="NoSpacing"/>
              <w:jc w:val="both"/>
              <w:rPr>
                <w:sz w:val="20"/>
                <w:szCs w:val="20"/>
              </w:rPr>
            </w:pPr>
            <w:r w:rsidRPr="008C0A25">
              <w:rPr>
                <w:sz w:val="20"/>
                <w:szCs w:val="20"/>
              </w:rPr>
              <w:t>Angela</w:t>
            </w:r>
          </w:p>
        </w:tc>
        <w:tc>
          <w:tcPr>
            <w:tcW w:w="5406" w:type="dxa"/>
            <w:tcBorders>
              <w:top w:val="single" w:sz="4" w:space="0" w:color="auto"/>
              <w:left w:val="single" w:sz="4" w:space="0" w:color="auto"/>
              <w:bottom w:val="single" w:sz="4" w:space="0" w:color="auto"/>
              <w:right w:val="single" w:sz="4" w:space="0" w:color="auto"/>
            </w:tcBorders>
          </w:tcPr>
          <w:p w14:paraId="560E6B2B" w14:textId="0CA2AA83" w:rsidR="002C502D" w:rsidRPr="008C0A25" w:rsidRDefault="002C502D" w:rsidP="00203F2A">
            <w:pPr>
              <w:pStyle w:val="NoSpacing"/>
              <w:jc w:val="both"/>
              <w:rPr>
                <w:sz w:val="20"/>
                <w:szCs w:val="20"/>
              </w:rPr>
            </w:pPr>
            <w:r w:rsidRPr="008C0A25">
              <w:rPr>
                <w:sz w:val="20"/>
                <w:szCs w:val="20"/>
              </w:rPr>
              <w:t>MNR</w:t>
            </w:r>
          </w:p>
        </w:tc>
      </w:tr>
      <w:tr w:rsidR="002C502D" w:rsidRPr="009F2DDB" w14:paraId="524BA6A7" w14:textId="77777777" w:rsidTr="00C414FD">
        <w:trPr>
          <w:gridAfter w:val="1"/>
          <w:wAfter w:w="21" w:type="dxa"/>
          <w:trHeight w:val="125"/>
        </w:trPr>
        <w:tc>
          <w:tcPr>
            <w:tcW w:w="526" w:type="dxa"/>
            <w:tcBorders>
              <w:top w:val="single" w:sz="4" w:space="0" w:color="auto"/>
              <w:left w:val="single" w:sz="4" w:space="0" w:color="auto"/>
              <w:bottom w:val="single" w:sz="4" w:space="0" w:color="auto"/>
              <w:right w:val="single" w:sz="4" w:space="0" w:color="auto"/>
            </w:tcBorders>
            <w:hideMark/>
          </w:tcPr>
          <w:p w14:paraId="4A5D3284" w14:textId="42692ED0" w:rsidR="002C502D" w:rsidRPr="009F2DDB" w:rsidRDefault="002C502D" w:rsidP="00203F2A">
            <w:pPr>
              <w:pStyle w:val="NoSpacing"/>
              <w:jc w:val="both"/>
              <w:rPr>
                <w:sz w:val="20"/>
                <w:szCs w:val="20"/>
              </w:rPr>
            </w:pPr>
            <w:r>
              <w:rPr>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7467DBE6" w14:textId="77777777" w:rsidR="002C502D" w:rsidRPr="009F2DDB" w:rsidRDefault="002C502D" w:rsidP="00203F2A">
            <w:pPr>
              <w:pStyle w:val="NoSpacing"/>
              <w:jc w:val="both"/>
              <w:rPr>
                <w:sz w:val="20"/>
                <w:szCs w:val="20"/>
              </w:rPr>
            </w:pPr>
            <w:r w:rsidRPr="009F2DDB">
              <w:rPr>
                <w:sz w:val="20"/>
                <w:szCs w:val="20"/>
              </w:rPr>
              <w:t>Gurcanlar</w:t>
            </w:r>
          </w:p>
        </w:tc>
        <w:tc>
          <w:tcPr>
            <w:tcW w:w="1418" w:type="dxa"/>
            <w:tcBorders>
              <w:top w:val="single" w:sz="4" w:space="0" w:color="auto"/>
              <w:left w:val="single" w:sz="4" w:space="0" w:color="auto"/>
              <w:bottom w:val="single" w:sz="4" w:space="0" w:color="auto"/>
              <w:right w:val="single" w:sz="4" w:space="0" w:color="auto"/>
            </w:tcBorders>
          </w:tcPr>
          <w:p w14:paraId="4F6C009D" w14:textId="77777777" w:rsidR="002C502D" w:rsidRPr="009F2DDB" w:rsidRDefault="002C502D" w:rsidP="00203F2A">
            <w:pPr>
              <w:pStyle w:val="NoSpacing"/>
              <w:jc w:val="both"/>
              <w:rPr>
                <w:sz w:val="20"/>
                <w:szCs w:val="20"/>
              </w:rPr>
            </w:pPr>
            <w:r w:rsidRPr="009F2DDB">
              <w:rPr>
                <w:sz w:val="20"/>
                <w:szCs w:val="20"/>
              </w:rPr>
              <w:t>Tugba</w:t>
            </w:r>
          </w:p>
        </w:tc>
        <w:tc>
          <w:tcPr>
            <w:tcW w:w="5406" w:type="dxa"/>
            <w:tcBorders>
              <w:top w:val="single" w:sz="4" w:space="0" w:color="auto"/>
              <w:left w:val="single" w:sz="4" w:space="0" w:color="auto"/>
              <w:bottom w:val="single" w:sz="4" w:space="0" w:color="auto"/>
              <w:right w:val="single" w:sz="4" w:space="0" w:color="auto"/>
            </w:tcBorders>
          </w:tcPr>
          <w:p w14:paraId="7D605CD3" w14:textId="77777777" w:rsidR="002C502D" w:rsidRPr="009F2DDB" w:rsidRDefault="002C502D" w:rsidP="00203F2A">
            <w:pPr>
              <w:pStyle w:val="NoSpacing"/>
              <w:jc w:val="both"/>
              <w:rPr>
                <w:sz w:val="20"/>
                <w:szCs w:val="20"/>
              </w:rPr>
            </w:pPr>
            <w:r w:rsidRPr="009F2DDB">
              <w:rPr>
                <w:sz w:val="20"/>
                <w:szCs w:val="20"/>
              </w:rPr>
              <w:t>WBG</w:t>
            </w:r>
          </w:p>
        </w:tc>
      </w:tr>
      <w:tr w:rsidR="002C502D" w:rsidRPr="007A3D7B" w14:paraId="5CDA6FF3" w14:textId="77777777" w:rsidTr="00C414FD">
        <w:trPr>
          <w:gridAfter w:val="1"/>
          <w:wAfter w:w="21" w:type="dxa"/>
          <w:trHeight w:val="233"/>
        </w:trPr>
        <w:tc>
          <w:tcPr>
            <w:tcW w:w="526" w:type="dxa"/>
          </w:tcPr>
          <w:p w14:paraId="3C0A4089" w14:textId="224EB9FA" w:rsidR="002C502D" w:rsidRPr="007A3D7B" w:rsidRDefault="002C502D" w:rsidP="00203F2A">
            <w:pPr>
              <w:pStyle w:val="NoSpacing"/>
              <w:jc w:val="both"/>
              <w:rPr>
                <w:sz w:val="20"/>
                <w:szCs w:val="20"/>
              </w:rPr>
            </w:pPr>
            <w:r>
              <w:rPr>
                <w:sz w:val="20"/>
                <w:szCs w:val="20"/>
              </w:rPr>
              <w:t>11</w:t>
            </w:r>
          </w:p>
        </w:tc>
        <w:tc>
          <w:tcPr>
            <w:tcW w:w="1560" w:type="dxa"/>
          </w:tcPr>
          <w:p w14:paraId="705A8D4D" w14:textId="77777777" w:rsidR="002C502D" w:rsidRPr="007A3D7B" w:rsidRDefault="002C502D" w:rsidP="00203F2A">
            <w:pPr>
              <w:pStyle w:val="NoSpacing"/>
              <w:jc w:val="both"/>
              <w:rPr>
                <w:sz w:val="20"/>
                <w:szCs w:val="20"/>
              </w:rPr>
            </w:pPr>
            <w:r w:rsidRPr="007A3D7B">
              <w:rPr>
                <w:sz w:val="20"/>
                <w:szCs w:val="20"/>
              </w:rPr>
              <w:t>Anderson</w:t>
            </w:r>
          </w:p>
        </w:tc>
        <w:tc>
          <w:tcPr>
            <w:tcW w:w="1418" w:type="dxa"/>
          </w:tcPr>
          <w:p w14:paraId="5CEBB264" w14:textId="77777777" w:rsidR="002C502D" w:rsidRPr="007A3D7B" w:rsidRDefault="002C502D" w:rsidP="00203F2A">
            <w:pPr>
              <w:pStyle w:val="NoSpacing"/>
              <w:jc w:val="both"/>
              <w:rPr>
                <w:sz w:val="20"/>
                <w:szCs w:val="20"/>
              </w:rPr>
            </w:pPr>
            <w:r w:rsidRPr="007A3D7B">
              <w:rPr>
                <w:sz w:val="20"/>
                <w:szCs w:val="20"/>
              </w:rPr>
              <w:t>John</w:t>
            </w:r>
          </w:p>
        </w:tc>
        <w:tc>
          <w:tcPr>
            <w:tcW w:w="5406" w:type="dxa"/>
          </w:tcPr>
          <w:p w14:paraId="59278410" w14:textId="77777777" w:rsidR="002C502D" w:rsidRPr="007A3D7B" w:rsidRDefault="002C502D" w:rsidP="00203F2A">
            <w:pPr>
              <w:pStyle w:val="NoSpacing"/>
              <w:jc w:val="both"/>
              <w:rPr>
                <w:sz w:val="20"/>
                <w:szCs w:val="20"/>
              </w:rPr>
            </w:pPr>
            <w:r w:rsidRPr="007A3D7B">
              <w:rPr>
                <w:sz w:val="20"/>
                <w:szCs w:val="20"/>
              </w:rPr>
              <w:t>WBG</w:t>
            </w:r>
          </w:p>
        </w:tc>
      </w:tr>
      <w:tr w:rsidR="002C502D" w:rsidRPr="009F2DDB" w14:paraId="0C8560B1" w14:textId="77777777" w:rsidTr="00C414FD">
        <w:trPr>
          <w:gridAfter w:val="1"/>
          <w:wAfter w:w="21" w:type="dxa"/>
          <w:trHeight w:val="152"/>
        </w:trPr>
        <w:tc>
          <w:tcPr>
            <w:tcW w:w="526" w:type="dxa"/>
            <w:tcBorders>
              <w:top w:val="single" w:sz="4" w:space="0" w:color="auto"/>
              <w:left w:val="single" w:sz="4" w:space="0" w:color="auto"/>
              <w:bottom w:val="single" w:sz="4" w:space="0" w:color="auto"/>
              <w:right w:val="single" w:sz="4" w:space="0" w:color="auto"/>
            </w:tcBorders>
            <w:hideMark/>
          </w:tcPr>
          <w:p w14:paraId="6645662B" w14:textId="0780EF4A" w:rsidR="002C502D" w:rsidRPr="009F2DDB" w:rsidRDefault="002C502D" w:rsidP="00203F2A">
            <w:pPr>
              <w:pStyle w:val="NoSpacing"/>
              <w:jc w:val="both"/>
              <w:rPr>
                <w:sz w:val="20"/>
                <w:szCs w:val="20"/>
              </w:rPr>
            </w:pPr>
            <w:r>
              <w:rPr>
                <w:sz w:val="20"/>
                <w:szCs w:val="20"/>
              </w:rPr>
              <w:t>12</w:t>
            </w:r>
          </w:p>
        </w:tc>
        <w:tc>
          <w:tcPr>
            <w:tcW w:w="1560" w:type="dxa"/>
            <w:tcBorders>
              <w:top w:val="single" w:sz="4" w:space="0" w:color="auto"/>
              <w:left w:val="single" w:sz="4" w:space="0" w:color="auto"/>
              <w:bottom w:val="single" w:sz="4" w:space="0" w:color="auto"/>
              <w:right w:val="single" w:sz="4" w:space="0" w:color="auto"/>
            </w:tcBorders>
          </w:tcPr>
          <w:p w14:paraId="0F6D6048" w14:textId="77777777" w:rsidR="002C502D" w:rsidRPr="009F2DDB" w:rsidRDefault="002C502D" w:rsidP="00203F2A">
            <w:pPr>
              <w:pStyle w:val="NoSpacing"/>
              <w:jc w:val="both"/>
              <w:rPr>
                <w:sz w:val="20"/>
                <w:szCs w:val="20"/>
              </w:rPr>
            </w:pPr>
            <w:r w:rsidRPr="009F2DDB">
              <w:rPr>
                <w:sz w:val="20"/>
                <w:szCs w:val="20"/>
              </w:rPr>
              <w:t>Renfurm</w:t>
            </w:r>
          </w:p>
        </w:tc>
        <w:tc>
          <w:tcPr>
            <w:tcW w:w="1418" w:type="dxa"/>
            <w:tcBorders>
              <w:top w:val="single" w:sz="4" w:space="0" w:color="auto"/>
              <w:left w:val="single" w:sz="4" w:space="0" w:color="auto"/>
              <w:bottom w:val="single" w:sz="4" w:space="0" w:color="auto"/>
              <w:right w:val="single" w:sz="4" w:space="0" w:color="auto"/>
            </w:tcBorders>
          </w:tcPr>
          <w:p w14:paraId="721369C5" w14:textId="77777777" w:rsidR="002C502D" w:rsidRPr="009F2DDB" w:rsidRDefault="002C502D" w:rsidP="00203F2A">
            <w:pPr>
              <w:pStyle w:val="NoSpacing"/>
              <w:jc w:val="both"/>
              <w:rPr>
                <w:sz w:val="20"/>
                <w:szCs w:val="20"/>
              </w:rPr>
            </w:pPr>
            <w:r w:rsidRPr="009F2DDB">
              <w:rPr>
                <w:sz w:val="20"/>
                <w:szCs w:val="20"/>
              </w:rPr>
              <w:t>Jerrol</w:t>
            </w:r>
          </w:p>
        </w:tc>
        <w:tc>
          <w:tcPr>
            <w:tcW w:w="5406" w:type="dxa"/>
            <w:tcBorders>
              <w:top w:val="single" w:sz="4" w:space="0" w:color="auto"/>
              <w:left w:val="single" w:sz="4" w:space="0" w:color="auto"/>
              <w:bottom w:val="single" w:sz="4" w:space="0" w:color="auto"/>
              <w:right w:val="single" w:sz="4" w:space="0" w:color="auto"/>
            </w:tcBorders>
          </w:tcPr>
          <w:p w14:paraId="6DCD8C92" w14:textId="77777777"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r w:rsidR="002C502D" w:rsidRPr="009F2DDB" w14:paraId="7272B397" w14:textId="77777777" w:rsidTr="00C414F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6FC42A5D" w14:textId="600AC85C" w:rsidR="002C502D" w:rsidRPr="009F2DDB" w:rsidRDefault="002C502D" w:rsidP="00203F2A">
            <w:pPr>
              <w:pStyle w:val="NoSpacing"/>
              <w:jc w:val="both"/>
              <w:rPr>
                <w:sz w:val="20"/>
                <w:szCs w:val="20"/>
              </w:rPr>
            </w:pPr>
            <w:r>
              <w:rPr>
                <w:sz w:val="20"/>
                <w:szCs w:val="20"/>
              </w:rPr>
              <w:t>13</w:t>
            </w:r>
          </w:p>
        </w:tc>
        <w:tc>
          <w:tcPr>
            <w:tcW w:w="1560" w:type="dxa"/>
            <w:tcBorders>
              <w:top w:val="single" w:sz="4" w:space="0" w:color="auto"/>
              <w:left w:val="single" w:sz="4" w:space="0" w:color="auto"/>
              <w:bottom w:val="single" w:sz="4" w:space="0" w:color="auto"/>
              <w:right w:val="single" w:sz="4" w:space="0" w:color="auto"/>
            </w:tcBorders>
          </w:tcPr>
          <w:p w14:paraId="539A367B" w14:textId="77777777" w:rsidR="002C502D" w:rsidRPr="009F2DDB" w:rsidRDefault="002C502D" w:rsidP="00203F2A">
            <w:pPr>
              <w:pStyle w:val="NoSpacing"/>
              <w:jc w:val="both"/>
              <w:rPr>
                <w:sz w:val="20"/>
                <w:szCs w:val="20"/>
              </w:rPr>
            </w:pPr>
            <w:r w:rsidRPr="009F2DDB">
              <w:rPr>
                <w:sz w:val="20"/>
                <w:szCs w:val="20"/>
              </w:rPr>
              <w:t>Djasman</w:t>
            </w:r>
          </w:p>
        </w:tc>
        <w:tc>
          <w:tcPr>
            <w:tcW w:w="1418" w:type="dxa"/>
            <w:tcBorders>
              <w:top w:val="single" w:sz="4" w:space="0" w:color="auto"/>
              <w:left w:val="single" w:sz="4" w:space="0" w:color="auto"/>
              <w:bottom w:val="single" w:sz="4" w:space="0" w:color="auto"/>
              <w:right w:val="single" w:sz="4" w:space="0" w:color="auto"/>
            </w:tcBorders>
          </w:tcPr>
          <w:p w14:paraId="5E2900E5" w14:textId="77777777" w:rsidR="002C502D" w:rsidRPr="009F2DDB" w:rsidRDefault="002C502D" w:rsidP="00203F2A">
            <w:pPr>
              <w:pStyle w:val="NoSpacing"/>
              <w:jc w:val="both"/>
              <w:rPr>
                <w:sz w:val="20"/>
                <w:szCs w:val="20"/>
              </w:rPr>
            </w:pPr>
            <w:r w:rsidRPr="009F2DDB">
              <w:rPr>
                <w:sz w:val="20"/>
                <w:szCs w:val="20"/>
              </w:rPr>
              <w:t>Jean</w:t>
            </w:r>
          </w:p>
        </w:tc>
        <w:tc>
          <w:tcPr>
            <w:tcW w:w="5406" w:type="dxa"/>
            <w:tcBorders>
              <w:top w:val="single" w:sz="4" w:space="0" w:color="auto"/>
              <w:left w:val="single" w:sz="4" w:space="0" w:color="auto"/>
              <w:bottom w:val="single" w:sz="4" w:space="0" w:color="auto"/>
              <w:right w:val="single" w:sz="4" w:space="0" w:color="auto"/>
            </w:tcBorders>
          </w:tcPr>
          <w:p w14:paraId="661446D4" w14:textId="77777777"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r w:rsidR="008C0A25" w:rsidRPr="009F2DDB" w14:paraId="27B82EEB" w14:textId="77777777" w:rsidTr="0014002C">
        <w:trPr>
          <w:trHeight w:val="530"/>
        </w:trPr>
        <w:tc>
          <w:tcPr>
            <w:tcW w:w="8931" w:type="dxa"/>
            <w:gridSpan w:val="5"/>
            <w:tcBorders>
              <w:top w:val="single" w:sz="4" w:space="0" w:color="auto"/>
              <w:left w:val="single" w:sz="4" w:space="0" w:color="auto"/>
              <w:bottom w:val="single" w:sz="4" w:space="0" w:color="auto"/>
              <w:right w:val="single" w:sz="4" w:space="0" w:color="auto"/>
            </w:tcBorders>
          </w:tcPr>
          <w:p w14:paraId="02269C22" w14:textId="61FC7FF5" w:rsidR="008C0A25" w:rsidRPr="00A02701" w:rsidRDefault="008C0A25" w:rsidP="00203F2A">
            <w:pPr>
              <w:pStyle w:val="NoSpacing"/>
              <w:jc w:val="both"/>
              <w:rPr>
                <w:b/>
                <w:sz w:val="20"/>
                <w:szCs w:val="20"/>
              </w:rPr>
            </w:pPr>
            <w:r>
              <w:rPr>
                <w:b/>
                <w:sz w:val="20"/>
                <w:szCs w:val="20"/>
              </w:rPr>
              <w:t>Thurs</w:t>
            </w:r>
            <w:r w:rsidRPr="00A02701">
              <w:rPr>
                <w:b/>
                <w:sz w:val="20"/>
                <w:szCs w:val="20"/>
              </w:rPr>
              <w:t>day November 1</w:t>
            </w:r>
            <w:r>
              <w:rPr>
                <w:b/>
                <w:sz w:val="20"/>
                <w:szCs w:val="20"/>
              </w:rPr>
              <w:t>5</w:t>
            </w:r>
            <w:r w:rsidRPr="00A02701">
              <w:rPr>
                <w:b/>
                <w:sz w:val="20"/>
                <w:szCs w:val="20"/>
              </w:rPr>
              <w:t xml:space="preserve">, 2018; </w:t>
            </w:r>
            <w:r>
              <w:rPr>
                <w:b/>
                <w:sz w:val="20"/>
                <w:szCs w:val="20"/>
              </w:rPr>
              <w:t>09:0</w:t>
            </w:r>
            <w:r w:rsidRPr="00A02701">
              <w:rPr>
                <w:b/>
                <w:sz w:val="20"/>
                <w:szCs w:val="20"/>
              </w:rPr>
              <w:t xml:space="preserve">0 </w:t>
            </w:r>
            <w:r>
              <w:rPr>
                <w:b/>
                <w:sz w:val="20"/>
                <w:szCs w:val="20"/>
              </w:rPr>
              <w:t>-</w:t>
            </w:r>
            <w:r w:rsidRPr="00A02701">
              <w:rPr>
                <w:b/>
                <w:sz w:val="20"/>
                <w:szCs w:val="20"/>
              </w:rPr>
              <w:t xml:space="preserve"> 1</w:t>
            </w:r>
            <w:r>
              <w:rPr>
                <w:b/>
                <w:sz w:val="20"/>
                <w:szCs w:val="20"/>
              </w:rPr>
              <w:t>1</w:t>
            </w:r>
            <w:r w:rsidRPr="00A02701">
              <w:rPr>
                <w:b/>
                <w:sz w:val="20"/>
                <w:szCs w:val="20"/>
              </w:rPr>
              <w:t>:</w:t>
            </w:r>
            <w:r>
              <w:rPr>
                <w:b/>
                <w:sz w:val="20"/>
                <w:szCs w:val="20"/>
              </w:rPr>
              <w:t>3</w:t>
            </w:r>
            <w:r w:rsidRPr="00A02701">
              <w:rPr>
                <w:b/>
                <w:sz w:val="20"/>
                <w:szCs w:val="20"/>
              </w:rPr>
              <w:t>0 h. Location MTIT</w:t>
            </w:r>
          </w:p>
          <w:p w14:paraId="1E4066E5" w14:textId="19164CFE" w:rsidR="008C0A25" w:rsidRPr="009F2DDB" w:rsidRDefault="008C0A25" w:rsidP="00203F2A">
            <w:pPr>
              <w:pStyle w:val="NoSpacing"/>
              <w:jc w:val="both"/>
              <w:rPr>
                <w:sz w:val="20"/>
                <w:szCs w:val="20"/>
              </w:rPr>
            </w:pPr>
            <w:r>
              <w:rPr>
                <w:b/>
                <w:sz w:val="20"/>
                <w:szCs w:val="20"/>
              </w:rPr>
              <w:t>Consultation</w:t>
            </w:r>
            <w:r w:rsidR="00F756FE">
              <w:rPr>
                <w:b/>
                <w:sz w:val="20"/>
                <w:szCs w:val="20"/>
              </w:rPr>
              <w:t>s with the SME representatives</w:t>
            </w:r>
            <w:r w:rsidR="00C414FD">
              <w:rPr>
                <w:b/>
                <w:sz w:val="20"/>
                <w:szCs w:val="20"/>
              </w:rPr>
              <w:t>,</w:t>
            </w:r>
            <w:r w:rsidR="00F756FE">
              <w:rPr>
                <w:b/>
                <w:sz w:val="20"/>
                <w:szCs w:val="20"/>
              </w:rPr>
              <w:t xml:space="preserve"> </w:t>
            </w:r>
            <w:r w:rsidR="00C414FD">
              <w:rPr>
                <w:b/>
                <w:sz w:val="20"/>
                <w:szCs w:val="20"/>
              </w:rPr>
              <w:t xml:space="preserve">BSOs, and additional civil society stakeholder representatives </w:t>
            </w:r>
            <w:r>
              <w:rPr>
                <w:b/>
                <w:sz w:val="20"/>
                <w:szCs w:val="20"/>
              </w:rPr>
              <w:t>on the (i) Indigenous and Tribal Peoples Safeguards documents and (ii) the E</w:t>
            </w:r>
            <w:r w:rsidRPr="00A02701">
              <w:rPr>
                <w:b/>
                <w:sz w:val="20"/>
                <w:szCs w:val="20"/>
              </w:rPr>
              <w:t>nvironmental and Social Management Framework</w:t>
            </w:r>
            <w:r>
              <w:rPr>
                <w:b/>
                <w:sz w:val="20"/>
                <w:szCs w:val="20"/>
              </w:rPr>
              <w:t xml:space="preserve"> </w:t>
            </w:r>
            <w:r w:rsidR="00C414FD">
              <w:rPr>
                <w:b/>
                <w:sz w:val="20"/>
                <w:szCs w:val="20"/>
              </w:rPr>
              <w:t xml:space="preserve">including RPF </w:t>
            </w:r>
            <w:r>
              <w:rPr>
                <w:b/>
                <w:sz w:val="20"/>
                <w:szCs w:val="20"/>
              </w:rPr>
              <w:t>(all draft)</w:t>
            </w:r>
          </w:p>
        </w:tc>
      </w:tr>
      <w:tr w:rsidR="008C0A25" w:rsidRPr="009F2DDB" w14:paraId="0B5C045F" w14:textId="77777777" w:rsidTr="00F756FE">
        <w:trPr>
          <w:trHeight w:val="393"/>
        </w:trPr>
        <w:tc>
          <w:tcPr>
            <w:tcW w:w="893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479641" w14:textId="30CD9541" w:rsidR="008C0A25" w:rsidRPr="009F2DDB" w:rsidRDefault="00F756FE" w:rsidP="00203F2A">
            <w:pPr>
              <w:pStyle w:val="NoSpacing"/>
              <w:jc w:val="both"/>
              <w:rPr>
                <w:sz w:val="20"/>
                <w:szCs w:val="20"/>
              </w:rPr>
            </w:pPr>
            <w:r>
              <w:rPr>
                <w:sz w:val="20"/>
                <w:szCs w:val="20"/>
              </w:rPr>
              <w:t xml:space="preserve">SESSION: Consultation on the </w:t>
            </w:r>
            <w:r w:rsidR="00190610">
              <w:rPr>
                <w:sz w:val="20"/>
                <w:szCs w:val="20"/>
              </w:rPr>
              <w:t>SCSD</w:t>
            </w:r>
            <w:r>
              <w:rPr>
                <w:sz w:val="20"/>
                <w:szCs w:val="20"/>
              </w:rPr>
              <w:t xml:space="preserve"> Project Environmental an</w:t>
            </w:r>
            <w:r w:rsidR="00902291">
              <w:rPr>
                <w:sz w:val="20"/>
                <w:szCs w:val="20"/>
              </w:rPr>
              <w:t>d</w:t>
            </w:r>
            <w:r>
              <w:rPr>
                <w:sz w:val="20"/>
                <w:szCs w:val="20"/>
              </w:rPr>
              <w:t xml:space="preserve"> Social Safeguards documents</w:t>
            </w:r>
          </w:p>
        </w:tc>
      </w:tr>
      <w:tr w:rsidR="002C502D" w:rsidRPr="009F2DDB" w14:paraId="6F2470A6" w14:textId="77777777" w:rsidTr="00902291">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36FB191D" w14:textId="579B15B6" w:rsidR="002C502D" w:rsidRPr="009F2DDB" w:rsidRDefault="002C502D" w:rsidP="00203F2A">
            <w:pPr>
              <w:pStyle w:val="NoSpacing"/>
              <w:jc w:val="both"/>
              <w:rPr>
                <w:sz w:val="20"/>
                <w:szCs w:val="20"/>
              </w:rPr>
            </w:pPr>
            <w:r>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59FF402E" w14:textId="77777777" w:rsidR="002C502D" w:rsidRPr="009F2DDB" w:rsidRDefault="002C502D" w:rsidP="00203F2A">
            <w:pPr>
              <w:pStyle w:val="NoSpacing"/>
              <w:jc w:val="both"/>
              <w:rPr>
                <w:sz w:val="20"/>
                <w:szCs w:val="20"/>
              </w:rPr>
            </w:pPr>
            <w:r w:rsidRPr="009F2DDB">
              <w:rPr>
                <w:sz w:val="20"/>
                <w:szCs w:val="20"/>
              </w:rPr>
              <w:t>Gurcanlar</w:t>
            </w:r>
          </w:p>
        </w:tc>
        <w:tc>
          <w:tcPr>
            <w:tcW w:w="1418" w:type="dxa"/>
            <w:tcBorders>
              <w:top w:val="single" w:sz="4" w:space="0" w:color="auto"/>
              <w:left w:val="single" w:sz="4" w:space="0" w:color="auto"/>
              <w:bottom w:val="single" w:sz="4" w:space="0" w:color="auto"/>
              <w:right w:val="single" w:sz="4" w:space="0" w:color="auto"/>
            </w:tcBorders>
          </w:tcPr>
          <w:p w14:paraId="304E0BF7" w14:textId="77777777" w:rsidR="002C502D" w:rsidRPr="009F2DDB" w:rsidRDefault="002C502D" w:rsidP="00203F2A">
            <w:pPr>
              <w:pStyle w:val="NoSpacing"/>
              <w:jc w:val="both"/>
              <w:rPr>
                <w:sz w:val="20"/>
                <w:szCs w:val="20"/>
              </w:rPr>
            </w:pPr>
            <w:r w:rsidRPr="009F2DDB">
              <w:rPr>
                <w:sz w:val="20"/>
                <w:szCs w:val="20"/>
              </w:rPr>
              <w:t>Tugba</w:t>
            </w:r>
          </w:p>
        </w:tc>
        <w:tc>
          <w:tcPr>
            <w:tcW w:w="5406" w:type="dxa"/>
            <w:tcBorders>
              <w:top w:val="single" w:sz="4" w:space="0" w:color="auto"/>
              <w:left w:val="single" w:sz="4" w:space="0" w:color="auto"/>
              <w:bottom w:val="single" w:sz="4" w:space="0" w:color="auto"/>
              <w:right w:val="single" w:sz="4" w:space="0" w:color="auto"/>
            </w:tcBorders>
          </w:tcPr>
          <w:p w14:paraId="3D2DC1BF" w14:textId="77777777" w:rsidR="002C502D" w:rsidRPr="009F2DDB" w:rsidRDefault="002C502D" w:rsidP="00203F2A">
            <w:pPr>
              <w:pStyle w:val="NoSpacing"/>
              <w:jc w:val="both"/>
              <w:rPr>
                <w:sz w:val="20"/>
                <w:szCs w:val="20"/>
              </w:rPr>
            </w:pPr>
            <w:r w:rsidRPr="009F2DDB">
              <w:rPr>
                <w:sz w:val="20"/>
                <w:szCs w:val="20"/>
              </w:rPr>
              <w:t>WBG</w:t>
            </w:r>
          </w:p>
        </w:tc>
      </w:tr>
      <w:tr w:rsidR="002C502D" w:rsidRPr="007A3D7B" w14:paraId="721ADF3A" w14:textId="77777777" w:rsidTr="00902291">
        <w:trPr>
          <w:gridAfter w:val="1"/>
          <w:wAfter w:w="21" w:type="dxa"/>
          <w:trHeight w:val="70"/>
        </w:trPr>
        <w:tc>
          <w:tcPr>
            <w:tcW w:w="526" w:type="dxa"/>
          </w:tcPr>
          <w:p w14:paraId="640271DC" w14:textId="727687F4" w:rsidR="002C502D" w:rsidRPr="007A3D7B" w:rsidRDefault="002C502D" w:rsidP="00203F2A">
            <w:pPr>
              <w:pStyle w:val="NoSpacing"/>
              <w:jc w:val="both"/>
              <w:rPr>
                <w:sz w:val="20"/>
                <w:szCs w:val="20"/>
              </w:rPr>
            </w:pPr>
            <w:r>
              <w:rPr>
                <w:sz w:val="20"/>
                <w:szCs w:val="20"/>
              </w:rPr>
              <w:t>2</w:t>
            </w:r>
          </w:p>
        </w:tc>
        <w:tc>
          <w:tcPr>
            <w:tcW w:w="1560" w:type="dxa"/>
          </w:tcPr>
          <w:p w14:paraId="4CD6F1F1" w14:textId="77777777" w:rsidR="002C502D" w:rsidRPr="007A3D7B" w:rsidRDefault="002C502D" w:rsidP="00203F2A">
            <w:pPr>
              <w:pStyle w:val="NoSpacing"/>
              <w:jc w:val="both"/>
              <w:rPr>
                <w:sz w:val="20"/>
                <w:szCs w:val="20"/>
              </w:rPr>
            </w:pPr>
            <w:r w:rsidRPr="007A3D7B">
              <w:rPr>
                <w:sz w:val="20"/>
                <w:szCs w:val="20"/>
              </w:rPr>
              <w:t>Anderson</w:t>
            </w:r>
          </w:p>
        </w:tc>
        <w:tc>
          <w:tcPr>
            <w:tcW w:w="1418" w:type="dxa"/>
          </w:tcPr>
          <w:p w14:paraId="6D0C8F67" w14:textId="77777777" w:rsidR="002C502D" w:rsidRPr="007A3D7B" w:rsidRDefault="002C502D" w:rsidP="00203F2A">
            <w:pPr>
              <w:pStyle w:val="NoSpacing"/>
              <w:jc w:val="both"/>
              <w:rPr>
                <w:sz w:val="20"/>
                <w:szCs w:val="20"/>
              </w:rPr>
            </w:pPr>
            <w:r w:rsidRPr="007A3D7B">
              <w:rPr>
                <w:sz w:val="20"/>
                <w:szCs w:val="20"/>
              </w:rPr>
              <w:t>John</w:t>
            </w:r>
          </w:p>
        </w:tc>
        <w:tc>
          <w:tcPr>
            <w:tcW w:w="5406" w:type="dxa"/>
          </w:tcPr>
          <w:p w14:paraId="15E64EFE" w14:textId="77777777" w:rsidR="002C502D" w:rsidRPr="007A3D7B" w:rsidRDefault="002C502D" w:rsidP="00203F2A">
            <w:pPr>
              <w:pStyle w:val="NoSpacing"/>
              <w:jc w:val="both"/>
              <w:rPr>
                <w:sz w:val="20"/>
                <w:szCs w:val="20"/>
              </w:rPr>
            </w:pPr>
            <w:r w:rsidRPr="007A3D7B">
              <w:rPr>
                <w:sz w:val="20"/>
                <w:szCs w:val="20"/>
              </w:rPr>
              <w:t>WBG</w:t>
            </w:r>
          </w:p>
        </w:tc>
      </w:tr>
      <w:tr w:rsidR="002C502D" w:rsidRPr="009F2DDB" w14:paraId="3D9E80C2" w14:textId="77777777" w:rsidTr="00902291">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35813576" w14:textId="6D8C4A5A" w:rsidR="002C502D" w:rsidRPr="009F2DDB" w:rsidRDefault="002C502D" w:rsidP="00203F2A">
            <w:pPr>
              <w:pStyle w:val="NoSpacing"/>
              <w:jc w:val="both"/>
              <w:rPr>
                <w:sz w:val="20"/>
                <w:szCs w:val="20"/>
              </w:rPr>
            </w:pPr>
            <w:r>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38ECBE3E" w14:textId="77777777" w:rsidR="002C502D" w:rsidRPr="009F2DDB" w:rsidRDefault="002C502D" w:rsidP="00203F2A">
            <w:pPr>
              <w:pStyle w:val="NoSpacing"/>
              <w:jc w:val="both"/>
              <w:rPr>
                <w:sz w:val="20"/>
                <w:szCs w:val="20"/>
              </w:rPr>
            </w:pPr>
            <w:r w:rsidRPr="009F2DDB">
              <w:rPr>
                <w:sz w:val="20"/>
                <w:szCs w:val="20"/>
              </w:rPr>
              <w:t>Renfurm</w:t>
            </w:r>
          </w:p>
        </w:tc>
        <w:tc>
          <w:tcPr>
            <w:tcW w:w="1418" w:type="dxa"/>
            <w:tcBorders>
              <w:top w:val="single" w:sz="4" w:space="0" w:color="auto"/>
              <w:left w:val="single" w:sz="4" w:space="0" w:color="auto"/>
              <w:bottom w:val="single" w:sz="4" w:space="0" w:color="auto"/>
              <w:right w:val="single" w:sz="4" w:space="0" w:color="auto"/>
            </w:tcBorders>
          </w:tcPr>
          <w:p w14:paraId="6D4B2A36" w14:textId="77777777" w:rsidR="002C502D" w:rsidRPr="009F2DDB" w:rsidRDefault="002C502D" w:rsidP="00203F2A">
            <w:pPr>
              <w:pStyle w:val="NoSpacing"/>
              <w:jc w:val="both"/>
              <w:rPr>
                <w:sz w:val="20"/>
                <w:szCs w:val="20"/>
              </w:rPr>
            </w:pPr>
            <w:r w:rsidRPr="009F2DDB">
              <w:rPr>
                <w:sz w:val="20"/>
                <w:szCs w:val="20"/>
              </w:rPr>
              <w:t>Jerrol</w:t>
            </w:r>
          </w:p>
        </w:tc>
        <w:tc>
          <w:tcPr>
            <w:tcW w:w="5406" w:type="dxa"/>
            <w:tcBorders>
              <w:top w:val="single" w:sz="4" w:space="0" w:color="auto"/>
              <w:left w:val="single" w:sz="4" w:space="0" w:color="auto"/>
              <w:bottom w:val="single" w:sz="4" w:space="0" w:color="auto"/>
              <w:right w:val="single" w:sz="4" w:space="0" w:color="auto"/>
            </w:tcBorders>
          </w:tcPr>
          <w:p w14:paraId="779F43B6" w14:textId="2EB3873B"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r w:rsidR="002C502D" w:rsidRPr="009F2DDB" w14:paraId="7B029670" w14:textId="77777777" w:rsidTr="00902291">
        <w:trPr>
          <w:gridAfter w:val="1"/>
          <w:wAfter w:w="21" w:type="dxa"/>
          <w:trHeight w:val="98"/>
        </w:trPr>
        <w:tc>
          <w:tcPr>
            <w:tcW w:w="526" w:type="dxa"/>
            <w:tcBorders>
              <w:top w:val="single" w:sz="4" w:space="0" w:color="auto"/>
              <w:left w:val="single" w:sz="4" w:space="0" w:color="auto"/>
              <w:bottom w:val="single" w:sz="4" w:space="0" w:color="auto"/>
              <w:right w:val="single" w:sz="4" w:space="0" w:color="auto"/>
            </w:tcBorders>
          </w:tcPr>
          <w:p w14:paraId="41C9C406" w14:textId="167A56A7" w:rsidR="002C502D" w:rsidRPr="009F2DDB" w:rsidRDefault="002C502D" w:rsidP="00203F2A">
            <w:pPr>
              <w:pStyle w:val="NoSpacing"/>
              <w:jc w:val="both"/>
              <w:rPr>
                <w:sz w:val="20"/>
                <w:szCs w:val="20"/>
              </w:rPr>
            </w:pPr>
            <w:r>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7471F870" w14:textId="77777777" w:rsidR="002C502D" w:rsidRPr="009F2DDB" w:rsidRDefault="002C502D" w:rsidP="00203F2A">
            <w:pPr>
              <w:pStyle w:val="NoSpacing"/>
              <w:jc w:val="both"/>
              <w:rPr>
                <w:sz w:val="20"/>
                <w:szCs w:val="20"/>
              </w:rPr>
            </w:pPr>
            <w:r>
              <w:rPr>
                <w:sz w:val="20"/>
                <w:szCs w:val="20"/>
              </w:rPr>
              <w:t>Heemskerk</w:t>
            </w:r>
          </w:p>
        </w:tc>
        <w:tc>
          <w:tcPr>
            <w:tcW w:w="1418" w:type="dxa"/>
            <w:tcBorders>
              <w:top w:val="single" w:sz="4" w:space="0" w:color="auto"/>
              <w:left w:val="single" w:sz="4" w:space="0" w:color="auto"/>
              <w:bottom w:val="single" w:sz="4" w:space="0" w:color="auto"/>
              <w:right w:val="single" w:sz="4" w:space="0" w:color="auto"/>
            </w:tcBorders>
          </w:tcPr>
          <w:p w14:paraId="5354CDDB" w14:textId="77777777" w:rsidR="002C502D" w:rsidRPr="009F2DDB" w:rsidRDefault="002C502D" w:rsidP="00203F2A">
            <w:pPr>
              <w:pStyle w:val="NoSpacing"/>
              <w:jc w:val="both"/>
              <w:rPr>
                <w:sz w:val="20"/>
                <w:szCs w:val="20"/>
              </w:rPr>
            </w:pPr>
            <w:r>
              <w:rPr>
                <w:sz w:val="20"/>
                <w:szCs w:val="20"/>
              </w:rPr>
              <w:t>Marieke</w:t>
            </w:r>
          </w:p>
        </w:tc>
        <w:tc>
          <w:tcPr>
            <w:tcW w:w="5406" w:type="dxa"/>
            <w:tcBorders>
              <w:top w:val="single" w:sz="4" w:space="0" w:color="auto"/>
              <w:left w:val="single" w:sz="4" w:space="0" w:color="auto"/>
              <w:bottom w:val="single" w:sz="4" w:space="0" w:color="auto"/>
              <w:right w:val="single" w:sz="4" w:space="0" w:color="auto"/>
            </w:tcBorders>
          </w:tcPr>
          <w:p w14:paraId="776A3D6C" w14:textId="3937A971" w:rsidR="002C502D" w:rsidRPr="009F2DDB" w:rsidRDefault="002C502D" w:rsidP="00203F2A">
            <w:pPr>
              <w:pStyle w:val="NoSpacing"/>
              <w:jc w:val="both"/>
              <w:rPr>
                <w:sz w:val="20"/>
                <w:szCs w:val="20"/>
              </w:rPr>
            </w:pPr>
            <w:r>
              <w:rPr>
                <w:sz w:val="20"/>
                <w:szCs w:val="20"/>
              </w:rPr>
              <w:t>Social Solutions</w:t>
            </w:r>
            <w:r w:rsidR="00902291">
              <w:rPr>
                <w:sz w:val="20"/>
                <w:szCs w:val="20"/>
              </w:rPr>
              <w:t xml:space="preserve"> – WBG consultant</w:t>
            </w:r>
          </w:p>
        </w:tc>
      </w:tr>
      <w:tr w:rsidR="002C502D" w:rsidRPr="009F2DDB" w14:paraId="6BB725DA" w14:textId="77777777" w:rsidTr="00902291">
        <w:trPr>
          <w:gridAfter w:val="1"/>
          <w:wAfter w:w="21" w:type="dxa"/>
          <w:trHeight w:val="197"/>
        </w:trPr>
        <w:tc>
          <w:tcPr>
            <w:tcW w:w="526" w:type="dxa"/>
            <w:tcBorders>
              <w:top w:val="single" w:sz="4" w:space="0" w:color="auto"/>
              <w:left w:val="single" w:sz="4" w:space="0" w:color="auto"/>
              <w:bottom w:val="single" w:sz="4" w:space="0" w:color="auto"/>
              <w:right w:val="single" w:sz="4" w:space="0" w:color="auto"/>
            </w:tcBorders>
          </w:tcPr>
          <w:p w14:paraId="59606105" w14:textId="322DDDC7" w:rsidR="002C502D" w:rsidRPr="009F2DDB" w:rsidRDefault="002C502D" w:rsidP="00203F2A">
            <w:pPr>
              <w:pStyle w:val="NoSpacing"/>
              <w:jc w:val="both"/>
              <w:rPr>
                <w:sz w:val="20"/>
                <w:szCs w:val="20"/>
              </w:rPr>
            </w:pPr>
            <w:r>
              <w:rPr>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6176D6A7" w14:textId="77777777" w:rsidR="002C502D" w:rsidRPr="009F2DDB" w:rsidRDefault="002C502D" w:rsidP="00203F2A">
            <w:pPr>
              <w:pStyle w:val="NoSpacing"/>
              <w:jc w:val="both"/>
              <w:rPr>
                <w:sz w:val="20"/>
                <w:szCs w:val="20"/>
              </w:rPr>
            </w:pPr>
            <w:r w:rsidRPr="009F2DDB">
              <w:rPr>
                <w:sz w:val="20"/>
                <w:szCs w:val="20"/>
              </w:rPr>
              <w:t>Van Dijk</w:t>
            </w:r>
          </w:p>
        </w:tc>
        <w:tc>
          <w:tcPr>
            <w:tcW w:w="1418" w:type="dxa"/>
            <w:tcBorders>
              <w:top w:val="single" w:sz="4" w:space="0" w:color="auto"/>
              <w:left w:val="single" w:sz="4" w:space="0" w:color="auto"/>
              <w:bottom w:val="single" w:sz="4" w:space="0" w:color="auto"/>
              <w:right w:val="single" w:sz="4" w:space="0" w:color="auto"/>
            </w:tcBorders>
          </w:tcPr>
          <w:p w14:paraId="2715BCB4" w14:textId="77777777" w:rsidR="002C502D" w:rsidRPr="009F2DDB" w:rsidRDefault="002C502D" w:rsidP="00203F2A">
            <w:pPr>
              <w:pStyle w:val="NoSpacing"/>
              <w:jc w:val="both"/>
              <w:rPr>
                <w:sz w:val="20"/>
                <w:szCs w:val="20"/>
              </w:rPr>
            </w:pPr>
            <w:r w:rsidRPr="009F2DDB">
              <w:rPr>
                <w:sz w:val="20"/>
                <w:szCs w:val="20"/>
              </w:rPr>
              <w:t>Sietze</w:t>
            </w:r>
          </w:p>
        </w:tc>
        <w:tc>
          <w:tcPr>
            <w:tcW w:w="5406" w:type="dxa"/>
            <w:tcBorders>
              <w:top w:val="single" w:sz="4" w:space="0" w:color="auto"/>
              <w:left w:val="single" w:sz="4" w:space="0" w:color="auto"/>
              <w:bottom w:val="single" w:sz="4" w:space="0" w:color="auto"/>
              <w:right w:val="single" w:sz="4" w:space="0" w:color="auto"/>
            </w:tcBorders>
          </w:tcPr>
          <w:p w14:paraId="07F51EC9" w14:textId="276C2606" w:rsidR="002C502D" w:rsidRPr="009F2DDB" w:rsidRDefault="002C502D" w:rsidP="00203F2A">
            <w:pPr>
              <w:pStyle w:val="NoSpacing"/>
              <w:jc w:val="both"/>
              <w:rPr>
                <w:sz w:val="20"/>
                <w:szCs w:val="20"/>
              </w:rPr>
            </w:pPr>
            <w:r w:rsidRPr="009F2DDB">
              <w:rPr>
                <w:sz w:val="20"/>
                <w:szCs w:val="20"/>
              </w:rPr>
              <w:t>ESS</w:t>
            </w:r>
            <w:r w:rsidR="00902291">
              <w:rPr>
                <w:sz w:val="20"/>
                <w:szCs w:val="20"/>
              </w:rPr>
              <w:t xml:space="preserve"> – WBG consultant</w:t>
            </w:r>
          </w:p>
        </w:tc>
      </w:tr>
      <w:tr w:rsidR="002C502D" w:rsidRPr="009F2DDB" w14:paraId="044C4D45" w14:textId="77777777" w:rsidTr="00902291">
        <w:trPr>
          <w:gridAfter w:val="1"/>
          <w:wAfter w:w="21" w:type="dxa"/>
          <w:trHeight w:val="233"/>
        </w:trPr>
        <w:tc>
          <w:tcPr>
            <w:tcW w:w="526" w:type="dxa"/>
            <w:tcBorders>
              <w:top w:val="single" w:sz="4" w:space="0" w:color="auto"/>
              <w:left w:val="single" w:sz="4" w:space="0" w:color="auto"/>
              <w:bottom w:val="single" w:sz="4" w:space="0" w:color="auto"/>
              <w:right w:val="single" w:sz="4" w:space="0" w:color="auto"/>
            </w:tcBorders>
            <w:hideMark/>
          </w:tcPr>
          <w:p w14:paraId="04BE5D55" w14:textId="0B0C5E65" w:rsidR="002C502D" w:rsidRPr="009F2DDB" w:rsidRDefault="002C502D" w:rsidP="00203F2A">
            <w:pPr>
              <w:pStyle w:val="NoSpacing"/>
              <w:jc w:val="both"/>
              <w:rPr>
                <w:sz w:val="20"/>
                <w:szCs w:val="20"/>
              </w:rPr>
            </w:pPr>
            <w:r>
              <w:rPr>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160F4AF7" w14:textId="77777777" w:rsidR="002C502D" w:rsidRPr="009F2DDB" w:rsidRDefault="002C502D" w:rsidP="00203F2A">
            <w:pPr>
              <w:pStyle w:val="NoSpacing"/>
              <w:jc w:val="both"/>
              <w:rPr>
                <w:sz w:val="20"/>
                <w:szCs w:val="20"/>
              </w:rPr>
            </w:pPr>
            <w:r w:rsidRPr="009F2DDB">
              <w:rPr>
                <w:sz w:val="20"/>
                <w:szCs w:val="20"/>
              </w:rPr>
              <w:t>Djasman</w:t>
            </w:r>
          </w:p>
        </w:tc>
        <w:tc>
          <w:tcPr>
            <w:tcW w:w="1418" w:type="dxa"/>
            <w:tcBorders>
              <w:top w:val="single" w:sz="4" w:space="0" w:color="auto"/>
              <w:left w:val="single" w:sz="4" w:space="0" w:color="auto"/>
              <w:bottom w:val="single" w:sz="4" w:space="0" w:color="auto"/>
              <w:right w:val="single" w:sz="4" w:space="0" w:color="auto"/>
            </w:tcBorders>
          </w:tcPr>
          <w:p w14:paraId="63BBAB56" w14:textId="77777777" w:rsidR="002C502D" w:rsidRPr="009F2DDB" w:rsidRDefault="002C502D" w:rsidP="00203F2A">
            <w:pPr>
              <w:pStyle w:val="NoSpacing"/>
              <w:jc w:val="both"/>
              <w:rPr>
                <w:sz w:val="20"/>
                <w:szCs w:val="20"/>
              </w:rPr>
            </w:pPr>
            <w:r w:rsidRPr="009F2DDB">
              <w:rPr>
                <w:sz w:val="20"/>
                <w:szCs w:val="20"/>
              </w:rPr>
              <w:t>Jean</w:t>
            </w:r>
          </w:p>
        </w:tc>
        <w:tc>
          <w:tcPr>
            <w:tcW w:w="5406" w:type="dxa"/>
            <w:tcBorders>
              <w:top w:val="single" w:sz="4" w:space="0" w:color="auto"/>
              <w:left w:val="single" w:sz="4" w:space="0" w:color="auto"/>
              <w:bottom w:val="single" w:sz="4" w:space="0" w:color="auto"/>
              <w:right w:val="single" w:sz="4" w:space="0" w:color="auto"/>
            </w:tcBorders>
          </w:tcPr>
          <w:p w14:paraId="31A8F8A1" w14:textId="747DA8CD"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r w:rsidR="002C502D" w:rsidRPr="009F2DDB" w14:paraId="6DDEA0F0"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7E3CF66D" w14:textId="05607730" w:rsidR="002C502D" w:rsidRPr="009F2DDB" w:rsidRDefault="002C502D" w:rsidP="00203F2A">
            <w:pPr>
              <w:pStyle w:val="NoSpacing"/>
              <w:jc w:val="both"/>
              <w:rPr>
                <w:sz w:val="20"/>
                <w:szCs w:val="20"/>
              </w:rPr>
            </w:pPr>
            <w:r>
              <w:rPr>
                <w:sz w:val="20"/>
                <w:szCs w:val="20"/>
              </w:rPr>
              <w:t>7</w:t>
            </w:r>
          </w:p>
        </w:tc>
        <w:tc>
          <w:tcPr>
            <w:tcW w:w="1560" w:type="dxa"/>
            <w:tcBorders>
              <w:top w:val="single" w:sz="4" w:space="0" w:color="auto"/>
              <w:left w:val="single" w:sz="4" w:space="0" w:color="auto"/>
              <w:bottom w:val="single" w:sz="4" w:space="0" w:color="auto"/>
              <w:right w:val="single" w:sz="4" w:space="0" w:color="auto"/>
            </w:tcBorders>
          </w:tcPr>
          <w:p w14:paraId="03C6B3CE" w14:textId="77777777" w:rsidR="002C502D" w:rsidRPr="009F2DDB" w:rsidRDefault="002C502D" w:rsidP="00203F2A">
            <w:pPr>
              <w:pStyle w:val="NoSpacing"/>
              <w:jc w:val="both"/>
              <w:rPr>
                <w:sz w:val="20"/>
                <w:szCs w:val="20"/>
              </w:rPr>
            </w:pPr>
            <w:r w:rsidRPr="009F2DDB">
              <w:rPr>
                <w:sz w:val="20"/>
                <w:szCs w:val="20"/>
              </w:rPr>
              <w:t>Mac Andrew</w:t>
            </w:r>
          </w:p>
        </w:tc>
        <w:tc>
          <w:tcPr>
            <w:tcW w:w="1418" w:type="dxa"/>
            <w:tcBorders>
              <w:top w:val="single" w:sz="4" w:space="0" w:color="auto"/>
              <w:left w:val="single" w:sz="4" w:space="0" w:color="auto"/>
              <w:bottom w:val="single" w:sz="4" w:space="0" w:color="auto"/>
              <w:right w:val="single" w:sz="4" w:space="0" w:color="auto"/>
            </w:tcBorders>
          </w:tcPr>
          <w:p w14:paraId="78EC9137" w14:textId="18B55FCB" w:rsidR="002C502D" w:rsidRPr="009F2DDB" w:rsidRDefault="002C502D" w:rsidP="00203F2A">
            <w:pPr>
              <w:pStyle w:val="NoSpacing"/>
              <w:jc w:val="both"/>
              <w:rPr>
                <w:sz w:val="20"/>
                <w:szCs w:val="20"/>
              </w:rPr>
            </w:pPr>
            <w:r w:rsidRPr="009F2DDB">
              <w:rPr>
                <w:sz w:val="20"/>
                <w:szCs w:val="20"/>
              </w:rPr>
              <w:t>Steven</w:t>
            </w:r>
          </w:p>
        </w:tc>
        <w:tc>
          <w:tcPr>
            <w:tcW w:w="5406" w:type="dxa"/>
            <w:tcBorders>
              <w:top w:val="single" w:sz="4" w:space="0" w:color="auto"/>
              <w:left w:val="single" w:sz="4" w:space="0" w:color="auto"/>
              <w:bottom w:val="single" w:sz="4" w:space="0" w:color="auto"/>
              <w:right w:val="single" w:sz="4" w:space="0" w:color="auto"/>
            </w:tcBorders>
          </w:tcPr>
          <w:p w14:paraId="268BF1B4" w14:textId="1CFE835D" w:rsidR="002C502D" w:rsidRPr="009F2DDB" w:rsidRDefault="002C502D" w:rsidP="00203F2A">
            <w:pPr>
              <w:pStyle w:val="NoSpacing"/>
              <w:jc w:val="both"/>
              <w:rPr>
                <w:sz w:val="20"/>
                <w:szCs w:val="20"/>
              </w:rPr>
            </w:pPr>
            <w:r w:rsidRPr="009F2DDB">
              <w:rPr>
                <w:sz w:val="20"/>
                <w:szCs w:val="20"/>
              </w:rPr>
              <w:t>Sur</w:t>
            </w:r>
            <w:r>
              <w:rPr>
                <w:sz w:val="20"/>
                <w:szCs w:val="20"/>
              </w:rPr>
              <w:t>iname</w:t>
            </w:r>
            <w:r w:rsidRPr="009F2DDB">
              <w:rPr>
                <w:sz w:val="20"/>
                <w:szCs w:val="20"/>
              </w:rPr>
              <w:t xml:space="preserve"> Trade &amp; Ind</w:t>
            </w:r>
            <w:r>
              <w:rPr>
                <w:sz w:val="20"/>
                <w:szCs w:val="20"/>
              </w:rPr>
              <w:t xml:space="preserve">ustry </w:t>
            </w:r>
            <w:r w:rsidRPr="009F2DDB">
              <w:rPr>
                <w:sz w:val="20"/>
                <w:szCs w:val="20"/>
              </w:rPr>
              <w:t>Ass</w:t>
            </w:r>
            <w:r>
              <w:rPr>
                <w:sz w:val="20"/>
                <w:szCs w:val="20"/>
              </w:rPr>
              <w:t>. (VSB)</w:t>
            </w:r>
          </w:p>
        </w:tc>
      </w:tr>
      <w:tr w:rsidR="002C502D" w:rsidRPr="009F2DDB" w14:paraId="53573699"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10D10A95" w14:textId="2BEF2FE4" w:rsidR="002C502D" w:rsidRPr="009F2DDB" w:rsidRDefault="002C502D" w:rsidP="00203F2A">
            <w:pPr>
              <w:pStyle w:val="NoSpacing"/>
              <w:jc w:val="both"/>
              <w:rPr>
                <w:sz w:val="20"/>
                <w:szCs w:val="20"/>
              </w:rPr>
            </w:pPr>
            <w:r>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3E8F9F1D" w14:textId="77777777" w:rsidR="002C502D" w:rsidRPr="009F2DDB" w:rsidRDefault="002C502D" w:rsidP="00203F2A">
            <w:pPr>
              <w:pStyle w:val="NoSpacing"/>
              <w:jc w:val="both"/>
              <w:rPr>
                <w:sz w:val="20"/>
                <w:szCs w:val="20"/>
              </w:rPr>
            </w:pPr>
            <w:proofErr w:type="spellStart"/>
            <w:r w:rsidRPr="009F2DDB">
              <w:rPr>
                <w:sz w:val="20"/>
                <w:szCs w:val="20"/>
              </w:rPr>
              <w:t>Spek</w:t>
            </w:r>
            <w:proofErr w:type="spellEnd"/>
          </w:p>
        </w:tc>
        <w:tc>
          <w:tcPr>
            <w:tcW w:w="1418" w:type="dxa"/>
            <w:tcBorders>
              <w:top w:val="single" w:sz="4" w:space="0" w:color="auto"/>
              <w:left w:val="single" w:sz="4" w:space="0" w:color="auto"/>
              <w:bottom w:val="single" w:sz="4" w:space="0" w:color="auto"/>
              <w:right w:val="single" w:sz="4" w:space="0" w:color="auto"/>
            </w:tcBorders>
          </w:tcPr>
          <w:p w14:paraId="26D80317" w14:textId="77777777" w:rsidR="002C502D" w:rsidRPr="009F2DDB" w:rsidRDefault="002C502D" w:rsidP="00203F2A">
            <w:pPr>
              <w:pStyle w:val="NoSpacing"/>
              <w:jc w:val="both"/>
              <w:rPr>
                <w:sz w:val="20"/>
                <w:szCs w:val="20"/>
              </w:rPr>
            </w:pPr>
            <w:r w:rsidRPr="009F2DDB">
              <w:rPr>
                <w:sz w:val="20"/>
                <w:szCs w:val="20"/>
              </w:rPr>
              <w:t>Bas</w:t>
            </w:r>
          </w:p>
        </w:tc>
        <w:tc>
          <w:tcPr>
            <w:tcW w:w="5406" w:type="dxa"/>
            <w:tcBorders>
              <w:top w:val="single" w:sz="4" w:space="0" w:color="auto"/>
              <w:left w:val="single" w:sz="4" w:space="0" w:color="auto"/>
              <w:bottom w:val="single" w:sz="4" w:space="0" w:color="auto"/>
              <w:right w:val="single" w:sz="4" w:space="0" w:color="auto"/>
            </w:tcBorders>
          </w:tcPr>
          <w:p w14:paraId="47FB3DE1" w14:textId="5BE823E8" w:rsidR="002C502D" w:rsidRPr="009F2DDB" w:rsidRDefault="002C502D" w:rsidP="00203F2A">
            <w:pPr>
              <w:pStyle w:val="NoSpacing"/>
              <w:jc w:val="both"/>
              <w:rPr>
                <w:sz w:val="20"/>
                <w:szCs w:val="20"/>
              </w:rPr>
            </w:pPr>
            <w:r w:rsidRPr="009F2DDB">
              <w:rPr>
                <w:sz w:val="20"/>
                <w:szCs w:val="20"/>
              </w:rPr>
              <w:t xml:space="preserve">Tourism Cluster </w:t>
            </w:r>
            <w:proofErr w:type="spellStart"/>
            <w:r w:rsidRPr="009F2DDB">
              <w:rPr>
                <w:sz w:val="20"/>
                <w:szCs w:val="20"/>
              </w:rPr>
              <w:t>Commewijne</w:t>
            </w:r>
            <w:proofErr w:type="spellEnd"/>
            <w:r>
              <w:rPr>
                <w:sz w:val="20"/>
                <w:szCs w:val="20"/>
              </w:rPr>
              <w:t xml:space="preserve"> district</w:t>
            </w:r>
          </w:p>
        </w:tc>
      </w:tr>
      <w:tr w:rsidR="002C502D" w:rsidRPr="009F2DDB" w14:paraId="63B72B3B"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tcPr>
          <w:p w14:paraId="53D672C2" w14:textId="1B7FCABA" w:rsidR="002C502D" w:rsidRPr="009F2DDB" w:rsidRDefault="002C502D" w:rsidP="00203F2A">
            <w:pPr>
              <w:pStyle w:val="NoSpacing"/>
              <w:jc w:val="both"/>
              <w:rPr>
                <w:sz w:val="20"/>
                <w:szCs w:val="20"/>
              </w:rPr>
            </w:pPr>
            <w:r>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14:paraId="64FD5AE2" w14:textId="77777777" w:rsidR="002C502D" w:rsidRPr="009F2DDB" w:rsidRDefault="002C502D" w:rsidP="00203F2A">
            <w:pPr>
              <w:pStyle w:val="NoSpacing"/>
              <w:jc w:val="both"/>
              <w:rPr>
                <w:sz w:val="20"/>
                <w:szCs w:val="20"/>
              </w:rPr>
            </w:pPr>
            <w:proofErr w:type="spellStart"/>
            <w:r w:rsidRPr="009F2DDB">
              <w:rPr>
                <w:sz w:val="20"/>
                <w:szCs w:val="20"/>
              </w:rPr>
              <w:t>Autar</w:t>
            </w:r>
            <w:proofErr w:type="spellEnd"/>
          </w:p>
        </w:tc>
        <w:tc>
          <w:tcPr>
            <w:tcW w:w="1418" w:type="dxa"/>
            <w:tcBorders>
              <w:top w:val="single" w:sz="4" w:space="0" w:color="auto"/>
              <w:left w:val="single" w:sz="4" w:space="0" w:color="auto"/>
              <w:bottom w:val="single" w:sz="4" w:space="0" w:color="auto"/>
              <w:right w:val="single" w:sz="4" w:space="0" w:color="auto"/>
            </w:tcBorders>
          </w:tcPr>
          <w:p w14:paraId="66948B35" w14:textId="77777777" w:rsidR="002C502D" w:rsidRPr="009F2DDB" w:rsidRDefault="002C502D" w:rsidP="00203F2A">
            <w:pPr>
              <w:pStyle w:val="NoSpacing"/>
              <w:jc w:val="both"/>
              <w:rPr>
                <w:sz w:val="20"/>
                <w:szCs w:val="20"/>
              </w:rPr>
            </w:pPr>
            <w:proofErr w:type="spellStart"/>
            <w:r w:rsidRPr="009F2DDB">
              <w:rPr>
                <w:sz w:val="20"/>
                <w:szCs w:val="20"/>
              </w:rPr>
              <w:t>Nargies</w:t>
            </w:r>
            <w:proofErr w:type="spellEnd"/>
          </w:p>
        </w:tc>
        <w:tc>
          <w:tcPr>
            <w:tcW w:w="5406" w:type="dxa"/>
            <w:tcBorders>
              <w:top w:val="single" w:sz="4" w:space="0" w:color="auto"/>
              <w:left w:val="single" w:sz="4" w:space="0" w:color="auto"/>
              <w:bottom w:val="single" w:sz="4" w:space="0" w:color="auto"/>
              <w:right w:val="single" w:sz="4" w:space="0" w:color="auto"/>
            </w:tcBorders>
          </w:tcPr>
          <w:p w14:paraId="6BAD5ACD" w14:textId="1D9D3475" w:rsidR="002C502D" w:rsidRPr="009F2DDB" w:rsidRDefault="002C502D" w:rsidP="00203F2A">
            <w:pPr>
              <w:pStyle w:val="NoSpacing"/>
              <w:jc w:val="both"/>
              <w:rPr>
                <w:sz w:val="20"/>
                <w:szCs w:val="20"/>
              </w:rPr>
            </w:pPr>
            <w:r>
              <w:rPr>
                <w:sz w:val="20"/>
                <w:szCs w:val="20"/>
              </w:rPr>
              <w:t>SSB</w:t>
            </w:r>
          </w:p>
        </w:tc>
      </w:tr>
      <w:tr w:rsidR="002C502D" w:rsidRPr="009F2DDB" w14:paraId="337291C6"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05025958" w14:textId="5E77E435" w:rsidR="002C502D" w:rsidRPr="009F2DDB" w:rsidRDefault="002C502D" w:rsidP="00203F2A">
            <w:pPr>
              <w:pStyle w:val="NoSpacing"/>
              <w:jc w:val="both"/>
              <w:rPr>
                <w:sz w:val="20"/>
                <w:szCs w:val="20"/>
              </w:rPr>
            </w:pPr>
            <w:r>
              <w:rPr>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462A2F74" w14:textId="77777777" w:rsidR="002C502D" w:rsidRPr="009F2DDB" w:rsidRDefault="002C502D" w:rsidP="00203F2A">
            <w:pPr>
              <w:pStyle w:val="NoSpacing"/>
              <w:jc w:val="both"/>
              <w:rPr>
                <w:sz w:val="20"/>
                <w:szCs w:val="20"/>
              </w:rPr>
            </w:pPr>
            <w:proofErr w:type="spellStart"/>
            <w:r w:rsidRPr="009F2DDB">
              <w:rPr>
                <w:sz w:val="20"/>
                <w:szCs w:val="20"/>
              </w:rPr>
              <w:t>Kanhai</w:t>
            </w:r>
            <w:proofErr w:type="spellEnd"/>
          </w:p>
        </w:tc>
        <w:tc>
          <w:tcPr>
            <w:tcW w:w="1418" w:type="dxa"/>
            <w:tcBorders>
              <w:top w:val="single" w:sz="4" w:space="0" w:color="auto"/>
              <w:left w:val="single" w:sz="4" w:space="0" w:color="auto"/>
              <w:bottom w:val="single" w:sz="4" w:space="0" w:color="auto"/>
              <w:right w:val="single" w:sz="4" w:space="0" w:color="auto"/>
            </w:tcBorders>
          </w:tcPr>
          <w:p w14:paraId="5B6B4E9B" w14:textId="77777777" w:rsidR="002C502D" w:rsidRPr="009F2DDB" w:rsidRDefault="002C502D" w:rsidP="00203F2A">
            <w:pPr>
              <w:pStyle w:val="NoSpacing"/>
              <w:jc w:val="both"/>
              <w:rPr>
                <w:sz w:val="20"/>
                <w:szCs w:val="20"/>
              </w:rPr>
            </w:pPr>
            <w:proofErr w:type="spellStart"/>
            <w:r w:rsidRPr="009F2DDB">
              <w:rPr>
                <w:sz w:val="20"/>
                <w:szCs w:val="20"/>
              </w:rPr>
              <w:t>Nemchand</w:t>
            </w:r>
            <w:proofErr w:type="spellEnd"/>
          </w:p>
        </w:tc>
        <w:tc>
          <w:tcPr>
            <w:tcW w:w="5406" w:type="dxa"/>
            <w:tcBorders>
              <w:top w:val="single" w:sz="4" w:space="0" w:color="auto"/>
              <w:left w:val="single" w:sz="4" w:space="0" w:color="auto"/>
              <w:bottom w:val="single" w:sz="4" w:space="0" w:color="auto"/>
              <w:right w:val="single" w:sz="4" w:space="0" w:color="auto"/>
            </w:tcBorders>
          </w:tcPr>
          <w:p w14:paraId="3EB36581" w14:textId="7E9B4C2D" w:rsidR="002C502D" w:rsidRPr="009F2DDB" w:rsidRDefault="002C502D" w:rsidP="00203F2A">
            <w:pPr>
              <w:pStyle w:val="NoSpacing"/>
              <w:jc w:val="both"/>
              <w:rPr>
                <w:sz w:val="20"/>
                <w:szCs w:val="20"/>
              </w:rPr>
            </w:pPr>
            <w:r>
              <w:rPr>
                <w:sz w:val="20"/>
                <w:szCs w:val="20"/>
              </w:rPr>
              <w:t xml:space="preserve">Association </w:t>
            </w:r>
            <w:r w:rsidRPr="009F2DDB">
              <w:rPr>
                <w:sz w:val="20"/>
                <w:szCs w:val="20"/>
              </w:rPr>
              <w:t xml:space="preserve">Poultry </w:t>
            </w:r>
            <w:r>
              <w:rPr>
                <w:sz w:val="20"/>
                <w:szCs w:val="20"/>
              </w:rPr>
              <w:t>S</w:t>
            </w:r>
            <w:r w:rsidRPr="009F2DDB">
              <w:rPr>
                <w:sz w:val="20"/>
                <w:szCs w:val="20"/>
              </w:rPr>
              <w:t>ector</w:t>
            </w:r>
            <w:r>
              <w:rPr>
                <w:sz w:val="20"/>
                <w:szCs w:val="20"/>
              </w:rPr>
              <w:t xml:space="preserve"> Suriname (APSS)</w:t>
            </w:r>
          </w:p>
        </w:tc>
      </w:tr>
      <w:tr w:rsidR="002C502D" w:rsidRPr="009F2DDB" w14:paraId="22DDD1C2" w14:textId="77777777" w:rsidTr="00902291">
        <w:trPr>
          <w:gridAfter w:val="1"/>
          <w:wAfter w:w="21" w:type="dxa"/>
          <w:trHeight w:val="98"/>
        </w:trPr>
        <w:tc>
          <w:tcPr>
            <w:tcW w:w="526" w:type="dxa"/>
            <w:tcBorders>
              <w:top w:val="single" w:sz="4" w:space="0" w:color="auto"/>
              <w:left w:val="single" w:sz="4" w:space="0" w:color="auto"/>
              <w:bottom w:val="single" w:sz="4" w:space="0" w:color="auto"/>
              <w:right w:val="single" w:sz="4" w:space="0" w:color="auto"/>
            </w:tcBorders>
            <w:hideMark/>
          </w:tcPr>
          <w:p w14:paraId="4D4F2FD9" w14:textId="48CBB234" w:rsidR="002C502D" w:rsidRPr="009F2DDB" w:rsidRDefault="002C502D" w:rsidP="00203F2A">
            <w:pPr>
              <w:pStyle w:val="NoSpacing"/>
              <w:jc w:val="both"/>
              <w:rPr>
                <w:sz w:val="20"/>
                <w:szCs w:val="20"/>
              </w:rPr>
            </w:pPr>
            <w:r>
              <w:rPr>
                <w:sz w:val="20"/>
                <w:szCs w:val="20"/>
              </w:rPr>
              <w:t>11</w:t>
            </w:r>
          </w:p>
        </w:tc>
        <w:tc>
          <w:tcPr>
            <w:tcW w:w="1560" w:type="dxa"/>
            <w:tcBorders>
              <w:top w:val="single" w:sz="4" w:space="0" w:color="auto"/>
              <w:left w:val="single" w:sz="4" w:space="0" w:color="auto"/>
              <w:bottom w:val="single" w:sz="4" w:space="0" w:color="auto"/>
              <w:right w:val="single" w:sz="4" w:space="0" w:color="auto"/>
            </w:tcBorders>
          </w:tcPr>
          <w:p w14:paraId="71EB6647" w14:textId="77777777" w:rsidR="002C502D" w:rsidRPr="009F2DDB" w:rsidRDefault="002C502D" w:rsidP="00203F2A">
            <w:pPr>
              <w:pStyle w:val="NoSpacing"/>
              <w:jc w:val="both"/>
              <w:rPr>
                <w:sz w:val="20"/>
                <w:szCs w:val="20"/>
              </w:rPr>
            </w:pPr>
            <w:r w:rsidRPr="009F2DDB">
              <w:rPr>
                <w:sz w:val="20"/>
                <w:szCs w:val="20"/>
              </w:rPr>
              <w:t>Boldewijn</w:t>
            </w:r>
          </w:p>
        </w:tc>
        <w:tc>
          <w:tcPr>
            <w:tcW w:w="1418" w:type="dxa"/>
            <w:tcBorders>
              <w:top w:val="single" w:sz="4" w:space="0" w:color="auto"/>
              <w:left w:val="single" w:sz="4" w:space="0" w:color="auto"/>
              <w:bottom w:val="single" w:sz="4" w:space="0" w:color="auto"/>
              <w:right w:val="single" w:sz="4" w:space="0" w:color="auto"/>
            </w:tcBorders>
          </w:tcPr>
          <w:p w14:paraId="6EBFB8D0" w14:textId="77777777" w:rsidR="002C502D" w:rsidRPr="009F2DDB" w:rsidRDefault="002C502D" w:rsidP="00203F2A">
            <w:pPr>
              <w:pStyle w:val="NoSpacing"/>
              <w:jc w:val="both"/>
              <w:rPr>
                <w:sz w:val="20"/>
                <w:szCs w:val="20"/>
              </w:rPr>
            </w:pPr>
            <w:r w:rsidRPr="009F2DDB">
              <w:rPr>
                <w:sz w:val="20"/>
                <w:szCs w:val="20"/>
              </w:rPr>
              <w:t>Simona</w:t>
            </w:r>
          </w:p>
        </w:tc>
        <w:tc>
          <w:tcPr>
            <w:tcW w:w="5406" w:type="dxa"/>
            <w:tcBorders>
              <w:top w:val="single" w:sz="4" w:space="0" w:color="auto"/>
              <w:left w:val="single" w:sz="4" w:space="0" w:color="auto"/>
              <w:bottom w:val="single" w:sz="4" w:space="0" w:color="auto"/>
              <w:right w:val="single" w:sz="4" w:space="0" w:color="auto"/>
            </w:tcBorders>
          </w:tcPr>
          <w:p w14:paraId="4C21E9B0" w14:textId="3F5E68C1" w:rsidR="002C502D" w:rsidRPr="009F2DDB" w:rsidRDefault="002C502D" w:rsidP="00203F2A">
            <w:pPr>
              <w:pStyle w:val="NoSpacing"/>
              <w:jc w:val="both"/>
              <w:rPr>
                <w:sz w:val="20"/>
                <w:szCs w:val="20"/>
              </w:rPr>
            </w:pPr>
            <w:r>
              <w:rPr>
                <w:sz w:val="20"/>
                <w:szCs w:val="20"/>
              </w:rPr>
              <w:t>MRD</w:t>
            </w:r>
          </w:p>
        </w:tc>
      </w:tr>
      <w:tr w:rsidR="002C502D" w:rsidRPr="009F2DDB" w14:paraId="0DAD70B9"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hideMark/>
          </w:tcPr>
          <w:p w14:paraId="32C4C995" w14:textId="6F36E112" w:rsidR="002C502D" w:rsidRPr="009F2DDB" w:rsidRDefault="002C502D" w:rsidP="00203F2A">
            <w:pPr>
              <w:pStyle w:val="NoSpacing"/>
              <w:jc w:val="both"/>
              <w:rPr>
                <w:sz w:val="20"/>
                <w:szCs w:val="20"/>
              </w:rPr>
            </w:pPr>
            <w:r>
              <w:rPr>
                <w:sz w:val="20"/>
                <w:szCs w:val="20"/>
              </w:rPr>
              <w:t>12</w:t>
            </w:r>
          </w:p>
        </w:tc>
        <w:tc>
          <w:tcPr>
            <w:tcW w:w="1560" w:type="dxa"/>
            <w:tcBorders>
              <w:top w:val="single" w:sz="4" w:space="0" w:color="auto"/>
              <w:left w:val="single" w:sz="4" w:space="0" w:color="auto"/>
              <w:bottom w:val="single" w:sz="4" w:space="0" w:color="auto"/>
              <w:right w:val="single" w:sz="4" w:space="0" w:color="auto"/>
            </w:tcBorders>
          </w:tcPr>
          <w:p w14:paraId="42762542" w14:textId="77777777" w:rsidR="002C502D" w:rsidRPr="009F2DDB" w:rsidRDefault="002C502D" w:rsidP="00203F2A">
            <w:pPr>
              <w:pStyle w:val="NoSpacing"/>
              <w:jc w:val="both"/>
              <w:rPr>
                <w:sz w:val="20"/>
                <w:szCs w:val="20"/>
              </w:rPr>
            </w:pPr>
            <w:proofErr w:type="spellStart"/>
            <w:r w:rsidRPr="009F2DDB">
              <w:rPr>
                <w:sz w:val="20"/>
                <w:szCs w:val="20"/>
              </w:rPr>
              <w:t>Bodeutsch</w:t>
            </w:r>
            <w:proofErr w:type="spellEnd"/>
          </w:p>
        </w:tc>
        <w:tc>
          <w:tcPr>
            <w:tcW w:w="1418" w:type="dxa"/>
            <w:tcBorders>
              <w:top w:val="single" w:sz="4" w:space="0" w:color="auto"/>
              <w:left w:val="single" w:sz="4" w:space="0" w:color="auto"/>
              <w:bottom w:val="single" w:sz="4" w:space="0" w:color="auto"/>
              <w:right w:val="single" w:sz="4" w:space="0" w:color="auto"/>
            </w:tcBorders>
          </w:tcPr>
          <w:p w14:paraId="49801D6F" w14:textId="77777777" w:rsidR="002C502D" w:rsidRPr="009F2DDB" w:rsidRDefault="002C502D" w:rsidP="00203F2A">
            <w:pPr>
              <w:pStyle w:val="NoSpacing"/>
              <w:jc w:val="both"/>
              <w:rPr>
                <w:sz w:val="20"/>
                <w:szCs w:val="20"/>
              </w:rPr>
            </w:pPr>
            <w:r w:rsidRPr="009F2DDB">
              <w:rPr>
                <w:sz w:val="20"/>
                <w:szCs w:val="20"/>
              </w:rPr>
              <w:t>Guillermo</w:t>
            </w:r>
          </w:p>
        </w:tc>
        <w:tc>
          <w:tcPr>
            <w:tcW w:w="5406" w:type="dxa"/>
            <w:tcBorders>
              <w:top w:val="single" w:sz="4" w:space="0" w:color="auto"/>
              <w:left w:val="single" w:sz="4" w:space="0" w:color="auto"/>
              <w:bottom w:val="single" w:sz="4" w:space="0" w:color="auto"/>
              <w:right w:val="single" w:sz="4" w:space="0" w:color="auto"/>
            </w:tcBorders>
          </w:tcPr>
          <w:p w14:paraId="52F5F79A" w14:textId="77777777" w:rsidR="002C502D" w:rsidRPr="009F2DDB" w:rsidRDefault="002C502D" w:rsidP="00203F2A">
            <w:pPr>
              <w:pStyle w:val="NoSpacing"/>
              <w:jc w:val="both"/>
              <w:rPr>
                <w:sz w:val="20"/>
                <w:szCs w:val="20"/>
              </w:rPr>
            </w:pPr>
            <w:r w:rsidRPr="009F2DDB">
              <w:rPr>
                <w:sz w:val="20"/>
                <w:szCs w:val="20"/>
              </w:rPr>
              <w:t xml:space="preserve">National Commission for Tourism </w:t>
            </w:r>
          </w:p>
        </w:tc>
      </w:tr>
      <w:tr w:rsidR="002C502D" w:rsidRPr="009F2DDB" w14:paraId="4A1458F3"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51CA2633" w14:textId="5115B7DE" w:rsidR="002C502D" w:rsidRPr="009F2DDB" w:rsidRDefault="002C502D" w:rsidP="00203F2A">
            <w:pPr>
              <w:pStyle w:val="NoSpacing"/>
              <w:jc w:val="both"/>
              <w:rPr>
                <w:sz w:val="20"/>
                <w:szCs w:val="20"/>
              </w:rPr>
            </w:pPr>
            <w:r>
              <w:rPr>
                <w:sz w:val="20"/>
                <w:szCs w:val="20"/>
              </w:rPr>
              <w:t>13</w:t>
            </w:r>
          </w:p>
        </w:tc>
        <w:tc>
          <w:tcPr>
            <w:tcW w:w="1560" w:type="dxa"/>
            <w:tcBorders>
              <w:top w:val="single" w:sz="4" w:space="0" w:color="auto"/>
              <w:left w:val="single" w:sz="4" w:space="0" w:color="auto"/>
              <w:bottom w:val="single" w:sz="4" w:space="0" w:color="auto"/>
              <w:right w:val="single" w:sz="4" w:space="0" w:color="auto"/>
            </w:tcBorders>
          </w:tcPr>
          <w:p w14:paraId="532846D2" w14:textId="77777777" w:rsidR="002C502D" w:rsidRPr="009F2DDB" w:rsidRDefault="002C502D" w:rsidP="00203F2A">
            <w:pPr>
              <w:pStyle w:val="NoSpacing"/>
              <w:jc w:val="both"/>
              <w:rPr>
                <w:sz w:val="20"/>
                <w:szCs w:val="20"/>
              </w:rPr>
            </w:pPr>
            <w:proofErr w:type="spellStart"/>
            <w:r w:rsidRPr="009F2DDB">
              <w:rPr>
                <w:sz w:val="20"/>
                <w:szCs w:val="20"/>
              </w:rPr>
              <w:t>Adraai</w:t>
            </w:r>
            <w:proofErr w:type="spellEnd"/>
          </w:p>
        </w:tc>
        <w:tc>
          <w:tcPr>
            <w:tcW w:w="1418" w:type="dxa"/>
            <w:tcBorders>
              <w:top w:val="single" w:sz="4" w:space="0" w:color="auto"/>
              <w:left w:val="single" w:sz="4" w:space="0" w:color="auto"/>
              <w:bottom w:val="single" w:sz="4" w:space="0" w:color="auto"/>
              <w:right w:val="single" w:sz="4" w:space="0" w:color="auto"/>
            </w:tcBorders>
          </w:tcPr>
          <w:p w14:paraId="4B31CD64" w14:textId="77777777" w:rsidR="002C502D" w:rsidRPr="009F2DDB" w:rsidRDefault="002C502D" w:rsidP="00203F2A">
            <w:pPr>
              <w:pStyle w:val="NoSpacing"/>
              <w:jc w:val="both"/>
              <w:rPr>
                <w:sz w:val="20"/>
                <w:szCs w:val="20"/>
              </w:rPr>
            </w:pPr>
            <w:r w:rsidRPr="009F2DDB">
              <w:rPr>
                <w:sz w:val="20"/>
                <w:szCs w:val="20"/>
              </w:rPr>
              <w:t>Consuela</w:t>
            </w:r>
          </w:p>
        </w:tc>
        <w:tc>
          <w:tcPr>
            <w:tcW w:w="5406" w:type="dxa"/>
            <w:tcBorders>
              <w:top w:val="single" w:sz="4" w:space="0" w:color="auto"/>
              <w:left w:val="single" w:sz="4" w:space="0" w:color="auto"/>
              <w:bottom w:val="single" w:sz="4" w:space="0" w:color="auto"/>
              <w:right w:val="single" w:sz="4" w:space="0" w:color="auto"/>
            </w:tcBorders>
          </w:tcPr>
          <w:p w14:paraId="50A14CC5" w14:textId="35C63ADE"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CUS</w:t>
            </w:r>
          </w:p>
        </w:tc>
      </w:tr>
      <w:tr w:rsidR="002C502D" w:rsidRPr="009F2DDB" w14:paraId="1CF25B28"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09A55200" w14:textId="0FD51291" w:rsidR="002C502D" w:rsidRPr="009F2DDB" w:rsidRDefault="002C502D" w:rsidP="00203F2A">
            <w:pPr>
              <w:pStyle w:val="NoSpacing"/>
              <w:jc w:val="both"/>
              <w:rPr>
                <w:sz w:val="20"/>
                <w:szCs w:val="20"/>
              </w:rPr>
            </w:pPr>
            <w:r w:rsidRPr="009F2DDB">
              <w:rPr>
                <w:sz w:val="20"/>
                <w:szCs w:val="20"/>
              </w:rPr>
              <w:t>1</w:t>
            </w:r>
            <w:r>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264776CF" w14:textId="77777777" w:rsidR="002C502D" w:rsidRPr="009F2DDB" w:rsidRDefault="002C502D" w:rsidP="00203F2A">
            <w:pPr>
              <w:pStyle w:val="NoSpacing"/>
              <w:jc w:val="both"/>
              <w:rPr>
                <w:sz w:val="20"/>
                <w:szCs w:val="20"/>
              </w:rPr>
            </w:pPr>
            <w:r w:rsidRPr="009F2DDB">
              <w:rPr>
                <w:sz w:val="20"/>
                <w:szCs w:val="20"/>
              </w:rPr>
              <w:t>Taus</w:t>
            </w:r>
          </w:p>
        </w:tc>
        <w:tc>
          <w:tcPr>
            <w:tcW w:w="1418" w:type="dxa"/>
            <w:tcBorders>
              <w:top w:val="single" w:sz="4" w:space="0" w:color="auto"/>
              <w:left w:val="single" w:sz="4" w:space="0" w:color="auto"/>
              <w:bottom w:val="single" w:sz="4" w:space="0" w:color="auto"/>
              <w:right w:val="single" w:sz="4" w:space="0" w:color="auto"/>
            </w:tcBorders>
          </w:tcPr>
          <w:p w14:paraId="1EA5AE81" w14:textId="77777777" w:rsidR="002C502D" w:rsidRPr="009F2DDB" w:rsidRDefault="002C502D" w:rsidP="00203F2A">
            <w:pPr>
              <w:pStyle w:val="NoSpacing"/>
              <w:jc w:val="both"/>
              <w:rPr>
                <w:sz w:val="20"/>
                <w:szCs w:val="20"/>
              </w:rPr>
            </w:pPr>
            <w:r w:rsidRPr="009F2DDB">
              <w:rPr>
                <w:sz w:val="20"/>
                <w:szCs w:val="20"/>
              </w:rPr>
              <w:t>Umar</w:t>
            </w:r>
          </w:p>
        </w:tc>
        <w:tc>
          <w:tcPr>
            <w:tcW w:w="5406" w:type="dxa"/>
            <w:tcBorders>
              <w:top w:val="single" w:sz="4" w:space="0" w:color="auto"/>
              <w:left w:val="single" w:sz="4" w:space="0" w:color="auto"/>
              <w:bottom w:val="single" w:sz="4" w:space="0" w:color="auto"/>
              <w:right w:val="single" w:sz="4" w:space="0" w:color="auto"/>
            </w:tcBorders>
          </w:tcPr>
          <w:p w14:paraId="6DA01CEF" w14:textId="6C01BA2A" w:rsidR="002C502D" w:rsidRPr="009F2DDB" w:rsidRDefault="002C502D" w:rsidP="00203F2A">
            <w:pPr>
              <w:pStyle w:val="NoSpacing"/>
              <w:jc w:val="both"/>
              <w:rPr>
                <w:sz w:val="20"/>
                <w:szCs w:val="20"/>
              </w:rPr>
            </w:pPr>
            <w:r>
              <w:rPr>
                <w:sz w:val="20"/>
                <w:szCs w:val="20"/>
              </w:rPr>
              <w:t>Association of Exporters of Agricultural Products Suriname (</w:t>
            </w:r>
            <w:r w:rsidRPr="009F2DDB">
              <w:rPr>
                <w:sz w:val="20"/>
                <w:szCs w:val="20"/>
              </w:rPr>
              <w:t>VEAPS</w:t>
            </w:r>
            <w:r>
              <w:rPr>
                <w:sz w:val="20"/>
                <w:szCs w:val="20"/>
              </w:rPr>
              <w:t>)</w:t>
            </w:r>
          </w:p>
        </w:tc>
      </w:tr>
      <w:tr w:rsidR="002C502D" w:rsidRPr="009F2DDB" w14:paraId="5CDF28AC"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189FD40B" w14:textId="669E8636" w:rsidR="002C502D" w:rsidRPr="009F2DDB" w:rsidRDefault="002C502D" w:rsidP="00203F2A">
            <w:pPr>
              <w:pStyle w:val="NoSpacing"/>
              <w:jc w:val="both"/>
              <w:rPr>
                <w:sz w:val="20"/>
                <w:szCs w:val="20"/>
              </w:rPr>
            </w:pPr>
            <w:r w:rsidRPr="009F2DDB">
              <w:rPr>
                <w:sz w:val="20"/>
                <w:szCs w:val="20"/>
              </w:rPr>
              <w:t>1</w:t>
            </w:r>
            <w:r>
              <w:rPr>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46965A8D" w14:textId="77777777" w:rsidR="002C502D" w:rsidRPr="009F2DDB" w:rsidRDefault="002C502D" w:rsidP="00203F2A">
            <w:pPr>
              <w:pStyle w:val="NoSpacing"/>
              <w:jc w:val="both"/>
              <w:rPr>
                <w:sz w:val="20"/>
                <w:szCs w:val="20"/>
              </w:rPr>
            </w:pPr>
            <w:proofErr w:type="spellStart"/>
            <w:r w:rsidRPr="009F2DDB">
              <w:rPr>
                <w:sz w:val="20"/>
                <w:szCs w:val="20"/>
              </w:rPr>
              <w:t>Baboelal</w:t>
            </w:r>
            <w:proofErr w:type="spellEnd"/>
          </w:p>
        </w:tc>
        <w:tc>
          <w:tcPr>
            <w:tcW w:w="1418" w:type="dxa"/>
            <w:tcBorders>
              <w:top w:val="single" w:sz="4" w:space="0" w:color="auto"/>
              <w:left w:val="single" w:sz="4" w:space="0" w:color="auto"/>
              <w:bottom w:val="single" w:sz="4" w:space="0" w:color="auto"/>
              <w:right w:val="single" w:sz="4" w:space="0" w:color="auto"/>
            </w:tcBorders>
          </w:tcPr>
          <w:p w14:paraId="111CA1AD" w14:textId="77777777" w:rsidR="002C502D" w:rsidRPr="009F2DDB" w:rsidRDefault="002C502D" w:rsidP="00203F2A">
            <w:pPr>
              <w:pStyle w:val="NoSpacing"/>
              <w:jc w:val="both"/>
              <w:rPr>
                <w:sz w:val="20"/>
                <w:szCs w:val="20"/>
              </w:rPr>
            </w:pPr>
            <w:proofErr w:type="spellStart"/>
            <w:r w:rsidRPr="009F2DDB">
              <w:rPr>
                <w:sz w:val="20"/>
                <w:szCs w:val="20"/>
              </w:rPr>
              <w:t>Widjendra</w:t>
            </w:r>
            <w:proofErr w:type="spellEnd"/>
          </w:p>
        </w:tc>
        <w:tc>
          <w:tcPr>
            <w:tcW w:w="5406" w:type="dxa"/>
            <w:tcBorders>
              <w:top w:val="single" w:sz="4" w:space="0" w:color="auto"/>
              <w:left w:val="single" w:sz="4" w:space="0" w:color="auto"/>
              <w:bottom w:val="single" w:sz="4" w:space="0" w:color="auto"/>
              <w:right w:val="single" w:sz="4" w:space="0" w:color="auto"/>
            </w:tcBorders>
          </w:tcPr>
          <w:p w14:paraId="12732425" w14:textId="3750BA93" w:rsidR="002C502D" w:rsidRPr="009F2DDB" w:rsidRDefault="002C502D" w:rsidP="00203F2A">
            <w:pPr>
              <w:pStyle w:val="NoSpacing"/>
              <w:jc w:val="both"/>
              <w:rPr>
                <w:sz w:val="20"/>
                <w:szCs w:val="20"/>
              </w:rPr>
            </w:pPr>
            <w:r w:rsidRPr="009F2DDB">
              <w:rPr>
                <w:sz w:val="20"/>
                <w:szCs w:val="20"/>
              </w:rPr>
              <w:t>Chamber of Commerce &amp; Industry</w:t>
            </w:r>
            <w:r>
              <w:rPr>
                <w:sz w:val="20"/>
                <w:szCs w:val="20"/>
              </w:rPr>
              <w:t xml:space="preserve"> (KKF)</w:t>
            </w:r>
          </w:p>
        </w:tc>
      </w:tr>
      <w:tr w:rsidR="002C502D" w:rsidRPr="009F2DDB" w14:paraId="32DAFAB8"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tcPr>
          <w:p w14:paraId="7828330A" w14:textId="25D63B4B" w:rsidR="002C502D" w:rsidRPr="009F2DDB" w:rsidRDefault="002C502D" w:rsidP="00203F2A">
            <w:pPr>
              <w:pStyle w:val="NoSpacing"/>
              <w:jc w:val="both"/>
              <w:rPr>
                <w:sz w:val="20"/>
                <w:szCs w:val="20"/>
              </w:rPr>
            </w:pPr>
            <w:r w:rsidRPr="009F2DDB">
              <w:rPr>
                <w:sz w:val="20"/>
                <w:szCs w:val="20"/>
              </w:rPr>
              <w:t>1</w:t>
            </w:r>
            <w:r>
              <w:rPr>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393AEE56" w14:textId="77777777" w:rsidR="002C502D" w:rsidRPr="009F2DDB" w:rsidRDefault="002C502D" w:rsidP="00203F2A">
            <w:pPr>
              <w:pStyle w:val="NoSpacing"/>
              <w:jc w:val="both"/>
              <w:rPr>
                <w:sz w:val="20"/>
                <w:szCs w:val="20"/>
              </w:rPr>
            </w:pPr>
            <w:proofErr w:type="spellStart"/>
            <w:r w:rsidRPr="009F2DDB">
              <w:rPr>
                <w:sz w:val="20"/>
                <w:szCs w:val="20"/>
              </w:rPr>
              <w:t>Tjon</w:t>
            </w:r>
            <w:proofErr w:type="spellEnd"/>
          </w:p>
        </w:tc>
        <w:tc>
          <w:tcPr>
            <w:tcW w:w="1418" w:type="dxa"/>
            <w:tcBorders>
              <w:top w:val="single" w:sz="4" w:space="0" w:color="auto"/>
              <w:left w:val="single" w:sz="4" w:space="0" w:color="auto"/>
              <w:bottom w:val="single" w:sz="4" w:space="0" w:color="auto"/>
              <w:right w:val="single" w:sz="4" w:space="0" w:color="auto"/>
            </w:tcBorders>
          </w:tcPr>
          <w:p w14:paraId="24D61BB5" w14:textId="77777777" w:rsidR="002C502D" w:rsidRPr="009F2DDB" w:rsidRDefault="002C502D" w:rsidP="00203F2A">
            <w:pPr>
              <w:pStyle w:val="NoSpacing"/>
              <w:jc w:val="both"/>
              <w:rPr>
                <w:sz w:val="20"/>
                <w:szCs w:val="20"/>
              </w:rPr>
            </w:pPr>
            <w:r w:rsidRPr="009F2DDB">
              <w:rPr>
                <w:sz w:val="20"/>
                <w:szCs w:val="20"/>
              </w:rPr>
              <w:t>Yves</w:t>
            </w:r>
          </w:p>
        </w:tc>
        <w:tc>
          <w:tcPr>
            <w:tcW w:w="5406" w:type="dxa"/>
            <w:tcBorders>
              <w:top w:val="single" w:sz="4" w:space="0" w:color="auto"/>
              <w:left w:val="single" w:sz="4" w:space="0" w:color="auto"/>
              <w:bottom w:val="single" w:sz="4" w:space="0" w:color="auto"/>
              <w:right w:val="single" w:sz="4" w:space="0" w:color="auto"/>
            </w:tcBorders>
          </w:tcPr>
          <w:p w14:paraId="44F1A6A7" w14:textId="249773E7" w:rsidR="002C502D" w:rsidRPr="009F2DDB" w:rsidRDefault="002C502D" w:rsidP="00203F2A">
            <w:pPr>
              <w:pStyle w:val="NoSpacing"/>
              <w:jc w:val="both"/>
              <w:rPr>
                <w:sz w:val="20"/>
                <w:szCs w:val="20"/>
              </w:rPr>
            </w:pPr>
            <w:r>
              <w:rPr>
                <w:sz w:val="20"/>
                <w:szCs w:val="20"/>
              </w:rPr>
              <w:t>United Tour Guides Suriname (</w:t>
            </w:r>
            <w:r w:rsidRPr="009F2DDB">
              <w:rPr>
                <w:sz w:val="20"/>
                <w:szCs w:val="20"/>
              </w:rPr>
              <w:t>UTGS</w:t>
            </w:r>
            <w:r w:rsidR="00C414FD">
              <w:rPr>
                <w:sz w:val="20"/>
                <w:szCs w:val="20"/>
              </w:rPr>
              <w:t>)</w:t>
            </w:r>
          </w:p>
        </w:tc>
      </w:tr>
      <w:tr w:rsidR="002C502D" w:rsidRPr="009F2DDB" w14:paraId="04B1F96D"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tcPr>
          <w:p w14:paraId="15D120B7" w14:textId="6917D602" w:rsidR="002C502D" w:rsidRPr="009F2DDB" w:rsidRDefault="002C502D" w:rsidP="00203F2A">
            <w:pPr>
              <w:pStyle w:val="NoSpacing"/>
              <w:jc w:val="both"/>
              <w:rPr>
                <w:sz w:val="20"/>
                <w:szCs w:val="20"/>
              </w:rPr>
            </w:pPr>
            <w:r w:rsidRPr="009F2DDB">
              <w:rPr>
                <w:sz w:val="20"/>
                <w:szCs w:val="20"/>
              </w:rPr>
              <w:t>1</w:t>
            </w:r>
            <w:r>
              <w:rPr>
                <w:sz w:val="20"/>
                <w:szCs w:val="20"/>
              </w:rPr>
              <w:t>7</w:t>
            </w:r>
          </w:p>
        </w:tc>
        <w:tc>
          <w:tcPr>
            <w:tcW w:w="1560" w:type="dxa"/>
            <w:tcBorders>
              <w:top w:val="single" w:sz="4" w:space="0" w:color="auto"/>
              <w:left w:val="single" w:sz="4" w:space="0" w:color="auto"/>
              <w:bottom w:val="single" w:sz="4" w:space="0" w:color="auto"/>
              <w:right w:val="single" w:sz="4" w:space="0" w:color="auto"/>
            </w:tcBorders>
          </w:tcPr>
          <w:p w14:paraId="12E0C4FB" w14:textId="77777777" w:rsidR="002C502D" w:rsidRPr="009F2DDB" w:rsidRDefault="002C502D" w:rsidP="00203F2A">
            <w:pPr>
              <w:pStyle w:val="NoSpacing"/>
              <w:jc w:val="both"/>
              <w:rPr>
                <w:sz w:val="20"/>
                <w:szCs w:val="20"/>
              </w:rPr>
            </w:pPr>
            <w:r w:rsidRPr="009F2DDB">
              <w:rPr>
                <w:sz w:val="20"/>
                <w:szCs w:val="20"/>
              </w:rPr>
              <w:t>Wolf</w:t>
            </w:r>
          </w:p>
        </w:tc>
        <w:tc>
          <w:tcPr>
            <w:tcW w:w="1418" w:type="dxa"/>
            <w:tcBorders>
              <w:top w:val="single" w:sz="4" w:space="0" w:color="auto"/>
              <w:left w:val="single" w:sz="4" w:space="0" w:color="auto"/>
              <w:bottom w:val="single" w:sz="4" w:space="0" w:color="auto"/>
              <w:right w:val="single" w:sz="4" w:space="0" w:color="auto"/>
            </w:tcBorders>
          </w:tcPr>
          <w:p w14:paraId="53F18303" w14:textId="77777777" w:rsidR="002C502D" w:rsidRPr="009F2DDB" w:rsidRDefault="002C502D" w:rsidP="00203F2A">
            <w:pPr>
              <w:pStyle w:val="NoSpacing"/>
              <w:jc w:val="both"/>
              <w:rPr>
                <w:sz w:val="20"/>
                <w:szCs w:val="20"/>
              </w:rPr>
            </w:pPr>
            <w:r w:rsidRPr="009F2DDB">
              <w:rPr>
                <w:sz w:val="20"/>
                <w:szCs w:val="20"/>
              </w:rPr>
              <w:t>Donovan</w:t>
            </w:r>
          </w:p>
        </w:tc>
        <w:tc>
          <w:tcPr>
            <w:tcW w:w="5406" w:type="dxa"/>
            <w:tcBorders>
              <w:top w:val="single" w:sz="4" w:space="0" w:color="auto"/>
              <w:left w:val="single" w:sz="4" w:space="0" w:color="auto"/>
              <w:bottom w:val="single" w:sz="4" w:space="0" w:color="auto"/>
              <w:right w:val="single" w:sz="4" w:space="0" w:color="auto"/>
            </w:tcBorders>
          </w:tcPr>
          <w:p w14:paraId="733BDBE9" w14:textId="7FF45A46" w:rsidR="002C502D" w:rsidRPr="009F2DDB" w:rsidRDefault="002C502D" w:rsidP="00203F2A">
            <w:pPr>
              <w:pStyle w:val="NoSpacing"/>
              <w:jc w:val="both"/>
              <w:rPr>
                <w:sz w:val="20"/>
                <w:szCs w:val="20"/>
              </w:rPr>
            </w:pPr>
            <w:r w:rsidRPr="009F2DDB">
              <w:rPr>
                <w:sz w:val="20"/>
                <w:szCs w:val="20"/>
              </w:rPr>
              <w:t>UTGS</w:t>
            </w:r>
          </w:p>
        </w:tc>
      </w:tr>
      <w:tr w:rsidR="002C502D" w:rsidRPr="009F2DDB" w14:paraId="26C56399"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3ABA8B69" w14:textId="2C9AF9CF" w:rsidR="002C502D" w:rsidRPr="009F2DDB" w:rsidRDefault="002C502D" w:rsidP="00203F2A">
            <w:pPr>
              <w:pStyle w:val="NoSpacing"/>
              <w:jc w:val="both"/>
              <w:rPr>
                <w:sz w:val="20"/>
                <w:szCs w:val="20"/>
              </w:rPr>
            </w:pPr>
            <w:r w:rsidRPr="009F2DDB">
              <w:rPr>
                <w:sz w:val="20"/>
                <w:szCs w:val="20"/>
              </w:rPr>
              <w:t>1</w:t>
            </w:r>
            <w:r>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2183198E" w14:textId="77777777" w:rsidR="002C502D" w:rsidRPr="009F2DDB" w:rsidRDefault="002C502D" w:rsidP="00203F2A">
            <w:pPr>
              <w:pStyle w:val="NoSpacing"/>
              <w:jc w:val="both"/>
              <w:rPr>
                <w:sz w:val="20"/>
                <w:szCs w:val="20"/>
              </w:rPr>
            </w:pPr>
            <w:proofErr w:type="spellStart"/>
            <w:r w:rsidRPr="009F2DDB">
              <w:rPr>
                <w:sz w:val="20"/>
                <w:szCs w:val="20"/>
              </w:rPr>
              <w:t>Boeddha</w:t>
            </w:r>
            <w:proofErr w:type="spellEnd"/>
          </w:p>
        </w:tc>
        <w:tc>
          <w:tcPr>
            <w:tcW w:w="1418" w:type="dxa"/>
            <w:tcBorders>
              <w:top w:val="single" w:sz="4" w:space="0" w:color="auto"/>
              <w:left w:val="single" w:sz="4" w:space="0" w:color="auto"/>
              <w:bottom w:val="single" w:sz="4" w:space="0" w:color="auto"/>
              <w:right w:val="single" w:sz="4" w:space="0" w:color="auto"/>
            </w:tcBorders>
          </w:tcPr>
          <w:p w14:paraId="3D783155" w14:textId="77777777" w:rsidR="002C502D" w:rsidRPr="009F2DDB" w:rsidRDefault="002C502D" w:rsidP="00203F2A">
            <w:pPr>
              <w:pStyle w:val="NoSpacing"/>
              <w:jc w:val="both"/>
              <w:rPr>
                <w:sz w:val="20"/>
                <w:szCs w:val="20"/>
              </w:rPr>
            </w:pPr>
            <w:r w:rsidRPr="009F2DDB">
              <w:rPr>
                <w:sz w:val="20"/>
                <w:szCs w:val="20"/>
              </w:rPr>
              <w:t>Rabin</w:t>
            </w:r>
          </w:p>
        </w:tc>
        <w:tc>
          <w:tcPr>
            <w:tcW w:w="5406" w:type="dxa"/>
            <w:tcBorders>
              <w:top w:val="single" w:sz="4" w:space="0" w:color="auto"/>
              <w:left w:val="single" w:sz="4" w:space="0" w:color="auto"/>
              <w:bottom w:val="single" w:sz="4" w:space="0" w:color="auto"/>
              <w:right w:val="single" w:sz="4" w:space="0" w:color="auto"/>
            </w:tcBorders>
          </w:tcPr>
          <w:p w14:paraId="47094E10" w14:textId="1B886E5C" w:rsidR="002C502D" w:rsidRPr="009F2DDB" w:rsidRDefault="002C502D" w:rsidP="00203F2A">
            <w:pPr>
              <w:pStyle w:val="NoSpacing"/>
              <w:jc w:val="both"/>
              <w:rPr>
                <w:sz w:val="20"/>
                <w:szCs w:val="20"/>
              </w:rPr>
            </w:pPr>
            <w:r w:rsidRPr="003F5D96">
              <w:rPr>
                <w:sz w:val="20"/>
                <w:szCs w:val="20"/>
              </w:rPr>
              <w:t>Suriname Hospitality and Tourism Training Centre</w:t>
            </w:r>
            <w:r>
              <w:rPr>
                <w:sz w:val="20"/>
                <w:szCs w:val="20"/>
              </w:rPr>
              <w:t xml:space="preserve"> (</w:t>
            </w:r>
            <w:r w:rsidRPr="009F2DDB">
              <w:rPr>
                <w:sz w:val="20"/>
                <w:szCs w:val="20"/>
              </w:rPr>
              <w:t>SHTTC</w:t>
            </w:r>
            <w:r>
              <w:rPr>
                <w:sz w:val="20"/>
                <w:szCs w:val="20"/>
              </w:rPr>
              <w:t>)</w:t>
            </w:r>
          </w:p>
        </w:tc>
      </w:tr>
      <w:tr w:rsidR="002C502D" w:rsidRPr="009F2DDB" w14:paraId="6C0E35E6"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hideMark/>
          </w:tcPr>
          <w:p w14:paraId="7D8A9E46" w14:textId="337856DC" w:rsidR="002C502D" w:rsidRPr="009F2DDB" w:rsidRDefault="002C502D" w:rsidP="00203F2A">
            <w:pPr>
              <w:pStyle w:val="NoSpacing"/>
              <w:jc w:val="both"/>
              <w:rPr>
                <w:sz w:val="20"/>
                <w:szCs w:val="20"/>
              </w:rPr>
            </w:pPr>
            <w:r w:rsidRPr="009F2DDB">
              <w:rPr>
                <w:sz w:val="20"/>
                <w:szCs w:val="20"/>
              </w:rPr>
              <w:t>1</w:t>
            </w:r>
            <w:r>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14:paraId="49E6DE63" w14:textId="77777777" w:rsidR="002C502D" w:rsidRPr="009F2DDB" w:rsidRDefault="002C502D" w:rsidP="00203F2A">
            <w:pPr>
              <w:pStyle w:val="NoSpacing"/>
              <w:jc w:val="both"/>
              <w:rPr>
                <w:sz w:val="20"/>
                <w:szCs w:val="20"/>
              </w:rPr>
            </w:pPr>
            <w:proofErr w:type="spellStart"/>
            <w:r w:rsidRPr="009F2DDB">
              <w:rPr>
                <w:sz w:val="20"/>
                <w:szCs w:val="20"/>
              </w:rPr>
              <w:t>Ramautarsingh</w:t>
            </w:r>
            <w:proofErr w:type="spellEnd"/>
          </w:p>
        </w:tc>
        <w:tc>
          <w:tcPr>
            <w:tcW w:w="1418" w:type="dxa"/>
            <w:tcBorders>
              <w:top w:val="single" w:sz="4" w:space="0" w:color="auto"/>
              <w:left w:val="single" w:sz="4" w:space="0" w:color="auto"/>
              <w:bottom w:val="single" w:sz="4" w:space="0" w:color="auto"/>
              <w:right w:val="single" w:sz="4" w:space="0" w:color="auto"/>
            </w:tcBorders>
          </w:tcPr>
          <w:p w14:paraId="38EE58A7" w14:textId="77777777" w:rsidR="002C502D" w:rsidRPr="009F2DDB" w:rsidRDefault="002C502D" w:rsidP="00203F2A">
            <w:pPr>
              <w:pStyle w:val="NoSpacing"/>
              <w:jc w:val="both"/>
              <w:rPr>
                <w:sz w:val="20"/>
                <w:szCs w:val="20"/>
              </w:rPr>
            </w:pPr>
            <w:r w:rsidRPr="009F2DDB">
              <w:rPr>
                <w:sz w:val="20"/>
                <w:szCs w:val="20"/>
              </w:rPr>
              <w:t>Winston</w:t>
            </w:r>
          </w:p>
        </w:tc>
        <w:tc>
          <w:tcPr>
            <w:tcW w:w="5406" w:type="dxa"/>
            <w:tcBorders>
              <w:top w:val="single" w:sz="4" w:space="0" w:color="auto"/>
              <w:left w:val="single" w:sz="4" w:space="0" w:color="auto"/>
              <w:bottom w:val="single" w:sz="4" w:space="0" w:color="auto"/>
              <w:right w:val="single" w:sz="4" w:space="0" w:color="auto"/>
            </w:tcBorders>
          </w:tcPr>
          <w:p w14:paraId="2ACBCC98" w14:textId="2177B785" w:rsidR="002C502D" w:rsidRPr="009F2DDB" w:rsidRDefault="002C502D" w:rsidP="00203F2A">
            <w:pPr>
              <w:pStyle w:val="NoSpacing"/>
              <w:jc w:val="both"/>
              <w:rPr>
                <w:sz w:val="20"/>
                <w:szCs w:val="20"/>
              </w:rPr>
            </w:pPr>
            <w:r w:rsidRPr="009F2DDB">
              <w:rPr>
                <w:sz w:val="20"/>
                <w:szCs w:val="20"/>
              </w:rPr>
              <w:t>Economists Association</w:t>
            </w:r>
            <w:r>
              <w:rPr>
                <w:sz w:val="20"/>
                <w:szCs w:val="20"/>
              </w:rPr>
              <w:t xml:space="preserve"> Suriname (VES)</w:t>
            </w:r>
          </w:p>
        </w:tc>
      </w:tr>
      <w:tr w:rsidR="002C502D" w:rsidRPr="009F2DDB" w14:paraId="11AF0D8D"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tcPr>
          <w:p w14:paraId="78369B28" w14:textId="1D37F763" w:rsidR="002C502D" w:rsidRPr="009F2DDB" w:rsidRDefault="002C502D" w:rsidP="00203F2A">
            <w:pPr>
              <w:pStyle w:val="NoSpacing"/>
              <w:jc w:val="both"/>
              <w:rPr>
                <w:sz w:val="20"/>
                <w:szCs w:val="20"/>
              </w:rPr>
            </w:pPr>
            <w:r>
              <w:rPr>
                <w:sz w:val="20"/>
                <w:szCs w:val="20"/>
              </w:rPr>
              <w:t>20</w:t>
            </w:r>
          </w:p>
        </w:tc>
        <w:tc>
          <w:tcPr>
            <w:tcW w:w="1560" w:type="dxa"/>
            <w:tcBorders>
              <w:top w:val="single" w:sz="4" w:space="0" w:color="auto"/>
              <w:left w:val="single" w:sz="4" w:space="0" w:color="auto"/>
              <w:bottom w:val="single" w:sz="4" w:space="0" w:color="auto"/>
              <w:right w:val="single" w:sz="4" w:space="0" w:color="auto"/>
            </w:tcBorders>
          </w:tcPr>
          <w:p w14:paraId="61EB4F3B" w14:textId="77777777" w:rsidR="002C502D" w:rsidRPr="009F2DDB" w:rsidRDefault="002C502D" w:rsidP="00203F2A">
            <w:pPr>
              <w:pStyle w:val="NoSpacing"/>
              <w:jc w:val="both"/>
              <w:rPr>
                <w:sz w:val="20"/>
                <w:szCs w:val="20"/>
              </w:rPr>
            </w:pPr>
            <w:r w:rsidRPr="009F2DDB">
              <w:rPr>
                <w:sz w:val="20"/>
                <w:szCs w:val="20"/>
              </w:rPr>
              <w:t>Mormon</w:t>
            </w:r>
          </w:p>
        </w:tc>
        <w:tc>
          <w:tcPr>
            <w:tcW w:w="1418" w:type="dxa"/>
            <w:tcBorders>
              <w:top w:val="single" w:sz="4" w:space="0" w:color="auto"/>
              <w:left w:val="single" w:sz="4" w:space="0" w:color="auto"/>
              <w:bottom w:val="single" w:sz="4" w:space="0" w:color="auto"/>
              <w:right w:val="single" w:sz="4" w:space="0" w:color="auto"/>
            </w:tcBorders>
          </w:tcPr>
          <w:p w14:paraId="1B4B7476" w14:textId="77777777" w:rsidR="002C502D" w:rsidRPr="009F2DDB" w:rsidRDefault="002C502D" w:rsidP="00203F2A">
            <w:pPr>
              <w:pStyle w:val="NoSpacing"/>
              <w:jc w:val="both"/>
              <w:rPr>
                <w:sz w:val="20"/>
                <w:szCs w:val="20"/>
              </w:rPr>
            </w:pPr>
            <w:proofErr w:type="spellStart"/>
            <w:r w:rsidRPr="009F2DDB">
              <w:rPr>
                <w:sz w:val="20"/>
                <w:szCs w:val="20"/>
              </w:rPr>
              <w:t>Sherida</w:t>
            </w:r>
            <w:proofErr w:type="spellEnd"/>
          </w:p>
        </w:tc>
        <w:tc>
          <w:tcPr>
            <w:tcW w:w="5406" w:type="dxa"/>
            <w:tcBorders>
              <w:top w:val="single" w:sz="4" w:space="0" w:color="auto"/>
              <w:left w:val="single" w:sz="4" w:space="0" w:color="auto"/>
              <w:bottom w:val="single" w:sz="4" w:space="0" w:color="auto"/>
              <w:right w:val="single" w:sz="4" w:space="0" w:color="auto"/>
            </w:tcBorders>
          </w:tcPr>
          <w:p w14:paraId="38BF872B" w14:textId="74C0F404" w:rsidR="002C502D" w:rsidRPr="009F2DDB" w:rsidRDefault="002C502D" w:rsidP="00203F2A">
            <w:pPr>
              <w:pStyle w:val="NoSpacing"/>
              <w:jc w:val="both"/>
              <w:rPr>
                <w:sz w:val="20"/>
                <w:szCs w:val="20"/>
              </w:rPr>
            </w:pPr>
            <w:r>
              <w:rPr>
                <w:sz w:val="20"/>
                <w:szCs w:val="20"/>
              </w:rPr>
              <w:t>Cassava Growers’ Platform Para district (STOCPA)</w:t>
            </w:r>
          </w:p>
        </w:tc>
      </w:tr>
      <w:tr w:rsidR="002C502D" w:rsidRPr="009F2DDB" w14:paraId="46408027"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hideMark/>
          </w:tcPr>
          <w:p w14:paraId="03A7A5AE" w14:textId="2583B7DB" w:rsidR="002C502D" w:rsidRPr="009F2DDB" w:rsidRDefault="002C502D" w:rsidP="00203F2A">
            <w:pPr>
              <w:pStyle w:val="NoSpacing"/>
              <w:jc w:val="both"/>
              <w:rPr>
                <w:sz w:val="20"/>
                <w:szCs w:val="20"/>
              </w:rPr>
            </w:pPr>
            <w:r>
              <w:rPr>
                <w:sz w:val="20"/>
                <w:szCs w:val="20"/>
              </w:rPr>
              <w:t>21</w:t>
            </w:r>
          </w:p>
        </w:tc>
        <w:tc>
          <w:tcPr>
            <w:tcW w:w="1560" w:type="dxa"/>
            <w:tcBorders>
              <w:top w:val="single" w:sz="4" w:space="0" w:color="auto"/>
              <w:left w:val="single" w:sz="4" w:space="0" w:color="auto"/>
              <w:bottom w:val="single" w:sz="4" w:space="0" w:color="auto"/>
              <w:right w:val="single" w:sz="4" w:space="0" w:color="auto"/>
            </w:tcBorders>
          </w:tcPr>
          <w:p w14:paraId="518BB450" w14:textId="77777777" w:rsidR="002C502D" w:rsidRPr="009F2DDB" w:rsidRDefault="002C502D" w:rsidP="00203F2A">
            <w:pPr>
              <w:pStyle w:val="NoSpacing"/>
              <w:jc w:val="both"/>
              <w:rPr>
                <w:sz w:val="20"/>
                <w:szCs w:val="20"/>
              </w:rPr>
            </w:pPr>
            <w:r w:rsidRPr="009F2DDB">
              <w:rPr>
                <w:sz w:val="20"/>
                <w:szCs w:val="20"/>
              </w:rPr>
              <w:t>Truideman</w:t>
            </w:r>
          </w:p>
        </w:tc>
        <w:tc>
          <w:tcPr>
            <w:tcW w:w="1418" w:type="dxa"/>
            <w:tcBorders>
              <w:top w:val="single" w:sz="4" w:space="0" w:color="auto"/>
              <w:left w:val="single" w:sz="4" w:space="0" w:color="auto"/>
              <w:bottom w:val="single" w:sz="4" w:space="0" w:color="auto"/>
              <w:right w:val="single" w:sz="4" w:space="0" w:color="auto"/>
            </w:tcBorders>
          </w:tcPr>
          <w:p w14:paraId="7791526D" w14:textId="77777777" w:rsidR="002C502D" w:rsidRPr="009F2DDB" w:rsidRDefault="002C502D" w:rsidP="00203F2A">
            <w:pPr>
              <w:pStyle w:val="NoSpacing"/>
              <w:jc w:val="both"/>
              <w:rPr>
                <w:sz w:val="20"/>
                <w:szCs w:val="20"/>
              </w:rPr>
            </w:pPr>
            <w:r w:rsidRPr="009F2DDB">
              <w:rPr>
                <w:sz w:val="20"/>
                <w:szCs w:val="20"/>
              </w:rPr>
              <w:t>Merrill</w:t>
            </w:r>
          </w:p>
        </w:tc>
        <w:tc>
          <w:tcPr>
            <w:tcW w:w="5406" w:type="dxa"/>
            <w:tcBorders>
              <w:top w:val="single" w:sz="4" w:space="0" w:color="auto"/>
              <w:left w:val="single" w:sz="4" w:space="0" w:color="auto"/>
              <w:bottom w:val="single" w:sz="4" w:space="0" w:color="auto"/>
              <w:right w:val="single" w:sz="4" w:space="0" w:color="auto"/>
            </w:tcBorders>
          </w:tcPr>
          <w:p w14:paraId="1D1418FC" w14:textId="78130B96"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bl>
    <w:p w14:paraId="3381317C" w14:textId="77777777" w:rsidR="00486711" w:rsidRPr="009F2DDB" w:rsidRDefault="00486711" w:rsidP="00203F2A">
      <w:pPr>
        <w:jc w:val="both"/>
        <w:rPr>
          <w:sz w:val="20"/>
          <w:szCs w:val="20"/>
        </w:rPr>
      </w:pPr>
    </w:p>
    <w:p w14:paraId="490C8CCA" w14:textId="53A4B65F" w:rsidR="00486711" w:rsidRDefault="00486711" w:rsidP="00203F2A">
      <w:pPr>
        <w:pStyle w:val="NoSpacing"/>
        <w:jc w:val="both"/>
      </w:pPr>
    </w:p>
    <w:p w14:paraId="3BFD245A" w14:textId="77777777" w:rsidR="00486711" w:rsidRDefault="00486711" w:rsidP="00203F2A">
      <w:pPr>
        <w:pStyle w:val="NoSpacing"/>
        <w:jc w:val="both"/>
      </w:pPr>
    </w:p>
    <w:p w14:paraId="36E086FA" w14:textId="77777777" w:rsidR="00486711" w:rsidRDefault="00486711" w:rsidP="00203F2A">
      <w:pPr>
        <w:pStyle w:val="NoSpacing"/>
        <w:jc w:val="both"/>
      </w:pPr>
    </w:p>
    <w:p w14:paraId="6A3181DF" w14:textId="796871BE" w:rsidR="00151C85" w:rsidRDefault="00151C85" w:rsidP="00203F2A">
      <w:pPr>
        <w:pStyle w:val="NoSpacing"/>
        <w:jc w:val="both"/>
      </w:pPr>
      <w:r>
        <w:br w:type="page"/>
      </w:r>
    </w:p>
    <w:p w14:paraId="0850376F" w14:textId="1B4E462A" w:rsidR="00151C85" w:rsidRPr="002C37B6" w:rsidRDefault="00151C85" w:rsidP="00203F2A">
      <w:pPr>
        <w:pStyle w:val="Heading2"/>
        <w:jc w:val="both"/>
      </w:pPr>
      <w:bookmarkStart w:id="64" w:name="_Toc531965031"/>
      <w:r w:rsidRPr="002C37B6">
        <w:t xml:space="preserve">Annex </w:t>
      </w:r>
      <w:r w:rsidR="000A0472">
        <w:t>5</w:t>
      </w:r>
      <w:r w:rsidRPr="002C37B6">
        <w:t>:</w:t>
      </w:r>
      <w:r w:rsidRPr="002C37B6">
        <w:tab/>
      </w:r>
      <w:r w:rsidR="00115B0D">
        <w:t xml:space="preserve">List of </w:t>
      </w:r>
      <w:r w:rsidRPr="002C37B6">
        <w:t>R</w:t>
      </w:r>
      <w:r w:rsidR="00115B0D">
        <w:t>eferences</w:t>
      </w:r>
      <w:bookmarkEnd w:id="64"/>
    </w:p>
    <w:p w14:paraId="086B54A0" w14:textId="77777777" w:rsidR="00151C85" w:rsidRDefault="00151C85" w:rsidP="00203F2A">
      <w:pPr>
        <w:pStyle w:val="NoSpacing"/>
        <w:jc w:val="both"/>
      </w:pPr>
    </w:p>
    <w:p w14:paraId="37C10EB1" w14:textId="77777777" w:rsidR="00DF207C" w:rsidRPr="00FC7612" w:rsidRDefault="00DF207C" w:rsidP="00203F2A">
      <w:pPr>
        <w:pStyle w:val="NoSpacing"/>
        <w:jc w:val="both"/>
      </w:pPr>
      <w:r w:rsidRPr="00CA3562">
        <w:t>Anonymous (2003), Land and Policy, Administration and Management: The Case of Suriname, Paper</w:t>
      </w:r>
      <w:r w:rsidRPr="00FC7612">
        <w:t xml:space="preserve"> Prepared for the Workshop, Port of Spain, Trinidad and Tobago, 19-21 March 2003</w:t>
      </w:r>
    </w:p>
    <w:p w14:paraId="379EA8F5" w14:textId="4FDE28A3" w:rsidR="00151C85" w:rsidRPr="00FC7612" w:rsidRDefault="00151C85" w:rsidP="00203F2A">
      <w:pPr>
        <w:pStyle w:val="NoSpacing"/>
        <w:jc w:val="both"/>
      </w:pPr>
    </w:p>
    <w:p w14:paraId="5D71514C" w14:textId="77777777" w:rsidR="00DF207C" w:rsidRPr="00FC7612" w:rsidRDefault="00DF207C" w:rsidP="00203F2A">
      <w:pPr>
        <w:pStyle w:val="NoSpacing"/>
        <w:jc w:val="both"/>
      </w:pPr>
      <w:r w:rsidRPr="00FC7612">
        <w:t>Amazon Conservation Team (ACT) Suriname (2010), Land Rights, Tenure and Use of Indigenous Peoples</w:t>
      </w:r>
    </w:p>
    <w:p w14:paraId="6AB4FF2C" w14:textId="309361C3" w:rsidR="00D208C0" w:rsidRDefault="00D208C0" w:rsidP="00203F2A">
      <w:pPr>
        <w:pStyle w:val="NoSpacing"/>
        <w:jc w:val="both"/>
      </w:pPr>
    </w:p>
    <w:p w14:paraId="08619D50" w14:textId="77777777" w:rsidR="00DF207C" w:rsidRPr="00CA3562" w:rsidRDefault="00DF207C" w:rsidP="00203F2A">
      <w:pPr>
        <w:pStyle w:val="NoSpacing"/>
        <w:jc w:val="both"/>
      </w:pPr>
      <w:r w:rsidRPr="00CA3562">
        <w:t>De Dijn, B.P.E. (editor) (2018</w:t>
      </w:r>
      <w:r>
        <w:t>),</w:t>
      </w:r>
      <w:r w:rsidRPr="00CA3562">
        <w:t xml:space="preserve"> Natural History and Ecology of Suriname. LM Publishers, </w:t>
      </w:r>
      <w:proofErr w:type="spellStart"/>
      <w:r w:rsidRPr="00CA3562">
        <w:t>Volendam</w:t>
      </w:r>
      <w:proofErr w:type="spellEnd"/>
      <w:r w:rsidRPr="00CA3562">
        <w:t>, The Netherlands.</w:t>
      </w:r>
    </w:p>
    <w:p w14:paraId="5C4CB689" w14:textId="77777777" w:rsidR="00DF207C" w:rsidRPr="00FC7612" w:rsidRDefault="00DF207C" w:rsidP="00203F2A">
      <w:pPr>
        <w:pStyle w:val="NoSpacing"/>
        <w:jc w:val="both"/>
      </w:pPr>
    </w:p>
    <w:p w14:paraId="06037B44" w14:textId="77777777" w:rsidR="00DF207C" w:rsidRPr="00FC7612" w:rsidRDefault="00DF207C" w:rsidP="00203F2A">
      <w:pPr>
        <w:pStyle w:val="NoSpacing"/>
        <w:jc w:val="both"/>
      </w:pPr>
      <w:r>
        <w:t xml:space="preserve">Foundation for Sustainable Forest Management and Production Control, </w:t>
      </w:r>
      <w:r w:rsidRPr="00FC7612">
        <w:t>SBB (2017)</w:t>
      </w:r>
      <w:r>
        <w:t>,</w:t>
      </w:r>
      <w:r w:rsidRPr="00FC7612">
        <w:t xml:space="preserve"> Suriname Forestry Sector Review 2016</w:t>
      </w:r>
    </w:p>
    <w:p w14:paraId="37EFB3E1" w14:textId="77777777" w:rsidR="00DF207C" w:rsidRDefault="00DF207C" w:rsidP="00203F2A">
      <w:pPr>
        <w:pStyle w:val="NoSpacing"/>
        <w:jc w:val="both"/>
      </w:pPr>
    </w:p>
    <w:p w14:paraId="73C7AB57" w14:textId="4E052F2D" w:rsidR="00DF207C" w:rsidRPr="00FC7612" w:rsidRDefault="00DF207C" w:rsidP="00203F2A">
      <w:pPr>
        <w:pStyle w:val="NoSpacing"/>
        <w:jc w:val="both"/>
      </w:pPr>
      <w:r>
        <w:t xml:space="preserve">Government of Suriname (2016), </w:t>
      </w:r>
      <w:r w:rsidRPr="00FC7612">
        <w:t>Second National Communication to the United Nations Framework Convention on Climate Change</w:t>
      </w:r>
    </w:p>
    <w:p w14:paraId="11F81BF1" w14:textId="77777777" w:rsidR="00DF207C" w:rsidRDefault="00DF207C" w:rsidP="00203F2A">
      <w:pPr>
        <w:pStyle w:val="NoSpacing"/>
        <w:jc w:val="both"/>
      </w:pPr>
    </w:p>
    <w:p w14:paraId="635150E0" w14:textId="41987CCA" w:rsidR="00DF207C" w:rsidRPr="00FC7612" w:rsidRDefault="00DF207C" w:rsidP="00203F2A">
      <w:pPr>
        <w:pStyle w:val="NoSpacing"/>
        <w:jc w:val="both"/>
      </w:pPr>
      <w:r w:rsidRPr="00FC7612">
        <w:t xml:space="preserve">Ministry of Agriculture, Animal Husbandry and Fisheries (2010), </w:t>
      </w:r>
      <w:r>
        <w:t>Final Report Agricultural Census 2008-2009 (</w:t>
      </w:r>
      <w:proofErr w:type="spellStart"/>
      <w:r w:rsidRPr="00FC7612">
        <w:t>Eindrapport</w:t>
      </w:r>
      <w:proofErr w:type="spellEnd"/>
      <w:r w:rsidRPr="00FC7612">
        <w:t xml:space="preserve"> van de </w:t>
      </w:r>
      <w:proofErr w:type="spellStart"/>
      <w:r w:rsidRPr="00FC7612">
        <w:t>Vijfde</w:t>
      </w:r>
      <w:proofErr w:type="spellEnd"/>
      <w:r w:rsidRPr="00FC7612">
        <w:t xml:space="preserve"> </w:t>
      </w:r>
      <w:proofErr w:type="spellStart"/>
      <w:r w:rsidRPr="00FC7612">
        <w:t>Landbouwtelling</w:t>
      </w:r>
      <w:proofErr w:type="spellEnd"/>
      <w:r w:rsidRPr="00FC7612">
        <w:t xml:space="preserve"> 2008-2009</w:t>
      </w:r>
      <w:r>
        <w:t>)</w:t>
      </w:r>
    </w:p>
    <w:p w14:paraId="5F8DC181" w14:textId="77777777" w:rsidR="00DF207C" w:rsidRDefault="00DF207C" w:rsidP="00203F2A">
      <w:pPr>
        <w:pStyle w:val="NoSpacing"/>
        <w:jc w:val="both"/>
      </w:pPr>
    </w:p>
    <w:p w14:paraId="3CF5B26D" w14:textId="5660EDC0" w:rsidR="00DF207C" w:rsidRPr="00FC7612" w:rsidRDefault="00DF207C" w:rsidP="00203F2A">
      <w:pPr>
        <w:pStyle w:val="NoSpacing"/>
        <w:jc w:val="both"/>
      </w:pPr>
      <w:r w:rsidRPr="00FC7612">
        <w:t>Ministry of Labour, Technological Development and Environment (July 2011), Suriname’s National Implementation Plan to the Stockholm Convention on Persistent Organic Pollutants</w:t>
      </w:r>
    </w:p>
    <w:p w14:paraId="211A4C50" w14:textId="77777777" w:rsidR="00DF207C" w:rsidRPr="00FC7612" w:rsidRDefault="00DF207C" w:rsidP="00203F2A">
      <w:pPr>
        <w:pStyle w:val="NoSpacing"/>
        <w:jc w:val="both"/>
      </w:pPr>
    </w:p>
    <w:p w14:paraId="63610E60" w14:textId="5E68E02E" w:rsidR="00D208C0" w:rsidRPr="00CA3562" w:rsidRDefault="00117D1E" w:rsidP="00203F2A">
      <w:pPr>
        <w:pStyle w:val="NoSpacing"/>
        <w:jc w:val="both"/>
      </w:pPr>
      <w:r w:rsidRPr="00CA3562">
        <w:t xml:space="preserve">National Institute </w:t>
      </w:r>
      <w:r w:rsidR="00CA3562" w:rsidRPr="00CA3562">
        <w:t>for Environment and Developmen</w:t>
      </w:r>
      <w:r w:rsidR="00CA3562">
        <w:t>t in Suriname</w:t>
      </w:r>
      <w:r w:rsidR="00DF207C">
        <w:t>,</w:t>
      </w:r>
      <w:r w:rsidR="00CA3562">
        <w:t xml:space="preserve"> </w:t>
      </w:r>
      <w:r w:rsidR="00D208C0" w:rsidRPr="00CA3562">
        <w:t xml:space="preserve">NIMOS (2004), </w:t>
      </w:r>
      <w:r w:rsidR="00CA3562">
        <w:t>Environmental Legislation in Suriname (</w:t>
      </w:r>
      <w:r w:rsidR="00D208C0" w:rsidRPr="00CA3562">
        <w:t xml:space="preserve">Milieu </w:t>
      </w:r>
      <w:proofErr w:type="spellStart"/>
      <w:r w:rsidR="00D208C0" w:rsidRPr="00CA3562">
        <w:t>gerelateerde</w:t>
      </w:r>
      <w:proofErr w:type="spellEnd"/>
      <w:r w:rsidR="00D208C0" w:rsidRPr="00CA3562">
        <w:t xml:space="preserve"> </w:t>
      </w:r>
      <w:proofErr w:type="spellStart"/>
      <w:r w:rsidR="00D208C0" w:rsidRPr="00CA3562">
        <w:t>Wetgeving</w:t>
      </w:r>
      <w:proofErr w:type="spellEnd"/>
      <w:r w:rsidR="00D208C0" w:rsidRPr="00CA3562">
        <w:t xml:space="preserve"> in Suriname</w:t>
      </w:r>
      <w:r w:rsidR="00CA3562">
        <w:t>)</w:t>
      </w:r>
    </w:p>
    <w:p w14:paraId="10A06331" w14:textId="77777777" w:rsidR="00FC7612" w:rsidRPr="00CA3562" w:rsidRDefault="00FC7612" w:rsidP="00203F2A">
      <w:pPr>
        <w:pStyle w:val="NoSpacing"/>
        <w:jc w:val="both"/>
      </w:pPr>
    </w:p>
    <w:p w14:paraId="2D7EF423" w14:textId="20005CB5" w:rsidR="00D208C0" w:rsidRPr="00CA3562" w:rsidRDefault="00D208C0" w:rsidP="00203F2A">
      <w:pPr>
        <w:pStyle w:val="NoSpacing"/>
        <w:jc w:val="both"/>
      </w:pPr>
      <w:proofErr w:type="spellStart"/>
      <w:r w:rsidRPr="00CA3562">
        <w:t>Schurman</w:t>
      </w:r>
      <w:proofErr w:type="spellEnd"/>
      <w:r w:rsidRPr="00CA3562">
        <w:t xml:space="preserve"> </w:t>
      </w:r>
      <w:r w:rsidR="00CA3562" w:rsidRPr="00CA3562">
        <w:t>Lawyers</w:t>
      </w:r>
      <w:r w:rsidRPr="00CA3562">
        <w:t xml:space="preserve"> (2013), </w:t>
      </w:r>
      <w:r w:rsidR="00CA3562" w:rsidRPr="00CA3562">
        <w:t>Framework National Environmental Legislation, Policy and Institutional Framework (</w:t>
      </w:r>
      <w:proofErr w:type="spellStart"/>
      <w:r w:rsidRPr="00CA3562">
        <w:t>Raamwerk</w:t>
      </w:r>
      <w:proofErr w:type="spellEnd"/>
      <w:r w:rsidRPr="00CA3562">
        <w:t xml:space="preserve"> </w:t>
      </w:r>
      <w:proofErr w:type="spellStart"/>
      <w:r w:rsidRPr="00CA3562">
        <w:t>Nationale</w:t>
      </w:r>
      <w:proofErr w:type="spellEnd"/>
      <w:r w:rsidRPr="00CA3562">
        <w:t xml:space="preserve"> </w:t>
      </w:r>
      <w:proofErr w:type="spellStart"/>
      <w:r w:rsidRPr="00CA3562">
        <w:t>Milieuwetgeving</w:t>
      </w:r>
      <w:proofErr w:type="spellEnd"/>
      <w:r w:rsidRPr="00CA3562">
        <w:t xml:space="preserve">, </w:t>
      </w:r>
      <w:proofErr w:type="spellStart"/>
      <w:r w:rsidRPr="00CA3562">
        <w:t>wettelijk</w:t>
      </w:r>
      <w:proofErr w:type="spellEnd"/>
      <w:r w:rsidRPr="00CA3562">
        <w:t xml:space="preserve"> </w:t>
      </w:r>
      <w:proofErr w:type="spellStart"/>
      <w:r w:rsidRPr="00CA3562">
        <w:t>kader</w:t>
      </w:r>
      <w:proofErr w:type="spellEnd"/>
      <w:r w:rsidRPr="00CA3562">
        <w:t xml:space="preserve">, </w:t>
      </w:r>
      <w:proofErr w:type="spellStart"/>
      <w:r w:rsidRPr="00CA3562">
        <w:t>beleidskader</w:t>
      </w:r>
      <w:proofErr w:type="spellEnd"/>
      <w:r w:rsidRPr="00CA3562">
        <w:t xml:space="preserve">, </w:t>
      </w:r>
      <w:proofErr w:type="spellStart"/>
      <w:r w:rsidRPr="00CA3562">
        <w:t>institutioneel</w:t>
      </w:r>
      <w:proofErr w:type="spellEnd"/>
      <w:r w:rsidRPr="00CA3562">
        <w:t xml:space="preserve"> </w:t>
      </w:r>
      <w:proofErr w:type="spellStart"/>
      <w:r w:rsidRPr="00CA3562">
        <w:t>kader</w:t>
      </w:r>
      <w:proofErr w:type="spellEnd"/>
      <w:r w:rsidR="00CA3562" w:rsidRPr="00CA3562">
        <w:t>)</w:t>
      </w:r>
    </w:p>
    <w:p w14:paraId="79DE2E08" w14:textId="77777777" w:rsidR="00151C85" w:rsidRPr="00FC7612" w:rsidRDefault="00151C85" w:rsidP="00203F2A">
      <w:pPr>
        <w:pStyle w:val="NoSpacing"/>
        <w:jc w:val="both"/>
      </w:pPr>
    </w:p>
    <w:p w14:paraId="5B98D480" w14:textId="3292CF33" w:rsidR="00151C85" w:rsidRPr="00CA3562" w:rsidRDefault="000555DF" w:rsidP="00203F2A">
      <w:pPr>
        <w:pStyle w:val="NoSpacing"/>
        <w:jc w:val="both"/>
      </w:pPr>
      <w:r w:rsidRPr="00FC7612">
        <w:t xml:space="preserve">Unique Forestry and Land Use GmbH (2016), Multi-Perspective Analysis of Drivers of Deforestation, </w:t>
      </w:r>
      <w:r w:rsidRPr="00CA3562">
        <w:t>Forest Degradation and Barriers to REDD+ Activities</w:t>
      </w:r>
    </w:p>
    <w:p w14:paraId="3B22DC8D" w14:textId="4373F05A" w:rsidR="000555DF" w:rsidRPr="00FC7612" w:rsidRDefault="000555DF" w:rsidP="00203F2A">
      <w:pPr>
        <w:pStyle w:val="NoSpacing"/>
        <w:jc w:val="both"/>
      </w:pPr>
    </w:p>
    <w:p w14:paraId="3D13BF9C" w14:textId="77777777" w:rsidR="00DF207C" w:rsidRPr="00FC7612" w:rsidRDefault="00DF207C" w:rsidP="00203F2A">
      <w:pPr>
        <w:pStyle w:val="NoSpacing"/>
        <w:jc w:val="both"/>
      </w:pPr>
      <w:r w:rsidRPr="00FC7612">
        <w:t>World Bank (2017), Suriname Sector Competitiveness; Analysis Identifying Opportunities and Constraints to Investment and Diversification in the Agribusiness and Extractives Sectors</w:t>
      </w:r>
    </w:p>
    <w:p w14:paraId="78E7776F" w14:textId="52765587" w:rsidR="000555DF" w:rsidRDefault="000555DF" w:rsidP="00203F2A">
      <w:pPr>
        <w:pStyle w:val="NoSpacing"/>
        <w:jc w:val="both"/>
      </w:pPr>
    </w:p>
    <w:p w14:paraId="20BC0B8A" w14:textId="65F6C04F" w:rsidR="00DC733B" w:rsidRPr="00FC7612" w:rsidRDefault="00DC733B" w:rsidP="00203F2A">
      <w:pPr>
        <w:pStyle w:val="NoSpacing"/>
        <w:jc w:val="both"/>
      </w:pPr>
      <w:r>
        <w:t xml:space="preserve">World Bank (2017), Environmental and Social Framework </w:t>
      </w:r>
      <w:hyperlink r:id="rId23" w:history="1">
        <w:r w:rsidRPr="0047386C">
          <w:rPr>
            <w:rStyle w:val="Hyperlink"/>
          </w:rPr>
          <w:t>http://pubdocs.worldbank.org/en/837721522762050108/Environmental-and-Social-Framework.pdf</w:t>
        </w:r>
      </w:hyperlink>
    </w:p>
    <w:sectPr w:rsidR="00DC733B" w:rsidRPr="00FC7612" w:rsidSect="002211BF">
      <w:headerReference w:type="even" r:id="rId24"/>
      <w:headerReference w:type="default" r:id="rId25"/>
      <w:footerReference w:type="default" r:id="rId26"/>
      <w:headerReference w:type="first" r:id="rId2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CBF8" w14:textId="77777777" w:rsidR="00A36180" w:rsidRDefault="00A36180" w:rsidP="00683D9E">
      <w:pPr>
        <w:spacing w:after="0" w:line="240" w:lineRule="auto"/>
      </w:pPr>
      <w:r>
        <w:separator/>
      </w:r>
    </w:p>
  </w:endnote>
  <w:endnote w:type="continuationSeparator" w:id="0">
    <w:p w14:paraId="3F41B7EA" w14:textId="77777777" w:rsidR="00A36180" w:rsidRDefault="00A36180" w:rsidP="0068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EF1A" w14:textId="77B07910" w:rsidR="00FD7791" w:rsidRPr="00AE0870" w:rsidRDefault="00FD7791">
    <w:pPr>
      <w:pStyle w:val="Footer"/>
      <w:jc w:val="right"/>
      <w:rPr>
        <w:b/>
        <w:sz w:val="28"/>
        <w:szCs w:val="28"/>
      </w:rPr>
    </w:pPr>
  </w:p>
  <w:p w14:paraId="2AF0EB02" w14:textId="77777777" w:rsidR="00FD7791" w:rsidRPr="00AE0870" w:rsidRDefault="00FD7791">
    <w:pPr>
      <w:pStyle w:val="Footer"/>
      <w:rPr>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257487"/>
      <w:docPartObj>
        <w:docPartGallery w:val="Page Numbers (Bottom of Page)"/>
        <w:docPartUnique/>
      </w:docPartObj>
    </w:sdtPr>
    <w:sdtEndPr>
      <w:rPr>
        <w:b/>
        <w:sz w:val="28"/>
        <w:szCs w:val="28"/>
      </w:rPr>
    </w:sdtEndPr>
    <w:sdtContent>
      <w:p w14:paraId="71C84C5A" w14:textId="4976E541" w:rsidR="00FD7791" w:rsidRPr="00E10345" w:rsidRDefault="00FD7791">
        <w:pPr>
          <w:pStyle w:val="Footer"/>
          <w:jc w:val="right"/>
          <w:rPr>
            <w:b/>
            <w:sz w:val="28"/>
            <w:szCs w:val="28"/>
          </w:rPr>
        </w:pPr>
        <w:r w:rsidRPr="00E10345">
          <w:rPr>
            <w:b/>
            <w:sz w:val="28"/>
            <w:szCs w:val="28"/>
          </w:rPr>
          <w:fldChar w:fldCharType="begin"/>
        </w:r>
        <w:r w:rsidRPr="00E10345">
          <w:rPr>
            <w:b/>
            <w:sz w:val="28"/>
            <w:szCs w:val="28"/>
          </w:rPr>
          <w:instrText>PAGE   \* MERGEFORMAT</w:instrText>
        </w:r>
        <w:r w:rsidRPr="00E10345">
          <w:rPr>
            <w:b/>
            <w:sz w:val="28"/>
            <w:szCs w:val="28"/>
          </w:rPr>
          <w:fldChar w:fldCharType="separate"/>
        </w:r>
        <w:r w:rsidRPr="00203F2A">
          <w:rPr>
            <w:b/>
            <w:noProof/>
            <w:sz w:val="28"/>
            <w:szCs w:val="28"/>
            <w:lang w:val="nl-NL"/>
          </w:rPr>
          <w:t>ix</w:t>
        </w:r>
        <w:r w:rsidRPr="00E10345">
          <w:rPr>
            <w:b/>
            <w:sz w:val="28"/>
            <w:szCs w:val="28"/>
          </w:rPr>
          <w:fldChar w:fldCharType="end"/>
        </w:r>
      </w:p>
    </w:sdtContent>
  </w:sdt>
  <w:p w14:paraId="54706FAA" w14:textId="77777777" w:rsidR="00FD7791" w:rsidRDefault="00FD7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018814"/>
      <w:docPartObj>
        <w:docPartGallery w:val="Page Numbers (Bottom of Page)"/>
        <w:docPartUnique/>
      </w:docPartObj>
    </w:sdtPr>
    <w:sdtEndPr/>
    <w:sdtContent>
      <w:p w14:paraId="6CC8BC7B" w14:textId="7C9DF2F1" w:rsidR="00FD7791" w:rsidRDefault="00FD7791">
        <w:pPr>
          <w:pStyle w:val="Footer"/>
          <w:jc w:val="right"/>
        </w:pPr>
        <w:r>
          <w:fldChar w:fldCharType="begin"/>
        </w:r>
        <w:r>
          <w:instrText>PAGE   \* MERGEFORMAT</w:instrText>
        </w:r>
        <w:r>
          <w:fldChar w:fldCharType="separate"/>
        </w:r>
        <w:r>
          <w:rPr>
            <w:lang w:val="nl-NL"/>
          </w:rPr>
          <w:t>2</w:t>
        </w:r>
        <w:r>
          <w:fldChar w:fldCharType="end"/>
        </w:r>
      </w:p>
    </w:sdtContent>
  </w:sdt>
  <w:p w14:paraId="1F1E69AC" w14:textId="77777777" w:rsidR="00FD7791" w:rsidRPr="00AE0870" w:rsidRDefault="00FD7791">
    <w:pPr>
      <w:pStyle w:val="Footer"/>
      <w:rPr>
        <w:b/>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29355"/>
      <w:docPartObj>
        <w:docPartGallery w:val="Page Numbers (Bottom of Page)"/>
        <w:docPartUnique/>
      </w:docPartObj>
    </w:sdtPr>
    <w:sdtEndPr/>
    <w:sdtContent>
      <w:p w14:paraId="327D2C09" w14:textId="18F41A4F" w:rsidR="00FD7791" w:rsidRDefault="00FD7791" w:rsidP="006B7172">
        <w:pPr>
          <w:pStyle w:val="Footer"/>
          <w:pBdr>
            <w:top w:val="single" w:sz="4" w:space="1" w:color="auto"/>
          </w:pBdr>
        </w:pPr>
        <w:r>
          <w:t xml:space="preserve">Environmental and Social Management Framework – Suriname </w:t>
        </w:r>
        <w:r>
          <w:tab/>
        </w:r>
        <w:r>
          <w:fldChar w:fldCharType="begin"/>
        </w:r>
        <w:r>
          <w:instrText>PAGE   \* MERGEFORMAT</w:instrText>
        </w:r>
        <w:r>
          <w:fldChar w:fldCharType="separate"/>
        </w:r>
        <w:r>
          <w:rPr>
            <w:noProof/>
          </w:rPr>
          <w:t>19</w:t>
        </w:r>
        <w:r>
          <w:fldChar w:fldCharType="end"/>
        </w:r>
      </w:p>
    </w:sdtContent>
  </w:sdt>
  <w:p w14:paraId="070F28D2" w14:textId="77777777" w:rsidR="00FD7791" w:rsidRDefault="00FD7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A0C4" w14:textId="77777777" w:rsidR="00A36180" w:rsidRDefault="00A36180" w:rsidP="00683D9E">
      <w:pPr>
        <w:spacing w:after="0" w:line="240" w:lineRule="auto"/>
      </w:pPr>
      <w:r>
        <w:separator/>
      </w:r>
    </w:p>
  </w:footnote>
  <w:footnote w:type="continuationSeparator" w:id="0">
    <w:p w14:paraId="179CE58F" w14:textId="77777777" w:rsidR="00A36180" w:rsidRDefault="00A36180" w:rsidP="00683D9E">
      <w:pPr>
        <w:spacing w:after="0" w:line="240" w:lineRule="auto"/>
      </w:pPr>
      <w:r>
        <w:continuationSeparator/>
      </w:r>
    </w:p>
  </w:footnote>
  <w:footnote w:id="1">
    <w:p w14:paraId="59BF2BE7" w14:textId="77777777" w:rsidR="00FD7791" w:rsidRPr="004A460B" w:rsidRDefault="00FD7791" w:rsidP="001049BA">
      <w:pPr>
        <w:pStyle w:val="FootnoteText"/>
      </w:pPr>
      <w:r>
        <w:rPr>
          <w:rStyle w:val="FootnoteReference"/>
        </w:rPr>
        <w:footnoteRef/>
      </w:r>
      <w:r w:rsidRPr="004A460B">
        <w:t xml:space="preserve"> </w:t>
      </w:r>
      <w:bookmarkStart w:id="14" w:name="_Hlk530140210"/>
      <w:r w:rsidRPr="004A460B">
        <w:t>World Bank</w:t>
      </w:r>
      <w:r>
        <w:t xml:space="preserve"> (2017), </w:t>
      </w:r>
      <w:r w:rsidRPr="004A460B">
        <w:t>Suriname Sector Competitiveness</w:t>
      </w:r>
      <w:r>
        <w:t>;</w:t>
      </w:r>
      <w:r w:rsidRPr="004A460B">
        <w:t xml:space="preserve"> Analysis Identifying Opportunities and Constraints to Investment and Diversification in the Agribusiness and Extractives Sectors</w:t>
      </w:r>
    </w:p>
    <w:bookmarkEnd w:id="14"/>
  </w:footnote>
  <w:footnote w:id="2">
    <w:p w14:paraId="0C0698C8" w14:textId="1FFBA2E2" w:rsidR="00FD7791" w:rsidRPr="00AA3F08" w:rsidRDefault="00FD7791">
      <w:pPr>
        <w:pStyle w:val="FootnoteText"/>
      </w:pPr>
      <w:r>
        <w:rPr>
          <w:rStyle w:val="FootnoteReference"/>
        </w:rPr>
        <w:footnoteRef/>
      </w:r>
      <w:r>
        <w:t xml:space="preserve"> See </w:t>
      </w:r>
      <w:r w:rsidRPr="00AA3F08">
        <w:t>https://www.ifc.org/wps/wcm/connect/topics_ext_content/ifc_external_corporate_site/sustainability-at-ifc/policies-standards/ehs-guidelines</w:t>
      </w:r>
    </w:p>
  </w:footnote>
  <w:footnote w:id="3">
    <w:p w14:paraId="230834A2" w14:textId="77777777" w:rsidR="00FD7791" w:rsidRPr="00C81680" w:rsidRDefault="00FD7791" w:rsidP="00327A5B">
      <w:pPr>
        <w:pStyle w:val="FootnoteText"/>
      </w:pPr>
      <w:r>
        <w:rPr>
          <w:rStyle w:val="FootnoteReference"/>
        </w:rPr>
        <w:footnoteRef/>
      </w:r>
      <w:r>
        <w:t xml:space="preserve"> </w:t>
      </w:r>
      <w:hyperlink r:id="rId1" w:history="1">
        <w:r w:rsidRPr="004E44D2">
          <w:rPr>
            <w:rStyle w:val="Hyperlink"/>
          </w:rPr>
          <w:t>https://policies.worldbank.org/sites/ppf3/Pages/Manuals/Operational%20Manual.aspx</w:t>
        </w:r>
      </w:hyperlink>
      <w:r>
        <w:t xml:space="preserve"> </w:t>
      </w:r>
    </w:p>
  </w:footnote>
  <w:footnote w:id="4">
    <w:p w14:paraId="0CD7E5F9" w14:textId="1028DECA" w:rsidR="00FD7791" w:rsidRPr="005A351F" w:rsidRDefault="00FD7791" w:rsidP="00327A5B">
      <w:pPr>
        <w:pStyle w:val="FootnoteText"/>
      </w:pPr>
      <w:r>
        <w:rPr>
          <w:rStyle w:val="FootnoteReference"/>
        </w:rPr>
        <w:footnoteRef/>
      </w:r>
      <w:r>
        <w:t xml:space="preserve"> </w:t>
      </w:r>
      <w:r w:rsidRPr="005A351F">
        <w:t>The development of the I</w:t>
      </w:r>
      <w:r>
        <w:t>T</w:t>
      </w:r>
      <w:r w:rsidRPr="005A351F">
        <w:t xml:space="preserve">PPF will also be informed by the </w:t>
      </w:r>
      <w:r>
        <w:t>S</w:t>
      </w:r>
      <w:r w:rsidRPr="005A351F">
        <w:t xml:space="preserve">ocial </w:t>
      </w:r>
      <w:r>
        <w:t>A</w:t>
      </w:r>
      <w:r w:rsidRPr="005A351F">
        <w:t>ssessment that will be conducted. Longer-term environmental and social considerations related to agribusiness growth are included under the SESA.</w:t>
      </w:r>
    </w:p>
  </w:footnote>
  <w:footnote w:id="5">
    <w:p w14:paraId="519E40FF" w14:textId="77777777" w:rsidR="00FD7791" w:rsidRPr="006D3B7E" w:rsidRDefault="00FD7791" w:rsidP="00327A5B">
      <w:pPr>
        <w:pStyle w:val="FootnoteText"/>
      </w:pPr>
      <w:r>
        <w:rPr>
          <w:rStyle w:val="FootnoteReference"/>
        </w:rPr>
        <w:footnoteRef/>
      </w:r>
      <w:r>
        <w:t xml:space="preserve"> </w:t>
      </w:r>
      <w:r w:rsidRPr="006D3B7E">
        <w:t>The SESA will include an impact assessment to estimate and/or model the total potential impact to indigenous peoples and vulnerable groups in all the sectors identified and will include detailed analysis of potential benefits, impacts and risks concerning indigenous peoples of potential sector specific investments and policy reforms.</w:t>
      </w:r>
    </w:p>
  </w:footnote>
  <w:footnote w:id="6">
    <w:p w14:paraId="46FC12E6" w14:textId="12EE0FB4" w:rsidR="00FD7791" w:rsidRPr="00475B88" w:rsidRDefault="00FD7791">
      <w:pPr>
        <w:pStyle w:val="FootnoteText"/>
      </w:pPr>
      <w:r>
        <w:rPr>
          <w:rStyle w:val="FootnoteReference"/>
        </w:rPr>
        <w:footnoteRef/>
      </w:r>
      <w:r>
        <w:t xml:space="preserve"> Oral Communication BDD: Ms. </w:t>
      </w:r>
      <w:r w:rsidRPr="00475B88">
        <w:t xml:space="preserve">Marci Gompers-Small of “MC unit” at Cabinet </w:t>
      </w:r>
      <w:r>
        <w:t>explained</w:t>
      </w:r>
      <w:r w:rsidRPr="00475B88">
        <w:t xml:space="preserve"> that this de-facto situation will soon be formalised.</w:t>
      </w:r>
    </w:p>
  </w:footnote>
  <w:footnote w:id="7">
    <w:p w14:paraId="39D6212A" w14:textId="77777777" w:rsidR="00FD7791" w:rsidRPr="004D68C2" w:rsidRDefault="00FD7791" w:rsidP="003E5D48">
      <w:pPr>
        <w:pStyle w:val="FootnoteText"/>
      </w:pPr>
      <w:r>
        <w:rPr>
          <w:rStyle w:val="FootnoteReference"/>
        </w:rPr>
        <w:footnoteRef/>
      </w:r>
      <w:r w:rsidRPr="004D68C2">
        <w:t xml:space="preserve"> Anticipating on the pro</w:t>
      </w:r>
      <w:r>
        <w:t>mulgation of the Environmental Framework Act and based on its latest draft version (June 2017), during a national workshop held on October 4</w:t>
      </w:r>
      <w:r w:rsidRPr="004D68C2">
        <w:rPr>
          <w:vertAlign w:val="superscript"/>
        </w:rPr>
        <w:t>th</w:t>
      </w:r>
      <w:r>
        <w:t xml:space="preserve"> 2018 NIMOS presented the draft texts of decrees on (i) the establishment of a national Environment Fund, (ii) the performance of an Environmental Impact Assessment, (iii) Environmental pollution and (iv) </w:t>
      </w:r>
      <w:r w:rsidRPr="00A21A85">
        <w:t>hazardous materials</w:t>
      </w:r>
      <w:r>
        <w:t>.</w:t>
      </w:r>
    </w:p>
  </w:footnote>
  <w:footnote w:id="8">
    <w:p w14:paraId="66C312F6" w14:textId="77777777" w:rsidR="00FD7791" w:rsidRPr="004D68C2" w:rsidRDefault="00FD7791" w:rsidP="003E5D48">
      <w:pPr>
        <w:pStyle w:val="FootnoteText"/>
        <w:rPr>
          <w:lang w:val="nl-NL"/>
        </w:rPr>
      </w:pPr>
      <w:r>
        <w:rPr>
          <w:rStyle w:val="FootnoteReference"/>
        </w:rPr>
        <w:footnoteRef/>
      </w:r>
      <w:r w:rsidRPr="004D68C2">
        <w:rPr>
          <w:lang w:val="nl-NL"/>
        </w:rPr>
        <w:t xml:space="preserve"> NIMOS (2004), Milieu gerelateerde Wetgeving in Suriname</w:t>
      </w:r>
      <w:r>
        <w:rPr>
          <w:lang w:val="nl-NL"/>
        </w:rPr>
        <w:t>.</w:t>
      </w:r>
    </w:p>
  </w:footnote>
  <w:footnote w:id="9">
    <w:p w14:paraId="64BB44E0" w14:textId="77777777" w:rsidR="00FD7791" w:rsidRPr="00F37E72" w:rsidRDefault="00FD7791" w:rsidP="003E5D48">
      <w:pPr>
        <w:pStyle w:val="FootnoteText"/>
        <w:rPr>
          <w:lang w:val="nl-NL"/>
        </w:rPr>
      </w:pPr>
      <w:r>
        <w:rPr>
          <w:rStyle w:val="FootnoteReference"/>
        </w:rPr>
        <w:footnoteRef/>
      </w:r>
      <w:r w:rsidRPr="00F37E72">
        <w:rPr>
          <w:lang w:val="nl-NL"/>
        </w:rPr>
        <w:t xml:space="preserve"> </w:t>
      </w:r>
      <w:r>
        <w:rPr>
          <w:lang w:val="nl-NL"/>
        </w:rPr>
        <w:t>Schurman Advocaten (2013), Raamwerk Nationale Milieuwetgeving, wettelijk kader, beleidskader, institutioneel kader.</w:t>
      </w:r>
    </w:p>
  </w:footnote>
  <w:footnote w:id="10">
    <w:p w14:paraId="7F4E3996" w14:textId="77777777" w:rsidR="00FD7791" w:rsidRPr="00063C78" w:rsidRDefault="00FD7791" w:rsidP="003E5D48">
      <w:pPr>
        <w:pStyle w:val="FootnoteText"/>
        <w:rPr>
          <w:lang w:val="nl-NL"/>
        </w:rPr>
      </w:pPr>
      <w:r>
        <w:rPr>
          <w:rStyle w:val="FootnoteReference"/>
        </w:rPr>
        <w:footnoteRef/>
      </w:r>
      <w:r w:rsidRPr="00063C78">
        <w:rPr>
          <w:lang w:val="nl-NL"/>
        </w:rPr>
        <w:t xml:space="preserve"> Hinderwet (1927)</w:t>
      </w:r>
    </w:p>
  </w:footnote>
  <w:footnote w:id="11">
    <w:p w14:paraId="77042520" w14:textId="77777777" w:rsidR="00FD7791" w:rsidRPr="00846EF6" w:rsidRDefault="00FD7791" w:rsidP="003E5D48">
      <w:pPr>
        <w:pStyle w:val="FootnoteText"/>
        <w:rPr>
          <w:lang w:val="nl-NL"/>
        </w:rPr>
      </w:pPr>
      <w:r>
        <w:rPr>
          <w:rStyle w:val="FootnoteReference"/>
        </w:rPr>
        <w:footnoteRef/>
      </w:r>
      <w:r w:rsidRPr="00846EF6">
        <w:rPr>
          <w:lang w:val="nl-NL"/>
        </w:rPr>
        <w:t xml:space="preserve"> Wet </w:t>
      </w:r>
      <w:r w:rsidRPr="00846EF6">
        <w:rPr>
          <w:lang w:val="nl-NL"/>
        </w:rPr>
        <w:t>Vergunningplichtige bedrijven en beroep</w:t>
      </w:r>
      <w:r>
        <w:rPr>
          <w:lang w:val="nl-NL"/>
        </w:rPr>
        <w:t>en (2017)</w:t>
      </w:r>
    </w:p>
  </w:footnote>
  <w:footnote w:id="12">
    <w:p w14:paraId="57B7A7CF" w14:textId="70EB0806" w:rsidR="00FD7791" w:rsidRPr="00FA2E86" w:rsidRDefault="00FD7791" w:rsidP="00CB3D56">
      <w:pPr>
        <w:pStyle w:val="FootnoteText"/>
      </w:pPr>
      <w:r>
        <w:rPr>
          <w:rStyle w:val="FootnoteReference"/>
        </w:rPr>
        <w:footnoteRef/>
      </w:r>
      <w:r>
        <w:t xml:space="preserve"> </w:t>
      </w:r>
      <w:bookmarkStart w:id="28" w:name="_Hlk530140390"/>
      <w:r w:rsidRPr="00FA2E86">
        <w:t>Th</w:t>
      </w:r>
      <w:r>
        <w:t>e introduction of th</w:t>
      </w:r>
      <w:r w:rsidRPr="00FA2E86">
        <w:t>is section i</w:t>
      </w:r>
      <w:r>
        <w:t xml:space="preserve">s in part based on the ‘Second National Communication to the United Nations Framework Convention on Climate Change’ (GOS, March 2016) </w:t>
      </w:r>
    </w:p>
    <w:bookmarkEnd w:id="28"/>
  </w:footnote>
  <w:footnote w:id="13">
    <w:p w14:paraId="0848C355" w14:textId="452293D0" w:rsidR="00FD7791" w:rsidRPr="002B67AE" w:rsidRDefault="00FD7791">
      <w:pPr>
        <w:pStyle w:val="FootnoteText"/>
      </w:pPr>
      <w:r>
        <w:rPr>
          <w:rStyle w:val="FootnoteReference"/>
        </w:rPr>
        <w:footnoteRef/>
      </w:r>
      <w:r>
        <w:t xml:space="preserve"> Map Geographic Regions:  copyright Bart De Dijn (2018)</w:t>
      </w:r>
    </w:p>
  </w:footnote>
  <w:footnote w:id="14">
    <w:p w14:paraId="325FD6DE" w14:textId="77777777" w:rsidR="00FD7791" w:rsidRPr="00631CB1" w:rsidRDefault="00FD7791" w:rsidP="003E5D48">
      <w:pPr>
        <w:pStyle w:val="FootnoteText"/>
      </w:pPr>
      <w:r>
        <w:rPr>
          <w:rStyle w:val="FootnoteReference"/>
        </w:rPr>
        <w:footnoteRef/>
      </w:r>
      <w:r>
        <w:t xml:space="preserve"> </w:t>
      </w:r>
      <w:bookmarkStart w:id="29" w:name="_Hlk530140505"/>
      <w:r w:rsidRPr="00653866">
        <w:t xml:space="preserve">Unique Forestry and Land </w:t>
      </w:r>
      <w:r>
        <w:t>U</w:t>
      </w:r>
      <w:r w:rsidRPr="00653866">
        <w:t>se</w:t>
      </w:r>
      <w:r>
        <w:t xml:space="preserve"> GmbH</w:t>
      </w:r>
      <w:r w:rsidRPr="00653866">
        <w:t xml:space="preserve">, </w:t>
      </w:r>
      <w:r>
        <w:t>(</w:t>
      </w:r>
      <w:r w:rsidRPr="00653866">
        <w:t>2016)</w:t>
      </w:r>
      <w:r>
        <w:t xml:space="preserve">, Multi-Perspective Analysis of Drivers of Deforestation, Forest Degradation and Barriers to REDD+ Activities. </w:t>
      </w:r>
      <w:bookmarkEnd w:id="29"/>
    </w:p>
  </w:footnote>
  <w:footnote w:id="15">
    <w:p w14:paraId="21C2C137" w14:textId="77777777" w:rsidR="00FD7791" w:rsidRPr="00653866" w:rsidRDefault="00FD7791" w:rsidP="003E5D48">
      <w:pPr>
        <w:pStyle w:val="FootnoteText"/>
      </w:pPr>
      <w:r w:rsidRPr="00631CB1">
        <w:rPr>
          <w:rStyle w:val="FootnoteReference"/>
        </w:rPr>
        <w:footnoteRef/>
      </w:r>
      <w:r w:rsidRPr="00631CB1">
        <w:t xml:space="preserve"> </w:t>
      </w:r>
      <w:bookmarkStart w:id="30" w:name="_Hlk530140544"/>
      <w:r>
        <w:t>This (ecosystem) and next section (diversity) updated b</w:t>
      </w:r>
      <w:r w:rsidRPr="00631CB1">
        <w:t>ased on</w:t>
      </w:r>
      <w:r>
        <w:t xml:space="preserve">: </w:t>
      </w:r>
      <w:r w:rsidRPr="00A00074">
        <w:rPr>
          <w:i/>
        </w:rPr>
        <w:t xml:space="preserve">De Dijn, </w:t>
      </w:r>
      <w:r>
        <w:rPr>
          <w:i/>
        </w:rPr>
        <w:t>B.P.E. (</w:t>
      </w:r>
      <w:r w:rsidRPr="00A00074">
        <w:rPr>
          <w:i/>
        </w:rPr>
        <w:t>editor</w:t>
      </w:r>
      <w:r>
        <w:rPr>
          <w:i/>
        </w:rPr>
        <w:t>)</w:t>
      </w:r>
      <w:r w:rsidRPr="00A00074">
        <w:rPr>
          <w:i/>
        </w:rPr>
        <w:t xml:space="preserve">. </w:t>
      </w:r>
      <w:r>
        <w:rPr>
          <w:i/>
        </w:rPr>
        <w:t xml:space="preserve">2018. </w:t>
      </w:r>
      <w:r w:rsidRPr="00A00074">
        <w:rPr>
          <w:i/>
        </w:rPr>
        <w:t xml:space="preserve">Natural History and Ecology of Suriname. LM Publishers, </w:t>
      </w:r>
      <w:r w:rsidRPr="00A00074">
        <w:rPr>
          <w:i/>
        </w:rPr>
        <w:t xml:space="preserve">Volendam, The Netherlands. </w:t>
      </w:r>
      <w:bookmarkEnd w:id="30"/>
    </w:p>
  </w:footnote>
  <w:footnote w:id="16">
    <w:p w14:paraId="477B2828" w14:textId="77777777" w:rsidR="00FD7791" w:rsidRPr="000A40ED" w:rsidRDefault="00FD7791" w:rsidP="003E5D48">
      <w:pPr>
        <w:pStyle w:val="NoSpacing"/>
        <w:rPr>
          <w:sz w:val="20"/>
          <w:szCs w:val="20"/>
        </w:rPr>
      </w:pPr>
      <w:r w:rsidRPr="000A40ED">
        <w:rPr>
          <w:rStyle w:val="FootnoteReference"/>
          <w:sz w:val="20"/>
          <w:szCs w:val="20"/>
        </w:rPr>
        <w:footnoteRef/>
      </w:r>
      <w:r w:rsidRPr="000A40ED">
        <w:rPr>
          <w:sz w:val="20"/>
          <w:szCs w:val="20"/>
        </w:rPr>
        <w:t xml:space="preserve"> https://www.indexmundi.com/suriname/demographics_profile.html</w:t>
      </w:r>
    </w:p>
  </w:footnote>
  <w:footnote w:id="17">
    <w:p w14:paraId="5AC063D1" w14:textId="77777777" w:rsidR="00FD7791" w:rsidRPr="00142DA5" w:rsidRDefault="00FD7791" w:rsidP="003E5D48">
      <w:pPr>
        <w:pStyle w:val="FootnoteText"/>
      </w:pPr>
      <w:r>
        <w:rPr>
          <w:rStyle w:val="FootnoteReference"/>
        </w:rPr>
        <w:footnoteRef/>
      </w:r>
      <w:r>
        <w:t xml:space="preserve"> Anonymous (2003), Land and Policy, Administration and Management: The Case of Suriname,</w:t>
      </w:r>
      <w:r w:rsidRPr="00142DA5">
        <w:t xml:space="preserve"> </w:t>
      </w:r>
      <w:r>
        <w:t>Paper Prepared for the Workshop, Port of Spain, Trinidad and Tobago, 19-21 March 2003</w:t>
      </w:r>
    </w:p>
  </w:footnote>
  <w:footnote w:id="18">
    <w:p w14:paraId="21C2283D" w14:textId="77777777" w:rsidR="00FD7791" w:rsidRPr="000B15A6" w:rsidRDefault="00FD7791" w:rsidP="003E5D48">
      <w:pPr>
        <w:pStyle w:val="FootnoteText"/>
      </w:pPr>
      <w:r>
        <w:rPr>
          <w:rStyle w:val="FootnoteReference"/>
        </w:rPr>
        <w:footnoteRef/>
      </w:r>
      <w:r w:rsidRPr="000B15A6">
        <w:t xml:space="preserve"> Ministry of Agriculture, Animal Husbandry and Fisheries (2010), </w:t>
      </w:r>
      <w:r w:rsidRPr="000B15A6">
        <w:t>Eindrapport van de Vijfde Landbouwtelling 2008-2009</w:t>
      </w:r>
    </w:p>
  </w:footnote>
  <w:footnote w:id="19">
    <w:p w14:paraId="308E616F" w14:textId="77777777" w:rsidR="00FD7791" w:rsidRPr="00143066" w:rsidRDefault="00FD7791" w:rsidP="003E5D48">
      <w:pPr>
        <w:pStyle w:val="FootnoteText"/>
      </w:pPr>
      <w:r>
        <w:rPr>
          <w:rStyle w:val="FootnoteReference"/>
        </w:rPr>
        <w:footnoteRef/>
      </w:r>
      <w:r>
        <w:t xml:space="preserve"> </w:t>
      </w:r>
      <w:bookmarkStart w:id="33" w:name="_Hlk530140653"/>
      <w:r>
        <w:t>SBB (2017) Suriname Forestry Sector Review 2016</w:t>
      </w:r>
      <w:bookmarkEnd w:id="33"/>
    </w:p>
  </w:footnote>
  <w:footnote w:id="20">
    <w:p w14:paraId="6FF2E881" w14:textId="3E7E3B19" w:rsidR="00FD7791" w:rsidRPr="008753F4" w:rsidRDefault="00FD7791">
      <w:pPr>
        <w:pStyle w:val="FootnoteText"/>
      </w:pPr>
      <w:r w:rsidRPr="00E6405D">
        <w:rPr>
          <w:rStyle w:val="FootnoteReference"/>
        </w:rPr>
        <w:footnoteRef/>
      </w:r>
      <w:r w:rsidRPr="00E6405D">
        <w:t xml:space="preserve"> Draft Document prepared under the </w:t>
      </w:r>
      <w:r>
        <w:t>SCSD</w:t>
      </w:r>
      <w:r w:rsidRPr="00E6405D">
        <w:t xml:space="preserve"> Project (November 2018)</w:t>
      </w:r>
    </w:p>
  </w:footnote>
  <w:footnote w:id="21">
    <w:p w14:paraId="2B2C4FF8" w14:textId="77777777" w:rsidR="00FD7791" w:rsidRPr="00F00461" w:rsidRDefault="00FD7791" w:rsidP="008753F4">
      <w:pPr>
        <w:pStyle w:val="FootnoteText"/>
      </w:pPr>
      <w:r>
        <w:rPr>
          <w:rStyle w:val="FootnoteReference"/>
        </w:rPr>
        <w:footnoteRef/>
      </w:r>
      <w:r>
        <w:t xml:space="preserve"> </w:t>
      </w:r>
      <w:bookmarkStart w:id="34" w:name="_Hlk530140696"/>
      <w:r w:rsidRPr="00F00461">
        <w:t>Amazon Conservation Team (ACT) Suriname (</w:t>
      </w:r>
      <w:r>
        <w:t>2010), Land Rights, Tenure and Use of Indigenous Peoples</w:t>
      </w:r>
      <w:bookmarkEnd w:id="34"/>
    </w:p>
  </w:footnote>
  <w:footnote w:id="22">
    <w:p w14:paraId="19EC7926" w14:textId="2055D73F" w:rsidR="00FD7791" w:rsidRPr="008124EA" w:rsidRDefault="00FD7791" w:rsidP="0004698C">
      <w:pPr>
        <w:pStyle w:val="FootnoteText"/>
      </w:pPr>
      <w:r>
        <w:rPr>
          <w:rStyle w:val="FootnoteReference"/>
        </w:rPr>
        <w:footnoteRef/>
      </w:r>
      <w:r w:rsidRPr="008124EA">
        <w:t xml:space="preserve"> HCVs are biological, ecological, social or cultural values which are outstandingly significant or critically important at the national, regional or global level.</w:t>
      </w:r>
      <w:r>
        <w:t xml:space="preserve"> </w:t>
      </w:r>
      <w:r w:rsidRPr="008124EA">
        <w:t xml:space="preserve">All-natural habitats possess inherent conservation values, including the presence of rare or endemic species, provision of ecosystem services, sacred sites, or resources harvested by </w:t>
      </w:r>
      <w:r w:rsidRPr="008124EA">
        <w:t xml:space="preserve">local residents </w:t>
      </w:r>
      <w:r>
        <w:t>(</w:t>
      </w:r>
      <w:hyperlink r:id="rId2" w:history="1">
        <w:r w:rsidRPr="003F688A">
          <w:rPr>
            <w:rStyle w:val="Hyperlink"/>
          </w:rPr>
          <w:t>www.hcvnetwork.org</w:t>
        </w:r>
      </w:hyperlink>
      <w:r>
        <w:t xml:space="preserve">). </w:t>
      </w:r>
    </w:p>
  </w:footnote>
  <w:footnote w:id="23">
    <w:p w14:paraId="1FF059FC" w14:textId="77777777" w:rsidR="00FD7791" w:rsidRPr="00D65FC5" w:rsidRDefault="00FD7791" w:rsidP="0004698C">
      <w:pPr>
        <w:pStyle w:val="FootnoteText"/>
      </w:pPr>
      <w:r>
        <w:rPr>
          <w:rStyle w:val="FootnoteReference"/>
        </w:rPr>
        <w:footnoteRef/>
      </w:r>
      <w:r>
        <w:t xml:space="preserve"> To a considerable extent, i</w:t>
      </w:r>
      <w:r w:rsidRPr="00D65FC5">
        <w:t xml:space="preserve">ndustrial bauxite and gold mining </w:t>
      </w:r>
      <w:r>
        <w:t xml:space="preserve">continues to develop in Suriname </w:t>
      </w:r>
      <w:r w:rsidRPr="00D65FC5">
        <w:t>without</w:t>
      </w:r>
      <w:r>
        <w:t xml:space="preserve"> evaluating, at the feasibility study and planning stages, the feasibility and real </w:t>
      </w:r>
      <w:r w:rsidRPr="00D65FC5">
        <w:t xml:space="preserve">cost of </w:t>
      </w:r>
      <w:r>
        <w:t xml:space="preserve">effective </w:t>
      </w:r>
      <w:r w:rsidRPr="00D65FC5">
        <w:t>re</w:t>
      </w:r>
      <w:r>
        <w:t>storation, or alternatively of adequate re</w:t>
      </w:r>
      <w:r w:rsidRPr="00D65FC5">
        <w:t>habilitation</w:t>
      </w:r>
      <w:r>
        <w:t xml:space="preserve"> in combination with offsets for </w:t>
      </w:r>
      <w:r w:rsidRPr="00D65FC5">
        <w:t xml:space="preserve">residual impacts. </w:t>
      </w:r>
      <w:r>
        <w:t xml:space="preserve">Furthermore, the current industrial-scale gold mining </w:t>
      </w:r>
      <w:r w:rsidRPr="00D65FC5">
        <w:t>sector</w:t>
      </w:r>
      <w:r>
        <w:t xml:space="preserve"> in Suriname, at least in part, still draws cheap power from a </w:t>
      </w:r>
      <w:r w:rsidRPr="00D65FC5">
        <w:t xml:space="preserve">hydropower </w:t>
      </w:r>
      <w:r>
        <w:t xml:space="preserve">project with a legacy of </w:t>
      </w:r>
      <w:r w:rsidRPr="00D65FC5">
        <w:t>massive flooding of pristine forest</w:t>
      </w:r>
      <w:r>
        <w:t>s</w:t>
      </w:r>
      <w:r w:rsidRPr="00D65FC5">
        <w:t xml:space="preserve"> and involuntary resettlement.</w:t>
      </w:r>
      <w:r>
        <w:t xml:space="preserve"> Some plans for future development in at least the bauxite sector also hinge on this source of cheap power, even on the expansion of hydropower development in Suriname (associated with additional flooding and resettlement).   </w:t>
      </w:r>
      <w:r w:rsidRPr="00D65FC5">
        <w:t xml:space="preserve">   </w:t>
      </w:r>
    </w:p>
  </w:footnote>
  <w:footnote w:id="24">
    <w:p w14:paraId="62B8CE58" w14:textId="77777777" w:rsidR="00FD7791" w:rsidRPr="00971617" w:rsidRDefault="00FD7791" w:rsidP="0004698C">
      <w:pPr>
        <w:pStyle w:val="FootnoteText"/>
      </w:pPr>
      <w:r>
        <w:rPr>
          <w:rStyle w:val="FootnoteReference"/>
        </w:rPr>
        <w:footnoteRef/>
      </w:r>
      <w:r w:rsidRPr="00971617">
        <w:t xml:space="preserve"> </w:t>
      </w:r>
      <w:r>
        <w:t xml:space="preserve">ESMF tools and checklists also apply in case </w:t>
      </w:r>
      <w:r w:rsidRPr="00971617">
        <w:t xml:space="preserve">service </w:t>
      </w:r>
      <w:r>
        <w:t xml:space="preserve">provider(s) are contracted for the deliverance of additional </w:t>
      </w:r>
      <w:r w:rsidRPr="00971617">
        <w:t>services, such as hiring a logistics firm to provide transport service, hiring the airport management company to provide cold storage services, etc.</w:t>
      </w:r>
      <w:r>
        <w:t xml:space="preserve"> (to be determined during project</w:t>
      </w:r>
      <w:r w:rsidRPr="00971617">
        <w:t xml:space="preserve"> implementation</w:t>
      </w:r>
      <w:r>
        <w:t>) and should be an integral part of the service providers contracts.</w:t>
      </w:r>
    </w:p>
  </w:footnote>
  <w:footnote w:id="25">
    <w:p w14:paraId="66D0EFD7" w14:textId="77777777" w:rsidR="00FD7791" w:rsidRPr="00D55466" w:rsidRDefault="00FD7791" w:rsidP="0004698C">
      <w:pPr>
        <w:pStyle w:val="FootnoteText"/>
      </w:pPr>
      <w:r w:rsidRPr="00D55466">
        <w:rPr>
          <w:rStyle w:val="FootnoteReference"/>
        </w:rPr>
        <w:footnoteRef/>
      </w:r>
      <w:r w:rsidRPr="00D55466">
        <w:t xml:space="preserve"> http://www.gov.sr/ministerie-van-hi-t/actueel/standaarden-ontwikkelen-voor-toerisme-sector-1.aspx</w:t>
      </w:r>
    </w:p>
  </w:footnote>
  <w:footnote w:id="26">
    <w:p w14:paraId="2EECB758" w14:textId="77777777" w:rsidR="00FD7791" w:rsidRPr="00816C78" w:rsidRDefault="00FD7791" w:rsidP="00D22362">
      <w:pPr>
        <w:pStyle w:val="FootnoteText"/>
      </w:pPr>
      <w:r>
        <w:rPr>
          <w:rStyle w:val="FootnoteReference"/>
        </w:rPr>
        <w:footnoteRef/>
      </w:r>
      <w:r w:rsidRPr="00816C78">
        <w:t xml:space="preserve"> </w:t>
      </w:r>
      <w:hyperlink r:id="rId3" w:history="1">
        <w:r w:rsidRPr="00BD4E66">
          <w:rPr>
            <w:rStyle w:val="Hyperlink"/>
          </w:rPr>
          <w:t>https://www.thebiodiversityconsultancy.com/approaches/mitigation-hierarchy</w:t>
        </w:r>
      </w:hyperlink>
      <w:r>
        <w:t xml:space="preserve"> </w:t>
      </w:r>
    </w:p>
  </w:footnote>
  <w:footnote w:id="27">
    <w:p w14:paraId="682DDA7C" w14:textId="5F5F0C09" w:rsidR="00FD7791" w:rsidRPr="00173318" w:rsidRDefault="00FD7791" w:rsidP="006A4158">
      <w:pPr>
        <w:pStyle w:val="FootnoteText"/>
      </w:pPr>
      <w:r>
        <w:rPr>
          <w:rStyle w:val="FootnoteReference"/>
        </w:rPr>
        <w:footnoteRef/>
      </w:r>
      <w:r>
        <w:t xml:space="preserve"> Defined as land spanning more than 0.5 hectares with trees higher than 5 meters and a canopy cover of more than 10 percent, or trees able to reach these thresholds in situ. It does not include land that is predominantly under agricultural or urban land use.</w:t>
      </w:r>
    </w:p>
  </w:footnote>
  <w:footnote w:id="28">
    <w:p w14:paraId="4A426CAE" w14:textId="77777777" w:rsidR="00FD7791" w:rsidRPr="007646FC" w:rsidRDefault="00FD7791" w:rsidP="00D22362">
      <w:pPr>
        <w:pStyle w:val="NoSpacing"/>
      </w:pPr>
      <w:r>
        <w:rPr>
          <w:rStyle w:val="FootnoteReference"/>
        </w:rPr>
        <w:footnoteRef/>
      </w:r>
      <w:r>
        <w:t xml:space="preserve"> </w:t>
      </w:r>
      <w:hyperlink r:id="rId4" w:history="1">
        <w:r w:rsidRPr="00177FB2">
          <w:rPr>
            <w:rStyle w:val="Hyperlink"/>
            <w:sz w:val="20"/>
            <w:szCs w:val="20"/>
          </w:rPr>
          <w:t>https://www.nepcon.org/library/standard/fsc-forest-management/nepcon-global-NTFP-certification</w:t>
        </w:r>
      </w:hyperlink>
      <w:r w:rsidRPr="007646FC">
        <w:t xml:space="preserve"> </w:t>
      </w:r>
    </w:p>
  </w:footnote>
  <w:footnote w:id="29">
    <w:p w14:paraId="71503483" w14:textId="77777777" w:rsidR="00FD7791" w:rsidRPr="00B467ED" w:rsidRDefault="00FD7791" w:rsidP="00D22362">
      <w:pPr>
        <w:pStyle w:val="FootnoteText"/>
      </w:pPr>
      <w:r>
        <w:rPr>
          <w:rStyle w:val="FootnoteReference"/>
        </w:rPr>
        <w:footnoteRef/>
      </w:r>
      <w:r w:rsidRPr="00B467ED">
        <w:t xml:space="preserve"> Forest Stewardship Council; </w:t>
      </w:r>
      <w:hyperlink r:id="rId5" w:history="1">
        <w:r w:rsidRPr="00BD4E66">
          <w:rPr>
            <w:rStyle w:val="Hyperlink"/>
          </w:rPr>
          <w:t>https://www.fsc.org</w:t>
        </w:r>
      </w:hyperlink>
      <w:r>
        <w:t xml:space="preserve"> </w:t>
      </w:r>
    </w:p>
  </w:footnote>
  <w:footnote w:id="30">
    <w:p w14:paraId="2CFB759C" w14:textId="77777777" w:rsidR="00FD7791" w:rsidRPr="00177FB2" w:rsidRDefault="00FD7791" w:rsidP="00D22362">
      <w:pPr>
        <w:pStyle w:val="FootnoteText"/>
      </w:pPr>
      <w:r>
        <w:rPr>
          <w:rStyle w:val="FootnoteReference"/>
        </w:rPr>
        <w:footnoteRef/>
      </w:r>
      <w:r w:rsidRPr="00177FB2">
        <w:t xml:space="preserve"> Marine Stewardship Council </w:t>
      </w:r>
      <w:hyperlink r:id="rId6" w:history="1">
        <w:r w:rsidRPr="00BD4E66">
          <w:rPr>
            <w:rStyle w:val="Hyperlink"/>
          </w:rPr>
          <w:t>https://www.msc.org</w:t>
        </w:r>
      </w:hyperlink>
      <w:r>
        <w:t xml:space="preserve"> </w:t>
      </w:r>
    </w:p>
  </w:footnote>
  <w:footnote w:id="31">
    <w:p w14:paraId="45DBAA6D" w14:textId="77777777" w:rsidR="00FD7791" w:rsidRPr="005C2B8C" w:rsidRDefault="00FD7791" w:rsidP="00D22362">
      <w:pPr>
        <w:pStyle w:val="FootnoteText"/>
      </w:pPr>
      <w:r>
        <w:rPr>
          <w:rStyle w:val="FootnoteReference"/>
        </w:rPr>
        <w:footnoteRef/>
      </w:r>
      <w:r>
        <w:t xml:space="preserve"> At present, t</w:t>
      </w:r>
      <w:r w:rsidRPr="005C2B8C">
        <w:t xml:space="preserve">he </w:t>
      </w:r>
      <w:r>
        <w:t xml:space="preserve">only company who obtained MSC certification is </w:t>
      </w:r>
      <w:r w:rsidRPr="005C2B8C">
        <w:t xml:space="preserve">Suriname Atlantic </w:t>
      </w:r>
      <w:r w:rsidRPr="005C2B8C">
        <w:t>Seabob fishery</w:t>
      </w:r>
      <w:r>
        <w:t>,</w:t>
      </w:r>
      <w:r w:rsidRPr="005C2B8C">
        <w:t xml:space="preserve"> in 2011. It was the first tropical shrimp fishery worldwide to obtain the MSC certification for sustainable and well managed fisheries.</w:t>
      </w:r>
    </w:p>
  </w:footnote>
  <w:footnote w:id="32">
    <w:p w14:paraId="1725FFC0" w14:textId="77777777" w:rsidR="00FD7791" w:rsidRPr="006B7172" w:rsidRDefault="00FD7791" w:rsidP="00D22362">
      <w:pPr>
        <w:pStyle w:val="FootnoteText"/>
      </w:pPr>
      <w:r>
        <w:rPr>
          <w:rStyle w:val="FootnoteReference"/>
        </w:rPr>
        <w:footnoteRef/>
      </w:r>
      <w:r w:rsidRPr="006B7172">
        <w:t xml:space="preserve"> </w:t>
      </w:r>
      <w:hyperlink r:id="rId7" w:history="1">
        <w:r w:rsidRPr="006B7172">
          <w:rPr>
            <w:rStyle w:val="Hyperlink"/>
          </w:rPr>
          <w:t>https://sustainabletourism.net</w:t>
        </w:r>
      </w:hyperlink>
      <w:r w:rsidRPr="006B7172">
        <w:t xml:space="preserve"> </w:t>
      </w:r>
    </w:p>
  </w:footnote>
  <w:footnote w:id="33">
    <w:p w14:paraId="27D12EA9" w14:textId="77777777" w:rsidR="00FD7791" w:rsidRPr="006B7172" w:rsidRDefault="00FD7791" w:rsidP="00D22362">
      <w:pPr>
        <w:pStyle w:val="FootnoteText"/>
      </w:pPr>
      <w:r>
        <w:rPr>
          <w:rStyle w:val="FootnoteReference"/>
        </w:rPr>
        <w:footnoteRef/>
      </w:r>
      <w:r w:rsidRPr="006B7172">
        <w:t xml:space="preserve"> </w:t>
      </w:r>
      <w:hyperlink r:id="rId8" w:history="1">
        <w:r w:rsidRPr="006B7172">
          <w:rPr>
            <w:rStyle w:val="Hyperlink"/>
          </w:rPr>
          <w:t>https://www.gstcouncil.org</w:t>
        </w:r>
      </w:hyperlink>
      <w:r w:rsidRPr="006B7172">
        <w:t xml:space="preserve"> </w:t>
      </w:r>
    </w:p>
  </w:footnote>
  <w:footnote w:id="34">
    <w:p w14:paraId="1EF7CEEE" w14:textId="77777777" w:rsidR="00FD7791" w:rsidRPr="0060528F" w:rsidRDefault="00FD7791" w:rsidP="00D22362">
      <w:pPr>
        <w:pStyle w:val="FootnoteText"/>
      </w:pPr>
      <w:r>
        <w:rPr>
          <w:rStyle w:val="FootnoteReference"/>
        </w:rPr>
        <w:footnoteRef/>
      </w:r>
      <w:r w:rsidRPr="0060528F">
        <w:t xml:space="preserve"> Annex A to this OP 4.11 describes the elements of a resettlement plan, an abbreviated resettlement plan, a resettlement policy framework, and a resettlement process framework</w:t>
      </w:r>
      <w:r>
        <w:t>.</w:t>
      </w:r>
    </w:p>
  </w:footnote>
  <w:footnote w:id="35">
    <w:p w14:paraId="23CA4985" w14:textId="2F2D9200" w:rsidR="00FD7791" w:rsidRPr="0021579E" w:rsidRDefault="00FD7791" w:rsidP="00D22362">
      <w:pPr>
        <w:pStyle w:val="FootnoteText"/>
      </w:pPr>
      <w:r w:rsidRPr="00E6405D">
        <w:rPr>
          <w:rStyle w:val="FootnoteReference"/>
        </w:rPr>
        <w:footnoteRef/>
      </w:r>
      <w:r w:rsidRPr="00E6405D">
        <w:t xml:space="preserve"> Draft Document prepared under the </w:t>
      </w:r>
      <w:r>
        <w:t>SCSD</w:t>
      </w:r>
      <w:r w:rsidRPr="00E6405D">
        <w:t xml:space="preserve"> Project (November 2018)</w:t>
      </w:r>
    </w:p>
  </w:footnote>
  <w:footnote w:id="36">
    <w:p w14:paraId="0006271B" w14:textId="2536B32C" w:rsidR="00FD7791" w:rsidRPr="00DC733B" w:rsidRDefault="00FD7791">
      <w:pPr>
        <w:pStyle w:val="FootnoteText"/>
      </w:pPr>
      <w:r>
        <w:rPr>
          <w:rStyle w:val="FootnoteReference"/>
        </w:rPr>
        <w:footnoteRef/>
      </w:r>
      <w:r>
        <w:t xml:space="preserve"> </w:t>
      </w:r>
      <w:bookmarkStart w:id="43" w:name="_Hlk531941798"/>
      <w:r w:rsidRPr="00CA4B63">
        <w:rPr>
          <w:b/>
          <w:bCs/>
          <w:lang w:val="en-US"/>
        </w:rPr>
        <w:t> </w:t>
      </w:r>
      <w:hyperlink r:id="rId9" w:tgtFrame="_blank" w:history="1">
        <w:r w:rsidRPr="00CA4B63">
          <w:rPr>
            <w:rStyle w:val="Hyperlink"/>
            <w:b/>
            <w:bCs/>
            <w:lang w:val="en-US"/>
          </w:rPr>
          <w:t>https://www.ifc.org/wps/wcm/connect/9aef2880488559a983acd36a6515bb18/2%2BOccupational%2BHealth%2Band%2BSafety.pdf?MOD=AJPERES</w:t>
        </w:r>
      </w:hyperlink>
      <w:bookmarkEnd w:id="43"/>
    </w:p>
  </w:footnote>
  <w:footnote w:id="37">
    <w:p w14:paraId="7B09C2B2" w14:textId="407F1496" w:rsidR="00FD7791" w:rsidRPr="000458F9" w:rsidRDefault="00FD7791">
      <w:pPr>
        <w:pStyle w:val="FootnoteText"/>
      </w:pPr>
      <w:r>
        <w:rPr>
          <w:rStyle w:val="FootnoteReference"/>
        </w:rPr>
        <w:footnoteRef/>
      </w:r>
      <w:r>
        <w:t xml:space="preserve"> </w:t>
      </w:r>
      <w:r w:rsidRPr="000458F9">
        <w:t>Integrated pest management (IPM)</w:t>
      </w:r>
      <w:r>
        <w:t>is an</w:t>
      </w:r>
      <w:r w:rsidRPr="000458F9">
        <w:t xml:space="preserve"> approach that integrates practices for economic control of pests. IPM aims to suppress pest populations below the economic injury level (EIL). The UN's Food and Agriculture Organization (FAO) defines IPM as "the careful consideration of all available pest control techniques and subsequent integration of appropriate measures that discourage the development of pest populations and keep pesticides and other interventions to levels that are economically justified and reduce or minimize risks to human health and the environment. IPM emphasizes the growth of a healthy crop with the least possible disruption to </w:t>
      </w:r>
      <w:r w:rsidRPr="000458F9">
        <w:t>agro-ecosystems and encourages natural pest control mechanisms."</w:t>
      </w:r>
    </w:p>
  </w:footnote>
  <w:footnote w:id="38">
    <w:p w14:paraId="15DB5D71" w14:textId="0C72AC5F" w:rsidR="00FD7791" w:rsidRPr="009E64A4" w:rsidRDefault="00FD7791" w:rsidP="00B90DDD">
      <w:pPr>
        <w:pStyle w:val="NoSpacing"/>
        <w:rPr>
          <w:lang w:val="nl-NL"/>
        </w:rPr>
      </w:pPr>
      <w:r w:rsidRPr="009E64A4">
        <w:rPr>
          <w:rStyle w:val="FootnoteReference"/>
          <w:sz w:val="18"/>
          <w:szCs w:val="18"/>
        </w:rPr>
        <w:footnoteRef/>
      </w:r>
      <w:r w:rsidRPr="009E64A4">
        <w:rPr>
          <w:sz w:val="18"/>
          <w:szCs w:val="18"/>
        </w:rPr>
        <w:t xml:space="preserve"> The Bureau for Standards (SSB) under MTIT developed a ‘Good Agricultural Practice (GAP) standard that became a formal National Standard in August 2018. The standard provides minimum requirements for sound agricultural practices and safeguards for food security and applies for all fruit- and vegetable production, regardless production area and volumes produced. </w:t>
      </w:r>
      <w:hyperlink r:id="rId10" w:history="1">
        <w:r w:rsidRPr="009E64A4">
          <w:rPr>
            <w:rStyle w:val="Hyperlink"/>
            <w:sz w:val="18"/>
            <w:szCs w:val="18"/>
            <w:lang w:val="nl-NL"/>
          </w:rPr>
          <w:t>http://www.ssb.sr/standaard-goede-agrarische-praktijk-voor-landbouwgewassen-vastgesteld-als-nationale-standaard/</w:t>
        </w:r>
      </w:hyperlink>
      <w:r w:rsidRPr="009E64A4">
        <w:rPr>
          <w:sz w:val="18"/>
          <w:szCs w:val="18"/>
          <w:lang w:val="nl-NL"/>
        </w:rPr>
        <w:t xml:space="preserve"> </w:t>
      </w:r>
    </w:p>
  </w:footnote>
  <w:footnote w:id="39">
    <w:p w14:paraId="79E051A3" w14:textId="10655D44" w:rsidR="00FD7791" w:rsidRPr="0075445F" w:rsidRDefault="00FD7791">
      <w:pPr>
        <w:pStyle w:val="FootnoteText"/>
      </w:pPr>
      <w:r>
        <w:rPr>
          <w:rStyle w:val="FootnoteReference"/>
        </w:rPr>
        <w:footnoteRef/>
      </w:r>
      <w:r>
        <w:t xml:space="preserve"> </w:t>
      </w:r>
      <w:bookmarkStart w:id="45" w:name="_Hlk530140842"/>
      <w:r w:rsidRPr="0075445F">
        <w:t xml:space="preserve">Ministry of Labour, Technological Development and Environment, Paramaribo, Suriname (July 2011), </w:t>
      </w:r>
      <w:r>
        <w:t>‘</w:t>
      </w:r>
      <w:r w:rsidRPr="0075445F">
        <w:t>Suriname’s National Implementation Plan to the Stockholm Convention on Persistent Organic Pollutants</w:t>
      </w:r>
      <w:r>
        <w:t>’</w:t>
      </w:r>
      <w:bookmarkEnd w:id="45"/>
      <w:r w:rsidRPr="0075445F">
        <w:t>.</w:t>
      </w:r>
    </w:p>
  </w:footnote>
  <w:footnote w:id="40">
    <w:p w14:paraId="303C4C82" w14:textId="4EA3F54A" w:rsidR="00FD7791" w:rsidRPr="00453525" w:rsidRDefault="00FD7791">
      <w:pPr>
        <w:pStyle w:val="FootnoteText"/>
      </w:pPr>
      <w:r>
        <w:rPr>
          <w:rStyle w:val="FootnoteReference"/>
        </w:rPr>
        <w:footnoteRef/>
      </w:r>
      <w:r>
        <w:t xml:space="preserve"> It should be noted that IPM plans do not only relate to agricultural field practices but may also be designed for processing facilities, thus contributing to </w:t>
      </w:r>
      <w:r>
        <w:t>improved  food safety and public health.</w:t>
      </w:r>
    </w:p>
  </w:footnote>
  <w:footnote w:id="41">
    <w:p w14:paraId="5F0EAD12" w14:textId="74A82063" w:rsidR="00FD7791" w:rsidRPr="00BE7239" w:rsidRDefault="00FD7791" w:rsidP="00BE7239">
      <w:pPr>
        <w:pStyle w:val="FootnoteText"/>
      </w:pPr>
      <w:r>
        <w:rPr>
          <w:rStyle w:val="FootnoteReference"/>
        </w:rPr>
        <w:footnoteRef/>
      </w:r>
      <w:r w:rsidRPr="00BE7239">
        <w:t xml:space="preserve"> Additional </w:t>
      </w:r>
      <w:r>
        <w:t xml:space="preserve">screenings </w:t>
      </w:r>
      <w:r w:rsidRPr="00BE7239">
        <w:t>tools may be used (</w:t>
      </w:r>
      <w:r>
        <w:t xml:space="preserve">e.g. </w:t>
      </w:r>
      <w:r w:rsidRPr="00BE7239">
        <w:t xml:space="preserve">NIMOS </w:t>
      </w:r>
      <w:r>
        <w:t>ESIA Generic Guidance Volume I</w:t>
      </w:r>
      <w:r w:rsidRPr="00BE7239">
        <w:t>)</w:t>
      </w:r>
      <w:r>
        <w:t xml:space="preserve">. </w:t>
      </w:r>
      <w:r w:rsidRPr="00BE7239">
        <w:t>This may be the case</w:t>
      </w:r>
      <w:r>
        <w:t xml:space="preserve">, but not limited to, </w:t>
      </w:r>
      <w:r w:rsidRPr="00BE7239">
        <w:t xml:space="preserve">when proposed sub-project activities are outside the primary scope of the </w:t>
      </w:r>
      <w:r>
        <w:t>SCSD</w:t>
      </w:r>
      <w:r w:rsidRPr="00BE7239">
        <w:t xml:space="preserve"> Project targeted sectors, but nevertheless considered for </w:t>
      </w:r>
      <w:r>
        <w:t>SCSD</w:t>
      </w:r>
      <w:r w:rsidRPr="00BE7239">
        <w:t xml:space="preserve"> Project support.</w:t>
      </w:r>
    </w:p>
  </w:footnote>
  <w:footnote w:id="42">
    <w:p w14:paraId="366F99E8" w14:textId="4CC1B1CD" w:rsidR="00FD7791" w:rsidRPr="00155094" w:rsidRDefault="00FD7791">
      <w:pPr>
        <w:pStyle w:val="FootnoteText"/>
        <w:rPr>
          <w:lang w:val="nl-NL"/>
        </w:rPr>
      </w:pPr>
      <w:r>
        <w:rPr>
          <w:rStyle w:val="FootnoteReference"/>
        </w:rPr>
        <w:footnoteRef/>
      </w:r>
      <w:r w:rsidRPr="00155094">
        <w:rPr>
          <w:lang w:val="nl-NL"/>
        </w:rPr>
        <w:t xml:space="preserve"> Wet tot behoud van voorwerpen welke historische, culturele en wetenschappelijke waarde hebben </w:t>
      </w:r>
      <w:r>
        <w:rPr>
          <w:lang w:val="nl-NL"/>
        </w:rPr>
        <w:t>(</w:t>
      </w:r>
      <w:r w:rsidRPr="00155094">
        <w:rPr>
          <w:lang w:val="nl-NL"/>
        </w:rPr>
        <w:t>G.B. 1952 no. 14</w:t>
      </w:r>
      <w:r>
        <w:rPr>
          <w:lang w:val="nl-NL"/>
        </w:rPr>
        <w:t>)</w:t>
      </w:r>
      <w:r w:rsidRPr="00155094">
        <w:rPr>
          <w:lang w:val="nl-NL"/>
        </w:rPr>
        <w:t>.</w:t>
      </w:r>
    </w:p>
  </w:footnote>
  <w:footnote w:id="43">
    <w:p w14:paraId="40AAAA2A" w14:textId="28716D7E" w:rsidR="00FD7791" w:rsidRPr="00EA70A2" w:rsidRDefault="00FD7791" w:rsidP="00EA70A2">
      <w:pPr>
        <w:pStyle w:val="FootnoteText"/>
        <w:rPr>
          <w:lang w:val="nl-NL"/>
        </w:rPr>
      </w:pPr>
      <w:r>
        <w:rPr>
          <w:rStyle w:val="FootnoteReference"/>
        </w:rPr>
        <w:footnoteRef/>
      </w:r>
      <w:r w:rsidRPr="00EA70A2">
        <w:rPr>
          <w:lang w:val="nl-NL"/>
        </w:rPr>
        <w:t xml:space="preserve"> </w:t>
      </w:r>
      <w:r w:rsidRPr="00EA70A2">
        <w:rPr>
          <w:lang w:val="nl-NL"/>
        </w:rPr>
        <w:t>Ministry of Education, Scien</w:t>
      </w:r>
      <w:r>
        <w:rPr>
          <w:lang w:val="nl-NL"/>
        </w:rPr>
        <w:t>c</w:t>
      </w:r>
      <w:r w:rsidRPr="00EA70A2">
        <w:rPr>
          <w:lang w:val="nl-NL"/>
        </w:rPr>
        <w:t>e and Culture (Ministerie van Onderwijs, Wetenschap en</w:t>
      </w:r>
      <w:r>
        <w:rPr>
          <w:lang w:val="nl-NL"/>
        </w:rPr>
        <w:t xml:space="preserve"> Cultuur)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5319" w14:textId="3596F945" w:rsidR="00FD7791" w:rsidRDefault="00FD7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72B6" w14:textId="7BE5ADB2" w:rsidR="00FD7791" w:rsidRDefault="00FD7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12B5" w14:textId="2EE5811D" w:rsidR="00FD7791" w:rsidRDefault="00FD7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798"/>
    <w:multiLevelType w:val="hybridMultilevel"/>
    <w:tmpl w:val="8CD43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345FA"/>
    <w:multiLevelType w:val="hybridMultilevel"/>
    <w:tmpl w:val="8EAAAA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355D3D"/>
    <w:multiLevelType w:val="hybridMultilevel"/>
    <w:tmpl w:val="3F4C9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522526"/>
    <w:multiLevelType w:val="hybridMultilevel"/>
    <w:tmpl w:val="194E0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CC2612"/>
    <w:multiLevelType w:val="hybridMultilevel"/>
    <w:tmpl w:val="5AAA92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EB4ACE"/>
    <w:multiLevelType w:val="hybridMultilevel"/>
    <w:tmpl w:val="20F80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DB422A"/>
    <w:multiLevelType w:val="hybridMultilevel"/>
    <w:tmpl w:val="A344D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F76012"/>
    <w:multiLevelType w:val="hybridMultilevel"/>
    <w:tmpl w:val="ABCE6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5A3CE8"/>
    <w:multiLevelType w:val="hybridMultilevel"/>
    <w:tmpl w:val="3E641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16684D"/>
    <w:multiLevelType w:val="hybridMultilevel"/>
    <w:tmpl w:val="498C0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9D327A"/>
    <w:multiLevelType w:val="hybridMultilevel"/>
    <w:tmpl w:val="6D26A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483388"/>
    <w:multiLevelType w:val="hybridMultilevel"/>
    <w:tmpl w:val="2870D5D2"/>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21C40723"/>
    <w:multiLevelType w:val="hybridMultilevel"/>
    <w:tmpl w:val="04440C42"/>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3" w15:restartNumberingAfterBreak="0">
    <w:nsid w:val="27EA7018"/>
    <w:multiLevelType w:val="hybridMultilevel"/>
    <w:tmpl w:val="1644B65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285D2C4B"/>
    <w:multiLevelType w:val="hybridMultilevel"/>
    <w:tmpl w:val="D2627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7F1520"/>
    <w:multiLevelType w:val="hybridMultilevel"/>
    <w:tmpl w:val="38EC1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F05A33"/>
    <w:multiLevelType w:val="hybridMultilevel"/>
    <w:tmpl w:val="23025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8146C3"/>
    <w:multiLevelType w:val="hybridMultilevel"/>
    <w:tmpl w:val="BC5E1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583243"/>
    <w:multiLevelType w:val="hybridMultilevel"/>
    <w:tmpl w:val="CD7E00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7434E1"/>
    <w:multiLevelType w:val="hybridMultilevel"/>
    <w:tmpl w:val="A4C48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101AFE"/>
    <w:multiLevelType w:val="hybridMultilevel"/>
    <w:tmpl w:val="8370C7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D03275"/>
    <w:multiLevelType w:val="hybridMultilevel"/>
    <w:tmpl w:val="EAE87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4E14B3"/>
    <w:multiLevelType w:val="hybridMultilevel"/>
    <w:tmpl w:val="B3263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524599"/>
    <w:multiLevelType w:val="hybridMultilevel"/>
    <w:tmpl w:val="7FE01A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95B08FF"/>
    <w:multiLevelType w:val="hybridMultilevel"/>
    <w:tmpl w:val="7E0E6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B27549"/>
    <w:multiLevelType w:val="hybridMultilevel"/>
    <w:tmpl w:val="A52E4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2C674A"/>
    <w:multiLevelType w:val="hybridMultilevel"/>
    <w:tmpl w:val="9E2EB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2E0CBD"/>
    <w:multiLevelType w:val="hybridMultilevel"/>
    <w:tmpl w:val="9C0E4DDE"/>
    <w:lvl w:ilvl="0" w:tplc="0413000F">
      <w:start w:val="1"/>
      <w:numFmt w:val="decimal"/>
      <w:lvlText w:val="%1."/>
      <w:lvlJc w:val="left"/>
      <w:pPr>
        <w:ind w:left="720" w:hanging="360"/>
      </w:pPr>
    </w:lvl>
    <w:lvl w:ilvl="1" w:tplc="04130019">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86A210E"/>
    <w:multiLevelType w:val="hybridMultilevel"/>
    <w:tmpl w:val="24B819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2A30E4"/>
    <w:multiLevelType w:val="hybridMultilevel"/>
    <w:tmpl w:val="A5D46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7770FE"/>
    <w:multiLevelType w:val="hybridMultilevel"/>
    <w:tmpl w:val="30301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D923E0"/>
    <w:multiLevelType w:val="hybridMultilevel"/>
    <w:tmpl w:val="23364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3F7B4A"/>
    <w:multiLevelType w:val="hybridMultilevel"/>
    <w:tmpl w:val="25E89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B61A3D"/>
    <w:multiLevelType w:val="hybridMultilevel"/>
    <w:tmpl w:val="E6783D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6C234EC4"/>
    <w:multiLevelType w:val="hybridMultilevel"/>
    <w:tmpl w:val="F6C82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7C1C25"/>
    <w:multiLevelType w:val="hybridMultilevel"/>
    <w:tmpl w:val="56D6CD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7">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AD0F61"/>
    <w:multiLevelType w:val="hybridMultilevel"/>
    <w:tmpl w:val="73A625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DC3CB8"/>
    <w:multiLevelType w:val="hybridMultilevel"/>
    <w:tmpl w:val="63622F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E8A5486"/>
    <w:multiLevelType w:val="hybridMultilevel"/>
    <w:tmpl w:val="E294F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7"/>
  </w:num>
  <w:num w:numId="4">
    <w:abstractNumId w:val="32"/>
  </w:num>
  <w:num w:numId="5">
    <w:abstractNumId w:val="20"/>
  </w:num>
  <w:num w:numId="6">
    <w:abstractNumId w:val="34"/>
  </w:num>
  <w:num w:numId="7">
    <w:abstractNumId w:val="1"/>
  </w:num>
  <w:num w:numId="8">
    <w:abstractNumId w:val="27"/>
  </w:num>
  <w:num w:numId="9">
    <w:abstractNumId w:val="37"/>
  </w:num>
  <w:num w:numId="10">
    <w:abstractNumId w:val="15"/>
  </w:num>
  <w:num w:numId="11">
    <w:abstractNumId w:val="18"/>
  </w:num>
  <w:num w:numId="12">
    <w:abstractNumId w:val="29"/>
  </w:num>
  <w:num w:numId="13">
    <w:abstractNumId w:val="14"/>
  </w:num>
  <w:num w:numId="14">
    <w:abstractNumId w:val="16"/>
  </w:num>
  <w:num w:numId="15">
    <w:abstractNumId w:val="6"/>
  </w:num>
  <w:num w:numId="16">
    <w:abstractNumId w:val="2"/>
  </w:num>
  <w:num w:numId="17">
    <w:abstractNumId w:val="5"/>
  </w:num>
  <w:num w:numId="18">
    <w:abstractNumId w:val="26"/>
  </w:num>
  <w:num w:numId="19">
    <w:abstractNumId w:val="0"/>
  </w:num>
  <w:num w:numId="20">
    <w:abstractNumId w:val="17"/>
  </w:num>
  <w:num w:numId="21">
    <w:abstractNumId w:val="13"/>
  </w:num>
  <w:num w:numId="22">
    <w:abstractNumId w:val="3"/>
  </w:num>
  <w:num w:numId="23">
    <w:abstractNumId w:val="33"/>
  </w:num>
  <w:num w:numId="24">
    <w:abstractNumId w:val="10"/>
  </w:num>
  <w:num w:numId="25">
    <w:abstractNumId w:val="24"/>
  </w:num>
  <w:num w:numId="26">
    <w:abstractNumId w:val="19"/>
  </w:num>
  <w:num w:numId="27">
    <w:abstractNumId w:val="36"/>
  </w:num>
  <w:num w:numId="28">
    <w:abstractNumId w:val="11"/>
  </w:num>
  <w:num w:numId="29">
    <w:abstractNumId w:val="35"/>
  </w:num>
  <w:num w:numId="30">
    <w:abstractNumId w:val="31"/>
  </w:num>
  <w:num w:numId="31">
    <w:abstractNumId w:val="9"/>
  </w:num>
  <w:num w:numId="32">
    <w:abstractNumId w:val="22"/>
  </w:num>
  <w:num w:numId="33">
    <w:abstractNumId w:val="38"/>
  </w:num>
  <w:num w:numId="34">
    <w:abstractNumId w:val="12"/>
  </w:num>
  <w:num w:numId="35">
    <w:abstractNumId w:val="23"/>
  </w:num>
  <w:num w:numId="36">
    <w:abstractNumId w:val="28"/>
  </w:num>
  <w:num w:numId="37">
    <w:abstractNumId w:val="8"/>
  </w:num>
  <w:num w:numId="38">
    <w:abstractNumId w:val="4"/>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A1"/>
    <w:rsid w:val="0000035F"/>
    <w:rsid w:val="0000096D"/>
    <w:rsid w:val="00001584"/>
    <w:rsid w:val="000015CD"/>
    <w:rsid w:val="000028DA"/>
    <w:rsid w:val="00005AB9"/>
    <w:rsid w:val="00006444"/>
    <w:rsid w:val="000068D6"/>
    <w:rsid w:val="00011915"/>
    <w:rsid w:val="00011F37"/>
    <w:rsid w:val="00011FF0"/>
    <w:rsid w:val="00020785"/>
    <w:rsid w:val="0002117D"/>
    <w:rsid w:val="00026A64"/>
    <w:rsid w:val="000273FC"/>
    <w:rsid w:val="000321B8"/>
    <w:rsid w:val="000334E5"/>
    <w:rsid w:val="00036886"/>
    <w:rsid w:val="00037D2A"/>
    <w:rsid w:val="00037FCA"/>
    <w:rsid w:val="00045010"/>
    <w:rsid w:val="000458F9"/>
    <w:rsid w:val="000467E7"/>
    <w:rsid w:val="0004698C"/>
    <w:rsid w:val="00050798"/>
    <w:rsid w:val="00051F68"/>
    <w:rsid w:val="000555DF"/>
    <w:rsid w:val="00055AFB"/>
    <w:rsid w:val="00056088"/>
    <w:rsid w:val="00056C73"/>
    <w:rsid w:val="000626CC"/>
    <w:rsid w:val="000636C7"/>
    <w:rsid w:val="00063C78"/>
    <w:rsid w:val="0007101F"/>
    <w:rsid w:val="00073C3A"/>
    <w:rsid w:val="00073DE6"/>
    <w:rsid w:val="00074464"/>
    <w:rsid w:val="00083DB0"/>
    <w:rsid w:val="0008479B"/>
    <w:rsid w:val="00085A08"/>
    <w:rsid w:val="000873A6"/>
    <w:rsid w:val="000918C8"/>
    <w:rsid w:val="00093DD3"/>
    <w:rsid w:val="00096C13"/>
    <w:rsid w:val="000A0472"/>
    <w:rsid w:val="000A245C"/>
    <w:rsid w:val="000A40ED"/>
    <w:rsid w:val="000A52CC"/>
    <w:rsid w:val="000A744E"/>
    <w:rsid w:val="000B15A6"/>
    <w:rsid w:val="000B1C33"/>
    <w:rsid w:val="000B3FED"/>
    <w:rsid w:val="000B41C2"/>
    <w:rsid w:val="000B498F"/>
    <w:rsid w:val="000B5345"/>
    <w:rsid w:val="000B5CC0"/>
    <w:rsid w:val="000B6028"/>
    <w:rsid w:val="000B7A42"/>
    <w:rsid w:val="000C5BFA"/>
    <w:rsid w:val="000D49E5"/>
    <w:rsid w:val="000E0FF2"/>
    <w:rsid w:val="000E2AB1"/>
    <w:rsid w:val="000E4A2A"/>
    <w:rsid w:val="000E72FC"/>
    <w:rsid w:val="000F2506"/>
    <w:rsid w:val="000F3E4B"/>
    <w:rsid w:val="000F74AC"/>
    <w:rsid w:val="00100827"/>
    <w:rsid w:val="001039E3"/>
    <w:rsid w:val="001049BA"/>
    <w:rsid w:val="00110E69"/>
    <w:rsid w:val="00110EF7"/>
    <w:rsid w:val="0011296B"/>
    <w:rsid w:val="001132F8"/>
    <w:rsid w:val="00113353"/>
    <w:rsid w:val="00113D22"/>
    <w:rsid w:val="00115B0D"/>
    <w:rsid w:val="001171BC"/>
    <w:rsid w:val="0011754A"/>
    <w:rsid w:val="00117D1E"/>
    <w:rsid w:val="00124DCB"/>
    <w:rsid w:val="00124E08"/>
    <w:rsid w:val="00131BB4"/>
    <w:rsid w:val="00131CBF"/>
    <w:rsid w:val="00135B84"/>
    <w:rsid w:val="001374D4"/>
    <w:rsid w:val="0014002C"/>
    <w:rsid w:val="00141C90"/>
    <w:rsid w:val="0014223B"/>
    <w:rsid w:val="001426FB"/>
    <w:rsid w:val="00142DA5"/>
    <w:rsid w:val="00143066"/>
    <w:rsid w:val="0014360B"/>
    <w:rsid w:val="00144C72"/>
    <w:rsid w:val="001457CD"/>
    <w:rsid w:val="001464DD"/>
    <w:rsid w:val="0015052B"/>
    <w:rsid w:val="001506D3"/>
    <w:rsid w:val="00151C85"/>
    <w:rsid w:val="0015210A"/>
    <w:rsid w:val="00155094"/>
    <w:rsid w:val="00155BAD"/>
    <w:rsid w:val="00157520"/>
    <w:rsid w:val="0016457C"/>
    <w:rsid w:val="00167E8D"/>
    <w:rsid w:val="00171A2C"/>
    <w:rsid w:val="00173318"/>
    <w:rsid w:val="00173A9C"/>
    <w:rsid w:val="00176E7F"/>
    <w:rsid w:val="00177B98"/>
    <w:rsid w:val="00177FB2"/>
    <w:rsid w:val="0018091B"/>
    <w:rsid w:val="00181BD9"/>
    <w:rsid w:val="0019038C"/>
    <w:rsid w:val="00190610"/>
    <w:rsid w:val="0019119E"/>
    <w:rsid w:val="001946D5"/>
    <w:rsid w:val="001954B0"/>
    <w:rsid w:val="0019649E"/>
    <w:rsid w:val="0019685D"/>
    <w:rsid w:val="001A184A"/>
    <w:rsid w:val="001A1991"/>
    <w:rsid w:val="001A1D86"/>
    <w:rsid w:val="001A58A1"/>
    <w:rsid w:val="001B3A5E"/>
    <w:rsid w:val="001B4434"/>
    <w:rsid w:val="001B598D"/>
    <w:rsid w:val="001B5F59"/>
    <w:rsid w:val="001C0A4D"/>
    <w:rsid w:val="001C1B60"/>
    <w:rsid w:val="001C1D67"/>
    <w:rsid w:val="001C4439"/>
    <w:rsid w:val="001C4777"/>
    <w:rsid w:val="001C6410"/>
    <w:rsid w:val="001C6AA9"/>
    <w:rsid w:val="001D1770"/>
    <w:rsid w:val="001D63C9"/>
    <w:rsid w:val="001E0020"/>
    <w:rsid w:val="001E009E"/>
    <w:rsid w:val="001E066E"/>
    <w:rsid w:val="001E128C"/>
    <w:rsid w:val="001E29F2"/>
    <w:rsid w:val="001E2A5C"/>
    <w:rsid w:val="001E3037"/>
    <w:rsid w:val="001E55D7"/>
    <w:rsid w:val="001E57FC"/>
    <w:rsid w:val="001E7F80"/>
    <w:rsid w:val="001F3509"/>
    <w:rsid w:val="001F4D4C"/>
    <w:rsid w:val="001F5DD3"/>
    <w:rsid w:val="00200EB0"/>
    <w:rsid w:val="00203F2A"/>
    <w:rsid w:val="00204182"/>
    <w:rsid w:val="002070C5"/>
    <w:rsid w:val="00207FD4"/>
    <w:rsid w:val="00211CF9"/>
    <w:rsid w:val="002122AC"/>
    <w:rsid w:val="00212D79"/>
    <w:rsid w:val="0021579E"/>
    <w:rsid w:val="0021665C"/>
    <w:rsid w:val="002211BF"/>
    <w:rsid w:val="0022491B"/>
    <w:rsid w:val="00227BF1"/>
    <w:rsid w:val="002304C7"/>
    <w:rsid w:val="00230A9E"/>
    <w:rsid w:val="00231984"/>
    <w:rsid w:val="00231EFE"/>
    <w:rsid w:val="002332A5"/>
    <w:rsid w:val="00233FD9"/>
    <w:rsid w:val="002402A5"/>
    <w:rsid w:val="0024335C"/>
    <w:rsid w:val="00243EFF"/>
    <w:rsid w:val="00244BE8"/>
    <w:rsid w:val="00245DBC"/>
    <w:rsid w:val="00246251"/>
    <w:rsid w:val="00246A9B"/>
    <w:rsid w:val="0024745F"/>
    <w:rsid w:val="00251BFA"/>
    <w:rsid w:val="002541CB"/>
    <w:rsid w:val="002548D5"/>
    <w:rsid w:val="00256325"/>
    <w:rsid w:val="00256792"/>
    <w:rsid w:val="00257856"/>
    <w:rsid w:val="002616AD"/>
    <w:rsid w:val="00261774"/>
    <w:rsid w:val="00261FB8"/>
    <w:rsid w:val="002671FE"/>
    <w:rsid w:val="00273F5B"/>
    <w:rsid w:val="002753C9"/>
    <w:rsid w:val="00277A2E"/>
    <w:rsid w:val="00277B5D"/>
    <w:rsid w:val="00280A96"/>
    <w:rsid w:val="00280F82"/>
    <w:rsid w:val="0028543A"/>
    <w:rsid w:val="00285A17"/>
    <w:rsid w:val="00285D3E"/>
    <w:rsid w:val="00291258"/>
    <w:rsid w:val="00292628"/>
    <w:rsid w:val="00292DED"/>
    <w:rsid w:val="00294166"/>
    <w:rsid w:val="00294572"/>
    <w:rsid w:val="002949DE"/>
    <w:rsid w:val="00294DE0"/>
    <w:rsid w:val="00297F4F"/>
    <w:rsid w:val="002A07FF"/>
    <w:rsid w:val="002A36B9"/>
    <w:rsid w:val="002A49E5"/>
    <w:rsid w:val="002A5356"/>
    <w:rsid w:val="002A6F57"/>
    <w:rsid w:val="002B0DDC"/>
    <w:rsid w:val="002B134A"/>
    <w:rsid w:val="002B3B49"/>
    <w:rsid w:val="002B5333"/>
    <w:rsid w:val="002B67AE"/>
    <w:rsid w:val="002C0531"/>
    <w:rsid w:val="002C1335"/>
    <w:rsid w:val="002C14CE"/>
    <w:rsid w:val="002C36B3"/>
    <w:rsid w:val="002C37B6"/>
    <w:rsid w:val="002C4376"/>
    <w:rsid w:val="002C502D"/>
    <w:rsid w:val="002C6CAA"/>
    <w:rsid w:val="002C6FF6"/>
    <w:rsid w:val="002D046A"/>
    <w:rsid w:val="002D191F"/>
    <w:rsid w:val="002D2AFF"/>
    <w:rsid w:val="002D4DA4"/>
    <w:rsid w:val="002D75A5"/>
    <w:rsid w:val="002E029E"/>
    <w:rsid w:val="002E4F13"/>
    <w:rsid w:val="002E5483"/>
    <w:rsid w:val="002F26B4"/>
    <w:rsid w:val="002F4130"/>
    <w:rsid w:val="002F54A7"/>
    <w:rsid w:val="002F78A5"/>
    <w:rsid w:val="00300F41"/>
    <w:rsid w:val="00300FE4"/>
    <w:rsid w:val="00304561"/>
    <w:rsid w:val="00305081"/>
    <w:rsid w:val="00306F85"/>
    <w:rsid w:val="003074A1"/>
    <w:rsid w:val="00312A75"/>
    <w:rsid w:val="003165CE"/>
    <w:rsid w:val="00317453"/>
    <w:rsid w:val="003214B1"/>
    <w:rsid w:val="00324A43"/>
    <w:rsid w:val="00325342"/>
    <w:rsid w:val="00325A30"/>
    <w:rsid w:val="00327A5B"/>
    <w:rsid w:val="00332392"/>
    <w:rsid w:val="003349BA"/>
    <w:rsid w:val="00335123"/>
    <w:rsid w:val="00337428"/>
    <w:rsid w:val="00337D9F"/>
    <w:rsid w:val="00340D0B"/>
    <w:rsid w:val="0034715E"/>
    <w:rsid w:val="00347780"/>
    <w:rsid w:val="00350E79"/>
    <w:rsid w:val="00351D37"/>
    <w:rsid w:val="003530A9"/>
    <w:rsid w:val="00353AE7"/>
    <w:rsid w:val="003540CF"/>
    <w:rsid w:val="00367101"/>
    <w:rsid w:val="003675FB"/>
    <w:rsid w:val="0037019D"/>
    <w:rsid w:val="00372441"/>
    <w:rsid w:val="00372980"/>
    <w:rsid w:val="00373788"/>
    <w:rsid w:val="00374D9B"/>
    <w:rsid w:val="00374FCD"/>
    <w:rsid w:val="00376AC2"/>
    <w:rsid w:val="00380F14"/>
    <w:rsid w:val="00385E61"/>
    <w:rsid w:val="00392106"/>
    <w:rsid w:val="00392C52"/>
    <w:rsid w:val="00394057"/>
    <w:rsid w:val="00394F56"/>
    <w:rsid w:val="00396FF3"/>
    <w:rsid w:val="003A5131"/>
    <w:rsid w:val="003A5FEC"/>
    <w:rsid w:val="003A6360"/>
    <w:rsid w:val="003A7B38"/>
    <w:rsid w:val="003B1B85"/>
    <w:rsid w:val="003B2FBC"/>
    <w:rsid w:val="003B58F6"/>
    <w:rsid w:val="003C4F7B"/>
    <w:rsid w:val="003C688F"/>
    <w:rsid w:val="003C721A"/>
    <w:rsid w:val="003D00D4"/>
    <w:rsid w:val="003D0EB9"/>
    <w:rsid w:val="003D18B0"/>
    <w:rsid w:val="003D274D"/>
    <w:rsid w:val="003D29C0"/>
    <w:rsid w:val="003E2888"/>
    <w:rsid w:val="003E3F57"/>
    <w:rsid w:val="003E4C8B"/>
    <w:rsid w:val="003E5D48"/>
    <w:rsid w:val="003E62F1"/>
    <w:rsid w:val="003E6898"/>
    <w:rsid w:val="003F08E6"/>
    <w:rsid w:val="003F366A"/>
    <w:rsid w:val="003F3861"/>
    <w:rsid w:val="003F5D96"/>
    <w:rsid w:val="003F71B1"/>
    <w:rsid w:val="00402E25"/>
    <w:rsid w:val="00403540"/>
    <w:rsid w:val="004037CB"/>
    <w:rsid w:val="00405763"/>
    <w:rsid w:val="004075D9"/>
    <w:rsid w:val="00407865"/>
    <w:rsid w:val="00407BEA"/>
    <w:rsid w:val="00407F23"/>
    <w:rsid w:val="00410264"/>
    <w:rsid w:val="004119A0"/>
    <w:rsid w:val="00415C89"/>
    <w:rsid w:val="004212A2"/>
    <w:rsid w:val="00424020"/>
    <w:rsid w:val="00427777"/>
    <w:rsid w:val="0043002D"/>
    <w:rsid w:val="004314E3"/>
    <w:rsid w:val="00434631"/>
    <w:rsid w:val="00435E6D"/>
    <w:rsid w:val="004360D1"/>
    <w:rsid w:val="00436A26"/>
    <w:rsid w:val="00442D50"/>
    <w:rsid w:val="004451D0"/>
    <w:rsid w:val="00446468"/>
    <w:rsid w:val="004467DC"/>
    <w:rsid w:val="00446FBE"/>
    <w:rsid w:val="00451160"/>
    <w:rsid w:val="00452B5F"/>
    <w:rsid w:val="00452E5D"/>
    <w:rsid w:val="00453525"/>
    <w:rsid w:val="004535B4"/>
    <w:rsid w:val="00456081"/>
    <w:rsid w:val="00461B6E"/>
    <w:rsid w:val="004640C4"/>
    <w:rsid w:val="00464C51"/>
    <w:rsid w:val="00467DBB"/>
    <w:rsid w:val="00475B88"/>
    <w:rsid w:val="00476BE7"/>
    <w:rsid w:val="00477E54"/>
    <w:rsid w:val="00481598"/>
    <w:rsid w:val="004828CC"/>
    <w:rsid w:val="0048519B"/>
    <w:rsid w:val="00486711"/>
    <w:rsid w:val="004907D0"/>
    <w:rsid w:val="00490868"/>
    <w:rsid w:val="00490CF3"/>
    <w:rsid w:val="0049150D"/>
    <w:rsid w:val="004965EB"/>
    <w:rsid w:val="004A09E5"/>
    <w:rsid w:val="004A0E47"/>
    <w:rsid w:val="004A2020"/>
    <w:rsid w:val="004A2836"/>
    <w:rsid w:val="004A2E68"/>
    <w:rsid w:val="004A460B"/>
    <w:rsid w:val="004A6E15"/>
    <w:rsid w:val="004B126B"/>
    <w:rsid w:val="004B2EDB"/>
    <w:rsid w:val="004B35DA"/>
    <w:rsid w:val="004C0210"/>
    <w:rsid w:val="004C07A9"/>
    <w:rsid w:val="004C121C"/>
    <w:rsid w:val="004C75AF"/>
    <w:rsid w:val="004D009A"/>
    <w:rsid w:val="004D68C2"/>
    <w:rsid w:val="004D7E56"/>
    <w:rsid w:val="004E06D4"/>
    <w:rsid w:val="004E2202"/>
    <w:rsid w:val="004E3300"/>
    <w:rsid w:val="004E3AB3"/>
    <w:rsid w:val="004E6FDD"/>
    <w:rsid w:val="004E78A6"/>
    <w:rsid w:val="004F0DD6"/>
    <w:rsid w:val="004F36C5"/>
    <w:rsid w:val="004F4119"/>
    <w:rsid w:val="004F4A58"/>
    <w:rsid w:val="005002B2"/>
    <w:rsid w:val="00502945"/>
    <w:rsid w:val="00505257"/>
    <w:rsid w:val="00510B32"/>
    <w:rsid w:val="00511692"/>
    <w:rsid w:val="0051222C"/>
    <w:rsid w:val="0051433B"/>
    <w:rsid w:val="00514876"/>
    <w:rsid w:val="005232C4"/>
    <w:rsid w:val="00525C52"/>
    <w:rsid w:val="00531D3D"/>
    <w:rsid w:val="00531E96"/>
    <w:rsid w:val="00542A51"/>
    <w:rsid w:val="00543BBA"/>
    <w:rsid w:val="005468CE"/>
    <w:rsid w:val="005475A7"/>
    <w:rsid w:val="00551436"/>
    <w:rsid w:val="005552D2"/>
    <w:rsid w:val="00556E73"/>
    <w:rsid w:val="00560307"/>
    <w:rsid w:val="005642FC"/>
    <w:rsid w:val="00566987"/>
    <w:rsid w:val="005712F4"/>
    <w:rsid w:val="005714D7"/>
    <w:rsid w:val="0057505A"/>
    <w:rsid w:val="0058197F"/>
    <w:rsid w:val="00587640"/>
    <w:rsid w:val="005A0E22"/>
    <w:rsid w:val="005A351F"/>
    <w:rsid w:val="005B0C9E"/>
    <w:rsid w:val="005B1CFC"/>
    <w:rsid w:val="005B2449"/>
    <w:rsid w:val="005B5744"/>
    <w:rsid w:val="005B635C"/>
    <w:rsid w:val="005B64DF"/>
    <w:rsid w:val="005B7266"/>
    <w:rsid w:val="005C1F86"/>
    <w:rsid w:val="005C2B8C"/>
    <w:rsid w:val="005C2E4E"/>
    <w:rsid w:val="005C524F"/>
    <w:rsid w:val="005C6747"/>
    <w:rsid w:val="005C709E"/>
    <w:rsid w:val="005D4FB2"/>
    <w:rsid w:val="005E196C"/>
    <w:rsid w:val="005E5E6F"/>
    <w:rsid w:val="005E68BF"/>
    <w:rsid w:val="005E7E0B"/>
    <w:rsid w:val="005F0B46"/>
    <w:rsid w:val="005F2108"/>
    <w:rsid w:val="005F2B11"/>
    <w:rsid w:val="005F4523"/>
    <w:rsid w:val="005F5E29"/>
    <w:rsid w:val="005F7592"/>
    <w:rsid w:val="00601A18"/>
    <w:rsid w:val="00603C76"/>
    <w:rsid w:val="0060528F"/>
    <w:rsid w:val="006058B0"/>
    <w:rsid w:val="00607548"/>
    <w:rsid w:val="00607D30"/>
    <w:rsid w:val="00607FCD"/>
    <w:rsid w:val="0061043A"/>
    <w:rsid w:val="00612F4E"/>
    <w:rsid w:val="00613146"/>
    <w:rsid w:val="0061368E"/>
    <w:rsid w:val="00616908"/>
    <w:rsid w:val="006213E5"/>
    <w:rsid w:val="00621E40"/>
    <w:rsid w:val="00631CB1"/>
    <w:rsid w:val="00632391"/>
    <w:rsid w:val="00633633"/>
    <w:rsid w:val="006343CB"/>
    <w:rsid w:val="00636195"/>
    <w:rsid w:val="00636936"/>
    <w:rsid w:val="0063748A"/>
    <w:rsid w:val="006378A4"/>
    <w:rsid w:val="006417E2"/>
    <w:rsid w:val="006423D7"/>
    <w:rsid w:val="006425A7"/>
    <w:rsid w:val="006439AB"/>
    <w:rsid w:val="00643DBA"/>
    <w:rsid w:val="00645FC0"/>
    <w:rsid w:val="00651A69"/>
    <w:rsid w:val="00652EF7"/>
    <w:rsid w:val="00653866"/>
    <w:rsid w:val="00654311"/>
    <w:rsid w:val="006547B8"/>
    <w:rsid w:val="006611C8"/>
    <w:rsid w:val="006619B5"/>
    <w:rsid w:val="00662BB4"/>
    <w:rsid w:val="00664F9E"/>
    <w:rsid w:val="006663A2"/>
    <w:rsid w:val="00671906"/>
    <w:rsid w:val="00673721"/>
    <w:rsid w:val="00673B95"/>
    <w:rsid w:val="006758C6"/>
    <w:rsid w:val="00683D9E"/>
    <w:rsid w:val="006844F6"/>
    <w:rsid w:val="006859E2"/>
    <w:rsid w:val="00685B9B"/>
    <w:rsid w:val="006874AC"/>
    <w:rsid w:val="006901ED"/>
    <w:rsid w:val="0069214C"/>
    <w:rsid w:val="00694172"/>
    <w:rsid w:val="00694AAF"/>
    <w:rsid w:val="00695992"/>
    <w:rsid w:val="00697279"/>
    <w:rsid w:val="006A0D3C"/>
    <w:rsid w:val="006A4158"/>
    <w:rsid w:val="006A4CC2"/>
    <w:rsid w:val="006B3713"/>
    <w:rsid w:val="006B7172"/>
    <w:rsid w:val="006C0A07"/>
    <w:rsid w:val="006C0A3A"/>
    <w:rsid w:val="006C13E4"/>
    <w:rsid w:val="006C3EF1"/>
    <w:rsid w:val="006C40B9"/>
    <w:rsid w:val="006D0F94"/>
    <w:rsid w:val="006D1B89"/>
    <w:rsid w:val="006D3B7E"/>
    <w:rsid w:val="006D4578"/>
    <w:rsid w:val="006D6A05"/>
    <w:rsid w:val="006D7A90"/>
    <w:rsid w:val="006E37E3"/>
    <w:rsid w:val="006E3B9C"/>
    <w:rsid w:val="006E4479"/>
    <w:rsid w:val="006F286A"/>
    <w:rsid w:val="006F4F94"/>
    <w:rsid w:val="006F6151"/>
    <w:rsid w:val="006F7800"/>
    <w:rsid w:val="00700385"/>
    <w:rsid w:val="00701E57"/>
    <w:rsid w:val="007045EE"/>
    <w:rsid w:val="00704683"/>
    <w:rsid w:val="0070504F"/>
    <w:rsid w:val="00705A75"/>
    <w:rsid w:val="00712A85"/>
    <w:rsid w:val="00714288"/>
    <w:rsid w:val="0071567D"/>
    <w:rsid w:val="00717556"/>
    <w:rsid w:val="00717E46"/>
    <w:rsid w:val="00721B2E"/>
    <w:rsid w:val="00723295"/>
    <w:rsid w:val="007252A5"/>
    <w:rsid w:val="00726702"/>
    <w:rsid w:val="0072773B"/>
    <w:rsid w:val="0073055F"/>
    <w:rsid w:val="00732CE1"/>
    <w:rsid w:val="00734F80"/>
    <w:rsid w:val="00736F85"/>
    <w:rsid w:val="00741DA6"/>
    <w:rsid w:val="00742A4A"/>
    <w:rsid w:val="0074424A"/>
    <w:rsid w:val="0074640A"/>
    <w:rsid w:val="0074798C"/>
    <w:rsid w:val="007502E7"/>
    <w:rsid w:val="007514B3"/>
    <w:rsid w:val="0075445F"/>
    <w:rsid w:val="0075489F"/>
    <w:rsid w:val="007646FC"/>
    <w:rsid w:val="007656ED"/>
    <w:rsid w:val="00773479"/>
    <w:rsid w:val="007743D7"/>
    <w:rsid w:val="0078137C"/>
    <w:rsid w:val="00781CC5"/>
    <w:rsid w:val="00782945"/>
    <w:rsid w:val="0078466A"/>
    <w:rsid w:val="0078652F"/>
    <w:rsid w:val="0078683D"/>
    <w:rsid w:val="00787E04"/>
    <w:rsid w:val="00790662"/>
    <w:rsid w:val="007928F7"/>
    <w:rsid w:val="00795EFE"/>
    <w:rsid w:val="0079650F"/>
    <w:rsid w:val="00796664"/>
    <w:rsid w:val="00796C78"/>
    <w:rsid w:val="007979D8"/>
    <w:rsid w:val="007A1C93"/>
    <w:rsid w:val="007A3529"/>
    <w:rsid w:val="007A3D7B"/>
    <w:rsid w:val="007A45D9"/>
    <w:rsid w:val="007B07CC"/>
    <w:rsid w:val="007B3057"/>
    <w:rsid w:val="007C0634"/>
    <w:rsid w:val="007C1FAB"/>
    <w:rsid w:val="007C253B"/>
    <w:rsid w:val="007C2A89"/>
    <w:rsid w:val="007C7624"/>
    <w:rsid w:val="007C7F28"/>
    <w:rsid w:val="007D3170"/>
    <w:rsid w:val="007D412F"/>
    <w:rsid w:val="007D4867"/>
    <w:rsid w:val="007E0768"/>
    <w:rsid w:val="007E0A92"/>
    <w:rsid w:val="007E1A5B"/>
    <w:rsid w:val="007E3415"/>
    <w:rsid w:val="007E4EB7"/>
    <w:rsid w:val="007E530C"/>
    <w:rsid w:val="007F0C78"/>
    <w:rsid w:val="007F0EE5"/>
    <w:rsid w:val="007F2759"/>
    <w:rsid w:val="007F45B0"/>
    <w:rsid w:val="007F49D5"/>
    <w:rsid w:val="007F7359"/>
    <w:rsid w:val="00800856"/>
    <w:rsid w:val="00800E7A"/>
    <w:rsid w:val="0080163D"/>
    <w:rsid w:val="00801FC4"/>
    <w:rsid w:val="008020BD"/>
    <w:rsid w:val="00803217"/>
    <w:rsid w:val="00803F31"/>
    <w:rsid w:val="00807684"/>
    <w:rsid w:val="00810C1C"/>
    <w:rsid w:val="00810D22"/>
    <w:rsid w:val="00811027"/>
    <w:rsid w:val="008124EA"/>
    <w:rsid w:val="00814709"/>
    <w:rsid w:val="00814730"/>
    <w:rsid w:val="008160B8"/>
    <w:rsid w:val="00816C78"/>
    <w:rsid w:val="00820A4A"/>
    <w:rsid w:val="0082145D"/>
    <w:rsid w:val="00821FE8"/>
    <w:rsid w:val="0082309E"/>
    <w:rsid w:val="00823CBD"/>
    <w:rsid w:val="008252C5"/>
    <w:rsid w:val="008256C7"/>
    <w:rsid w:val="00827279"/>
    <w:rsid w:val="00827980"/>
    <w:rsid w:val="008327C0"/>
    <w:rsid w:val="00833077"/>
    <w:rsid w:val="008334E5"/>
    <w:rsid w:val="0083506D"/>
    <w:rsid w:val="008426B3"/>
    <w:rsid w:val="00843160"/>
    <w:rsid w:val="00844003"/>
    <w:rsid w:val="00846EF6"/>
    <w:rsid w:val="00847FC5"/>
    <w:rsid w:val="008517CF"/>
    <w:rsid w:val="008530DC"/>
    <w:rsid w:val="00854C71"/>
    <w:rsid w:val="00857E65"/>
    <w:rsid w:val="00860495"/>
    <w:rsid w:val="008619AD"/>
    <w:rsid w:val="00862F4E"/>
    <w:rsid w:val="0086686A"/>
    <w:rsid w:val="00867898"/>
    <w:rsid w:val="008706A9"/>
    <w:rsid w:val="00871EBE"/>
    <w:rsid w:val="008753F4"/>
    <w:rsid w:val="008759A7"/>
    <w:rsid w:val="008759D5"/>
    <w:rsid w:val="008827D1"/>
    <w:rsid w:val="00882A7A"/>
    <w:rsid w:val="008849A4"/>
    <w:rsid w:val="00894DEA"/>
    <w:rsid w:val="0089668F"/>
    <w:rsid w:val="00896751"/>
    <w:rsid w:val="008A1358"/>
    <w:rsid w:val="008A2368"/>
    <w:rsid w:val="008A59FC"/>
    <w:rsid w:val="008A5AA2"/>
    <w:rsid w:val="008A5EE5"/>
    <w:rsid w:val="008A5F41"/>
    <w:rsid w:val="008A6375"/>
    <w:rsid w:val="008A7B1C"/>
    <w:rsid w:val="008B281B"/>
    <w:rsid w:val="008B64DF"/>
    <w:rsid w:val="008C0A25"/>
    <w:rsid w:val="008C7848"/>
    <w:rsid w:val="008D2C1E"/>
    <w:rsid w:val="008D529E"/>
    <w:rsid w:val="008D53E4"/>
    <w:rsid w:val="008D64E3"/>
    <w:rsid w:val="008D6E8E"/>
    <w:rsid w:val="008E7422"/>
    <w:rsid w:val="00902291"/>
    <w:rsid w:val="00902A8D"/>
    <w:rsid w:val="00902B6A"/>
    <w:rsid w:val="00903A81"/>
    <w:rsid w:val="0091170D"/>
    <w:rsid w:val="009132C9"/>
    <w:rsid w:val="009153E9"/>
    <w:rsid w:val="009162B7"/>
    <w:rsid w:val="009201FC"/>
    <w:rsid w:val="0092120F"/>
    <w:rsid w:val="009217C0"/>
    <w:rsid w:val="00922677"/>
    <w:rsid w:val="00923569"/>
    <w:rsid w:val="00926785"/>
    <w:rsid w:val="00931172"/>
    <w:rsid w:val="00935135"/>
    <w:rsid w:val="0093620E"/>
    <w:rsid w:val="0094256E"/>
    <w:rsid w:val="00942955"/>
    <w:rsid w:val="0094310F"/>
    <w:rsid w:val="00944E9C"/>
    <w:rsid w:val="00953EC0"/>
    <w:rsid w:val="009625D9"/>
    <w:rsid w:val="009637C0"/>
    <w:rsid w:val="00964805"/>
    <w:rsid w:val="00965406"/>
    <w:rsid w:val="00965B40"/>
    <w:rsid w:val="00965CC3"/>
    <w:rsid w:val="009669AA"/>
    <w:rsid w:val="0096715E"/>
    <w:rsid w:val="00971617"/>
    <w:rsid w:val="00971664"/>
    <w:rsid w:val="00972419"/>
    <w:rsid w:val="00975353"/>
    <w:rsid w:val="009772E5"/>
    <w:rsid w:val="00983950"/>
    <w:rsid w:val="009854C0"/>
    <w:rsid w:val="00993DB1"/>
    <w:rsid w:val="009954BA"/>
    <w:rsid w:val="009955AB"/>
    <w:rsid w:val="0099711F"/>
    <w:rsid w:val="00997775"/>
    <w:rsid w:val="009A0062"/>
    <w:rsid w:val="009A3376"/>
    <w:rsid w:val="009A5C93"/>
    <w:rsid w:val="009B2314"/>
    <w:rsid w:val="009B4005"/>
    <w:rsid w:val="009B4B8F"/>
    <w:rsid w:val="009B4FD3"/>
    <w:rsid w:val="009B5939"/>
    <w:rsid w:val="009B59D0"/>
    <w:rsid w:val="009B6869"/>
    <w:rsid w:val="009B6B3D"/>
    <w:rsid w:val="009B7055"/>
    <w:rsid w:val="009C17CE"/>
    <w:rsid w:val="009C1B67"/>
    <w:rsid w:val="009C354E"/>
    <w:rsid w:val="009C3CF3"/>
    <w:rsid w:val="009C4F12"/>
    <w:rsid w:val="009C5F02"/>
    <w:rsid w:val="009C7069"/>
    <w:rsid w:val="009C71F0"/>
    <w:rsid w:val="009C79A5"/>
    <w:rsid w:val="009D0303"/>
    <w:rsid w:val="009D07A7"/>
    <w:rsid w:val="009D12AE"/>
    <w:rsid w:val="009D270C"/>
    <w:rsid w:val="009D51D2"/>
    <w:rsid w:val="009D54EA"/>
    <w:rsid w:val="009E0036"/>
    <w:rsid w:val="009E00C5"/>
    <w:rsid w:val="009E0123"/>
    <w:rsid w:val="009E013C"/>
    <w:rsid w:val="009E055D"/>
    <w:rsid w:val="009E0656"/>
    <w:rsid w:val="009E4253"/>
    <w:rsid w:val="009E5ED3"/>
    <w:rsid w:val="009E64A4"/>
    <w:rsid w:val="009F06ED"/>
    <w:rsid w:val="009F12A7"/>
    <w:rsid w:val="009F227B"/>
    <w:rsid w:val="009F5608"/>
    <w:rsid w:val="009F63D3"/>
    <w:rsid w:val="009F6ED1"/>
    <w:rsid w:val="009F7FB0"/>
    <w:rsid w:val="00A00074"/>
    <w:rsid w:val="00A00730"/>
    <w:rsid w:val="00A00DAC"/>
    <w:rsid w:val="00A00F48"/>
    <w:rsid w:val="00A02701"/>
    <w:rsid w:val="00A03038"/>
    <w:rsid w:val="00A0558F"/>
    <w:rsid w:val="00A06EAC"/>
    <w:rsid w:val="00A07B43"/>
    <w:rsid w:val="00A125E2"/>
    <w:rsid w:val="00A15588"/>
    <w:rsid w:val="00A16BAB"/>
    <w:rsid w:val="00A172ED"/>
    <w:rsid w:val="00A20852"/>
    <w:rsid w:val="00A21A85"/>
    <w:rsid w:val="00A23588"/>
    <w:rsid w:val="00A24466"/>
    <w:rsid w:val="00A25649"/>
    <w:rsid w:val="00A26104"/>
    <w:rsid w:val="00A27DC5"/>
    <w:rsid w:val="00A304F4"/>
    <w:rsid w:val="00A31691"/>
    <w:rsid w:val="00A36180"/>
    <w:rsid w:val="00A364E5"/>
    <w:rsid w:val="00A376D2"/>
    <w:rsid w:val="00A37A44"/>
    <w:rsid w:val="00A40FA8"/>
    <w:rsid w:val="00A43958"/>
    <w:rsid w:val="00A44999"/>
    <w:rsid w:val="00A46D34"/>
    <w:rsid w:val="00A47633"/>
    <w:rsid w:val="00A47F4C"/>
    <w:rsid w:val="00A47F6B"/>
    <w:rsid w:val="00A510F8"/>
    <w:rsid w:val="00A52930"/>
    <w:rsid w:val="00A52E03"/>
    <w:rsid w:val="00A5303E"/>
    <w:rsid w:val="00A5494F"/>
    <w:rsid w:val="00A57FD5"/>
    <w:rsid w:val="00A61692"/>
    <w:rsid w:val="00A62A6F"/>
    <w:rsid w:val="00A640AF"/>
    <w:rsid w:val="00A648E1"/>
    <w:rsid w:val="00A66F30"/>
    <w:rsid w:val="00A67BFF"/>
    <w:rsid w:val="00A70CE4"/>
    <w:rsid w:val="00A749F7"/>
    <w:rsid w:val="00A76426"/>
    <w:rsid w:val="00A8389B"/>
    <w:rsid w:val="00A85847"/>
    <w:rsid w:val="00A90766"/>
    <w:rsid w:val="00A9098E"/>
    <w:rsid w:val="00A909CC"/>
    <w:rsid w:val="00A92EA4"/>
    <w:rsid w:val="00A94957"/>
    <w:rsid w:val="00A95148"/>
    <w:rsid w:val="00AA07EA"/>
    <w:rsid w:val="00AA3F08"/>
    <w:rsid w:val="00AA4C04"/>
    <w:rsid w:val="00AB151B"/>
    <w:rsid w:val="00AB2305"/>
    <w:rsid w:val="00AB234C"/>
    <w:rsid w:val="00AB2C5E"/>
    <w:rsid w:val="00AB3517"/>
    <w:rsid w:val="00AB35CB"/>
    <w:rsid w:val="00AC1F29"/>
    <w:rsid w:val="00AC20DB"/>
    <w:rsid w:val="00AC2F47"/>
    <w:rsid w:val="00AC2F90"/>
    <w:rsid w:val="00AC5572"/>
    <w:rsid w:val="00AC5AEB"/>
    <w:rsid w:val="00AD201D"/>
    <w:rsid w:val="00AD36A7"/>
    <w:rsid w:val="00AD39F8"/>
    <w:rsid w:val="00AD3CD7"/>
    <w:rsid w:val="00AD5E3A"/>
    <w:rsid w:val="00AE0870"/>
    <w:rsid w:val="00AE7078"/>
    <w:rsid w:val="00AF5695"/>
    <w:rsid w:val="00AF6DC8"/>
    <w:rsid w:val="00B0121E"/>
    <w:rsid w:val="00B04E89"/>
    <w:rsid w:val="00B0566C"/>
    <w:rsid w:val="00B15574"/>
    <w:rsid w:val="00B16152"/>
    <w:rsid w:val="00B22C55"/>
    <w:rsid w:val="00B306E7"/>
    <w:rsid w:val="00B42818"/>
    <w:rsid w:val="00B436E1"/>
    <w:rsid w:val="00B43BEC"/>
    <w:rsid w:val="00B43D0F"/>
    <w:rsid w:val="00B467ED"/>
    <w:rsid w:val="00B50626"/>
    <w:rsid w:val="00B50837"/>
    <w:rsid w:val="00B51164"/>
    <w:rsid w:val="00B51673"/>
    <w:rsid w:val="00B53172"/>
    <w:rsid w:val="00B536F3"/>
    <w:rsid w:val="00B578CF"/>
    <w:rsid w:val="00B64ABB"/>
    <w:rsid w:val="00B6509F"/>
    <w:rsid w:val="00B6710C"/>
    <w:rsid w:val="00B6792B"/>
    <w:rsid w:val="00B705DA"/>
    <w:rsid w:val="00B72CF8"/>
    <w:rsid w:val="00B75703"/>
    <w:rsid w:val="00B825E1"/>
    <w:rsid w:val="00B83DF5"/>
    <w:rsid w:val="00B844D5"/>
    <w:rsid w:val="00B847D5"/>
    <w:rsid w:val="00B85676"/>
    <w:rsid w:val="00B858BA"/>
    <w:rsid w:val="00B86B22"/>
    <w:rsid w:val="00B86C3E"/>
    <w:rsid w:val="00B87160"/>
    <w:rsid w:val="00B87857"/>
    <w:rsid w:val="00B90DDD"/>
    <w:rsid w:val="00B91616"/>
    <w:rsid w:val="00B9186F"/>
    <w:rsid w:val="00B92FBC"/>
    <w:rsid w:val="00B94528"/>
    <w:rsid w:val="00BA03D0"/>
    <w:rsid w:val="00BA08D7"/>
    <w:rsid w:val="00BA1222"/>
    <w:rsid w:val="00BA2631"/>
    <w:rsid w:val="00BA33A0"/>
    <w:rsid w:val="00BA3579"/>
    <w:rsid w:val="00BA3655"/>
    <w:rsid w:val="00BA6BF6"/>
    <w:rsid w:val="00BB0074"/>
    <w:rsid w:val="00BB69F4"/>
    <w:rsid w:val="00BC1284"/>
    <w:rsid w:val="00BC2913"/>
    <w:rsid w:val="00BC29AD"/>
    <w:rsid w:val="00BC411D"/>
    <w:rsid w:val="00BC61AF"/>
    <w:rsid w:val="00BC6C07"/>
    <w:rsid w:val="00BD17EB"/>
    <w:rsid w:val="00BD3195"/>
    <w:rsid w:val="00BD6C85"/>
    <w:rsid w:val="00BE1A79"/>
    <w:rsid w:val="00BE4ABD"/>
    <w:rsid w:val="00BE7239"/>
    <w:rsid w:val="00BF47B4"/>
    <w:rsid w:val="00BF4FD4"/>
    <w:rsid w:val="00BF52A8"/>
    <w:rsid w:val="00C01486"/>
    <w:rsid w:val="00C028E4"/>
    <w:rsid w:val="00C053D8"/>
    <w:rsid w:val="00C05890"/>
    <w:rsid w:val="00C132D6"/>
    <w:rsid w:val="00C20218"/>
    <w:rsid w:val="00C23564"/>
    <w:rsid w:val="00C24116"/>
    <w:rsid w:val="00C27D30"/>
    <w:rsid w:val="00C27E60"/>
    <w:rsid w:val="00C31613"/>
    <w:rsid w:val="00C367AA"/>
    <w:rsid w:val="00C369B7"/>
    <w:rsid w:val="00C40756"/>
    <w:rsid w:val="00C414FD"/>
    <w:rsid w:val="00C432C4"/>
    <w:rsid w:val="00C437FF"/>
    <w:rsid w:val="00C45076"/>
    <w:rsid w:val="00C46FD6"/>
    <w:rsid w:val="00C51B5C"/>
    <w:rsid w:val="00C5223D"/>
    <w:rsid w:val="00C5528B"/>
    <w:rsid w:val="00C55693"/>
    <w:rsid w:val="00C55AC0"/>
    <w:rsid w:val="00C60E94"/>
    <w:rsid w:val="00C6180B"/>
    <w:rsid w:val="00C64C71"/>
    <w:rsid w:val="00C71A4A"/>
    <w:rsid w:val="00C76694"/>
    <w:rsid w:val="00C81680"/>
    <w:rsid w:val="00C9234B"/>
    <w:rsid w:val="00C94204"/>
    <w:rsid w:val="00C95A4F"/>
    <w:rsid w:val="00C95AEE"/>
    <w:rsid w:val="00CA2189"/>
    <w:rsid w:val="00CA3562"/>
    <w:rsid w:val="00CA36E4"/>
    <w:rsid w:val="00CA3A83"/>
    <w:rsid w:val="00CA419A"/>
    <w:rsid w:val="00CA4B63"/>
    <w:rsid w:val="00CA69FA"/>
    <w:rsid w:val="00CB2E20"/>
    <w:rsid w:val="00CB3D56"/>
    <w:rsid w:val="00CB44AE"/>
    <w:rsid w:val="00CB6091"/>
    <w:rsid w:val="00CB64E1"/>
    <w:rsid w:val="00CC023B"/>
    <w:rsid w:val="00CC3012"/>
    <w:rsid w:val="00CD284E"/>
    <w:rsid w:val="00CD5C35"/>
    <w:rsid w:val="00CD66A0"/>
    <w:rsid w:val="00CF09D8"/>
    <w:rsid w:val="00CF0D30"/>
    <w:rsid w:val="00CF20D0"/>
    <w:rsid w:val="00CF2EA9"/>
    <w:rsid w:val="00D058EE"/>
    <w:rsid w:val="00D14173"/>
    <w:rsid w:val="00D155E1"/>
    <w:rsid w:val="00D16102"/>
    <w:rsid w:val="00D1735E"/>
    <w:rsid w:val="00D1755C"/>
    <w:rsid w:val="00D201BE"/>
    <w:rsid w:val="00D208A4"/>
    <w:rsid w:val="00D208C0"/>
    <w:rsid w:val="00D20C0A"/>
    <w:rsid w:val="00D20F50"/>
    <w:rsid w:val="00D22362"/>
    <w:rsid w:val="00D250B7"/>
    <w:rsid w:val="00D2795C"/>
    <w:rsid w:val="00D3243F"/>
    <w:rsid w:val="00D32511"/>
    <w:rsid w:val="00D34B5F"/>
    <w:rsid w:val="00D35E2C"/>
    <w:rsid w:val="00D36015"/>
    <w:rsid w:val="00D376F3"/>
    <w:rsid w:val="00D409D6"/>
    <w:rsid w:val="00D4601D"/>
    <w:rsid w:val="00D4651F"/>
    <w:rsid w:val="00D47616"/>
    <w:rsid w:val="00D47F03"/>
    <w:rsid w:val="00D53F48"/>
    <w:rsid w:val="00D55466"/>
    <w:rsid w:val="00D56084"/>
    <w:rsid w:val="00D56991"/>
    <w:rsid w:val="00D602BB"/>
    <w:rsid w:val="00D63421"/>
    <w:rsid w:val="00D64059"/>
    <w:rsid w:val="00D652EB"/>
    <w:rsid w:val="00D65A17"/>
    <w:rsid w:val="00D65FC5"/>
    <w:rsid w:val="00D67E7B"/>
    <w:rsid w:val="00D67EFE"/>
    <w:rsid w:val="00D72DFF"/>
    <w:rsid w:val="00D734AD"/>
    <w:rsid w:val="00D759B2"/>
    <w:rsid w:val="00D80C3B"/>
    <w:rsid w:val="00D83CDD"/>
    <w:rsid w:val="00D85357"/>
    <w:rsid w:val="00D87996"/>
    <w:rsid w:val="00D93462"/>
    <w:rsid w:val="00D93EF3"/>
    <w:rsid w:val="00D94D98"/>
    <w:rsid w:val="00D97315"/>
    <w:rsid w:val="00DA1ACA"/>
    <w:rsid w:val="00DA3178"/>
    <w:rsid w:val="00DA45B6"/>
    <w:rsid w:val="00DB21F5"/>
    <w:rsid w:val="00DB3374"/>
    <w:rsid w:val="00DB3528"/>
    <w:rsid w:val="00DB5401"/>
    <w:rsid w:val="00DB580D"/>
    <w:rsid w:val="00DC1A8B"/>
    <w:rsid w:val="00DC31DD"/>
    <w:rsid w:val="00DC4816"/>
    <w:rsid w:val="00DC4A16"/>
    <w:rsid w:val="00DC4D70"/>
    <w:rsid w:val="00DC681E"/>
    <w:rsid w:val="00DC733B"/>
    <w:rsid w:val="00DD34CE"/>
    <w:rsid w:val="00DD4C04"/>
    <w:rsid w:val="00DD6BC3"/>
    <w:rsid w:val="00DD726F"/>
    <w:rsid w:val="00DD7F23"/>
    <w:rsid w:val="00DE07A4"/>
    <w:rsid w:val="00DE0FBA"/>
    <w:rsid w:val="00DE4CBB"/>
    <w:rsid w:val="00DE794D"/>
    <w:rsid w:val="00DE7EA0"/>
    <w:rsid w:val="00DF072A"/>
    <w:rsid w:val="00DF207C"/>
    <w:rsid w:val="00DF2FFC"/>
    <w:rsid w:val="00DF3339"/>
    <w:rsid w:val="00DF62D1"/>
    <w:rsid w:val="00DF742F"/>
    <w:rsid w:val="00E03200"/>
    <w:rsid w:val="00E03607"/>
    <w:rsid w:val="00E0674C"/>
    <w:rsid w:val="00E06B58"/>
    <w:rsid w:val="00E10345"/>
    <w:rsid w:val="00E128ED"/>
    <w:rsid w:val="00E162EB"/>
    <w:rsid w:val="00E17705"/>
    <w:rsid w:val="00E17AFA"/>
    <w:rsid w:val="00E249C9"/>
    <w:rsid w:val="00E27582"/>
    <w:rsid w:val="00E30819"/>
    <w:rsid w:val="00E32006"/>
    <w:rsid w:val="00E37F37"/>
    <w:rsid w:val="00E40B69"/>
    <w:rsid w:val="00E416AF"/>
    <w:rsid w:val="00E43365"/>
    <w:rsid w:val="00E53F82"/>
    <w:rsid w:val="00E541FD"/>
    <w:rsid w:val="00E5561D"/>
    <w:rsid w:val="00E55AC1"/>
    <w:rsid w:val="00E57051"/>
    <w:rsid w:val="00E6057E"/>
    <w:rsid w:val="00E616EC"/>
    <w:rsid w:val="00E62A4B"/>
    <w:rsid w:val="00E62B9F"/>
    <w:rsid w:val="00E6405D"/>
    <w:rsid w:val="00E652A7"/>
    <w:rsid w:val="00E70AF5"/>
    <w:rsid w:val="00E7215C"/>
    <w:rsid w:val="00E729E7"/>
    <w:rsid w:val="00E7368E"/>
    <w:rsid w:val="00E77F6C"/>
    <w:rsid w:val="00E803E7"/>
    <w:rsid w:val="00E82481"/>
    <w:rsid w:val="00E85522"/>
    <w:rsid w:val="00E85E8B"/>
    <w:rsid w:val="00E86AFC"/>
    <w:rsid w:val="00E94B6F"/>
    <w:rsid w:val="00E9688A"/>
    <w:rsid w:val="00EA036B"/>
    <w:rsid w:val="00EA0435"/>
    <w:rsid w:val="00EA3819"/>
    <w:rsid w:val="00EA70A2"/>
    <w:rsid w:val="00EB0424"/>
    <w:rsid w:val="00EB08DF"/>
    <w:rsid w:val="00EB4B21"/>
    <w:rsid w:val="00EB755F"/>
    <w:rsid w:val="00EC0340"/>
    <w:rsid w:val="00EC45C4"/>
    <w:rsid w:val="00ED55BB"/>
    <w:rsid w:val="00ED685C"/>
    <w:rsid w:val="00EF24F6"/>
    <w:rsid w:val="00EF2879"/>
    <w:rsid w:val="00EF44D3"/>
    <w:rsid w:val="00EF4EAA"/>
    <w:rsid w:val="00EF6D73"/>
    <w:rsid w:val="00F00461"/>
    <w:rsid w:val="00F0203D"/>
    <w:rsid w:val="00F05862"/>
    <w:rsid w:val="00F067FA"/>
    <w:rsid w:val="00F06CB5"/>
    <w:rsid w:val="00F10AF7"/>
    <w:rsid w:val="00F153DD"/>
    <w:rsid w:val="00F20B31"/>
    <w:rsid w:val="00F246CD"/>
    <w:rsid w:val="00F305F6"/>
    <w:rsid w:val="00F32053"/>
    <w:rsid w:val="00F32235"/>
    <w:rsid w:val="00F33439"/>
    <w:rsid w:val="00F35F3E"/>
    <w:rsid w:val="00F37E72"/>
    <w:rsid w:val="00F41DE4"/>
    <w:rsid w:val="00F42106"/>
    <w:rsid w:val="00F45C83"/>
    <w:rsid w:val="00F53B29"/>
    <w:rsid w:val="00F540C9"/>
    <w:rsid w:val="00F56246"/>
    <w:rsid w:val="00F60C65"/>
    <w:rsid w:val="00F6351B"/>
    <w:rsid w:val="00F635D6"/>
    <w:rsid w:val="00F63664"/>
    <w:rsid w:val="00F6412A"/>
    <w:rsid w:val="00F651EC"/>
    <w:rsid w:val="00F663E7"/>
    <w:rsid w:val="00F66E9B"/>
    <w:rsid w:val="00F67A0B"/>
    <w:rsid w:val="00F70BA6"/>
    <w:rsid w:val="00F756FE"/>
    <w:rsid w:val="00F80777"/>
    <w:rsid w:val="00F8241F"/>
    <w:rsid w:val="00F82C63"/>
    <w:rsid w:val="00F85A22"/>
    <w:rsid w:val="00F86269"/>
    <w:rsid w:val="00F877D5"/>
    <w:rsid w:val="00F87D02"/>
    <w:rsid w:val="00F904A8"/>
    <w:rsid w:val="00F91994"/>
    <w:rsid w:val="00F942EC"/>
    <w:rsid w:val="00F95E03"/>
    <w:rsid w:val="00F968EA"/>
    <w:rsid w:val="00F96C61"/>
    <w:rsid w:val="00F970E2"/>
    <w:rsid w:val="00FA1E9E"/>
    <w:rsid w:val="00FA2E86"/>
    <w:rsid w:val="00FA32AF"/>
    <w:rsid w:val="00FA4ABF"/>
    <w:rsid w:val="00FB5733"/>
    <w:rsid w:val="00FB6436"/>
    <w:rsid w:val="00FB69D8"/>
    <w:rsid w:val="00FC4353"/>
    <w:rsid w:val="00FC701E"/>
    <w:rsid w:val="00FC749D"/>
    <w:rsid w:val="00FC7612"/>
    <w:rsid w:val="00FC7F80"/>
    <w:rsid w:val="00FD1655"/>
    <w:rsid w:val="00FD2C11"/>
    <w:rsid w:val="00FD37F0"/>
    <w:rsid w:val="00FD423D"/>
    <w:rsid w:val="00FD42C0"/>
    <w:rsid w:val="00FD4DD2"/>
    <w:rsid w:val="00FD5F5E"/>
    <w:rsid w:val="00FD7673"/>
    <w:rsid w:val="00FD7791"/>
    <w:rsid w:val="00FE1C01"/>
    <w:rsid w:val="00FE26E3"/>
    <w:rsid w:val="00FE434F"/>
    <w:rsid w:val="00FE55A4"/>
    <w:rsid w:val="00FF24B9"/>
    <w:rsid w:val="00FF2CC8"/>
    <w:rsid w:val="00FF46F9"/>
    <w:rsid w:val="00FF49EB"/>
    <w:rsid w:val="00FF5B55"/>
    <w:rsid w:val="00FF7E22"/>
    <w:rsid w:val="00FF7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F9E7A"/>
  <w15:chartTrackingRefBased/>
  <w15:docId w15:val="{08CD8F57-7E2D-4BDB-BAB8-5BCCF33B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4CBB"/>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E3B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8A1"/>
    <w:pPr>
      <w:spacing w:after="0" w:line="240" w:lineRule="auto"/>
    </w:pPr>
    <w:rPr>
      <w:lang w:val="en-GB"/>
    </w:rPr>
  </w:style>
  <w:style w:type="paragraph" w:styleId="Header">
    <w:name w:val="header"/>
    <w:basedOn w:val="Normal"/>
    <w:link w:val="HeaderChar"/>
    <w:uiPriority w:val="99"/>
    <w:unhideWhenUsed/>
    <w:rsid w:val="00683D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3D9E"/>
    <w:rPr>
      <w:lang w:val="en-GB"/>
    </w:rPr>
  </w:style>
  <w:style w:type="paragraph" w:styleId="Footer">
    <w:name w:val="footer"/>
    <w:basedOn w:val="Normal"/>
    <w:link w:val="FooterChar"/>
    <w:uiPriority w:val="99"/>
    <w:unhideWhenUsed/>
    <w:rsid w:val="00683D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3D9E"/>
    <w:rPr>
      <w:lang w:val="en-GB"/>
    </w:rPr>
  </w:style>
  <w:style w:type="character" w:styleId="Hyperlink">
    <w:name w:val="Hyperlink"/>
    <w:basedOn w:val="DefaultParagraphFont"/>
    <w:uiPriority w:val="99"/>
    <w:unhideWhenUsed/>
    <w:rsid w:val="007F7359"/>
    <w:rPr>
      <w:color w:val="0563C1" w:themeColor="hyperlink"/>
      <w:u w:val="single"/>
    </w:rPr>
  </w:style>
  <w:style w:type="character" w:customStyle="1" w:styleId="Onopgelostemelding1">
    <w:name w:val="Onopgeloste melding1"/>
    <w:basedOn w:val="DefaultParagraphFont"/>
    <w:uiPriority w:val="99"/>
    <w:semiHidden/>
    <w:unhideWhenUsed/>
    <w:rsid w:val="007F7359"/>
    <w:rPr>
      <w:color w:val="605E5C"/>
      <w:shd w:val="clear" w:color="auto" w:fill="E1DFDD"/>
    </w:rPr>
  </w:style>
  <w:style w:type="paragraph" w:styleId="FootnoteText">
    <w:name w:val="footnote text"/>
    <w:basedOn w:val="Normal"/>
    <w:link w:val="FootnoteTextChar"/>
    <w:uiPriority w:val="99"/>
    <w:unhideWhenUsed/>
    <w:rsid w:val="00F37E72"/>
    <w:pPr>
      <w:spacing w:after="0" w:line="240" w:lineRule="auto"/>
    </w:pPr>
    <w:rPr>
      <w:sz w:val="20"/>
      <w:szCs w:val="20"/>
    </w:rPr>
  </w:style>
  <w:style w:type="character" w:customStyle="1" w:styleId="FootnoteTextChar">
    <w:name w:val="Footnote Text Char"/>
    <w:basedOn w:val="DefaultParagraphFont"/>
    <w:link w:val="FootnoteText"/>
    <w:uiPriority w:val="99"/>
    <w:rsid w:val="00F37E72"/>
    <w:rPr>
      <w:sz w:val="20"/>
      <w:szCs w:val="20"/>
      <w:lang w:val="en-GB"/>
    </w:rPr>
  </w:style>
  <w:style w:type="character" w:styleId="FootnoteReference">
    <w:name w:val="footnote reference"/>
    <w:basedOn w:val="DefaultParagraphFont"/>
    <w:uiPriority w:val="99"/>
    <w:unhideWhenUsed/>
    <w:rsid w:val="00F37E72"/>
    <w:rPr>
      <w:vertAlign w:val="superscript"/>
    </w:rPr>
  </w:style>
  <w:style w:type="character" w:styleId="FollowedHyperlink">
    <w:name w:val="FollowedHyperlink"/>
    <w:basedOn w:val="DefaultParagraphFont"/>
    <w:uiPriority w:val="99"/>
    <w:semiHidden/>
    <w:unhideWhenUsed/>
    <w:rsid w:val="00B50626"/>
    <w:rPr>
      <w:color w:val="954F72" w:themeColor="followedHyperlink"/>
      <w:u w:val="single"/>
    </w:rPr>
  </w:style>
  <w:style w:type="table" w:styleId="TableGrid">
    <w:name w:val="Table Grid"/>
    <w:basedOn w:val="TableNormal"/>
    <w:uiPriority w:val="39"/>
    <w:rsid w:val="00C0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58"/>
    <w:rPr>
      <w:rFonts w:ascii="Segoe UI" w:hAnsi="Segoe UI" w:cs="Segoe UI"/>
      <w:sz w:val="18"/>
      <w:szCs w:val="18"/>
      <w:lang w:val="en-GB"/>
    </w:rPr>
  </w:style>
  <w:style w:type="paragraph" w:styleId="Revision">
    <w:name w:val="Revision"/>
    <w:hidden/>
    <w:uiPriority w:val="99"/>
    <w:semiHidden/>
    <w:rsid w:val="00291258"/>
    <w:pPr>
      <w:spacing w:after="0" w:line="240" w:lineRule="auto"/>
    </w:pPr>
    <w:rPr>
      <w:lang w:val="en-GB"/>
    </w:rPr>
  </w:style>
  <w:style w:type="character" w:styleId="CommentReference">
    <w:name w:val="annotation reference"/>
    <w:basedOn w:val="DefaultParagraphFont"/>
    <w:uiPriority w:val="99"/>
    <w:semiHidden/>
    <w:unhideWhenUsed/>
    <w:rsid w:val="00DF62D1"/>
    <w:rPr>
      <w:sz w:val="16"/>
      <w:szCs w:val="16"/>
    </w:rPr>
  </w:style>
  <w:style w:type="paragraph" w:styleId="CommentText">
    <w:name w:val="annotation text"/>
    <w:basedOn w:val="Normal"/>
    <w:link w:val="CommentTextChar"/>
    <w:uiPriority w:val="99"/>
    <w:unhideWhenUsed/>
    <w:rsid w:val="00DF62D1"/>
    <w:pPr>
      <w:spacing w:line="240" w:lineRule="auto"/>
    </w:pPr>
    <w:rPr>
      <w:sz w:val="20"/>
      <w:szCs w:val="20"/>
    </w:rPr>
  </w:style>
  <w:style w:type="character" w:customStyle="1" w:styleId="CommentTextChar">
    <w:name w:val="Comment Text Char"/>
    <w:basedOn w:val="DefaultParagraphFont"/>
    <w:link w:val="CommentText"/>
    <w:uiPriority w:val="99"/>
    <w:rsid w:val="00DF62D1"/>
    <w:rPr>
      <w:sz w:val="20"/>
      <w:szCs w:val="20"/>
      <w:lang w:val="en-GB"/>
    </w:rPr>
  </w:style>
  <w:style w:type="paragraph" w:styleId="CommentSubject">
    <w:name w:val="annotation subject"/>
    <w:basedOn w:val="CommentText"/>
    <w:next w:val="CommentText"/>
    <w:link w:val="CommentSubjectChar"/>
    <w:uiPriority w:val="99"/>
    <w:semiHidden/>
    <w:unhideWhenUsed/>
    <w:rsid w:val="00DF62D1"/>
    <w:rPr>
      <w:b/>
      <w:bCs/>
    </w:rPr>
  </w:style>
  <w:style w:type="character" w:customStyle="1" w:styleId="CommentSubjectChar">
    <w:name w:val="Comment Subject Char"/>
    <w:basedOn w:val="CommentTextChar"/>
    <w:link w:val="CommentSubject"/>
    <w:uiPriority w:val="99"/>
    <w:semiHidden/>
    <w:rsid w:val="00DF62D1"/>
    <w:rPr>
      <w:b/>
      <w:bCs/>
      <w:sz w:val="20"/>
      <w:szCs w:val="20"/>
      <w:lang w:val="en-GB"/>
    </w:rPr>
  </w:style>
  <w:style w:type="paragraph" w:styleId="ListParagraph">
    <w:name w:val="List Paragraph"/>
    <w:aliases w:val="123 List Paragraph,Celula,List Bullet Mary,List Paragraph nowy,List Paragraph1,List_Paragraph,Liste 1,Main numbered paragraph,Multilevel para_II,Numbered List Paragraph,Numbered Paragraph,Bullet paras,List Paragraph Char Char Char,Body"/>
    <w:basedOn w:val="Normal"/>
    <w:uiPriority w:val="34"/>
    <w:qFormat/>
    <w:rsid w:val="00801FC4"/>
    <w:pPr>
      <w:ind w:left="720"/>
      <w:contextualSpacing/>
    </w:pPr>
  </w:style>
  <w:style w:type="character" w:customStyle="1" w:styleId="Heading1Char">
    <w:name w:val="Heading 1 Char"/>
    <w:basedOn w:val="DefaultParagraphFont"/>
    <w:link w:val="Heading1"/>
    <w:uiPriority w:val="9"/>
    <w:rsid w:val="00DE4CBB"/>
    <w:rPr>
      <w:rFonts w:asciiTheme="majorHAnsi" w:eastAsiaTheme="majorEastAsia" w:hAnsiTheme="majorHAnsi" w:cstheme="majorBidi"/>
      <w:b/>
      <w:color w:val="2F5496" w:themeColor="accent1" w:themeShade="BF"/>
      <w:sz w:val="32"/>
      <w:szCs w:val="32"/>
      <w:lang w:val="en-GB"/>
    </w:rPr>
  </w:style>
  <w:style w:type="paragraph" w:styleId="TOCHeading">
    <w:name w:val="TOC Heading"/>
    <w:basedOn w:val="Heading1"/>
    <w:next w:val="Normal"/>
    <w:uiPriority w:val="39"/>
    <w:unhideWhenUsed/>
    <w:qFormat/>
    <w:rsid w:val="00306F85"/>
    <w:pPr>
      <w:outlineLvl w:val="9"/>
    </w:pPr>
    <w:rPr>
      <w:b w:val="0"/>
      <w:lang w:val="nl-NL" w:eastAsia="nl-NL"/>
    </w:rPr>
  </w:style>
  <w:style w:type="paragraph" w:styleId="TOC1">
    <w:name w:val="toc 1"/>
    <w:basedOn w:val="Normal"/>
    <w:next w:val="Normal"/>
    <w:autoRedefine/>
    <w:uiPriority w:val="39"/>
    <w:unhideWhenUsed/>
    <w:rsid w:val="00306F85"/>
    <w:pPr>
      <w:spacing w:after="100"/>
    </w:pPr>
  </w:style>
  <w:style w:type="paragraph" w:styleId="EndnoteText">
    <w:name w:val="endnote text"/>
    <w:basedOn w:val="Normal"/>
    <w:link w:val="EndnoteTextChar"/>
    <w:uiPriority w:val="99"/>
    <w:semiHidden/>
    <w:unhideWhenUsed/>
    <w:rsid w:val="006874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74AC"/>
    <w:rPr>
      <w:sz w:val="20"/>
      <w:szCs w:val="20"/>
      <w:lang w:val="en-GB"/>
    </w:rPr>
  </w:style>
  <w:style w:type="character" w:styleId="EndnoteReference">
    <w:name w:val="endnote reference"/>
    <w:basedOn w:val="DefaultParagraphFont"/>
    <w:uiPriority w:val="99"/>
    <w:semiHidden/>
    <w:unhideWhenUsed/>
    <w:rsid w:val="006874AC"/>
    <w:rPr>
      <w:vertAlign w:val="superscript"/>
    </w:rPr>
  </w:style>
  <w:style w:type="character" w:customStyle="1" w:styleId="Onopgelostemelding2">
    <w:name w:val="Onopgeloste melding2"/>
    <w:basedOn w:val="DefaultParagraphFont"/>
    <w:uiPriority w:val="99"/>
    <w:semiHidden/>
    <w:unhideWhenUsed/>
    <w:rsid w:val="00D55466"/>
    <w:rPr>
      <w:color w:val="605E5C"/>
      <w:shd w:val="clear" w:color="auto" w:fill="E1DFDD"/>
    </w:rPr>
  </w:style>
  <w:style w:type="character" w:customStyle="1" w:styleId="Heading2Char">
    <w:name w:val="Heading 2 Char"/>
    <w:basedOn w:val="DefaultParagraphFont"/>
    <w:link w:val="Heading2"/>
    <w:uiPriority w:val="9"/>
    <w:rsid w:val="006E3B9C"/>
    <w:rPr>
      <w:rFonts w:asciiTheme="majorHAnsi" w:eastAsiaTheme="majorEastAsia" w:hAnsiTheme="majorHAnsi" w:cstheme="majorBidi"/>
      <w:color w:val="2F5496" w:themeColor="accent1" w:themeShade="BF"/>
      <w:sz w:val="26"/>
      <w:szCs w:val="26"/>
      <w:lang w:val="en-GB"/>
    </w:rPr>
  </w:style>
  <w:style w:type="paragraph" w:styleId="TOC2">
    <w:name w:val="toc 2"/>
    <w:basedOn w:val="Normal"/>
    <w:next w:val="Normal"/>
    <w:autoRedefine/>
    <w:uiPriority w:val="39"/>
    <w:unhideWhenUsed/>
    <w:rsid w:val="009B4005"/>
    <w:pPr>
      <w:spacing w:after="100"/>
      <w:ind w:left="220"/>
    </w:pPr>
  </w:style>
  <w:style w:type="paragraph" w:customStyle="1" w:styleId="ColorfulList-Accent11">
    <w:name w:val="Colorful List - Accent 11"/>
    <w:aliases w:val="Bullets,List Paragraph (numbered (a)),NUMBERED PARAGRAPH,List Paragraph 1,References,ReferencesCxSpLast,lp1,Use Case List Paragraph"/>
    <w:basedOn w:val="Normal"/>
    <w:link w:val="ColorfulList-Accent1Char"/>
    <w:uiPriority w:val="34"/>
    <w:qFormat/>
    <w:rsid w:val="00AD5E3A"/>
    <w:pPr>
      <w:spacing w:after="0" w:line="240" w:lineRule="auto"/>
      <w:ind w:left="720"/>
      <w:contextualSpacing/>
      <w:jc w:val="both"/>
    </w:pPr>
    <w:rPr>
      <w:rFonts w:ascii="Times New Roman" w:eastAsia="Times New Roman" w:hAnsi="Times New Roman" w:cs="Times New Roman"/>
      <w:sz w:val="24"/>
      <w:szCs w:val="24"/>
      <w:lang w:val="en-US"/>
    </w:rPr>
  </w:style>
  <w:style w:type="character" w:customStyle="1" w:styleId="ColorfulList-Accent1Char">
    <w:name w:val="Colorful List - Accent 1 Char"/>
    <w:aliases w:val="Bullets Char,List Paragraph (numbered (a)) Char,NUMBERED PARAGRAPH Char,List Paragraph 1 Char,References Char,ReferencesCxSpLast Char,lp1 Char,Use Case List Paragraph Char,List Paragraph Char,123 List Paragraph Char"/>
    <w:link w:val="ColorfulList-Accent11"/>
    <w:uiPriority w:val="34"/>
    <w:rsid w:val="00AD5E3A"/>
    <w:rPr>
      <w:rFonts w:ascii="Times New Roman" w:eastAsia="Times New Roman" w:hAnsi="Times New Roman" w:cs="Times New Roman"/>
      <w:sz w:val="24"/>
      <w:szCs w:val="24"/>
      <w:lang w:val="en-US"/>
    </w:rPr>
  </w:style>
  <w:style w:type="character" w:customStyle="1" w:styleId="Mencinsinresolver1">
    <w:name w:val="Mención sin resolver1"/>
    <w:basedOn w:val="DefaultParagraphFont"/>
    <w:uiPriority w:val="99"/>
    <w:semiHidden/>
    <w:unhideWhenUsed/>
    <w:rsid w:val="00396FF3"/>
    <w:rPr>
      <w:color w:val="605E5C"/>
      <w:shd w:val="clear" w:color="auto" w:fill="E1DFDD"/>
    </w:rPr>
  </w:style>
  <w:style w:type="paragraph" w:styleId="Title">
    <w:name w:val="Title"/>
    <w:basedOn w:val="Normal"/>
    <w:next w:val="Normal"/>
    <w:link w:val="TitleChar"/>
    <w:uiPriority w:val="10"/>
    <w:qFormat/>
    <w:rsid w:val="00203F2A"/>
    <w:pPr>
      <w:spacing w:after="0" w:line="240" w:lineRule="auto"/>
      <w:contextualSpacing/>
    </w:pPr>
    <w:rPr>
      <w:rFonts w:asciiTheme="majorHAnsi" w:eastAsiaTheme="majorEastAsia" w:hAnsiTheme="majorHAnsi" w:cstheme="majorBidi"/>
      <w:color w:val="000000" w:themeColor="text1"/>
      <w:sz w:val="48"/>
      <w:szCs w:val="56"/>
      <w:lang w:val="en-US"/>
    </w:rPr>
  </w:style>
  <w:style w:type="character" w:customStyle="1" w:styleId="TitleChar">
    <w:name w:val="Title Char"/>
    <w:basedOn w:val="DefaultParagraphFont"/>
    <w:link w:val="Title"/>
    <w:uiPriority w:val="10"/>
    <w:rsid w:val="00203F2A"/>
    <w:rPr>
      <w:rFonts w:asciiTheme="majorHAnsi" w:eastAsiaTheme="majorEastAsia" w:hAnsiTheme="majorHAnsi" w:cstheme="majorBidi"/>
      <w:color w:val="000000" w:themeColor="text1"/>
      <w:sz w:val="48"/>
      <w:szCs w:val="56"/>
      <w:lang w:val="en-US"/>
    </w:rPr>
  </w:style>
  <w:style w:type="character" w:styleId="UnresolvedMention">
    <w:name w:val="Unresolved Mention"/>
    <w:basedOn w:val="DefaultParagraphFont"/>
    <w:uiPriority w:val="99"/>
    <w:semiHidden/>
    <w:unhideWhenUsed/>
    <w:rsid w:val="00CA4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1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imos.org" TargetMode="External"/><Relationship Id="rId18" Type="http://schemas.openxmlformats.org/officeDocument/2006/relationships/image" Target="media/image3.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m.facebook.com/Ministerie-van-Handel-Industrie-en-Toerisme" TargetMode="External"/><Relationship Id="rId7" Type="http://schemas.openxmlformats.org/officeDocument/2006/relationships/endnotes" Target="endnotes.xml"/><Relationship Id="rId12" Type="http://schemas.openxmlformats.org/officeDocument/2006/relationships/hyperlink" Target="http://dna.sr/wetgeving/"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nimo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ieuwetten.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na.sr/wetgeving/" TargetMode="External"/><Relationship Id="rId23" Type="http://schemas.openxmlformats.org/officeDocument/2006/relationships/hyperlink" Target="http://pubdocs.worldbank.org/en/837721522762050108/Environmental-and-Social-Framework.pdf"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surinamecompete.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lieuwetten.com/" TargetMode="External"/><Relationship Id="rId22" Type="http://schemas.openxmlformats.org/officeDocument/2006/relationships/hyperlink" Target="https://www.ifc.org/wps/wcm/connect/topics_ext_content/ifc_external_corporate_site/sustainability-at-ifc/policies-standards/ehs-guidelines"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gstcouncil.org" TargetMode="External"/><Relationship Id="rId3" Type="http://schemas.openxmlformats.org/officeDocument/2006/relationships/hyperlink" Target="https://www.thebiodiversityconsultancy.com/approaches/mitigation-hierarchy" TargetMode="External"/><Relationship Id="rId7" Type="http://schemas.openxmlformats.org/officeDocument/2006/relationships/hyperlink" Target="https://sustainabletourism.net" TargetMode="External"/><Relationship Id="rId2" Type="http://schemas.openxmlformats.org/officeDocument/2006/relationships/hyperlink" Target="http://www.hcvnetwork.org" TargetMode="External"/><Relationship Id="rId1" Type="http://schemas.openxmlformats.org/officeDocument/2006/relationships/hyperlink" Target="https://policies.worldbank.org/sites/ppf3/Pages/Manuals/Operational%20Manual.aspx" TargetMode="External"/><Relationship Id="rId6" Type="http://schemas.openxmlformats.org/officeDocument/2006/relationships/hyperlink" Target="https://www.msc.org" TargetMode="External"/><Relationship Id="rId5" Type="http://schemas.openxmlformats.org/officeDocument/2006/relationships/hyperlink" Target="https://www.fsc.org" TargetMode="External"/><Relationship Id="rId10" Type="http://schemas.openxmlformats.org/officeDocument/2006/relationships/hyperlink" Target="http://www.ssb.sr/standaard-goede-agrarische-praktijk-voor-landbouwgewassen-vastgesteld-als-nationale-standaard/" TargetMode="External"/><Relationship Id="rId4" Type="http://schemas.openxmlformats.org/officeDocument/2006/relationships/hyperlink" Target="https://www.nepcon.org/library/standard/fsc-forest-management/nepcon-global-NTFP-certification" TargetMode="External"/><Relationship Id="rId9" Type="http://schemas.openxmlformats.org/officeDocument/2006/relationships/hyperlink" Target="https://www.ifc.org/wps/wcm/connect/9aef2880488559a983acd36a6515bb18/2%2BOccupational%2BHealth%2Band%2BSafety.pdf?MOD=AJPER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20AF-FA5E-42DB-8CB9-7CAD53C5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28634</Words>
  <Characters>163216</Characters>
  <Application>Microsoft Office Word</Application>
  <DocSecurity>4</DocSecurity>
  <Lines>1360</Lines>
  <Paragraphs>382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van Dijk</dc:creator>
  <cp:keywords/>
  <dc:description/>
  <cp:lastModifiedBy>Lina Janenaite</cp:lastModifiedBy>
  <cp:revision>2</cp:revision>
  <dcterms:created xsi:type="dcterms:W3CDTF">2019-06-27T16:38:00Z</dcterms:created>
  <dcterms:modified xsi:type="dcterms:W3CDTF">2019-06-27T16:38:00Z</dcterms:modified>
</cp:coreProperties>
</file>