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231FA" w14:textId="3A1F4AD3" w:rsidR="00910681" w:rsidRDefault="00910681" w:rsidP="00CE1189">
      <w:pPr>
        <w:pStyle w:val="Heading1"/>
        <w:spacing w:after="0" w:line="240" w:lineRule="auto"/>
        <w:contextualSpacing/>
      </w:pPr>
      <w:bookmarkStart w:id="0" w:name="_Hlk8947237"/>
      <w:bookmarkStart w:id="1" w:name="_Toc527378644"/>
      <w:bookmarkStart w:id="2" w:name="_Toc527378647"/>
      <w:bookmarkEnd w:id="0"/>
    </w:p>
    <w:p w14:paraId="51E639FC" w14:textId="77777777" w:rsidR="000552C4" w:rsidRDefault="000552C4" w:rsidP="00CE1189">
      <w:pPr>
        <w:spacing w:after="0" w:line="240" w:lineRule="auto"/>
        <w:contextualSpacing/>
        <w:jc w:val="right"/>
        <w:rPr>
          <w:rFonts w:asciiTheme="majorHAnsi" w:eastAsia="Times New Roman" w:hAnsiTheme="majorHAnsi" w:cstheme="majorHAnsi"/>
          <w:b/>
          <w:bCs/>
          <w:color w:val="000000"/>
          <w:sz w:val="60"/>
          <w:szCs w:val="60"/>
        </w:rPr>
      </w:pPr>
    </w:p>
    <w:p w14:paraId="741C707D" w14:textId="22B77F24" w:rsidR="00910681" w:rsidRPr="003B34C8" w:rsidRDefault="00910681" w:rsidP="00CE1189">
      <w:pPr>
        <w:spacing w:after="0" w:line="240" w:lineRule="auto"/>
        <w:contextualSpacing/>
        <w:jc w:val="right"/>
        <w:rPr>
          <w:rFonts w:asciiTheme="majorHAnsi" w:eastAsia="Times New Roman" w:hAnsiTheme="majorHAnsi" w:cstheme="majorHAnsi"/>
          <w:b/>
          <w:bCs/>
          <w:color w:val="000000"/>
          <w:sz w:val="60"/>
          <w:szCs w:val="60"/>
        </w:rPr>
      </w:pPr>
      <w:r w:rsidRPr="003B34C8">
        <w:rPr>
          <w:rFonts w:asciiTheme="majorHAnsi" w:eastAsia="Times New Roman" w:hAnsiTheme="majorHAnsi" w:cstheme="majorHAnsi"/>
          <w:b/>
          <w:bCs/>
          <w:color w:val="000000"/>
          <w:sz w:val="60"/>
          <w:szCs w:val="60"/>
        </w:rPr>
        <w:t>State-</w:t>
      </w:r>
      <w:r w:rsidR="00D452CB">
        <w:rPr>
          <w:rFonts w:asciiTheme="majorHAnsi" w:eastAsia="Times New Roman" w:hAnsiTheme="majorHAnsi" w:cstheme="majorHAnsi"/>
          <w:b/>
          <w:bCs/>
          <w:color w:val="000000"/>
          <w:sz w:val="60"/>
          <w:szCs w:val="60"/>
        </w:rPr>
        <w:t>O</w:t>
      </w:r>
      <w:r w:rsidRPr="003B34C8">
        <w:rPr>
          <w:rFonts w:asciiTheme="majorHAnsi" w:eastAsia="Times New Roman" w:hAnsiTheme="majorHAnsi" w:cstheme="majorHAnsi"/>
          <w:b/>
          <w:bCs/>
          <w:color w:val="000000"/>
          <w:sz w:val="60"/>
          <w:szCs w:val="60"/>
        </w:rPr>
        <w:t xml:space="preserve">wned </w:t>
      </w:r>
      <w:r w:rsidR="00D452CB">
        <w:rPr>
          <w:rFonts w:asciiTheme="majorHAnsi" w:eastAsia="Times New Roman" w:hAnsiTheme="majorHAnsi" w:cstheme="majorHAnsi"/>
          <w:b/>
          <w:bCs/>
          <w:color w:val="000000"/>
          <w:sz w:val="60"/>
          <w:szCs w:val="60"/>
        </w:rPr>
        <w:t>E</w:t>
      </w:r>
      <w:r w:rsidRPr="003B34C8">
        <w:rPr>
          <w:rFonts w:asciiTheme="majorHAnsi" w:eastAsia="Times New Roman" w:hAnsiTheme="majorHAnsi" w:cstheme="majorHAnsi"/>
          <w:b/>
          <w:bCs/>
          <w:color w:val="000000"/>
          <w:sz w:val="60"/>
          <w:szCs w:val="60"/>
        </w:rPr>
        <w:t>nterprises</w:t>
      </w:r>
    </w:p>
    <w:p w14:paraId="021452BE" w14:textId="23722CE4" w:rsidR="00910681" w:rsidRPr="003B34C8" w:rsidRDefault="00910681" w:rsidP="00CE1189">
      <w:pPr>
        <w:spacing w:after="0" w:line="240" w:lineRule="auto"/>
        <w:contextualSpacing/>
        <w:jc w:val="right"/>
        <w:rPr>
          <w:rFonts w:asciiTheme="majorHAnsi" w:eastAsia="Times New Roman" w:hAnsiTheme="majorHAnsi" w:cstheme="majorHAnsi"/>
          <w:b/>
          <w:bCs/>
          <w:color w:val="000000"/>
          <w:sz w:val="60"/>
          <w:szCs w:val="60"/>
        </w:rPr>
      </w:pPr>
      <w:r w:rsidRPr="003B34C8">
        <w:rPr>
          <w:rFonts w:asciiTheme="majorHAnsi" w:eastAsia="Times New Roman" w:hAnsiTheme="majorHAnsi" w:cstheme="majorHAnsi"/>
          <w:b/>
          <w:bCs/>
          <w:color w:val="000000"/>
          <w:sz w:val="60"/>
          <w:szCs w:val="60"/>
        </w:rPr>
        <w:t>in the Russian Federation:</w:t>
      </w:r>
    </w:p>
    <w:p w14:paraId="60B6E2B7" w14:textId="59334C7E" w:rsidR="00910681" w:rsidRPr="00313F07" w:rsidRDefault="00910681" w:rsidP="00CE1189">
      <w:pPr>
        <w:spacing w:after="0" w:line="240" w:lineRule="auto"/>
        <w:contextualSpacing/>
        <w:jc w:val="left"/>
        <w:rPr>
          <w:rFonts w:asciiTheme="majorHAnsi" w:eastAsia="Times New Roman" w:hAnsiTheme="majorHAnsi" w:cstheme="majorHAnsi"/>
          <w:color w:val="000000"/>
          <w:sz w:val="52"/>
          <w:szCs w:val="52"/>
        </w:rPr>
      </w:pPr>
    </w:p>
    <w:p w14:paraId="63248050" w14:textId="206135E0" w:rsidR="00910681" w:rsidRPr="003B34C8" w:rsidRDefault="00910681" w:rsidP="00CE1189">
      <w:pPr>
        <w:spacing w:after="0" w:line="240" w:lineRule="auto"/>
        <w:contextualSpacing/>
        <w:jc w:val="right"/>
        <w:rPr>
          <w:rFonts w:asciiTheme="majorHAnsi" w:eastAsia="Times New Roman" w:hAnsiTheme="majorHAnsi" w:cstheme="majorHAnsi"/>
          <w:color w:val="000000"/>
          <w:sz w:val="50"/>
          <w:szCs w:val="50"/>
        </w:rPr>
      </w:pPr>
      <w:r w:rsidRPr="003B34C8">
        <w:rPr>
          <w:rFonts w:asciiTheme="majorHAnsi" w:eastAsia="Times New Roman" w:hAnsiTheme="majorHAnsi" w:cstheme="majorHAnsi"/>
          <w:color w:val="000000"/>
          <w:sz w:val="50"/>
          <w:szCs w:val="50"/>
        </w:rPr>
        <w:t>Employment Practices</w:t>
      </w:r>
      <w:r w:rsidR="00186FE0">
        <w:rPr>
          <w:rFonts w:asciiTheme="majorHAnsi" w:eastAsia="Times New Roman" w:hAnsiTheme="majorHAnsi" w:cstheme="majorHAnsi"/>
          <w:color w:val="000000"/>
          <w:sz w:val="50"/>
          <w:szCs w:val="50"/>
        </w:rPr>
        <w:t xml:space="preserve">, Labor Markets, and Firm Performance </w:t>
      </w:r>
    </w:p>
    <w:p w14:paraId="18CB1F3F" w14:textId="579A70D2" w:rsidR="000552C4" w:rsidRDefault="000552C4" w:rsidP="00CE1189">
      <w:pPr>
        <w:spacing w:after="0" w:line="240" w:lineRule="auto"/>
        <w:contextualSpacing/>
        <w:rPr>
          <w:lang w:eastAsia="en-US"/>
        </w:rPr>
      </w:pPr>
    </w:p>
    <w:p w14:paraId="4D90C1C7" w14:textId="78D69FF5" w:rsidR="000552C4" w:rsidRDefault="000552C4" w:rsidP="00CE1189">
      <w:pPr>
        <w:spacing w:after="0" w:line="240" w:lineRule="auto"/>
        <w:contextualSpacing/>
        <w:rPr>
          <w:lang w:eastAsia="en-US"/>
        </w:rPr>
      </w:pPr>
    </w:p>
    <w:p w14:paraId="16584B55" w14:textId="6F757630" w:rsidR="000552C4" w:rsidRDefault="000552C4" w:rsidP="00CE1189">
      <w:pPr>
        <w:spacing w:after="0" w:line="240" w:lineRule="auto"/>
        <w:contextualSpacing/>
        <w:rPr>
          <w:lang w:eastAsia="en-US"/>
        </w:rPr>
      </w:pPr>
    </w:p>
    <w:p w14:paraId="6B9E313A" w14:textId="7B5232F4" w:rsidR="000552C4" w:rsidRDefault="000552C4" w:rsidP="00CE1189">
      <w:pPr>
        <w:spacing w:after="0" w:line="240" w:lineRule="auto"/>
        <w:contextualSpacing/>
        <w:rPr>
          <w:lang w:eastAsia="en-US"/>
        </w:rPr>
      </w:pPr>
    </w:p>
    <w:p w14:paraId="7E9543BB" w14:textId="3F545711" w:rsidR="000552C4" w:rsidRDefault="000552C4" w:rsidP="00CE1189">
      <w:pPr>
        <w:spacing w:after="0" w:line="240" w:lineRule="auto"/>
        <w:contextualSpacing/>
        <w:rPr>
          <w:lang w:eastAsia="en-US"/>
        </w:rPr>
      </w:pPr>
    </w:p>
    <w:p w14:paraId="219D0404" w14:textId="527ED24B" w:rsidR="000552C4" w:rsidRDefault="000552C4" w:rsidP="00CE1189">
      <w:pPr>
        <w:spacing w:after="0" w:line="240" w:lineRule="auto"/>
        <w:contextualSpacing/>
        <w:rPr>
          <w:lang w:eastAsia="en-US"/>
        </w:rPr>
      </w:pPr>
    </w:p>
    <w:p w14:paraId="34D6D8A4" w14:textId="4B89E8AD" w:rsidR="000552C4" w:rsidRDefault="000552C4" w:rsidP="00CE1189">
      <w:pPr>
        <w:spacing w:after="0" w:line="240" w:lineRule="auto"/>
        <w:contextualSpacing/>
        <w:rPr>
          <w:lang w:eastAsia="en-US"/>
        </w:rPr>
      </w:pPr>
    </w:p>
    <w:p w14:paraId="488C65B9" w14:textId="3E704238" w:rsidR="000552C4" w:rsidRDefault="000552C4" w:rsidP="00CE1189">
      <w:pPr>
        <w:spacing w:after="0" w:line="240" w:lineRule="auto"/>
        <w:contextualSpacing/>
        <w:rPr>
          <w:lang w:eastAsia="en-US"/>
        </w:rPr>
      </w:pPr>
    </w:p>
    <w:p w14:paraId="2F8BAFDB" w14:textId="04A139DD" w:rsidR="000552C4" w:rsidRDefault="000552C4" w:rsidP="00CE1189">
      <w:pPr>
        <w:spacing w:after="0" w:line="240" w:lineRule="auto"/>
        <w:contextualSpacing/>
        <w:rPr>
          <w:lang w:eastAsia="en-US"/>
        </w:rPr>
      </w:pPr>
    </w:p>
    <w:p w14:paraId="0D003CF1" w14:textId="41355938" w:rsidR="00095B3B" w:rsidRDefault="00095B3B" w:rsidP="00CE1189">
      <w:pPr>
        <w:spacing w:after="0" w:line="240" w:lineRule="auto"/>
        <w:contextualSpacing/>
        <w:rPr>
          <w:lang w:eastAsia="en-US"/>
        </w:rPr>
      </w:pPr>
    </w:p>
    <w:p w14:paraId="6039A7FD" w14:textId="3F5129AF" w:rsidR="00095B3B" w:rsidRDefault="00095B3B" w:rsidP="00CE1189">
      <w:pPr>
        <w:spacing w:after="0" w:line="240" w:lineRule="auto"/>
        <w:contextualSpacing/>
        <w:rPr>
          <w:lang w:eastAsia="en-US"/>
        </w:rPr>
      </w:pPr>
    </w:p>
    <w:p w14:paraId="3FBEE385" w14:textId="22E973FA" w:rsidR="00095B3B" w:rsidRDefault="00095B3B" w:rsidP="00CE1189">
      <w:pPr>
        <w:spacing w:after="0" w:line="240" w:lineRule="auto"/>
        <w:contextualSpacing/>
        <w:rPr>
          <w:lang w:eastAsia="en-US"/>
        </w:rPr>
      </w:pPr>
    </w:p>
    <w:p w14:paraId="2C30E70C" w14:textId="6B1C8D00" w:rsidR="00095B3B" w:rsidRDefault="00095B3B" w:rsidP="00CE1189">
      <w:pPr>
        <w:spacing w:after="0" w:line="240" w:lineRule="auto"/>
        <w:contextualSpacing/>
        <w:rPr>
          <w:lang w:eastAsia="en-US"/>
        </w:rPr>
      </w:pPr>
    </w:p>
    <w:p w14:paraId="415A2A71" w14:textId="3B1B0B31" w:rsidR="00095B3B" w:rsidRDefault="00095B3B" w:rsidP="00CE1189">
      <w:pPr>
        <w:spacing w:after="0" w:line="240" w:lineRule="auto"/>
        <w:contextualSpacing/>
        <w:rPr>
          <w:lang w:eastAsia="en-US"/>
        </w:rPr>
      </w:pPr>
    </w:p>
    <w:p w14:paraId="17891DFC" w14:textId="02501575" w:rsidR="00095B3B" w:rsidRDefault="00095B3B" w:rsidP="00CE1189">
      <w:pPr>
        <w:spacing w:after="0" w:line="240" w:lineRule="auto"/>
        <w:contextualSpacing/>
        <w:rPr>
          <w:lang w:eastAsia="en-US"/>
        </w:rPr>
      </w:pPr>
    </w:p>
    <w:p w14:paraId="5553D2DD" w14:textId="0BCD4C52" w:rsidR="00095B3B" w:rsidRDefault="00095B3B" w:rsidP="00CE1189">
      <w:pPr>
        <w:spacing w:after="0" w:line="240" w:lineRule="auto"/>
        <w:contextualSpacing/>
        <w:rPr>
          <w:lang w:eastAsia="en-US"/>
        </w:rPr>
      </w:pPr>
    </w:p>
    <w:p w14:paraId="5DF59CB6" w14:textId="3289D16D" w:rsidR="00095B3B" w:rsidRDefault="00095B3B" w:rsidP="00CE1189">
      <w:pPr>
        <w:spacing w:after="0" w:line="240" w:lineRule="auto"/>
        <w:contextualSpacing/>
        <w:rPr>
          <w:lang w:eastAsia="en-US"/>
        </w:rPr>
      </w:pPr>
    </w:p>
    <w:p w14:paraId="6C341E3C" w14:textId="2678C342" w:rsidR="00095B3B" w:rsidRDefault="00095B3B" w:rsidP="00CE1189">
      <w:pPr>
        <w:spacing w:after="0" w:line="240" w:lineRule="auto"/>
        <w:contextualSpacing/>
        <w:rPr>
          <w:lang w:eastAsia="en-US"/>
        </w:rPr>
      </w:pPr>
    </w:p>
    <w:p w14:paraId="01E77E57" w14:textId="28E68E66" w:rsidR="00095B3B" w:rsidRDefault="00095B3B" w:rsidP="00CE1189">
      <w:pPr>
        <w:spacing w:after="0" w:line="240" w:lineRule="auto"/>
        <w:contextualSpacing/>
        <w:rPr>
          <w:lang w:eastAsia="en-US"/>
        </w:rPr>
      </w:pPr>
    </w:p>
    <w:p w14:paraId="2FF19AC7" w14:textId="62CB85DA" w:rsidR="00095B3B" w:rsidRDefault="00095B3B" w:rsidP="00CE1189">
      <w:pPr>
        <w:spacing w:after="0" w:line="240" w:lineRule="auto"/>
        <w:contextualSpacing/>
        <w:rPr>
          <w:lang w:eastAsia="en-US"/>
        </w:rPr>
      </w:pPr>
    </w:p>
    <w:p w14:paraId="34DAF9ED" w14:textId="4FB2CAFE" w:rsidR="00095B3B" w:rsidRDefault="00095B3B" w:rsidP="00CE1189">
      <w:pPr>
        <w:spacing w:after="0" w:line="240" w:lineRule="auto"/>
        <w:contextualSpacing/>
        <w:rPr>
          <w:lang w:eastAsia="en-US"/>
        </w:rPr>
      </w:pPr>
    </w:p>
    <w:p w14:paraId="19226092" w14:textId="56DF82E6" w:rsidR="00095B3B" w:rsidRDefault="00095B3B" w:rsidP="00CE1189">
      <w:pPr>
        <w:spacing w:after="0" w:line="240" w:lineRule="auto"/>
        <w:contextualSpacing/>
        <w:rPr>
          <w:lang w:eastAsia="en-US"/>
        </w:rPr>
      </w:pPr>
    </w:p>
    <w:p w14:paraId="44684998" w14:textId="6FDC2382" w:rsidR="000552C4" w:rsidRDefault="000552C4" w:rsidP="00CE1189">
      <w:pPr>
        <w:spacing w:after="0" w:line="240" w:lineRule="auto"/>
        <w:contextualSpacing/>
        <w:rPr>
          <w:lang w:eastAsia="en-US"/>
        </w:rPr>
      </w:pPr>
    </w:p>
    <w:p w14:paraId="6B4B2384" w14:textId="3C9E715F" w:rsidR="000552C4" w:rsidRDefault="000552C4" w:rsidP="00CE1189">
      <w:pPr>
        <w:spacing w:after="0" w:line="240" w:lineRule="auto"/>
        <w:contextualSpacing/>
        <w:rPr>
          <w:lang w:eastAsia="en-US"/>
        </w:rPr>
      </w:pPr>
    </w:p>
    <w:p w14:paraId="25700B13" w14:textId="77777777" w:rsidR="000552C4" w:rsidRDefault="000552C4" w:rsidP="00CE1189">
      <w:pPr>
        <w:spacing w:after="0" w:line="240" w:lineRule="auto"/>
        <w:contextualSpacing/>
        <w:rPr>
          <w:lang w:eastAsia="en-US"/>
        </w:rPr>
      </w:pPr>
    </w:p>
    <w:p w14:paraId="3F068792" w14:textId="788BCB1F" w:rsidR="00E56B9B" w:rsidRDefault="00E56B9B" w:rsidP="00CE1189">
      <w:pPr>
        <w:spacing w:after="0" w:line="240" w:lineRule="auto"/>
        <w:contextualSpacing/>
        <w:rPr>
          <w:lang w:eastAsia="en-US"/>
        </w:rPr>
      </w:pPr>
    </w:p>
    <w:p w14:paraId="25FC515C" w14:textId="6390A847" w:rsidR="00E56B9B" w:rsidRPr="000805BC" w:rsidRDefault="00015DF3" w:rsidP="00CE1189">
      <w:pPr>
        <w:spacing w:after="0" w:line="240" w:lineRule="auto"/>
        <w:contextualSpacing/>
        <w:rPr>
          <w:sz w:val="32"/>
          <w:szCs w:val="32"/>
          <w:lang w:eastAsia="en-US"/>
        </w:rPr>
      </w:pPr>
      <w:r>
        <w:rPr>
          <w:sz w:val="32"/>
          <w:szCs w:val="32"/>
          <w:lang w:eastAsia="en-US"/>
        </w:rPr>
        <w:t>June</w:t>
      </w:r>
      <w:r w:rsidR="00E56B9B" w:rsidRPr="000805BC">
        <w:rPr>
          <w:sz w:val="32"/>
          <w:szCs w:val="32"/>
          <w:lang w:eastAsia="en-US"/>
        </w:rPr>
        <w:t xml:space="preserve"> 2019</w:t>
      </w:r>
    </w:p>
    <w:p w14:paraId="4FD4A075" w14:textId="5E9763F5" w:rsidR="00E56B9B" w:rsidRDefault="00E56B9B" w:rsidP="00CE1189">
      <w:pPr>
        <w:spacing w:after="0" w:line="240" w:lineRule="auto"/>
        <w:contextualSpacing/>
        <w:jc w:val="left"/>
      </w:pPr>
    </w:p>
    <w:p w14:paraId="013CAA93" w14:textId="47E60524" w:rsidR="00E56B9B" w:rsidRDefault="00D6050B" w:rsidP="00CE1189">
      <w:pPr>
        <w:spacing w:after="0" w:line="240" w:lineRule="auto"/>
        <w:contextualSpacing/>
        <w:jc w:val="left"/>
      </w:pPr>
      <w:r w:rsidRPr="00C4439B">
        <w:rPr>
          <w:rFonts w:eastAsia="Batang" w:cs="Times New Roman"/>
          <w:noProof/>
        </w:rPr>
        <w:drawing>
          <wp:inline distT="0" distB="0" distL="0" distR="0" wp14:anchorId="5E601682" wp14:editId="274C70AA">
            <wp:extent cx="2686050" cy="527190"/>
            <wp:effectExtent l="0" t="0" r="0" b="6350"/>
            <wp:docPr id="9" name="Picture 24" descr="WBG_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BG_Horizontal-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445" cy="530408"/>
                    </a:xfrm>
                    <a:prstGeom prst="rect">
                      <a:avLst/>
                    </a:prstGeom>
                    <a:noFill/>
                    <a:ln>
                      <a:noFill/>
                    </a:ln>
                  </pic:spPr>
                </pic:pic>
              </a:graphicData>
            </a:graphic>
          </wp:inline>
        </w:drawing>
      </w:r>
      <w:r w:rsidR="00E56B9B">
        <w:br w:type="page"/>
      </w:r>
    </w:p>
    <w:sdt>
      <w:sdtPr>
        <w:rPr>
          <w:rFonts w:asciiTheme="minorHAnsi" w:eastAsiaTheme="minorHAnsi" w:hAnsiTheme="minorHAnsi" w:cstheme="minorHAnsi"/>
          <w:noProof w:val="0"/>
          <w:color w:val="auto"/>
          <w:sz w:val="36"/>
          <w:szCs w:val="36"/>
          <w:lang w:eastAsia="zh-CN"/>
        </w:rPr>
        <w:id w:val="1366023640"/>
        <w:docPartObj>
          <w:docPartGallery w:val="Table of Contents"/>
          <w:docPartUnique/>
        </w:docPartObj>
      </w:sdtPr>
      <w:sdtEndPr>
        <w:rPr>
          <w:rFonts w:asciiTheme="majorHAnsi" w:eastAsia="Arial" w:hAnsiTheme="majorHAnsi" w:cstheme="majorHAnsi"/>
          <w:b/>
          <w:bCs/>
          <w:sz w:val="22"/>
          <w:szCs w:val="22"/>
        </w:rPr>
      </w:sdtEndPr>
      <w:sdtContent>
        <w:p w14:paraId="45B4CA40" w14:textId="08506438" w:rsidR="00E56B9B" w:rsidRPr="00E56B9B" w:rsidRDefault="00E56B9B" w:rsidP="00CE1189">
          <w:pPr>
            <w:pStyle w:val="TOCHeading"/>
            <w:spacing w:before="0" w:line="240" w:lineRule="auto"/>
            <w:contextualSpacing/>
            <w:rPr>
              <w:rFonts w:asciiTheme="minorHAnsi" w:eastAsia="Arial" w:hAnsiTheme="minorHAnsi" w:cs="Arial"/>
              <w:b/>
              <w:sz w:val="36"/>
              <w:szCs w:val="36"/>
            </w:rPr>
          </w:pPr>
          <w:r>
            <w:rPr>
              <w:rFonts w:asciiTheme="minorHAnsi" w:eastAsia="Arial" w:hAnsiTheme="minorHAnsi" w:cs="Arial"/>
              <w:b/>
              <w:sz w:val="36"/>
              <w:szCs w:val="36"/>
            </w:rPr>
            <w:t>CONTENTS</w:t>
          </w:r>
        </w:p>
        <w:p w14:paraId="43BFD9FC" w14:textId="773240AA" w:rsidR="00E56B9B" w:rsidRDefault="00E56B9B" w:rsidP="00CE1189">
          <w:pPr>
            <w:spacing w:after="0" w:line="240" w:lineRule="auto"/>
            <w:contextualSpacing/>
            <w:rPr>
              <w:rFonts w:asciiTheme="majorHAnsi" w:hAnsiTheme="majorHAnsi" w:cstheme="majorHAnsi"/>
            </w:rPr>
          </w:pPr>
        </w:p>
        <w:p w14:paraId="38C052E0" w14:textId="77777777" w:rsidR="00E56B9B" w:rsidRPr="003B34C8" w:rsidRDefault="00E56B9B" w:rsidP="00CE1189">
          <w:pPr>
            <w:spacing w:after="0" w:line="240" w:lineRule="auto"/>
            <w:contextualSpacing/>
            <w:rPr>
              <w:rFonts w:asciiTheme="majorHAnsi" w:hAnsiTheme="majorHAnsi" w:cstheme="majorHAnsi"/>
            </w:rPr>
          </w:pPr>
        </w:p>
        <w:p w14:paraId="283F76E3" w14:textId="2BEBF317" w:rsidR="00496C0A" w:rsidRDefault="00983ABC">
          <w:pPr>
            <w:pStyle w:val="TOC1"/>
            <w:rPr>
              <w:rFonts w:eastAsiaTheme="minorEastAsia" w:cstheme="minorBidi"/>
              <w:noProof/>
              <w:sz w:val="22"/>
              <w:lang w:eastAsia="en-US"/>
            </w:rPr>
          </w:pPr>
          <w:r>
            <w:rPr>
              <w:rFonts w:asciiTheme="majorHAnsi" w:hAnsiTheme="majorHAnsi" w:cstheme="majorHAnsi"/>
              <w:b/>
              <w:bCs/>
              <w:noProof/>
              <w:sz w:val="20"/>
              <w:szCs w:val="20"/>
            </w:rPr>
            <w:fldChar w:fldCharType="begin"/>
          </w:r>
          <w:r>
            <w:rPr>
              <w:rFonts w:asciiTheme="majorHAnsi" w:hAnsiTheme="majorHAnsi" w:cstheme="majorHAnsi"/>
              <w:b/>
              <w:bCs/>
              <w:noProof/>
              <w:sz w:val="20"/>
              <w:szCs w:val="20"/>
            </w:rPr>
            <w:instrText xml:space="preserve"> TOC \o "1-3" \h \z \u </w:instrText>
          </w:r>
          <w:r>
            <w:rPr>
              <w:rFonts w:asciiTheme="majorHAnsi" w:hAnsiTheme="majorHAnsi" w:cstheme="majorHAnsi"/>
              <w:b/>
              <w:bCs/>
              <w:noProof/>
              <w:sz w:val="20"/>
              <w:szCs w:val="20"/>
            </w:rPr>
            <w:fldChar w:fldCharType="separate"/>
          </w:r>
          <w:hyperlink w:anchor="_Toc11219063" w:history="1">
            <w:r w:rsidR="00496C0A" w:rsidRPr="00E162CE">
              <w:rPr>
                <w:rStyle w:val="Hyperlink"/>
                <w:noProof/>
              </w:rPr>
              <w:t>ACKNOWLEDGEMENTS</w:t>
            </w:r>
            <w:r w:rsidR="00496C0A">
              <w:rPr>
                <w:noProof/>
                <w:webHidden/>
              </w:rPr>
              <w:tab/>
            </w:r>
            <w:r w:rsidR="00496C0A">
              <w:rPr>
                <w:noProof/>
                <w:webHidden/>
              </w:rPr>
              <w:fldChar w:fldCharType="begin"/>
            </w:r>
            <w:r w:rsidR="00496C0A">
              <w:rPr>
                <w:noProof/>
                <w:webHidden/>
              </w:rPr>
              <w:instrText xml:space="preserve"> PAGEREF _Toc11219063 \h </w:instrText>
            </w:r>
            <w:r w:rsidR="00496C0A">
              <w:rPr>
                <w:noProof/>
                <w:webHidden/>
              </w:rPr>
            </w:r>
            <w:r w:rsidR="00496C0A">
              <w:rPr>
                <w:noProof/>
                <w:webHidden/>
              </w:rPr>
              <w:fldChar w:fldCharType="separate"/>
            </w:r>
            <w:r w:rsidR="00C97B7F">
              <w:rPr>
                <w:noProof/>
                <w:webHidden/>
              </w:rPr>
              <w:t>v</w:t>
            </w:r>
            <w:r w:rsidR="00496C0A">
              <w:rPr>
                <w:noProof/>
                <w:webHidden/>
              </w:rPr>
              <w:fldChar w:fldCharType="end"/>
            </w:r>
          </w:hyperlink>
        </w:p>
        <w:p w14:paraId="25C0BCE8" w14:textId="48AC5157" w:rsidR="00496C0A" w:rsidRDefault="00F90219">
          <w:pPr>
            <w:pStyle w:val="TOC1"/>
            <w:rPr>
              <w:rFonts w:eastAsiaTheme="minorEastAsia" w:cstheme="minorBidi"/>
              <w:noProof/>
              <w:sz w:val="22"/>
              <w:lang w:eastAsia="en-US"/>
            </w:rPr>
          </w:pPr>
          <w:hyperlink w:anchor="_Toc11219064" w:history="1">
            <w:r w:rsidR="00496C0A" w:rsidRPr="00E162CE">
              <w:rPr>
                <w:rStyle w:val="Hyperlink"/>
                <w:noProof/>
              </w:rPr>
              <w:t>EXECUTIVE SUMMARY</w:t>
            </w:r>
            <w:r w:rsidR="00496C0A">
              <w:rPr>
                <w:noProof/>
                <w:webHidden/>
              </w:rPr>
              <w:tab/>
            </w:r>
            <w:r w:rsidR="00496C0A">
              <w:rPr>
                <w:noProof/>
                <w:webHidden/>
              </w:rPr>
              <w:fldChar w:fldCharType="begin"/>
            </w:r>
            <w:r w:rsidR="00496C0A">
              <w:rPr>
                <w:noProof/>
                <w:webHidden/>
              </w:rPr>
              <w:instrText xml:space="preserve"> PAGEREF _Toc11219064 \h </w:instrText>
            </w:r>
            <w:r w:rsidR="00496C0A">
              <w:rPr>
                <w:noProof/>
                <w:webHidden/>
              </w:rPr>
            </w:r>
            <w:r w:rsidR="00496C0A">
              <w:rPr>
                <w:noProof/>
                <w:webHidden/>
              </w:rPr>
              <w:fldChar w:fldCharType="separate"/>
            </w:r>
            <w:r w:rsidR="00C97B7F">
              <w:rPr>
                <w:noProof/>
                <w:webHidden/>
              </w:rPr>
              <w:t>vi</w:t>
            </w:r>
            <w:r w:rsidR="00496C0A">
              <w:rPr>
                <w:noProof/>
                <w:webHidden/>
              </w:rPr>
              <w:fldChar w:fldCharType="end"/>
            </w:r>
          </w:hyperlink>
        </w:p>
        <w:p w14:paraId="6E1BCCF8" w14:textId="26CE846F" w:rsidR="00496C0A" w:rsidRDefault="00F90219">
          <w:pPr>
            <w:pStyle w:val="TOC1"/>
            <w:rPr>
              <w:rFonts w:eastAsiaTheme="minorEastAsia" w:cstheme="minorBidi"/>
              <w:noProof/>
              <w:sz w:val="22"/>
              <w:lang w:eastAsia="en-US"/>
            </w:rPr>
          </w:pPr>
          <w:hyperlink w:anchor="_Toc11219065" w:history="1">
            <w:r w:rsidR="00496C0A" w:rsidRPr="00E162CE">
              <w:rPr>
                <w:rStyle w:val="Hyperlink"/>
                <w:iCs/>
                <w:noProof/>
              </w:rPr>
              <w:t xml:space="preserve">1. </w:t>
            </w:r>
            <w:r w:rsidR="00496C0A" w:rsidRPr="00E162CE">
              <w:rPr>
                <w:rStyle w:val="Hyperlink"/>
                <w:noProof/>
              </w:rPr>
              <w:t>OBJECTIVE AND ANALYTICAL FRAMEWORK</w:t>
            </w:r>
            <w:r w:rsidR="00496C0A">
              <w:rPr>
                <w:noProof/>
                <w:webHidden/>
              </w:rPr>
              <w:tab/>
            </w:r>
            <w:r w:rsidR="00496C0A">
              <w:rPr>
                <w:noProof/>
                <w:webHidden/>
              </w:rPr>
              <w:fldChar w:fldCharType="begin"/>
            </w:r>
            <w:r w:rsidR="00496C0A">
              <w:rPr>
                <w:noProof/>
                <w:webHidden/>
              </w:rPr>
              <w:instrText xml:space="preserve"> PAGEREF _Toc11219065 \h </w:instrText>
            </w:r>
            <w:r w:rsidR="00496C0A">
              <w:rPr>
                <w:noProof/>
                <w:webHidden/>
              </w:rPr>
            </w:r>
            <w:r w:rsidR="00496C0A">
              <w:rPr>
                <w:noProof/>
                <w:webHidden/>
              </w:rPr>
              <w:fldChar w:fldCharType="separate"/>
            </w:r>
            <w:r w:rsidR="00C97B7F">
              <w:rPr>
                <w:noProof/>
                <w:webHidden/>
              </w:rPr>
              <w:t>1</w:t>
            </w:r>
            <w:r w:rsidR="00496C0A">
              <w:rPr>
                <w:noProof/>
                <w:webHidden/>
              </w:rPr>
              <w:fldChar w:fldCharType="end"/>
            </w:r>
          </w:hyperlink>
        </w:p>
        <w:p w14:paraId="3B934B3E" w14:textId="70476753" w:rsidR="00496C0A" w:rsidRDefault="00F90219">
          <w:pPr>
            <w:pStyle w:val="TOC2"/>
            <w:tabs>
              <w:tab w:val="right" w:leader="dot" w:pos="9389"/>
            </w:tabs>
            <w:rPr>
              <w:rFonts w:eastAsiaTheme="minorEastAsia" w:cstheme="minorBidi"/>
              <w:noProof/>
              <w:lang w:eastAsia="en-US"/>
            </w:rPr>
          </w:pPr>
          <w:hyperlink w:anchor="_Toc11219066" w:history="1">
            <w:r w:rsidR="00496C0A" w:rsidRPr="00E162CE">
              <w:rPr>
                <w:rStyle w:val="Hyperlink"/>
                <w:noProof/>
              </w:rPr>
              <w:t>Objective</w:t>
            </w:r>
            <w:r w:rsidR="00496C0A">
              <w:rPr>
                <w:noProof/>
                <w:webHidden/>
              </w:rPr>
              <w:tab/>
            </w:r>
            <w:r w:rsidR="00496C0A">
              <w:rPr>
                <w:noProof/>
                <w:webHidden/>
              </w:rPr>
              <w:fldChar w:fldCharType="begin"/>
            </w:r>
            <w:r w:rsidR="00496C0A">
              <w:rPr>
                <w:noProof/>
                <w:webHidden/>
              </w:rPr>
              <w:instrText xml:space="preserve"> PAGEREF _Toc11219066 \h </w:instrText>
            </w:r>
            <w:r w:rsidR="00496C0A">
              <w:rPr>
                <w:noProof/>
                <w:webHidden/>
              </w:rPr>
            </w:r>
            <w:r w:rsidR="00496C0A">
              <w:rPr>
                <w:noProof/>
                <w:webHidden/>
              </w:rPr>
              <w:fldChar w:fldCharType="separate"/>
            </w:r>
            <w:r w:rsidR="00C97B7F">
              <w:rPr>
                <w:noProof/>
                <w:webHidden/>
              </w:rPr>
              <w:t>1</w:t>
            </w:r>
            <w:r w:rsidR="00496C0A">
              <w:rPr>
                <w:noProof/>
                <w:webHidden/>
              </w:rPr>
              <w:fldChar w:fldCharType="end"/>
            </w:r>
          </w:hyperlink>
        </w:p>
        <w:p w14:paraId="1CBA5AD3" w14:textId="550361F3" w:rsidR="00496C0A" w:rsidRDefault="00F90219">
          <w:pPr>
            <w:pStyle w:val="TOC2"/>
            <w:tabs>
              <w:tab w:val="right" w:leader="dot" w:pos="9389"/>
            </w:tabs>
            <w:rPr>
              <w:rFonts w:eastAsiaTheme="minorEastAsia" w:cstheme="minorBidi"/>
              <w:noProof/>
              <w:lang w:eastAsia="en-US"/>
            </w:rPr>
          </w:pPr>
          <w:hyperlink w:anchor="_Toc11219067" w:history="1">
            <w:r w:rsidR="00496C0A" w:rsidRPr="00E162CE">
              <w:rPr>
                <w:rStyle w:val="Hyperlink"/>
                <w:noProof/>
              </w:rPr>
              <w:t>Analytical framework and main findings</w:t>
            </w:r>
            <w:r w:rsidR="00496C0A">
              <w:rPr>
                <w:noProof/>
                <w:webHidden/>
              </w:rPr>
              <w:tab/>
            </w:r>
            <w:r w:rsidR="00496C0A">
              <w:rPr>
                <w:noProof/>
                <w:webHidden/>
              </w:rPr>
              <w:fldChar w:fldCharType="begin"/>
            </w:r>
            <w:r w:rsidR="00496C0A">
              <w:rPr>
                <w:noProof/>
                <w:webHidden/>
              </w:rPr>
              <w:instrText xml:space="preserve"> PAGEREF _Toc11219067 \h </w:instrText>
            </w:r>
            <w:r w:rsidR="00496C0A">
              <w:rPr>
                <w:noProof/>
                <w:webHidden/>
              </w:rPr>
            </w:r>
            <w:r w:rsidR="00496C0A">
              <w:rPr>
                <w:noProof/>
                <w:webHidden/>
              </w:rPr>
              <w:fldChar w:fldCharType="separate"/>
            </w:r>
            <w:r w:rsidR="00C97B7F">
              <w:rPr>
                <w:noProof/>
                <w:webHidden/>
              </w:rPr>
              <w:t>3</w:t>
            </w:r>
            <w:r w:rsidR="00496C0A">
              <w:rPr>
                <w:noProof/>
                <w:webHidden/>
              </w:rPr>
              <w:fldChar w:fldCharType="end"/>
            </w:r>
          </w:hyperlink>
        </w:p>
        <w:p w14:paraId="343B0734" w14:textId="293B62B5" w:rsidR="00496C0A" w:rsidRDefault="00F90219">
          <w:pPr>
            <w:pStyle w:val="TOC2"/>
            <w:tabs>
              <w:tab w:val="right" w:leader="dot" w:pos="9389"/>
            </w:tabs>
            <w:rPr>
              <w:rFonts w:eastAsiaTheme="minorEastAsia" w:cstheme="minorBidi"/>
              <w:noProof/>
              <w:lang w:eastAsia="en-US"/>
            </w:rPr>
          </w:pPr>
          <w:hyperlink w:anchor="_Toc11219068" w:history="1">
            <w:r w:rsidR="00496C0A" w:rsidRPr="00E162CE">
              <w:rPr>
                <w:rStyle w:val="Hyperlink"/>
                <w:noProof/>
              </w:rPr>
              <w:t>Structure of the report</w:t>
            </w:r>
            <w:r w:rsidR="00496C0A">
              <w:rPr>
                <w:noProof/>
                <w:webHidden/>
              </w:rPr>
              <w:tab/>
            </w:r>
            <w:r w:rsidR="00496C0A">
              <w:rPr>
                <w:noProof/>
                <w:webHidden/>
              </w:rPr>
              <w:fldChar w:fldCharType="begin"/>
            </w:r>
            <w:r w:rsidR="00496C0A">
              <w:rPr>
                <w:noProof/>
                <w:webHidden/>
              </w:rPr>
              <w:instrText xml:space="preserve"> PAGEREF _Toc11219068 \h </w:instrText>
            </w:r>
            <w:r w:rsidR="00496C0A">
              <w:rPr>
                <w:noProof/>
                <w:webHidden/>
              </w:rPr>
            </w:r>
            <w:r w:rsidR="00496C0A">
              <w:rPr>
                <w:noProof/>
                <w:webHidden/>
              </w:rPr>
              <w:fldChar w:fldCharType="separate"/>
            </w:r>
            <w:r w:rsidR="00C97B7F">
              <w:rPr>
                <w:noProof/>
                <w:webHidden/>
              </w:rPr>
              <w:t>5</w:t>
            </w:r>
            <w:r w:rsidR="00496C0A">
              <w:rPr>
                <w:noProof/>
                <w:webHidden/>
              </w:rPr>
              <w:fldChar w:fldCharType="end"/>
            </w:r>
          </w:hyperlink>
        </w:p>
        <w:p w14:paraId="5790125B" w14:textId="5D513D6F" w:rsidR="00496C0A" w:rsidRDefault="00F90219">
          <w:pPr>
            <w:pStyle w:val="TOC1"/>
            <w:rPr>
              <w:rFonts w:eastAsiaTheme="minorEastAsia" w:cstheme="minorBidi"/>
              <w:noProof/>
              <w:sz w:val="22"/>
              <w:lang w:eastAsia="en-US"/>
            </w:rPr>
          </w:pPr>
          <w:hyperlink w:anchor="_Toc11219069" w:history="1">
            <w:r w:rsidR="00496C0A" w:rsidRPr="00E162CE">
              <w:rPr>
                <w:rStyle w:val="Hyperlink"/>
                <w:iCs/>
                <w:noProof/>
              </w:rPr>
              <w:t>2. RUSSIA’S SOE SECTOR: DEFINITIONS AND SIZE</w:t>
            </w:r>
            <w:r w:rsidR="00496C0A">
              <w:rPr>
                <w:noProof/>
                <w:webHidden/>
              </w:rPr>
              <w:tab/>
            </w:r>
            <w:r w:rsidR="00496C0A">
              <w:rPr>
                <w:noProof/>
                <w:webHidden/>
              </w:rPr>
              <w:fldChar w:fldCharType="begin"/>
            </w:r>
            <w:r w:rsidR="00496C0A">
              <w:rPr>
                <w:noProof/>
                <w:webHidden/>
              </w:rPr>
              <w:instrText xml:space="preserve"> PAGEREF _Toc11219069 \h </w:instrText>
            </w:r>
            <w:r w:rsidR="00496C0A">
              <w:rPr>
                <w:noProof/>
                <w:webHidden/>
              </w:rPr>
            </w:r>
            <w:r w:rsidR="00496C0A">
              <w:rPr>
                <w:noProof/>
                <w:webHidden/>
              </w:rPr>
              <w:fldChar w:fldCharType="separate"/>
            </w:r>
            <w:r w:rsidR="00C97B7F">
              <w:rPr>
                <w:noProof/>
                <w:webHidden/>
              </w:rPr>
              <w:t>6</w:t>
            </w:r>
            <w:r w:rsidR="00496C0A">
              <w:rPr>
                <w:noProof/>
                <w:webHidden/>
              </w:rPr>
              <w:fldChar w:fldCharType="end"/>
            </w:r>
          </w:hyperlink>
        </w:p>
        <w:p w14:paraId="4D1D1D4D" w14:textId="123CF6FC" w:rsidR="00496C0A" w:rsidRDefault="00F90219">
          <w:pPr>
            <w:pStyle w:val="TOC2"/>
            <w:tabs>
              <w:tab w:val="right" w:leader="dot" w:pos="9389"/>
            </w:tabs>
            <w:rPr>
              <w:rFonts w:eastAsiaTheme="minorEastAsia" w:cstheme="minorBidi"/>
              <w:noProof/>
              <w:lang w:eastAsia="en-US"/>
            </w:rPr>
          </w:pPr>
          <w:hyperlink w:anchor="_Toc11219070" w:history="1">
            <w:r w:rsidR="00496C0A" w:rsidRPr="00E162CE">
              <w:rPr>
                <w:rStyle w:val="Hyperlink"/>
                <w:noProof/>
              </w:rPr>
              <w:t>Legal definition and regulatory framework</w:t>
            </w:r>
            <w:r w:rsidR="00496C0A">
              <w:rPr>
                <w:noProof/>
                <w:webHidden/>
              </w:rPr>
              <w:tab/>
            </w:r>
            <w:r w:rsidR="00496C0A">
              <w:rPr>
                <w:noProof/>
                <w:webHidden/>
              </w:rPr>
              <w:fldChar w:fldCharType="begin"/>
            </w:r>
            <w:r w:rsidR="00496C0A">
              <w:rPr>
                <w:noProof/>
                <w:webHidden/>
              </w:rPr>
              <w:instrText xml:space="preserve"> PAGEREF _Toc11219070 \h </w:instrText>
            </w:r>
            <w:r w:rsidR="00496C0A">
              <w:rPr>
                <w:noProof/>
                <w:webHidden/>
              </w:rPr>
            </w:r>
            <w:r w:rsidR="00496C0A">
              <w:rPr>
                <w:noProof/>
                <w:webHidden/>
              </w:rPr>
              <w:fldChar w:fldCharType="separate"/>
            </w:r>
            <w:r w:rsidR="00C97B7F">
              <w:rPr>
                <w:noProof/>
                <w:webHidden/>
              </w:rPr>
              <w:t>6</w:t>
            </w:r>
            <w:r w:rsidR="00496C0A">
              <w:rPr>
                <w:noProof/>
                <w:webHidden/>
              </w:rPr>
              <w:fldChar w:fldCharType="end"/>
            </w:r>
          </w:hyperlink>
        </w:p>
        <w:p w14:paraId="70F9F08E" w14:textId="0CC5FA2E" w:rsidR="00496C0A" w:rsidRDefault="00F90219">
          <w:pPr>
            <w:pStyle w:val="TOC2"/>
            <w:tabs>
              <w:tab w:val="right" w:leader="dot" w:pos="9389"/>
            </w:tabs>
            <w:rPr>
              <w:rFonts w:eastAsiaTheme="minorEastAsia" w:cstheme="minorBidi"/>
              <w:noProof/>
              <w:lang w:eastAsia="en-US"/>
            </w:rPr>
          </w:pPr>
          <w:hyperlink w:anchor="_Toc11219071" w:history="1">
            <w:r w:rsidR="00496C0A" w:rsidRPr="00E162CE">
              <w:rPr>
                <w:rStyle w:val="Hyperlink"/>
                <w:noProof/>
              </w:rPr>
              <w:t>Data sources</w:t>
            </w:r>
            <w:r w:rsidR="00496C0A">
              <w:rPr>
                <w:noProof/>
                <w:webHidden/>
              </w:rPr>
              <w:tab/>
            </w:r>
            <w:r w:rsidR="00496C0A">
              <w:rPr>
                <w:noProof/>
                <w:webHidden/>
              </w:rPr>
              <w:fldChar w:fldCharType="begin"/>
            </w:r>
            <w:r w:rsidR="00496C0A">
              <w:rPr>
                <w:noProof/>
                <w:webHidden/>
              </w:rPr>
              <w:instrText xml:space="preserve"> PAGEREF _Toc11219071 \h </w:instrText>
            </w:r>
            <w:r w:rsidR="00496C0A">
              <w:rPr>
                <w:noProof/>
                <w:webHidden/>
              </w:rPr>
            </w:r>
            <w:r w:rsidR="00496C0A">
              <w:rPr>
                <w:noProof/>
                <w:webHidden/>
              </w:rPr>
              <w:fldChar w:fldCharType="separate"/>
            </w:r>
            <w:r w:rsidR="00C97B7F">
              <w:rPr>
                <w:noProof/>
                <w:webHidden/>
              </w:rPr>
              <w:t>8</w:t>
            </w:r>
            <w:r w:rsidR="00496C0A">
              <w:rPr>
                <w:noProof/>
                <w:webHidden/>
              </w:rPr>
              <w:fldChar w:fldCharType="end"/>
            </w:r>
          </w:hyperlink>
        </w:p>
        <w:p w14:paraId="3F8E72C5" w14:textId="51699B67" w:rsidR="00496C0A" w:rsidRDefault="00F90219">
          <w:pPr>
            <w:pStyle w:val="TOC2"/>
            <w:tabs>
              <w:tab w:val="right" w:leader="dot" w:pos="9389"/>
            </w:tabs>
            <w:rPr>
              <w:rFonts w:eastAsiaTheme="minorEastAsia" w:cstheme="minorBidi"/>
              <w:noProof/>
              <w:lang w:eastAsia="en-US"/>
            </w:rPr>
          </w:pPr>
          <w:hyperlink w:anchor="_Toc11219072" w:history="1">
            <w:r w:rsidR="00496C0A" w:rsidRPr="00E162CE">
              <w:rPr>
                <w:rStyle w:val="Hyperlink"/>
                <w:noProof/>
              </w:rPr>
              <w:t>Sizing the Russian SOE sector</w:t>
            </w:r>
            <w:r w:rsidR="00496C0A">
              <w:rPr>
                <w:noProof/>
                <w:webHidden/>
              </w:rPr>
              <w:tab/>
            </w:r>
            <w:r w:rsidR="00496C0A">
              <w:rPr>
                <w:noProof/>
                <w:webHidden/>
              </w:rPr>
              <w:fldChar w:fldCharType="begin"/>
            </w:r>
            <w:r w:rsidR="00496C0A">
              <w:rPr>
                <w:noProof/>
                <w:webHidden/>
              </w:rPr>
              <w:instrText xml:space="preserve"> PAGEREF _Toc11219072 \h </w:instrText>
            </w:r>
            <w:r w:rsidR="00496C0A">
              <w:rPr>
                <w:noProof/>
                <w:webHidden/>
              </w:rPr>
            </w:r>
            <w:r w:rsidR="00496C0A">
              <w:rPr>
                <w:noProof/>
                <w:webHidden/>
              </w:rPr>
              <w:fldChar w:fldCharType="separate"/>
            </w:r>
            <w:r w:rsidR="00C97B7F">
              <w:rPr>
                <w:noProof/>
                <w:webHidden/>
              </w:rPr>
              <w:t>9</w:t>
            </w:r>
            <w:r w:rsidR="00496C0A">
              <w:rPr>
                <w:noProof/>
                <w:webHidden/>
              </w:rPr>
              <w:fldChar w:fldCharType="end"/>
            </w:r>
          </w:hyperlink>
        </w:p>
        <w:p w14:paraId="56D5BAB8" w14:textId="14F5B7E1" w:rsidR="00496C0A" w:rsidRDefault="00F90219">
          <w:pPr>
            <w:pStyle w:val="TOC1"/>
            <w:rPr>
              <w:rFonts w:eastAsiaTheme="minorEastAsia" w:cstheme="minorBidi"/>
              <w:noProof/>
              <w:sz w:val="22"/>
              <w:lang w:eastAsia="en-US"/>
            </w:rPr>
          </w:pPr>
          <w:hyperlink w:anchor="_Toc11219073" w:history="1">
            <w:r w:rsidR="00496C0A" w:rsidRPr="00E162CE">
              <w:rPr>
                <w:rStyle w:val="Hyperlink"/>
                <w:iCs/>
                <w:noProof/>
              </w:rPr>
              <w:t xml:space="preserve">3. </w:t>
            </w:r>
            <w:r w:rsidR="00496C0A" w:rsidRPr="00E162CE">
              <w:rPr>
                <w:rStyle w:val="Hyperlink"/>
                <w:noProof/>
              </w:rPr>
              <w:t>SOE COMPENSATION AND LABOR MARKET</w:t>
            </w:r>
            <w:r w:rsidR="00496C0A">
              <w:rPr>
                <w:noProof/>
                <w:webHidden/>
              </w:rPr>
              <w:tab/>
            </w:r>
            <w:r w:rsidR="00496C0A">
              <w:rPr>
                <w:noProof/>
                <w:webHidden/>
              </w:rPr>
              <w:fldChar w:fldCharType="begin"/>
            </w:r>
            <w:r w:rsidR="00496C0A">
              <w:rPr>
                <w:noProof/>
                <w:webHidden/>
              </w:rPr>
              <w:instrText xml:space="preserve"> PAGEREF _Toc11219073 \h </w:instrText>
            </w:r>
            <w:r w:rsidR="00496C0A">
              <w:rPr>
                <w:noProof/>
                <w:webHidden/>
              </w:rPr>
            </w:r>
            <w:r w:rsidR="00496C0A">
              <w:rPr>
                <w:noProof/>
                <w:webHidden/>
              </w:rPr>
              <w:fldChar w:fldCharType="separate"/>
            </w:r>
            <w:r w:rsidR="00C97B7F">
              <w:rPr>
                <w:noProof/>
                <w:webHidden/>
              </w:rPr>
              <w:t>15</w:t>
            </w:r>
            <w:r w:rsidR="00496C0A">
              <w:rPr>
                <w:noProof/>
                <w:webHidden/>
              </w:rPr>
              <w:fldChar w:fldCharType="end"/>
            </w:r>
          </w:hyperlink>
        </w:p>
        <w:p w14:paraId="606905CD" w14:textId="4421B5DE" w:rsidR="00496C0A" w:rsidRDefault="00F90219">
          <w:pPr>
            <w:pStyle w:val="TOC2"/>
            <w:tabs>
              <w:tab w:val="right" w:leader="dot" w:pos="9389"/>
            </w:tabs>
            <w:rPr>
              <w:rFonts w:eastAsiaTheme="minorEastAsia" w:cstheme="minorBidi"/>
              <w:noProof/>
              <w:lang w:eastAsia="en-US"/>
            </w:rPr>
          </w:pPr>
          <w:hyperlink w:anchor="_Toc11219074" w:history="1">
            <w:r w:rsidR="00496C0A" w:rsidRPr="00E162CE">
              <w:rPr>
                <w:rStyle w:val="Hyperlink"/>
                <w:noProof/>
              </w:rPr>
              <w:t>SOE compensation</w:t>
            </w:r>
            <w:r w:rsidR="00496C0A">
              <w:rPr>
                <w:noProof/>
                <w:webHidden/>
              </w:rPr>
              <w:tab/>
            </w:r>
            <w:r w:rsidR="00496C0A">
              <w:rPr>
                <w:noProof/>
                <w:webHidden/>
              </w:rPr>
              <w:fldChar w:fldCharType="begin"/>
            </w:r>
            <w:r w:rsidR="00496C0A">
              <w:rPr>
                <w:noProof/>
                <w:webHidden/>
              </w:rPr>
              <w:instrText xml:space="preserve"> PAGEREF _Toc11219074 \h </w:instrText>
            </w:r>
            <w:r w:rsidR="00496C0A">
              <w:rPr>
                <w:noProof/>
                <w:webHidden/>
              </w:rPr>
            </w:r>
            <w:r w:rsidR="00496C0A">
              <w:rPr>
                <w:noProof/>
                <w:webHidden/>
              </w:rPr>
              <w:fldChar w:fldCharType="separate"/>
            </w:r>
            <w:r w:rsidR="00C97B7F">
              <w:rPr>
                <w:noProof/>
                <w:webHidden/>
              </w:rPr>
              <w:t>17</w:t>
            </w:r>
            <w:r w:rsidR="00496C0A">
              <w:rPr>
                <w:noProof/>
                <w:webHidden/>
              </w:rPr>
              <w:fldChar w:fldCharType="end"/>
            </w:r>
          </w:hyperlink>
        </w:p>
        <w:p w14:paraId="381064F6" w14:textId="468EFA0A" w:rsidR="00496C0A" w:rsidRDefault="00F90219">
          <w:pPr>
            <w:pStyle w:val="TOC2"/>
            <w:tabs>
              <w:tab w:val="right" w:leader="dot" w:pos="9389"/>
            </w:tabs>
            <w:rPr>
              <w:rFonts w:eastAsiaTheme="minorEastAsia" w:cstheme="minorBidi"/>
              <w:noProof/>
              <w:lang w:eastAsia="en-US"/>
            </w:rPr>
          </w:pPr>
          <w:hyperlink w:anchor="_Toc11219075" w:history="1">
            <w:r w:rsidR="00496C0A" w:rsidRPr="00E162CE">
              <w:rPr>
                <w:rStyle w:val="Hyperlink"/>
                <w:noProof/>
              </w:rPr>
              <w:t>Effects on labor supply and allocation</w:t>
            </w:r>
            <w:r w:rsidR="00496C0A">
              <w:rPr>
                <w:noProof/>
                <w:webHidden/>
              </w:rPr>
              <w:tab/>
            </w:r>
            <w:r w:rsidR="00496C0A">
              <w:rPr>
                <w:noProof/>
                <w:webHidden/>
              </w:rPr>
              <w:fldChar w:fldCharType="begin"/>
            </w:r>
            <w:r w:rsidR="00496C0A">
              <w:rPr>
                <w:noProof/>
                <w:webHidden/>
              </w:rPr>
              <w:instrText xml:space="preserve"> PAGEREF _Toc11219075 \h </w:instrText>
            </w:r>
            <w:r w:rsidR="00496C0A">
              <w:rPr>
                <w:noProof/>
                <w:webHidden/>
              </w:rPr>
            </w:r>
            <w:r w:rsidR="00496C0A">
              <w:rPr>
                <w:noProof/>
                <w:webHidden/>
              </w:rPr>
              <w:fldChar w:fldCharType="separate"/>
            </w:r>
            <w:r w:rsidR="00C97B7F">
              <w:rPr>
                <w:noProof/>
                <w:webHidden/>
              </w:rPr>
              <w:t>22</w:t>
            </w:r>
            <w:r w:rsidR="00496C0A">
              <w:rPr>
                <w:noProof/>
                <w:webHidden/>
              </w:rPr>
              <w:fldChar w:fldCharType="end"/>
            </w:r>
          </w:hyperlink>
        </w:p>
        <w:p w14:paraId="67FE02E3" w14:textId="2D7C75E9" w:rsidR="00496C0A" w:rsidRDefault="00F90219">
          <w:pPr>
            <w:pStyle w:val="TOC1"/>
            <w:rPr>
              <w:rFonts w:eastAsiaTheme="minorEastAsia" w:cstheme="minorBidi"/>
              <w:noProof/>
              <w:sz w:val="22"/>
              <w:lang w:eastAsia="en-US"/>
            </w:rPr>
          </w:pPr>
          <w:hyperlink w:anchor="_Toc11219076" w:history="1">
            <w:r w:rsidR="00496C0A" w:rsidRPr="00E162CE">
              <w:rPr>
                <w:rStyle w:val="Hyperlink"/>
                <w:iCs/>
                <w:noProof/>
              </w:rPr>
              <w:t xml:space="preserve">4. </w:t>
            </w:r>
            <w:r w:rsidR="00496C0A" w:rsidRPr="00E162CE">
              <w:rPr>
                <w:rStyle w:val="Hyperlink"/>
                <w:noProof/>
              </w:rPr>
              <w:t>SOE EMPLOYMENT PRACTICES AND INTERNAL CAPABILITIES</w:t>
            </w:r>
            <w:r w:rsidR="00496C0A">
              <w:rPr>
                <w:noProof/>
                <w:webHidden/>
              </w:rPr>
              <w:tab/>
            </w:r>
            <w:r w:rsidR="00496C0A">
              <w:rPr>
                <w:noProof/>
                <w:webHidden/>
              </w:rPr>
              <w:fldChar w:fldCharType="begin"/>
            </w:r>
            <w:r w:rsidR="00496C0A">
              <w:rPr>
                <w:noProof/>
                <w:webHidden/>
              </w:rPr>
              <w:instrText xml:space="preserve"> PAGEREF _Toc11219076 \h </w:instrText>
            </w:r>
            <w:r w:rsidR="00496C0A">
              <w:rPr>
                <w:noProof/>
                <w:webHidden/>
              </w:rPr>
            </w:r>
            <w:r w:rsidR="00496C0A">
              <w:rPr>
                <w:noProof/>
                <w:webHidden/>
              </w:rPr>
              <w:fldChar w:fldCharType="separate"/>
            </w:r>
            <w:r w:rsidR="00C97B7F">
              <w:rPr>
                <w:noProof/>
                <w:webHidden/>
              </w:rPr>
              <w:t>27</w:t>
            </w:r>
            <w:r w:rsidR="00496C0A">
              <w:rPr>
                <w:noProof/>
                <w:webHidden/>
              </w:rPr>
              <w:fldChar w:fldCharType="end"/>
            </w:r>
          </w:hyperlink>
        </w:p>
        <w:p w14:paraId="16C1B049" w14:textId="04DEC458" w:rsidR="00496C0A" w:rsidRDefault="00F90219">
          <w:pPr>
            <w:pStyle w:val="TOC2"/>
            <w:tabs>
              <w:tab w:val="right" w:leader="dot" w:pos="9389"/>
            </w:tabs>
            <w:rPr>
              <w:rFonts w:eastAsiaTheme="minorEastAsia" w:cstheme="minorBidi"/>
              <w:noProof/>
              <w:lang w:eastAsia="en-US"/>
            </w:rPr>
          </w:pPr>
          <w:hyperlink w:anchor="_Toc11219077" w:history="1">
            <w:r w:rsidR="00496C0A" w:rsidRPr="00E162CE">
              <w:rPr>
                <w:rStyle w:val="Hyperlink"/>
                <w:noProof/>
              </w:rPr>
              <w:t>SOE personnel management</w:t>
            </w:r>
            <w:r w:rsidR="00496C0A">
              <w:rPr>
                <w:noProof/>
                <w:webHidden/>
              </w:rPr>
              <w:tab/>
            </w:r>
            <w:r w:rsidR="00496C0A">
              <w:rPr>
                <w:noProof/>
                <w:webHidden/>
              </w:rPr>
              <w:fldChar w:fldCharType="begin"/>
            </w:r>
            <w:r w:rsidR="00496C0A">
              <w:rPr>
                <w:noProof/>
                <w:webHidden/>
              </w:rPr>
              <w:instrText xml:space="preserve"> PAGEREF _Toc11219077 \h </w:instrText>
            </w:r>
            <w:r w:rsidR="00496C0A">
              <w:rPr>
                <w:noProof/>
                <w:webHidden/>
              </w:rPr>
            </w:r>
            <w:r w:rsidR="00496C0A">
              <w:rPr>
                <w:noProof/>
                <w:webHidden/>
              </w:rPr>
              <w:fldChar w:fldCharType="separate"/>
            </w:r>
            <w:r w:rsidR="00C97B7F">
              <w:rPr>
                <w:noProof/>
                <w:webHidden/>
              </w:rPr>
              <w:t>27</w:t>
            </w:r>
            <w:r w:rsidR="00496C0A">
              <w:rPr>
                <w:noProof/>
                <w:webHidden/>
              </w:rPr>
              <w:fldChar w:fldCharType="end"/>
            </w:r>
          </w:hyperlink>
        </w:p>
        <w:p w14:paraId="1F9490A0" w14:textId="1C685C09" w:rsidR="00496C0A" w:rsidRDefault="00F90219">
          <w:pPr>
            <w:pStyle w:val="TOC2"/>
            <w:tabs>
              <w:tab w:val="right" w:leader="dot" w:pos="9389"/>
            </w:tabs>
            <w:rPr>
              <w:rFonts w:eastAsiaTheme="minorEastAsia" w:cstheme="minorBidi"/>
              <w:noProof/>
              <w:lang w:eastAsia="en-US"/>
            </w:rPr>
          </w:pPr>
          <w:hyperlink w:anchor="_Toc11219078" w:history="1">
            <w:r w:rsidR="00496C0A" w:rsidRPr="00E162CE">
              <w:rPr>
                <w:rStyle w:val="Hyperlink"/>
                <w:noProof/>
              </w:rPr>
              <w:t>SOE use of information technology</w:t>
            </w:r>
            <w:r w:rsidR="00496C0A">
              <w:rPr>
                <w:noProof/>
                <w:webHidden/>
              </w:rPr>
              <w:tab/>
            </w:r>
            <w:r w:rsidR="00496C0A">
              <w:rPr>
                <w:noProof/>
                <w:webHidden/>
              </w:rPr>
              <w:fldChar w:fldCharType="begin"/>
            </w:r>
            <w:r w:rsidR="00496C0A">
              <w:rPr>
                <w:noProof/>
                <w:webHidden/>
              </w:rPr>
              <w:instrText xml:space="preserve"> PAGEREF _Toc11219078 \h </w:instrText>
            </w:r>
            <w:r w:rsidR="00496C0A">
              <w:rPr>
                <w:noProof/>
                <w:webHidden/>
              </w:rPr>
            </w:r>
            <w:r w:rsidR="00496C0A">
              <w:rPr>
                <w:noProof/>
                <w:webHidden/>
              </w:rPr>
              <w:fldChar w:fldCharType="separate"/>
            </w:r>
            <w:r w:rsidR="00C97B7F">
              <w:rPr>
                <w:noProof/>
                <w:webHidden/>
              </w:rPr>
              <w:t>30</w:t>
            </w:r>
            <w:r w:rsidR="00496C0A">
              <w:rPr>
                <w:noProof/>
                <w:webHidden/>
              </w:rPr>
              <w:fldChar w:fldCharType="end"/>
            </w:r>
          </w:hyperlink>
        </w:p>
        <w:p w14:paraId="217D1521" w14:textId="61395EF4" w:rsidR="00496C0A" w:rsidRDefault="00F90219">
          <w:pPr>
            <w:pStyle w:val="TOC1"/>
            <w:rPr>
              <w:rFonts w:eastAsiaTheme="minorEastAsia" w:cstheme="minorBidi"/>
              <w:noProof/>
              <w:sz w:val="22"/>
              <w:lang w:eastAsia="en-US"/>
            </w:rPr>
          </w:pPr>
          <w:hyperlink w:anchor="_Toc11219079" w:history="1">
            <w:r w:rsidR="00496C0A" w:rsidRPr="00E162CE">
              <w:rPr>
                <w:rStyle w:val="Hyperlink"/>
                <w:iCs/>
                <w:noProof/>
              </w:rPr>
              <w:t>5.  GOVERNMENT SUPPORT AND ITS EFFECTS</w:t>
            </w:r>
            <w:r w:rsidR="00496C0A">
              <w:rPr>
                <w:noProof/>
                <w:webHidden/>
              </w:rPr>
              <w:tab/>
            </w:r>
            <w:r w:rsidR="00496C0A">
              <w:rPr>
                <w:noProof/>
                <w:webHidden/>
              </w:rPr>
              <w:fldChar w:fldCharType="begin"/>
            </w:r>
            <w:r w:rsidR="00496C0A">
              <w:rPr>
                <w:noProof/>
                <w:webHidden/>
              </w:rPr>
              <w:instrText xml:space="preserve"> PAGEREF _Toc11219079 \h </w:instrText>
            </w:r>
            <w:r w:rsidR="00496C0A">
              <w:rPr>
                <w:noProof/>
                <w:webHidden/>
              </w:rPr>
            </w:r>
            <w:r w:rsidR="00496C0A">
              <w:rPr>
                <w:noProof/>
                <w:webHidden/>
              </w:rPr>
              <w:fldChar w:fldCharType="separate"/>
            </w:r>
            <w:r w:rsidR="00C97B7F">
              <w:rPr>
                <w:noProof/>
                <w:webHidden/>
              </w:rPr>
              <w:t>34</w:t>
            </w:r>
            <w:r w:rsidR="00496C0A">
              <w:rPr>
                <w:noProof/>
                <w:webHidden/>
              </w:rPr>
              <w:fldChar w:fldCharType="end"/>
            </w:r>
          </w:hyperlink>
        </w:p>
        <w:p w14:paraId="56A06602" w14:textId="44C8ED1C" w:rsidR="00496C0A" w:rsidRDefault="00F90219">
          <w:pPr>
            <w:pStyle w:val="TOC2"/>
            <w:tabs>
              <w:tab w:val="right" w:leader="dot" w:pos="9389"/>
            </w:tabs>
            <w:rPr>
              <w:rFonts w:eastAsiaTheme="minorEastAsia" w:cstheme="minorBidi"/>
              <w:noProof/>
              <w:lang w:eastAsia="en-US"/>
            </w:rPr>
          </w:pPr>
          <w:hyperlink w:anchor="_Toc11219080" w:history="1">
            <w:r w:rsidR="00496C0A" w:rsidRPr="00E162CE">
              <w:rPr>
                <w:rStyle w:val="Hyperlink"/>
                <w:noProof/>
              </w:rPr>
              <w:t>State support for SOEs</w:t>
            </w:r>
            <w:r w:rsidR="00496C0A">
              <w:rPr>
                <w:noProof/>
                <w:webHidden/>
              </w:rPr>
              <w:tab/>
            </w:r>
            <w:r w:rsidR="00496C0A">
              <w:rPr>
                <w:noProof/>
                <w:webHidden/>
              </w:rPr>
              <w:fldChar w:fldCharType="begin"/>
            </w:r>
            <w:r w:rsidR="00496C0A">
              <w:rPr>
                <w:noProof/>
                <w:webHidden/>
              </w:rPr>
              <w:instrText xml:space="preserve"> PAGEREF _Toc11219080 \h </w:instrText>
            </w:r>
            <w:r w:rsidR="00496C0A">
              <w:rPr>
                <w:noProof/>
                <w:webHidden/>
              </w:rPr>
            </w:r>
            <w:r w:rsidR="00496C0A">
              <w:rPr>
                <w:noProof/>
                <w:webHidden/>
              </w:rPr>
              <w:fldChar w:fldCharType="separate"/>
            </w:r>
            <w:r w:rsidR="00C97B7F">
              <w:rPr>
                <w:noProof/>
                <w:webHidden/>
              </w:rPr>
              <w:t>34</w:t>
            </w:r>
            <w:r w:rsidR="00496C0A">
              <w:rPr>
                <w:noProof/>
                <w:webHidden/>
              </w:rPr>
              <w:fldChar w:fldCharType="end"/>
            </w:r>
          </w:hyperlink>
        </w:p>
        <w:p w14:paraId="62763E74" w14:textId="5985F069" w:rsidR="00496C0A" w:rsidRDefault="00F90219">
          <w:pPr>
            <w:pStyle w:val="TOC2"/>
            <w:tabs>
              <w:tab w:val="right" w:leader="dot" w:pos="9389"/>
            </w:tabs>
            <w:rPr>
              <w:rFonts w:eastAsiaTheme="minorEastAsia" w:cstheme="minorBidi"/>
              <w:noProof/>
              <w:lang w:eastAsia="en-US"/>
            </w:rPr>
          </w:pPr>
          <w:hyperlink w:anchor="_Toc11219081" w:history="1">
            <w:r w:rsidR="00496C0A" w:rsidRPr="00E162CE">
              <w:rPr>
                <w:rStyle w:val="Hyperlink"/>
                <w:rFonts w:eastAsia="Times New Roman"/>
                <w:noProof/>
              </w:rPr>
              <w:t>State support and SOE employment practices</w:t>
            </w:r>
            <w:r w:rsidR="00496C0A">
              <w:rPr>
                <w:noProof/>
                <w:webHidden/>
              </w:rPr>
              <w:tab/>
            </w:r>
            <w:r w:rsidR="00496C0A">
              <w:rPr>
                <w:noProof/>
                <w:webHidden/>
              </w:rPr>
              <w:fldChar w:fldCharType="begin"/>
            </w:r>
            <w:r w:rsidR="00496C0A">
              <w:rPr>
                <w:noProof/>
                <w:webHidden/>
              </w:rPr>
              <w:instrText xml:space="preserve"> PAGEREF _Toc11219081 \h </w:instrText>
            </w:r>
            <w:r w:rsidR="00496C0A">
              <w:rPr>
                <w:noProof/>
                <w:webHidden/>
              </w:rPr>
            </w:r>
            <w:r w:rsidR="00496C0A">
              <w:rPr>
                <w:noProof/>
                <w:webHidden/>
              </w:rPr>
              <w:fldChar w:fldCharType="separate"/>
            </w:r>
            <w:r w:rsidR="00C97B7F">
              <w:rPr>
                <w:noProof/>
                <w:webHidden/>
              </w:rPr>
              <w:t>36</w:t>
            </w:r>
            <w:r w:rsidR="00496C0A">
              <w:rPr>
                <w:noProof/>
                <w:webHidden/>
              </w:rPr>
              <w:fldChar w:fldCharType="end"/>
            </w:r>
          </w:hyperlink>
        </w:p>
        <w:p w14:paraId="6D46DF46" w14:textId="1884C012" w:rsidR="00496C0A" w:rsidRDefault="00F90219">
          <w:pPr>
            <w:pStyle w:val="TOC1"/>
            <w:rPr>
              <w:rFonts w:eastAsiaTheme="minorEastAsia" w:cstheme="minorBidi"/>
              <w:noProof/>
              <w:sz w:val="22"/>
              <w:lang w:eastAsia="en-US"/>
            </w:rPr>
          </w:pPr>
          <w:hyperlink w:anchor="_Toc11219082" w:history="1">
            <w:r w:rsidR="00496C0A" w:rsidRPr="00E162CE">
              <w:rPr>
                <w:rStyle w:val="Hyperlink"/>
                <w:iCs/>
                <w:noProof/>
              </w:rPr>
              <w:t>6. POLICY RECOMMENDATIONS</w:t>
            </w:r>
            <w:r w:rsidR="00496C0A">
              <w:rPr>
                <w:noProof/>
                <w:webHidden/>
              </w:rPr>
              <w:tab/>
            </w:r>
            <w:r w:rsidR="00496C0A">
              <w:rPr>
                <w:noProof/>
                <w:webHidden/>
              </w:rPr>
              <w:fldChar w:fldCharType="begin"/>
            </w:r>
            <w:r w:rsidR="00496C0A">
              <w:rPr>
                <w:noProof/>
                <w:webHidden/>
              </w:rPr>
              <w:instrText xml:space="preserve"> PAGEREF _Toc11219082 \h </w:instrText>
            </w:r>
            <w:r w:rsidR="00496C0A">
              <w:rPr>
                <w:noProof/>
                <w:webHidden/>
              </w:rPr>
            </w:r>
            <w:r w:rsidR="00496C0A">
              <w:rPr>
                <w:noProof/>
                <w:webHidden/>
              </w:rPr>
              <w:fldChar w:fldCharType="separate"/>
            </w:r>
            <w:r w:rsidR="00C97B7F">
              <w:rPr>
                <w:noProof/>
                <w:webHidden/>
              </w:rPr>
              <w:t>39</w:t>
            </w:r>
            <w:r w:rsidR="00496C0A">
              <w:rPr>
                <w:noProof/>
                <w:webHidden/>
              </w:rPr>
              <w:fldChar w:fldCharType="end"/>
            </w:r>
          </w:hyperlink>
        </w:p>
        <w:p w14:paraId="52F0794A" w14:textId="29FA60EF" w:rsidR="00496C0A" w:rsidRDefault="00F90219">
          <w:pPr>
            <w:pStyle w:val="TOC2"/>
            <w:tabs>
              <w:tab w:val="right" w:leader="dot" w:pos="9389"/>
            </w:tabs>
            <w:rPr>
              <w:rFonts w:eastAsiaTheme="minorEastAsia" w:cstheme="minorBidi"/>
              <w:noProof/>
              <w:lang w:eastAsia="en-US"/>
            </w:rPr>
          </w:pPr>
          <w:hyperlink w:anchor="_Toc11219083" w:history="1">
            <w:r w:rsidR="00496C0A" w:rsidRPr="00E162CE">
              <w:rPr>
                <w:rStyle w:val="Hyperlink"/>
                <w:noProof/>
              </w:rPr>
              <w:t>Better data and monitoring</w:t>
            </w:r>
            <w:r w:rsidR="00496C0A">
              <w:rPr>
                <w:noProof/>
                <w:webHidden/>
              </w:rPr>
              <w:tab/>
            </w:r>
            <w:r w:rsidR="00496C0A">
              <w:rPr>
                <w:noProof/>
                <w:webHidden/>
              </w:rPr>
              <w:fldChar w:fldCharType="begin"/>
            </w:r>
            <w:r w:rsidR="00496C0A">
              <w:rPr>
                <w:noProof/>
                <w:webHidden/>
              </w:rPr>
              <w:instrText xml:space="preserve"> PAGEREF _Toc11219083 \h </w:instrText>
            </w:r>
            <w:r w:rsidR="00496C0A">
              <w:rPr>
                <w:noProof/>
                <w:webHidden/>
              </w:rPr>
            </w:r>
            <w:r w:rsidR="00496C0A">
              <w:rPr>
                <w:noProof/>
                <w:webHidden/>
              </w:rPr>
              <w:fldChar w:fldCharType="separate"/>
            </w:r>
            <w:r w:rsidR="00C97B7F">
              <w:rPr>
                <w:noProof/>
                <w:webHidden/>
              </w:rPr>
              <w:t>40</w:t>
            </w:r>
            <w:r w:rsidR="00496C0A">
              <w:rPr>
                <w:noProof/>
                <w:webHidden/>
              </w:rPr>
              <w:fldChar w:fldCharType="end"/>
            </w:r>
          </w:hyperlink>
        </w:p>
        <w:p w14:paraId="6E69E545" w14:textId="4F789BD2" w:rsidR="00496C0A" w:rsidRDefault="00F90219">
          <w:pPr>
            <w:pStyle w:val="TOC2"/>
            <w:tabs>
              <w:tab w:val="right" w:leader="dot" w:pos="9389"/>
            </w:tabs>
            <w:rPr>
              <w:rFonts w:eastAsiaTheme="minorEastAsia" w:cstheme="minorBidi"/>
              <w:noProof/>
              <w:lang w:eastAsia="en-US"/>
            </w:rPr>
          </w:pPr>
          <w:hyperlink w:anchor="_Toc11219084" w:history="1">
            <w:r w:rsidR="00496C0A" w:rsidRPr="00E162CE">
              <w:rPr>
                <w:rStyle w:val="Hyperlink"/>
                <w:noProof/>
              </w:rPr>
              <w:t>Support for improved management practices</w:t>
            </w:r>
            <w:r w:rsidR="00496C0A">
              <w:rPr>
                <w:noProof/>
                <w:webHidden/>
              </w:rPr>
              <w:tab/>
            </w:r>
            <w:r w:rsidR="00496C0A">
              <w:rPr>
                <w:noProof/>
                <w:webHidden/>
              </w:rPr>
              <w:fldChar w:fldCharType="begin"/>
            </w:r>
            <w:r w:rsidR="00496C0A">
              <w:rPr>
                <w:noProof/>
                <w:webHidden/>
              </w:rPr>
              <w:instrText xml:space="preserve"> PAGEREF _Toc11219084 \h </w:instrText>
            </w:r>
            <w:r w:rsidR="00496C0A">
              <w:rPr>
                <w:noProof/>
                <w:webHidden/>
              </w:rPr>
            </w:r>
            <w:r w:rsidR="00496C0A">
              <w:rPr>
                <w:noProof/>
                <w:webHidden/>
              </w:rPr>
              <w:fldChar w:fldCharType="separate"/>
            </w:r>
            <w:r w:rsidR="00C97B7F">
              <w:rPr>
                <w:noProof/>
                <w:webHidden/>
              </w:rPr>
              <w:t>41</w:t>
            </w:r>
            <w:r w:rsidR="00496C0A">
              <w:rPr>
                <w:noProof/>
                <w:webHidden/>
              </w:rPr>
              <w:fldChar w:fldCharType="end"/>
            </w:r>
          </w:hyperlink>
        </w:p>
        <w:p w14:paraId="6F8D7CA7" w14:textId="3F89D32A" w:rsidR="00496C0A" w:rsidRDefault="00F90219">
          <w:pPr>
            <w:pStyle w:val="TOC2"/>
            <w:tabs>
              <w:tab w:val="right" w:leader="dot" w:pos="9389"/>
            </w:tabs>
            <w:rPr>
              <w:rFonts w:eastAsiaTheme="minorEastAsia" w:cstheme="minorBidi"/>
              <w:noProof/>
              <w:lang w:eastAsia="en-US"/>
            </w:rPr>
          </w:pPr>
          <w:hyperlink w:anchor="_Toc11219085" w:history="1">
            <w:r w:rsidR="00496C0A" w:rsidRPr="00E162CE">
              <w:rPr>
                <w:rStyle w:val="Hyperlink"/>
                <w:noProof/>
              </w:rPr>
              <w:t>Incentives for improved compensation and management practices</w:t>
            </w:r>
            <w:r w:rsidR="00496C0A">
              <w:rPr>
                <w:noProof/>
                <w:webHidden/>
              </w:rPr>
              <w:tab/>
            </w:r>
            <w:r w:rsidR="00496C0A">
              <w:rPr>
                <w:noProof/>
                <w:webHidden/>
              </w:rPr>
              <w:fldChar w:fldCharType="begin"/>
            </w:r>
            <w:r w:rsidR="00496C0A">
              <w:rPr>
                <w:noProof/>
                <w:webHidden/>
              </w:rPr>
              <w:instrText xml:space="preserve"> PAGEREF _Toc11219085 \h </w:instrText>
            </w:r>
            <w:r w:rsidR="00496C0A">
              <w:rPr>
                <w:noProof/>
                <w:webHidden/>
              </w:rPr>
            </w:r>
            <w:r w:rsidR="00496C0A">
              <w:rPr>
                <w:noProof/>
                <w:webHidden/>
              </w:rPr>
              <w:fldChar w:fldCharType="separate"/>
            </w:r>
            <w:r w:rsidR="00C97B7F">
              <w:rPr>
                <w:noProof/>
                <w:webHidden/>
              </w:rPr>
              <w:t>42</w:t>
            </w:r>
            <w:r w:rsidR="00496C0A">
              <w:rPr>
                <w:noProof/>
                <w:webHidden/>
              </w:rPr>
              <w:fldChar w:fldCharType="end"/>
            </w:r>
          </w:hyperlink>
        </w:p>
        <w:p w14:paraId="21F404C9" w14:textId="70005C52" w:rsidR="00496C0A" w:rsidRDefault="00F90219">
          <w:pPr>
            <w:pStyle w:val="TOC2"/>
            <w:tabs>
              <w:tab w:val="right" w:leader="dot" w:pos="9389"/>
            </w:tabs>
            <w:rPr>
              <w:rFonts w:eastAsiaTheme="minorEastAsia" w:cstheme="minorBidi"/>
              <w:noProof/>
              <w:lang w:eastAsia="en-US"/>
            </w:rPr>
          </w:pPr>
          <w:hyperlink w:anchor="_Toc11219086" w:history="1">
            <w:r w:rsidR="00496C0A" w:rsidRPr="00E162CE">
              <w:rPr>
                <w:rStyle w:val="Hyperlink"/>
                <w:noProof/>
              </w:rPr>
              <w:t>Regulation</w:t>
            </w:r>
            <w:r w:rsidR="00496C0A">
              <w:rPr>
                <w:noProof/>
                <w:webHidden/>
              </w:rPr>
              <w:tab/>
            </w:r>
            <w:r w:rsidR="00496C0A">
              <w:rPr>
                <w:noProof/>
                <w:webHidden/>
              </w:rPr>
              <w:fldChar w:fldCharType="begin"/>
            </w:r>
            <w:r w:rsidR="00496C0A">
              <w:rPr>
                <w:noProof/>
                <w:webHidden/>
              </w:rPr>
              <w:instrText xml:space="preserve"> PAGEREF _Toc11219086 \h </w:instrText>
            </w:r>
            <w:r w:rsidR="00496C0A">
              <w:rPr>
                <w:noProof/>
                <w:webHidden/>
              </w:rPr>
            </w:r>
            <w:r w:rsidR="00496C0A">
              <w:rPr>
                <w:noProof/>
                <w:webHidden/>
              </w:rPr>
              <w:fldChar w:fldCharType="separate"/>
            </w:r>
            <w:r w:rsidR="00C97B7F">
              <w:rPr>
                <w:noProof/>
                <w:webHidden/>
              </w:rPr>
              <w:t>44</w:t>
            </w:r>
            <w:r w:rsidR="00496C0A">
              <w:rPr>
                <w:noProof/>
                <w:webHidden/>
              </w:rPr>
              <w:fldChar w:fldCharType="end"/>
            </w:r>
          </w:hyperlink>
        </w:p>
        <w:p w14:paraId="29685F13" w14:textId="298CD042" w:rsidR="00496C0A" w:rsidRDefault="00F90219">
          <w:pPr>
            <w:pStyle w:val="TOC1"/>
            <w:rPr>
              <w:rFonts w:eastAsiaTheme="minorEastAsia" w:cstheme="minorBidi"/>
              <w:noProof/>
              <w:sz w:val="22"/>
              <w:lang w:eastAsia="en-US"/>
            </w:rPr>
          </w:pPr>
          <w:hyperlink w:anchor="_Toc11219087" w:history="1">
            <w:r w:rsidR="00496C0A" w:rsidRPr="00E162CE">
              <w:rPr>
                <w:rStyle w:val="Hyperlink"/>
                <w:bCs/>
                <w:noProof/>
              </w:rPr>
              <w:t>ANNEX A - Data sources</w:t>
            </w:r>
            <w:r w:rsidR="00496C0A">
              <w:rPr>
                <w:noProof/>
                <w:webHidden/>
              </w:rPr>
              <w:tab/>
            </w:r>
            <w:r w:rsidR="00496C0A">
              <w:rPr>
                <w:noProof/>
                <w:webHidden/>
              </w:rPr>
              <w:fldChar w:fldCharType="begin"/>
            </w:r>
            <w:r w:rsidR="00496C0A">
              <w:rPr>
                <w:noProof/>
                <w:webHidden/>
              </w:rPr>
              <w:instrText xml:space="preserve"> PAGEREF _Toc11219087 \h </w:instrText>
            </w:r>
            <w:r w:rsidR="00496C0A">
              <w:rPr>
                <w:noProof/>
                <w:webHidden/>
              </w:rPr>
            </w:r>
            <w:r w:rsidR="00496C0A">
              <w:rPr>
                <w:noProof/>
                <w:webHidden/>
              </w:rPr>
              <w:fldChar w:fldCharType="separate"/>
            </w:r>
            <w:r w:rsidR="00C97B7F">
              <w:rPr>
                <w:noProof/>
                <w:webHidden/>
              </w:rPr>
              <w:t>45</w:t>
            </w:r>
            <w:r w:rsidR="00496C0A">
              <w:rPr>
                <w:noProof/>
                <w:webHidden/>
              </w:rPr>
              <w:fldChar w:fldCharType="end"/>
            </w:r>
          </w:hyperlink>
        </w:p>
        <w:p w14:paraId="24141D64" w14:textId="21E84B69" w:rsidR="00496C0A" w:rsidRDefault="00F90219">
          <w:pPr>
            <w:pStyle w:val="TOC1"/>
            <w:rPr>
              <w:rFonts w:eastAsiaTheme="minorEastAsia" w:cstheme="minorBidi"/>
              <w:noProof/>
              <w:sz w:val="22"/>
              <w:lang w:eastAsia="en-US"/>
            </w:rPr>
          </w:pPr>
          <w:hyperlink w:anchor="_Toc11219088" w:history="1">
            <w:r w:rsidR="00496C0A" w:rsidRPr="00E162CE">
              <w:rPr>
                <w:rStyle w:val="Hyperlink"/>
                <w:bCs/>
                <w:noProof/>
              </w:rPr>
              <w:t>ANNEX B - Regression Results</w:t>
            </w:r>
            <w:r w:rsidR="00496C0A">
              <w:rPr>
                <w:noProof/>
                <w:webHidden/>
              </w:rPr>
              <w:tab/>
            </w:r>
            <w:r w:rsidR="00496C0A">
              <w:rPr>
                <w:noProof/>
                <w:webHidden/>
              </w:rPr>
              <w:fldChar w:fldCharType="begin"/>
            </w:r>
            <w:r w:rsidR="00496C0A">
              <w:rPr>
                <w:noProof/>
                <w:webHidden/>
              </w:rPr>
              <w:instrText xml:space="preserve"> PAGEREF _Toc11219088 \h </w:instrText>
            </w:r>
            <w:r w:rsidR="00496C0A">
              <w:rPr>
                <w:noProof/>
                <w:webHidden/>
              </w:rPr>
            </w:r>
            <w:r w:rsidR="00496C0A">
              <w:rPr>
                <w:noProof/>
                <w:webHidden/>
              </w:rPr>
              <w:fldChar w:fldCharType="separate"/>
            </w:r>
            <w:r w:rsidR="00C97B7F">
              <w:rPr>
                <w:noProof/>
                <w:webHidden/>
              </w:rPr>
              <w:t>47</w:t>
            </w:r>
            <w:r w:rsidR="00496C0A">
              <w:rPr>
                <w:noProof/>
                <w:webHidden/>
              </w:rPr>
              <w:fldChar w:fldCharType="end"/>
            </w:r>
          </w:hyperlink>
        </w:p>
        <w:p w14:paraId="32B855BA" w14:textId="20046FDF" w:rsidR="00496C0A" w:rsidRDefault="00F90219">
          <w:pPr>
            <w:pStyle w:val="TOC1"/>
            <w:rPr>
              <w:rFonts w:eastAsiaTheme="minorEastAsia" w:cstheme="minorBidi"/>
              <w:noProof/>
              <w:sz w:val="22"/>
              <w:lang w:eastAsia="en-US"/>
            </w:rPr>
          </w:pPr>
          <w:hyperlink w:anchor="_Toc11219089" w:history="1">
            <w:r w:rsidR="00496C0A" w:rsidRPr="00E162CE">
              <w:rPr>
                <w:rStyle w:val="Hyperlink"/>
                <w:bCs/>
                <w:noProof/>
              </w:rPr>
              <w:t>REFERENCES</w:t>
            </w:r>
            <w:r w:rsidR="00496C0A">
              <w:rPr>
                <w:noProof/>
                <w:webHidden/>
              </w:rPr>
              <w:tab/>
            </w:r>
            <w:r w:rsidR="00496C0A">
              <w:rPr>
                <w:noProof/>
                <w:webHidden/>
              </w:rPr>
              <w:fldChar w:fldCharType="begin"/>
            </w:r>
            <w:r w:rsidR="00496C0A">
              <w:rPr>
                <w:noProof/>
                <w:webHidden/>
              </w:rPr>
              <w:instrText xml:space="preserve"> PAGEREF _Toc11219089 \h </w:instrText>
            </w:r>
            <w:r w:rsidR="00496C0A">
              <w:rPr>
                <w:noProof/>
                <w:webHidden/>
              </w:rPr>
            </w:r>
            <w:r w:rsidR="00496C0A">
              <w:rPr>
                <w:noProof/>
                <w:webHidden/>
              </w:rPr>
              <w:fldChar w:fldCharType="separate"/>
            </w:r>
            <w:r w:rsidR="00C97B7F">
              <w:rPr>
                <w:noProof/>
                <w:webHidden/>
              </w:rPr>
              <w:t>53</w:t>
            </w:r>
            <w:r w:rsidR="00496C0A">
              <w:rPr>
                <w:noProof/>
                <w:webHidden/>
              </w:rPr>
              <w:fldChar w:fldCharType="end"/>
            </w:r>
          </w:hyperlink>
        </w:p>
        <w:p w14:paraId="4D0BA21F" w14:textId="4F2B8875" w:rsidR="00E56B9B" w:rsidRDefault="00983ABC" w:rsidP="00CE1189">
          <w:pPr>
            <w:spacing w:after="0" w:line="240" w:lineRule="auto"/>
            <w:contextualSpacing/>
            <w:rPr>
              <w:rFonts w:asciiTheme="majorHAnsi" w:hAnsiTheme="majorHAnsi" w:cstheme="majorHAnsi"/>
              <w:b/>
              <w:bCs/>
              <w:noProof/>
            </w:rPr>
          </w:pPr>
          <w:r>
            <w:rPr>
              <w:rFonts w:asciiTheme="majorHAnsi" w:hAnsiTheme="majorHAnsi" w:cstheme="majorHAnsi"/>
              <w:b/>
              <w:bCs/>
              <w:noProof/>
              <w:sz w:val="20"/>
              <w:szCs w:val="20"/>
            </w:rPr>
            <w:fldChar w:fldCharType="end"/>
          </w:r>
        </w:p>
      </w:sdtContent>
    </w:sdt>
    <w:p w14:paraId="73CCAEC5" w14:textId="77777777" w:rsidR="004961C6" w:rsidRDefault="004961C6">
      <w:pPr>
        <w:spacing w:after="160" w:line="259" w:lineRule="auto"/>
        <w:jc w:val="left"/>
        <w:rPr>
          <w:rFonts w:eastAsiaTheme="minorHAnsi" w:cstheme="minorHAnsi"/>
          <w:b/>
          <w:color w:val="2E74B5" w:themeColor="accent1" w:themeShade="BF"/>
          <w:sz w:val="28"/>
          <w:szCs w:val="28"/>
          <w:lang w:eastAsia="en-US"/>
        </w:rPr>
      </w:pPr>
      <w:r>
        <w:rPr>
          <w:rFonts w:eastAsiaTheme="minorHAnsi" w:cstheme="minorHAnsi"/>
          <w:b/>
          <w:color w:val="2E74B5" w:themeColor="accent1" w:themeShade="BF"/>
          <w:sz w:val="28"/>
          <w:szCs w:val="28"/>
          <w:lang w:eastAsia="en-US"/>
        </w:rPr>
        <w:br w:type="page"/>
      </w:r>
    </w:p>
    <w:p w14:paraId="25014449" w14:textId="429F4952" w:rsidR="00400827" w:rsidRPr="00400827" w:rsidRDefault="00400827" w:rsidP="00CE1189">
      <w:pPr>
        <w:spacing w:after="0" w:line="240" w:lineRule="auto"/>
        <w:contextualSpacing/>
        <w:rPr>
          <w:rFonts w:eastAsiaTheme="minorHAnsi" w:cstheme="minorHAnsi"/>
          <w:b/>
          <w:color w:val="2E74B5" w:themeColor="accent1" w:themeShade="BF"/>
          <w:sz w:val="28"/>
          <w:szCs w:val="28"/>
          <w:lang w:eastAsia="en-US"/>
        </w:rPr>
      </w:pPr>
      <w:bookmarkStart w:id="3" w:name="_Hlk11260075"/>
      <w:r w:rsidRPr="00400827">
        <w:rPr>
          <w:rFonts w:eastAsiaTheme="minorHAnsi" w:cstheme="minorHAnsi"/>
          <w:b/>
          <w:color w:val="2E74B5" w:themeColor="accent1" w:themeShade="BF"/>
          <w:sz w:val="28"/>
          <w:szCs w:val="28"/>
          <w:lang w:eastAsia="en-US"/>
        </w:rPr>
        <w:t>List of F</w:t>
      </w:r>
      <w:r>
        <w:rPr>
          <w:rFonts w:eastAsiaTheme="minorHAnsi" w:cstheme="minorHAnsi"/>
          <w:b/>
          <w:color w:val="2E74B5" w:themeColor="accent1" w:themeShade="BF"/>
          <w:sz w:val="28"/>
          <w:szCs w:val="28"/>
          <w:lang w:eastAsia="en-US"/>
        </w:rPr>
        <w:t>i</w:t>
      </w:r>
      <w:r w:rsidRPr="00400827">
        <w:rPr>
          <w:rFonts w:eastAsiaTheme="minorHAnsi" w:cstheme="minorHAnsi"/>
          <w:b/>
          <w:color w:val="2E74B5" w:themeColor="accent1" w:themeShade="BF"/>
          <w:sz w:val="28"/>
          <w:szCs w:val="28"/>
          <w:lang w:eastAsia="en-US"/>
        </w:rPr>
        <w:t>gures</w:t>
      </w:r>
    </w:p>
    <w:p w14:paraId="1E67BD66" w14:textId="77777777" w:rsidR="004961C6" w:rsidRDefault="00E56B9B" w:rsidP="00CE1189">
      <w:pPr>
        <w:spacing w:after="0" w:line="240" w:lineRule="auto"/>
        <w:contextualSpacing/>
        <w:jc w:val="left"/>
      </w:pPr>
      <w:r>
        <w:t xml:space="preserve"> </w:t>
      </w:r>
    </w:p>
    <w:p w14:paraId="0BE7368D" w14:textId="1BC2DB87" w:rsidR="00D57958" w:rsidRDefault="00335641">
      <w:pPr>
        <w:pStyle w:val="TableofFigures"/>
        <w:tabs>
          <w:tab w:val="right" w:leader="dot" w:pos="9389"/>
        </w:tabs>
        <w:rPr>
          <w:rFonts w:eastAsiaTheme="minorEastAsia" w:cstheme="minorBidi"/>
          <w:noProof/>
          <w:lang w:eastAsia="en-US"/>
        </w:rPr>
      </w:pPr>
      <w:r>
        <w:fldChar w:fldCharType="begin"/>
      </w:r>
      <w:r>
        <w:instrText xml:space="preserve"> TOC \h \z \c "Figure 1." </w:instrText>
      </w:r>
      <w:r>
        <w:fldChar w:fldCharType="separate"/>
      </w:r>
      <w:hyperlink w:anchor="_Toc11259334" w:history="1">
        <w:r w:rsidR="00D57958" w:rsidRPr="00FF3455">
          <w:rPr>
            <w:rStyle w:val="Hyperlink"/>
            <w:noProof/>
          </w:rPr>
          <w:t>Figure 1. 1 Analytical framework linking SOE employment practices to productivity</w:t>
        </w:r>
        <w:r w:rsidR="00D57958">
          <w:rPr>
            <w:noProof/>
            <w:webHidden/>
          </w:rPr>
          <w:tab/>
        </w:r>
        <w:r w:rsidR="00D57958">
          <w:rPr>
            <w:noProof/>
            <w:webHidden/>
          </w:rPr>
          <w:fldChar w:fldCharType="begin"/>
        </w:r>
        <w:r w:rsidR="00D57958">
          <w:rPr>
            <w:noProof/>
            <w:webHidden/>
          </w:rPr>
          <w:instrText xml:space="preserve"> PAGEREF _Toc11259334 \h </w:instrText>
        </w:r>
        <w:r w:rsidR="00D57958">
          <w:rPr>
            <w:noProof/>
            <w:webHidden/>
          </w:rPr>
        </w:r>
        <w:r w:rsidR="00D57958">
          <w:rPr>
            <w:noProof/>
            <w:webHidden/>
          </w:rPr>
          <w:fldChar w:fldCharType="separate"/>
        </w:r>
        <w:r w:rsidR="00C97B7F">
          <w:rPr>
            <w:noProof/>
            <w:webHidden/>
          </w:rPr>
          <w:t>3</w:t>
        </w:r>
        <w:r w:rsidR="00D57958">
          <w:rPr>
            <w:noProof/>
            <w:webHidden/>
          </w:rPr>
          <w:fldChar w:fldCharType="end"/>
        </w:r>
      </w:hyperlink>
    </w:p>
    <w:p w14:paraId="7EA450E6" w14:textId="3F73EF4C" w:rsidR="00D57958" w:rsidRDefault="00335641" w:rsidP="00D57958">
      <w:pPr>
        <w:pStyle w:val="TableofFigures"/>
        <w:tabs>
          <w:tab w:val="right" w:leader="dot" w:pos="9389"/>
        </w:tabs>
        <w:spacing w:line="240" w:lineRule="auto"/>
        <w:contextualSpacing/>
        <w:rPr>
          <w:rFonts w:eastAsiaTheme="minorEastAsia" w:cstheme="minorBidi"/>
          <w:noProof/>
          <w:lang w:eastAsia="en-US"/>
        </w:rPr>
      </w:pPr>
      <w:r>
        <w:fldChar w:fldCharType="end"/>
      </w:r>
      <w:r>
        <w:fldChar w:fldCharType="begin"/>
      </w:r>
      <w:r>
        <w:instrText xml:space="preserve"> TOC \h \z \c "Figure 2." </w:instrText>
      </w:r>
      <w:r>
        <w:fldChar w:fldCharType="separate"/>
      </w:r>
      <w:hyperlink w:anchor="_Toc11259338" w:history="1">
        <w:r w:rsidR="00D57958" w:rsidRPr="006F3061">
          <w:rPr>
            <w:rStyle w:val="Hyperlink"/>
            <w:noProof/>
          </w:rPr>
          <w:t>Figure 2. 1 Public establishments: classification according to Civil Code.</w:t>
        </w:r>
        <w:r w:rsidR="00D57958">
          <w:rPr>
            <w:noProof/>
            <w:webHidden/>
          </w:rPr>
          <w:tab/>
        </w:r>
        <w:r w:rsidR="00D57958">
          <w:rPr>
            <w:noProof/>
            <w:webHidden/>
          </w:rPr>
          <w:fldChar w:fldCharType="begin"/>
        </w:r>
        <w:r w:rsidR="00D57958">
          <w:rPr>
            <w:noProof/>
            <w:webHidden/>
          </w:rPr>
          <w:instrText xml:space="preserve"> PAGEREF _Toc11259338 \h </w:instrText>
        </w:r>
        <w:r w:rsidR="00D57958">
          <w:rPr>
            <w:noProof/>
            <w:webHidden/>
          </w:rPr>
        </w:r>
        <w:r w:rsidR="00D57958">
          <w:rPr>
            <w:noProof/>
            <w:webHidden/>
          </w:rPr>
          <w:fldChar w:fldCharType="separate"/>
        </w:r>
        <w:r w:rsidR="00C97B7F">
          <w:rPr>
            <w:noProof/>
            <w:webHidden/>
          </w:rPr>
          <w:t>6</w:t>
        </w:r>
        <w:r w:rsidR="00D57958">
          <w:rPr>
            <w:noProof/>
            <w:webHidden/>
          </w:rPr>
          <w:fldChar w:fldCharType="end"/>
        </w:r>
      </w:hyperlink>
    </w:p>
    <w:p w14:paraId="00C07BB3" w14:textId="509B1D09" w:rsidR="00D57958" w:rsidRDefault="00F90219">
      <w:pPr>
        <w:pStyle w:val="TableofFigures"/>
        <w:tabs>
          <w:tab w:val="right" w:leader="dot" w:pos="9389"/>
        </w:tabs>
        <w:rPr>
          <w:rFonts w:eastAsiaTheme="minorEastAsia" w:cstheme="minorBidi"/>
          <w:noProof/>
          <w:lang w:eastAsia="en-US"/>
        </w:rPr>
      </w:pPr>
      <w:hyperlink w:anchor="_Toc11259339" w:history="1">
        <w:r w:rsidR="00D57958" w:rsidRPr="006F3061">
          <w:rPr>
            <w:rStyle w:val="Hyperlink"/>
            <w:noProof/>
          </w:rPr>
          <w:t>Figure 2. 2 Formal sector employment trends, by ownership sector, 1994-2017</w:t>
        </w:r>
        <w:r w:rsidR="00D57958">
          <w:rPr>
            <w:noProof/>
            <w:webHidden/>
          </w:rPr>
          <w:tab/>
        </w:r>
        <w:r w:rsidR="00D57958">
          <w:rPr>
            <w:noProof/>
            <w:webHidden/>
          </w:rPr>
          <w:fldChar w:fldCharType="begin"/>
        </w:r>
        <w:r w:rsidR="00D57958">
          <w:rPr>
            <w:noProof/>
            <w:webHidden/>
          </w:rPr>
          <w:instrText xml:space="preserve"> PAGEREF _Toc11259339 \h </w:instrText>
        </w:r>
        <w:r w:rsidR="00D57958">
          <w:rPr>
            <w:noProof/>
            <w:webHidden/>
          </w:rPr>
        </w:r>
        <w:r w:rsidR="00D57958">
          <w:rPr>
            <w:noProof/>
            <w:webHidden/>
          </w:rPr>
          <w:fldChar w:fldCharType="separate"/>
        </w:r>
        <w:r w:rsidR="00C97B7F">
          <w:rPr>
            <w:noProof/>
            <w:webHidden/>
          </w:rPr>
          <w:t>11</w:t>
        </w:r>
        <w:r w:rsidR="00D57958">
          <w:rPr>
            <w:noProof/>
            <w:webHidden/>
          </w:rPr>
          <w:fldChar w:fldCharType="end"/>
        </w:r>
      </w:hyperlink>
    </w:p>
    <w:p w14:paraId="7356241E" w14:textId="50461831" w:rsidR="00D57958" w:rsidRDefault="00F90219">
      <w:pPr>
        <w:pStyle w:val="TableofFigures"/>
        <w:tabs>
          <w:tab w:val="right" w:leader="dot" w:pos="9389"/>
        </w:tabs>
        <w:rPr>
          <w:rFonts w:eastAsiaTheme="minorEastAsia" w:cstheme="minorBidi"/>
          <w:noProof/>
          <w:lang w:eastAsia="en-US"/>
        </w:rPr>
      </w:pPr>
      <w:hyperlink w:anchor="_Toc11259340" w:history="1">
        <w:r w:rsidR="00D57958" w:rsidRPr="006F3061">
          <w:rPr>
            <w:rStyle w:val="Hyperlink"/>
            <w:noProof/>
          </w:rPr>
          <w:t>Figure 2. 3 Share of SOEs (majority and minority government stakes) in total non-agricultural employment, Russia compared 2015-2016.</w:t>
        </w:r>
        <w:r w:rsidR="00D57958">
          <w:rPr>
            <w:noProof/>
            <w:webHidden/>
          </w:rPr>
          <w:tab/>
        </w:r>
        <w:r w:rsidR="00D57958">
          <w:rPr>
            <w:noProof/>
            <w:webHidden/>
          </w:rPr>
          <w:fldChar w:fldCharType="begin"/>
        </w:r>
        <w:r w:rsidR="00D57958">
          <w:rPr>
            <w:noProof/>
            <w:webHidden/>
          </w:rPr>
          <w:instrText xml:space="preserve"> PAGEREF _Toc11259340 \h </w:instrText>
        </w:r>
        <w:r w:rsidR="00D57958">
          <w:rPr>
            <w:noProof/>
            <w:webHidden/>
          </w:rPr>
        </w:r>
        <w:r w:rsidR="00D57958">
          <w:rPr>
            <w:noProof/>
            <w:webHidden/>
          </w:rPr>
          <w:fldChar w:fldCharType="separate"/>
        </w:r>
        <w:r w:rsidR="00C97B7F">
          <w:rPr>
            <w:noProof/>
            <w:webHidden/>
          </w:rPr>
          <w:t>12</w:t>
        </w:r>
        <w:r w:rsidR="00D57958">
          <w:rPr>
            <w:noProof/>
            <w:webHidden/>
          </w:rPr>
          <w:fldChar w:fldCharType="end"/>
        </w:r>
      </w:hyperlink>
    </w:p>
    <w:p w14:paraId="4AB4858A" w14:textId="77D3E406" w:rsidR="00D57958" w:rsidRDefault="00F90219">
      <w:pPr>
        <w:pStyle w:val="TableofFigures"/>
        <w:tabs>
          <w:tab w:val="right" w:leader="dot" w:pos="9389"/>
        </w:tabs>
        <w:rPr>
          <w:rFonts w:eastAsiaTheme="minorEastAsia" w:cstheme="minorBidi"/>
          <w:noProof/>
          <w:lang w:eastAsia="en-US"/>
        </w:rPr>
      </w:pPr>
      <w:hyperlink w:anchor="_Toc11259341" w:history="1">
        <w:r w:rsidR="00D57958" w:rsidRPr="006F3061">
          <w:rPr>
            <w:rStyle w:val="Hyperlink"/>
            <w:noProof/>
          </w:rPr>
          <w:t>Figure 2. 4 SOE share in total employment, by type of SOE and by region.</w:t>
        </w:r>
        <w:r w:rsidR="00D57958">
          <w:rPr>
            <w:noProof/>
            <w:webHidden/>
          </w:rPr>
          <w:tab/>
        </w:r>
        <w:r w:rsidR="00D57958">
          <w:rPr>
            <w:noProof/>
            <w:webHidden/>
          </w:rPr>
          <w:fldChar w:fldCharType="begin"/>
        </w:r>
        <w:r w:rsidR="00D57958">
          <w:rPr>
            <w:noProof/>
            <w:webHidden/>
          </w:rPr>
          <w:instrText xml:space="preserve"> PAGEREF _Toc11259341 \h </w:instrText>
        </w:r>
        <w:r w:rsidR="00D57958">
          <w:rPr>
            <w:noProof/>
            <w:webHidden/>
          </w:rPr>
        </w:r>
        <w:r w:rsidR="00D57958">
          <w:rPr>
            <w:noProof/>
            <w:webHidden/>
          </w:rPr>
          <w:fldChar w:fldCharType="separate"/>
        </w:r>
        <w:r w:rsidR="00C97B7F">
          <w:rPr>
            <w:noProof/>
            <w:webHidden/>
          </w:rPr>
          <w:t>13</w:t>
        </w:r>
        <w:r w:rsidR="00D57958">
          <w:rPr>
            <w:noProof/>
            <w:webHidden/>
          </w:rPr>
          <w:fldChar w:fldCharType="end"/>
        </w:r>
      </w:hyperlink>
    </w:p>
    <w:p w14:paraId="7F249BD3" w14:textId="1CB998E9" w:rsidR="00D57958" w:rsidRDefault="00335641" w:rsidP="00D57958">
      <w:pPr>
        <w:pStyle w:val="TableofFigures"/>
        <w:tabs>
          <w:tab w:val="right" w:leader="dot" w:pos="9389"/>
        </w:tabs>
        <w:spacing w:line="240" w:lineRule="auto"/>
        <w:contextualSpacing/>
        <w:rPr>
          <w:rFonts w:eastAsiaTheme="minorEastAsia" w:cstheme="minorBidi"/>
          <w:noProof/>
          <w:lang w:eastAsia="en-US"/>
        </w:rPr>
      </w:pPr>
      <w:r>
        <w:fldChar w:fldCharType="end"/>
      </w:r>
      <w:r w:rsidR="00791B0B" w:rsidRPr="00FE0E54">
        <w:rPr>
          <w:rStyle w:val="Hyperlink"/>
          <w:noProof/>
        </w:rPr>
        <w:fldChar w:fldCharType="begin"/>
      </w:r>
      <w:r w:rsidR="00791B0B" w:rsidRPr="00FE0E54">
        <w:rPr>
          <w:rStyle w:val="Hyperlink"/>
          <w:noProof/>
        </w:rPr>
        <w:instrText xml:space="preserve"> TOC \h \z \c "Figure 3." </w:instrText>
      </w:r>
      <w:r w:rsidR="00791B0B" w:rsidRPr="00FE0E54">
        <w:rPr>
          <w:rStyle w:val="Hyperlink"/>
          <w:noProof/>
        </w:rPr>
        <w:fldChar w:fldCharType="separate"/>
      </w:r>
      <w:hyperlink w:anchor="_Toc11259342" w:history="1">
        <w:r w:rsidR="00D57958" w:rsidRPr="00756FBC">
          <w:rPr>
            <w:rStyle w:val="Hyperlink"/>
            <w:noProof/>
          </w:rPr>
          <w:t>Figure 3. 1 Adjusted wage gaps (private sector=0), by categories of public sector workers</w:t>
        </w:r>
        <w:r w:rsidR="00D57958">
          <w:rPr>
            <w:noProof/>
            <w:webHidden/>
          </w:rPr>
          <w:tab/>
        </w:r>
        <w:r w:rsidR="00D57958">
          <w:rPr>
            <w:noProof/>
            <w:webHidden/>
          </w:rPr>
          <w:fldChar w:fldCharType="begin"/>
        </w:r>
        <w:r w:rsidR="00D57958">
          <w:rPr>
            <w:noProof/>
            <w:webHidden/>
          </w:rPr>
          <w:instrText xml:space="preserve"> PAGEREF _Toc11259342 \h </w:instrText>
        </w:r>
        <w:r w:rsidR="00D57958">
          <w:rPr>
            <w:noProof/>
            <w:webHidden/>
          </w:rPr>
        </w:r>
        <w:r w:rsidR="00D57958">
          <w:rPr>
            <w:noProof/>
            <w:webHidden/>
          </w:rPr>
          <w:fldChar w:fldCharType="separate"/>
        </w:r>
        <w:r w:rsidR="00C97B7F">
          <w:rPr>
            <w:noProof/>
            <w:webHidden/>
          </w:rPr>
          <w:t>16</w:t>
        </w:r>
        <w:r w:rsidR="00D57958">
          <w:rPr>
            <w:noProof/>
            <w:webHidden/>
          </w:rPr>
          <w:fldChar w:fldCharType="end"/>
        </w:r>
      </w:hyperlink>
    </w:p>
    <w:p w14:paraId="3A7ADCFF" w14:textId="092F4483" w:rsidR="00D57958" w:rsidRDefault="00F90219">
      <w:pPr>
        <w:pStyle w:val="TableofFigures"/>
        <w:tabs>
          <w:tab w:val="right" w:leader="dot" w:pos="9389"/>
        </w:tabs>
        <w:rPr>
          <w:rFonts w:eastAsiaTheme="minorEastAsia" w:cstheme="minorBidi"/>
          <w:noProof/>
          <w:lang w:eastAsia="en-US"/>
        </w:rPr>
      </w:pPr>
      <w:hyperlink w:anchor="_Toc11259343" w:history="1">
        <w:r w:rsidR="00D57958" w:rsidRPr="00756FBC">
          <w:rPr>
            <w:rStyle w:val="Hyperlink"/>
            <w:noProof/>
          </w:rPr>
          <w:t>Figure 3. 2 Distribution of public sector wage premia by country income.</w:t>
        </w:r>
        <w:r w:rsidR="00D57958">
          <w:rPr>
            <w:noProof/>
            <w:webHidden/>
          </w:rPr>
          <w:tab/>
        </w:r>
        <w:r w:rsidR="00D57958">
          <w:rPr>
            <w:noProof/>
            <w:webHidden/>
          </w:rPr>
          <w:fldChar w:fldCharType="begin"/>
        </w:r>
        <w:r w:rsidR="00D57958">
          <w:rPr>
            <w:noProof/>
            <w:webHidden/>
          </w:rPr>
          <w:instrText xml:space="preserve"> PAGEREF _Toc11259343 \h </w:instrText>
        </w:r>
        <w:r w:rsidR="00D57958">
          <w:rPr>
            <w:noProof/>
            <w:webHidden/>
          </w:rPr>
        </w:r>
        <w:r w:rsidR="00D57958">
          <w:rPr>
            <w:noProof/>
            <w:webHidden/>
          </w:rPr>
          <w:fldChar w:fldCharType="separate"/>
        </w:r>
        <w:r w:rsidR="00C97B7F">
          <w:rPr>
            <w:noProof/>
            <w:webHidden/>
          </w:rPr>
          <w:t>16</w:t>
        </w:r>
        <w:r w:rsidR="00D57958">
          <w:rPr>
            <w:noProof/>
            <w:webHidden/>
          </w:rPr>
          <w:fldChar w:fldCharType="end"/>
        </w:r>
      </w:hyperlink>
    </w:p>
    <w:p w14:paraId="167CF97B" w14:textId="1BB96BF6" w:rsidR="00D57958" w:rsidRDefault="00F90219">
      <w:pPr>
        <w:pStyle w:val="TableofFigures"/>
        <w:tabs>
          <w:tab w:val="right" w:leader="dot" w:pos="9389"/>
        </w:tabs>
        <w:rPr>
          <w:rFonts w:eastAsiaTheme="minorEastAsia" w:cstheme="minorBidi"/>
          <w:noProof/>
          <w:lang w:eastAsia="en-US"/>
        </w:rPr>
      </w:pPr>
      <w:hyperlink w:anchor="_Toc11259344" w:history="1">
        <w:r w:rsidR="00D57958" w:rsidRPr="00756FBC">
          <w:rPr>
            <w:rStyle w:val="Hyperlink"/>
            <w:noProof/>
          </w:rPr>
          <w:t>Figure 3. 3 The wage premium for SOEs varies by firm size</w:t>
        </w:r>
        <w:r w:rsidR="00D57958">
          <w:rPr>
            <w:noProof/>
            <w:webHidden/>
          </w:rPr>
          <w:tab/>
        </w:r>
        <w:r w:rsidR="00D57958">
          <w:rPr>
            <w:noProof/>
            <w:webHidden/>
          </w:rPr>
          <w:fldChar w:fldCharType="begin"/>
        </w:r>
        <w:r w:rsidR="00D57958">
          <w:rPr>
            <w:noProof/>
            <w:webHidden/>
          </w:rPr>
          <w:instrText xml:space="preserve"> PAGEREF _Toc11259344 \h </w:instrText>
        </w:r>
        <w:r w:rsidR="00D57958">
          <w:rPr>
            <w:noProof/>
            <w:webHidden/>
          </w:rPr>
        </w:r>
        <w:r w:rsidR="00D57958">
          <w:rPr>
            <w:noProof/>
            <w:webHidden/>
          </w:rPr>
          <w:fldChar w:fldCharType="separate"/>
        </w:r>
        <w:r w:rsidR="00C97B7F">
          <w:rPr>
            <w:noProof/>
            <w:webHidden/>
          </w:rPr>
          <w:t>17</w:t>
        </w:r>
        <w:r w:rsidR="00D57958">
          <w:rPr>
            <w:noProof/>
            <w:webHidden/>
          </w:rPr>
          <w:fldChar w:fldCharType="end"/>
        </w:r>
      </w:hyperlink>
    </w:p>
    <w:p w14:paraId="537BAB2A" w14:textId="550004B1" w:rsidR="00D57958" w:rsidRDefault="00F90219">
      <w:pPr>
        <w:pStyle w:val="TableofFigures"/>
        <w:tabs>
          <w:tab w:val="right" w:leader="dot" w:pos="9389"/>
        </w:tabs>
        <w:rPr>
          <w:rFonts w:eastAsiaTheme="minorEastAsia" w:cstheme="minorBidi"/>
          <w:noProof/>
          <w:lang w:eastAsia="en-US"/>
        </w:rPr>
      </w:pPr>
      <w:hyperlink w:anchor="_Toc11259345" w:history="1">
        <w:r w:rsidR="00D57958" w:rsidRPr="00756FBC">
          <w:rPr>
            <w:rStyle w:val="Hyperlink"/>
            <w:noProof/>
          </w:rPr>
          <w:t xml:space="preserve">Figure 3. 4 </w:t>
        </w:r>
        <w:r w:rsidR="00D57958" w:rsidRPr="00756FBC">
          <w:rPr>
            <w:rStyle w:val="Hyperlink"/>
            <w:bCs/>
            <w:noProof/>
          </w:rPr>
          <w:t>SOEs pay a higher wage premium in more competitive industries</w:t>
        </w:r>
        <w:r w:rsidR="00D57958">
          <w:rPr>
            <w:noProof/>
            <w:webHidden/>
          </w:rPr>
          <w:tab/>
        </w:r>
        <w:r w:rsidR="00D57958">
          <w:rPr>
            <w:noProof/>
            <w:webHidden/>
          </w:rPr>
          <w:fldChar w:fldCharType="begin"/>
        </w:r>
        <w:r w:rsidR="00D57958">
          <w:rPr>
            <w:noProof/>
            <w:webHidden/>
          </w:rPr>
          <w:instrText xml:space="preserve"> PAGEREF _Toc11259345 \h </w:instrText>
        </w:r>
        <w:r w:rsidR="00D57958">
          <w:rPr>
            <w:noProof/>
            <w:webHidden/>
          </w:rPr>
        </w:r>
        <w:r w:rsidR="00D57958">
          <w:rPr>
            <w:noProof/>
            <w:webHidden/>
          </w:rPr>
          <w:fldChar w:fldCharType="separate"/>
        </w:r>
        <w:r w:rsidR="00C97B7F">
          <w:rPr>
            <w:noProof/>
            <w:webHidden/>
          </w:rPr>
          <w:t>18</w:t>
        </w:r>
        <w:r w:rsidR="00D57958">
          <w:rPr>
            <w:noProof/>
            <w:webHidden/>
          </w:rPr>
          <w:fldChar w:fldCharType="end"/>
        </w:r>
      </w:hyperlink>
    </w:p>
    <w:p w14:paraId="4A624F09" w14:textId="0E2F6864" w:rsidR="00D57958" w:rsidRDefault="00F90219">
      <w:pPr>
        <w:pStyle w:val="TableofFigures"/>
        <w:tabs>
          <w:tab w:val="right" w:leader="dot" w:pos="9389"/>
        </w:tabs>
        <w:rPr>
          <w:rFonts w:eastAsiaTheme="minorEastAsia" w:cstheme="minorBidi"/>
          <w:noProof/>
          <w:lang w:eastAsia="en-US"/>
        </w:rPr>
      </w:pPr>
      <w:hyperlink w:anchor="_Toc11259346" w:history="1">
        <w:r w:rsidR="00D57958" w:rsidRPr="00756FBC">
          <w:rPr>
            <w:rStyle w:val="Hyperlink"/>
            <w:noProof/>
          </w:rPr>
          <w:t>Figure 3. 5 The wage premium for SOEs varies across industries</w:t>
        </w:r>
        <w:r w:rsidR="00D57958">
          <w:rPr>
            <w:noProof/>
            <w:webHidden/>
          </w:rPr>
          <w:tab/>
        </w:r>
        <w:r w:rsidR="00D57958">
          <w:rPr>
            <w:noProof/>
            <w:webHidden/>
          </w:rPr>
          <w:fldChar w:fldCharType="begin"/>
        </w:r>
        <w:r w:rsidR="00D57958">
          <w:rPr>
            <w:noProof/>
            <w:webHidden/>
          </w:rPr>
          <w:instrText xml:space="preserve"> PAGEREF _Toc11259346 \h </w:instrText>
        </w:r>
        <w:r w:rsidR="00D57958">
          <w:rPr>
            <w:noProof/>
            <w:webHidden/>
          </w:rPr>
        </w:r>
        <w:r w:rsidR="00D57958">
          <w:rPr>
            <w:noProof/>
            <w:webHidden/>
          </w:rPr>
          <w:fldChar w:fldCharType="separate"/>
        </w:r>
        <w:r w:rsidR="00C97B7F">
          <w:rPr>
            <w:noProof/>
            <w:webHidden/>
          </w:rPr>
          <w:t>19</w:t>
        </w:r>
        <w:r w:rsidR="00D57958">
          <w:rPr>
            <w:noProof/>
            <w:webHidden/>
          </w:rPr>
          <w:fldChar w:fldCharType="end"/>
        </w:r>
      </w:hyperlink>
    </w:p>
    <w:p w14:paraId="387EF1E0" w14:textId="49ADFD19" w:rsidR="00D57958" w:rsidRDefault="00F90219">
      <w:pPr>
        <w:pStyle w:val="TableofFigures"/>
        <w:tabs>
          <w:tab w:val="right" w:leader="dot" w:pos="9389"/>
        </w:tabs>
        <w:rPr>
          <w:rFonts w:eastAsiaTheme="minorEastAsia" w:cstheme="minorBidi"/>
          <w:noProof/>
          <w:lang w:eastAsia="en-US"/>
        </w:rPr>
      </w:pPr>
      <w:hyperlink w:anchor="_Toc11259347" w:history="1">
        <w:r w:rsidR="00D57958" w:rsidRPr="00756FBC">
          <w:rPr>
            <w:rStyle w:val="Hyperlink"/>
            <w:noProof/>
          </w:rPr>
          <w:t>Figure 3. 6 The wage premium for mixed SOEs varies across regions</w:t>
        </w:r>
        <w:r w:rsidR="00D57958">
          <w:rPr>
            <w:noProof/>
            <w:webHidden/>
          </w:rPr>
          <w:tab/>
        </w:r>
        <w:r w:rsidR="00D57958">
          <w:rPr>
            <w:noProof/>
            <w:webHidden/>
          </w:rPr>
          <w:fldChar w:fldCharType="begin"/>
        </w:r>
        <w:r w:rsidR="00D57958">
          <w:rPr>
            <w:noProof/>
            <w:webHidden/>
          </w:rPr>
          <w:instrText xml:space="preserve"> PAGEREF _Toc11259347 \h </w:instrText>
        </w:r>
        <w:r w:rsidR="00D57958">
          <w:rPr>
            <w:noProof/>
            <w:webHidden/>
          </w:rPr>
        </w:r>
        <w:r w:rsidR="00D57958">
          <w:rPr>
            <w:noProof/>
            <w:webHidden/>
          </w:rPr>
          <w:fldChar w:fldCharType="separate"/>
        </w:r>
        <w:r w:rsidR="00C97B7F">
          <w:rPr>
            <w:noProof/>
            <w:webHidden/>
          </w:rPr>
          <w:t>20</w:t>
        </w:r>
        <w:r w:rsidR="00D57958">
          <w:rPr>
            <w:noProof/>
            <w:webHidden/>
          </w:rPr>
          <w:fldChar w:fldCharType="end"/>
        </w:r>
      </w:hyperlink>
    </w:p>
    <w:p w14:paraId="7911DD89" w14:textId="74DBE70B" w:rsidR="00D57958" w:rsidRDefault="00F90219">
      <w:pPr>
        <w:pStyle w:val="TableofFigures"/>
        <w:tabs>
          <w:tab w:val="right" w:leader="dot" w:pos="9389"/>
        </w:tabs>
        <w:rPr>
          <w:rFonts w:eastAsiaTheme="minorEastAsia" w:cstheme="minorBidi"/>
          <w:noProof/>
          <w:lang w:eastAsia="en-US"/>
        </w:rPr>
      </w:pPr>
      <w:hyperlink w:anchor="_Toc11259348" w:history="1">
        <w:r w:rsidR="00D57958" w:rsidRPr="00756FBC">
          <w:rPr>
            <w:rStyle w:val="Hyperlink"/>
            <w:noProof/>
          </w:rPr>
          <w:t>Figure 3. 7 SOES offer more generous benefits</w:t>
        </w:r>
        <w:r w:rsidR="00D57958">
          <w:rPr>
            <w:noProof/>
            <w:webHidden/>
          </w:rPr>
          <w:tab/>
        </w:r>
        <w:r w:rsidR="00D57958">
          <w:rPr>
            <w:noProof/>
            <w:webHidden/>
          </w:rPr>
          <w:fldChar w:fldCharType="begin"/>
        </w:r>
        <w:r w:rsidR="00D57958">
          <w:rPr>
            <w:noProof/>
            <w:webHidden/>
          </w:rPr>
          <w:instrText xml:space="preserve"> PAGEREF _Toc11259348 \h </w:instrText>
        </w:r>
        <w:r w:rsidR="00D57958">
          <w:rPr>
            <w:noProof/>
            <w:webHidden/>
          </w:rPr>
        </w:r>
        <w:r w:rsidR="00D57958">
          <w:rPr>
            <w:noProof/>
            <w:webHidden/>
          </w:rPr>
          <w:fldChar w:fldCharType="separate"/>
        </w:r>
        <w:r w:rsidR="00C97B7F">
          <w:rPr>
            <w:noProof/>
            <w:webHidden/>
          </w:rPr>
          <w:t>21</w:t>
        </w:r>
        <w:r w:rsidR="00D57958">
          <w:rPr>
            <w:noProof/>
            <w:webHidden/>
          </w:rPr>
          <w:fldChar w:fldCharType="end"/>
        </w:r>
      </w:hyperlink>
    </w:p>
    <w:p w14:paraId="3D6CD5B1" w14:textId="0FEA9B85" w:rsidR="00D57958" w:rsidRDefault="00F90219">
      <w:pPr>
        <w:pStyle w:val="TableofFigures"/>
        <w:tabs>
          <w:tab w:val="right" w:leader="dot" w:pos="9389"/>
        </w:tabs>
        <w:rPr>
          <w:rFonts w:eastAsiaTheme="minorEastAsia" w:cstheme="minorBidi"/>
          <w:noProof/>
          <w:lang w:eastAsia="en-US"/>
        </w:rPr>
      </w:pPr>
      <w:hyperlink w:anchor="_Toc11259349" w:history="1">
        <w:r w:rsidR="00D57958" w:rsidRPr="00756FBC">
          <w:rPr>
            <w:rStyle w:val="Hyperlink"/>
            <w:noProof/>
          </w:rPr>
          <w:t>Figure 3. 8 Difference in percent of public-private workers satisfied with their job</w:t>
        </w:r>
        <w:r w:rsidR="00D57958">
          <w:rPr>
            <w:noProof/>
            <w:webHidden/>
          </w:rPr>
          <w:tab/>
        </w:r>
        <w:r w:rsidR="00D57958">
          <w:rPr>
            <w:noProof/>
            <w:webHidden/>
          </w:rPr>
          <w:fldChar w:fldCharType="begin"/>
        </w:r>
        <w:r w:rsidR="00D57958">
          <w:rPr>
            <w:noProof/>
            <w:webHidden/>
          </w:rPr>
          <w:instrText xml:space="preserve"> PAGEREF _Toc11259349 \h </w:instrText>
        </w:r>
        <w:r w:rsidR="00D57958">
          <w:rPr>
            <w:noProof/>
            <w:webHidden/>
          </w:rPr>
        </w:r>
        <w:r w:rsidR="00D57958">
          <w:rPr>
            <w:noProof/>
            <w:webHidden/>
          </w:rPr>
          <w:fldChar w:fldCharType="separate"/>
        </w:r>
        <w:r w:rsidR="00C97B7F">
          <w:rPr>
            <w:noProof/>
            <w:webHidden/>
          </w:rPr>
          <w:t>22</w:t>
        </w:r>
        <w:r w:rsidR="00D57958">
          <w:rPr>
            <w:noProof/>
            <w:webHidden/>
          </w:rPr>
          <w:fldChar w:fldCharType="end"/>
        </w:r>
      </w:hyperlink>
    </w:p>
    <w:p w14:paraId="134ECA22" w14:textId="24F91FA8" w:rsidR="00D57958" w:rsidRDefault="00F90219">
      <w:pPr>
        <w:pStyle w:val="TableofFigures"/>
        <w:tabs>
          <w:tab w:val="right" w:leader="dot" w:pos="9389"/>
        </w:tabs>
        <w:rPr>
          <w:rFonts w:eastAsiaTheme="minorEastAsia" w:cstheme="minorBidi"/>
          <w:noProof/>
          <w:lang w:eastAsia="en-US"/>
        </w:rPr>
      </w:pPr>
      <w:hyperlink w:anchor="_Toc11259350" w:history="1">
        <w:r w:rsidR="00D57958" w:rsidRPr="00756FBC">
          <w:rPr>
            <w:rStyle w:val="Hyperlink"/>
            <w:noProof/>
          </w:rPr>
          <w:t>Figure 3. 9 Public sector workers’ have higher self-reported social status</w:t>
        </w:r>
        <w:r w:rsidR="00D57958">
          <w:rPr>
            <w:noProof/>
            <w:webHidden/>
          </w:rPr>
          <w:tab/>
        </w:r>
        <w:r w:rsidR="00D57958">
          <w:rPr>
            <w:noProof/>
            <w:webHidden/>
          </w:rPr>
          <w:fldChar w:fldCharType="begin"/>
        </w:r>
        <w:r w:rsidR="00D57958">
          <w:rPr>
            <w:noProof/>
            <w:webHidden/>
          </w:rPr>
          <w:instrText xml:space="preserve"> PAGEREF _Toc11259350 \h </w:instrText>
        </w:r>
        <w:r w:rsidR="00D57958">
          <w:rPr>
            <w:noProof/>
            <w:webHidden/>
          </w:rPr>
        </w:r>
        <w:r w:rsidR="00D57958">
          <w:rPr>
            <w:noProof/>
            <w:webHidden/>
          </w:rPr>
          <w:fldChar w:fldCharType="separate"/>
        </w:r>
        <w:r w:rsidR="00C97B7F">
          <w:rPr>
            <w:noProof/>
            <w:webHidden/>
          </w:rPr>
          <w:t>22</w:t>
        </w:r>
        <w:r w:rsidR="00D57958">
          <w:rPr>
            <w:noProof/>
            <w:webHidden/>
          </w:rPr>
          <w:fldChar w:fldCharType="end"/>
        </w:r>
      </w:hyperlink>
    </w:p>
    <w:p w14:paraId="50AD443B" w14:textId="2C655AFA" w:rsidR="00D57958" w:rsidRDefault="00F90219">
      <w:pPr>
        <w:pStyle w:val="TableofFigures"/>
        <w:tabs>
          <w:tab w:val="right" w:leader="dot" w:pos="9389"/>
        </w:tabs>
        <w:rPr>
          <w:rFonts w:eastAsiaTheme="minorEastAsia" w:cstheme="minorBidi"/>
          <w:noProof/>
          <w:lang w:eastAsia="en-US"/>
        </w:rPr>
      </w:pPr>
      <w:hyperlink w:anchor="_Toc11259351" w:history="1">
        <w:r w:rsidR="00D57958" w:rsidRPr="00756FBC">
          <w:rPr>
            <w:rStyle w:val="Hyperlink"/>
            <w:noProof/>
          </w:rPr>
          <w:t xml:space="preserve">Figure 3. 10  </w:t>
        </w:r>
        <w:r w:rsidR="00D57958" w:rsidRPr="00756FBC">
          <w:rPr>
            <w:rStyle w:val="Hyperlink"/>
            <w:bCs/>
            <w:noProof/>
          </w:rPr>
          <w:t>Percentage of workers quitting jobs between consecutive rounds of RLMS.</w:t>
        </w:r>
        <w:r w:rsidR="00D57958">
          <w:rPr>
            <w:noProof/>
            <w:webHidden/>
          </w:rPr>
          <w:tab/>
        </w:r>
        <w:r w:rsidR="00D57958">
          <w:rPr>
            <w:noProof/>
            <w:webHidden/>
          </w:rPr>
          <w:fldChar w:fldCharType="begin"/>
        </w:r>
        <w:r w:rsidR="00D57958">
          <w:rPr>
            <w:noProof/>
            <w:webHidden/>
          </w:rPr>
          <w:instrText xml:space="preserve"> PAGEREF _Toc11259351 \h </w:instrText>
        </w:r>
        <w:r w:rsidR="00D57958">
          <w:rPr>
            <w:noProof/>
            <w:webHidden/>
          </w:rPr>
        </w:r>
        <w:r w:rsidR="00D57958">
          <w:rPr>
            <w:noProof/>
            <w:webHidden/>
          </w:rPr>
          <w:fldChar w:fldCharType="separate"/>
        </w:r>
        <w:r w:rsidR="00C97B7F">
          <w:rPr>
            <w:noProof/>
            <w:webHidden/>
          </w:rPr>
          <w:t>23</w:t>
        </w:r>
        <w:r w:rsidR="00D57958">
          <w:rPr>
            <w:noProof/>
            <w:webHidden/>
          </w:rPr>
          <w:fldChar w:fldCharType="end"/>
        </w:r>
      </w:hyperlink>
    </w:p>
    <w:p w14:paraId="221F6905" w14:textId="46E31B21" w:rsidR="00D57958" w:rsidRDefault="00F90219">
      <w:pPr>
        <w:pStyle w:val="TableofFigures"/>
        <w:tabs>
          <w:tab w:val="right" w:leader="dot" w:pos="9389"/>
        </w:tabs>
        <w:rPr>
          <w:rFonts w:eastAsiaTheme="minorEastAsia" w:cstheme="minorBidi"/>
          <w:noProof/>
          <w:lang w:eastAsia="en-US"/>
        </w:rPr>
      </w:pPr>
      <w:hyperlink w:anchor="_Toc11259352" w:history="1">
        <w:r w:rsidR="00D57958" w:rsidRPr="00756FBC">
          <w:rPr>
            <w:rStyle w:val="Hyperlink"/>
            <w:noProof/>
          </w:rPr>
          <w:t>Figure 3. 11 Growth in the share of university graduates, relative to base year (1994).</w:t>
        </w:r>
        <w:r w:rsidR="00D57958">
          <w:rPr>
            <w:noProof/>
            <w:webHidden/>
          </w:rPr>
          <w:tab/>
        </w:r>
        <w:r w:rsidR="00D57958">
          <w:rPr>
            <w:noProof/>
            <w:webHidden/>
          </w:rPr>
          <w:fldChar w:fldCharType="begin"/>
        </w:r>
        <w:r w:rsidR="00D57958">
          <w:rPr>
            <w:noProof/>
            <w:webHidden/>
          </w:rPr>
          <w:instrText xml:space="preserve"> PAGEREF _Toc11259352 \h </w:instrText>
        </w:r>
        <w:r w:rsidR="00D57958">
          <w:rPr>
            <w:noProof/>
            <w:webHidden/>
          </w:rPr>
        </w:r>
        <w:r w:rsidR="00D57958">
          <w:rPr>
            <w:noProof/>
            <w:webHidden/>
          </w:rPr>
          <w:fldChar w:fldCharType="separate"/>
        </w:r>
        <w:r w:rsidR="00C97B7F">
          <w:rPr>
            <w:noProof/>
            <w:webHidden/>
          </w:rPr>
          <w:t>24</w:t>
        </w:r>
        <w:r w:rsidR="00D57958">
          <w:rPr>
            <w:noProof/>
            <w:webHidden/>
          </w:rPr>
          <w:fldChar w:fldCharType="end"/>
        </w:r>
      </w:hyperlink>
    </w:p>
    <w:p w14:paraId="2A0CB9A3" w14:textId="0EBC54E7" w:rsidR="00D57958" w:rsidRDefault="00F90219">
      <w:pPr>
        <w:pStyle w:val="TableofFigures"/>
        <w:tabs>
          <w:tab w:val="right" w:leader="dot" w:pos="9389"/>
        </w:tabs>
        <w:rPr>
          <w:rFonts w:eastAsiaTheme="minorEastAsia" w:cstheme="minorBidi"/>
          <w:noProof/>
          <w:lang w:eastAsia="en-US"/>
        </w:rPr>
      </w:pPr>
      <w:hyperlink w:anchor="_Toc11259353" w:history="1">
        <w:r w:rsidR="00D57958" w:rsidRPr="00756FBC">
          <w:rPr>
            <w:rStyle w:val="Hyperlink"/>
            <w:noProof/>
          </w:rPr>
          <w:t xml:space="preserve">Figure 3.12 </w:t>
        </w:r>
        <w:r w:rsidR="00D57958" w:rsidRPr="00756FBC">
          <w:rPr>
            <w:rStyle w:val="Hyperlink"/>
            <w:bCs/>
            <w:noProof/>
          </w:rPr>
          <w:t>Unemployment rates, Russia and comparators 2010-2018</w:t>
        </w:r>
        <w:r w:rsidR="00D57958">
          <w:rPr>
            <w:noProof/>
            <w:webHidden/>
          </w:rPr>
          <w:tab/>
        </w:r>
        <w:r w:rsidR="00D57958">
          <w:rPr>
            <w:noProof/>
            <w:webHidden/>
          </w:rPr>
          <w:fldChar w:fldCharType="begin"/>
        </w:r>
        <w:r w:rsidR="00D57958">
          <w:rPr>
            <w:noProof/>
            <w:webHidden/>
          </w:rPr>
          <w:instrText xml:space="preserve"> PAGEREF _Toc11259353 \h </w:instrText>
        </w:r>
        <w:r w:rsidR="00D57958">
          <w:rPr>
            <w:noProof/>
            <w:webHidden/>
          </w:rPr>
        </w:r>
        <w:r w:rsidR="00D57958">
          <w:rPr>
            <w:noProof/>
            <w:webHidden/>
          </w:rPr>
          <w:fldChar w:fldCharType="separate"/>
        </w:r>
        <w:r w:rsidR="00C97B7F">
          <w:rPr>
            <w:noProof/>
            <w:webHidden/>
          </w:rPr>
          <w:t>25</w:t>
        </w:r>
        <w:r w:rsidR="00D57958">
          <w:rPr>
            <w:noProof/>
            <w:webHidden/>
          </w:rPr>
          <w:fldChar w:fldCharType="end"/>
        </w:r>
      </w:hyperlink>
    </w:p>
    <w:p w14:paraId="453A6D5E" w14:textId="4C61D0C3" w:rsidR="00D57958" w:rsidRDefault="00F90219">
      <w:pPr>
        <w:pStyle w:val="TableofFigures"/>
        <w:tabs>
          <w:tab w:val="right" w:leader="dot" w:pos="9389"/>
        </w:tabs>
        <w:rPr>
          <w:rFonts w:eastAsiaTheme="minorEastAsia" w:cstheme="minorBidi"/>
          <w:noProof/>
          <w:lang w:eastAsia="en-US"/>
        </w:rPr>
      </w:pPr>
      <w:hyperlink w:anchor="_Toc11259354" w:history="1">
        <w:r w:rsidR="00D57958" w:rsidRPr="00756FBC">
          <w:rPr>
            <w:rStyle w:val="Hyperlink"/>
            <w:noProof/>
          </w:rPr>
          <w:t xml:space="preserve">Figure 3.13 </w:t>
        </w:r>
        <w:r w:rsidR="00D57958" w:rsidRPr="00756FBC">
          <w:rPr>
            <w:rStyle w:val="Hyperlink"/>
            <w:bCs/>
            <w:noProof/>
          </w:rPr>
          <w:t>Share of firms reporting labor shortages to be a major or severe constraint.</w:t>
        </w:r>
        <w:r w:rsidR="00D57958">
          <w:rPr>
            <w:noProof/>
            <w:webHidden/>
          </w:rPr>
          <w:tab/>
        </w:r>
        <w:r w:rsidR="00D57958">
          <w:rPr>
            <w:noProof/>
            <w:webHidden/>
          </w:rPr>
          <w:fldChar w:fldCharType="begin"/>
        </w:r>
        <w:r w:rsidR="00D57958">
          <w:rPr>
            <w:noProof/>
            <w:webHidden/>
          </w:rPr>
          <w:instrText xml:space="preserve"> PAGEREF _Toc11259354 \h </w:instrText>
        </w:r>
        <w:r w:rsidR="00D57958">
          <w:rPr>
            <w:noProof/>
            <w:webHidden/>
          </w:rPr>
        </w:r>
        <w:r w:rsidR="00D57958">
          <w:rPr>
            <w:noProof/>
            <w:webHidden/>
          </w:rPr>
          <w:fldChar w:fldCharType="separate"/>
        </w:r>
        <w:r w:rsidR="00C97B7F">
          <w:rPr>
            <w:noProof/>
            <w:webHidden/>
          </w:rPr>
          <w:t>25</w:t>
        </w:r>
        <w:r w:rsidR="00D57958">
          <w:rPr>
            <w:noProof/>
            <w:webHidden/>
          </w:rPr>
          <w:fldChar w:fldCharType="end"/>
        </w:r>
      </w:hyperlink>
    </w:p>
    <w:p w14:paraId="6D82901A" w14:textId="1AD8F7F5" w:rsidR="00D57958" w:rsidRDefault="00F90219">
      <w:pPr>
        <w:pStyle w:val="TableofFigures"/>
        <w:tabs>
          <w:tab w:val="right" w:leader="dot" w:pos="9389"/>
        </w:tabs>
        <w:rPr>
          <w:rFonts w:eastAsiaTheme="minorEastAsia" w:cstheme="minorBidi"/>
          <w:noProof/>
          <w:lang w:eastAsia="en-US"/>
        </w:rPr>
      </w:pPr>
      <w:hyperlink w:anchor="_Toc11259355" w:history="1">
        <w:r w:rsidR="00D57958" w:rsidRPr="00756FBC">
          <w:rPr>
            <w:rStyle w:val="Hyperlink"/>
            <w:noProof/>
          </w:rPr>
          <w:t>Figure 3. 14 SOE performance relative to private sector equivalent, by firm size, 2017-2018.</w:t>
        </w:r>
        <w:r w:rsidR="00D57958">
          <w:rPr>
            <w:noProof/>
            <w:webHidden/>
          </w:rPr>
          <w:tab/>
        </w:r>
        <w:r w:rsidR="00D57958">
          <w:rPr>
            <w:noProof/>
            <w:webHidden/>
          </w:rPr>
          <w:fldChar w:fldCharType="begin"/>
        </w:r>
        <w:r w:rsidR="00D57958">
          <w:rPr>
            <w:noProof/>
            <w:webHidden/>
          </w:rPr>
          <w:instrText xml:space="preserve"> PAGEREF _Toc11259355 \h </w:instrText>
        </w:r>
        <w:r w:rsidR="00D57958">
          <w:rPr>
            <w:noProof/>
            <w:webHidden/>
          </w:rPr>
        </w:r>
        <w:r w:rsidR="00D57958">
          <w:rPr>
            <w:noProof/>
            <w:webHidden/>
          </w:rPr>
          <w:fldChar w:fldCharType="separate"/>
        </w:r>
        <w:r w:rsidR="00C97B7F">
          <w:rPr>
            <w:noProof/>
            <w:webHidden/>
          </w:rPr>
          <w:t>26</w:t>
        </w:r>
        <w:r w:rsidR="00D57958">
          <w:rPr>
            <w:noProof/>
            <w:webHidden/>
          </w:rPr>
          <w:fldChar w:fldCharType="end"/>
        </w:r>
      </w:hyperlink>
    </w:p>
    <w:p w14:paraId="5BED34E3" w14:textId="145CAF75" w:rsidR="00D57958" w:rsidRDefault="00791B0B" w:rsidP="00D57958">
      <w:pPr>
        <w:pStyle w:val="TableofFigures"/>
        <w:tabs>
          <w:tab w:val="right" w:leader="dot" w:pos="9389"/>
        </w:tabs>
        <w:spacing w:line="240" w:lineRule="auto"/>
        <w:contextualSpacing/>
        <w:rPr>
          <w:rFonts w:eastAsiaTheme="minorEastAsia" w:cstheme="minorBidi"/>
          <w:noProof/>
          <w:lang w:eastAsia="en-US"/>
        </w:rPr>
      </w:pPr>
      <w:r w:rsidRPr="00FE0E54">
        <w:rPr>
          <w:rStyle w:val="Hyperlink"/>
          <w:noProof/>
        </w:rPr>
        <w:fldChar w:fldCharType="end"/>
      </w:r>
      <w:r w:rsidRPr="00FE0E54">
        <w:rPr>
          <w:rStyle w:val="Hyperlink"/>
          <w:noProof/>
        </w:rPr>
        <w:fldChar w:fldCharType="begin"/>
      </w:r>
      <w:r w:rsidRPr="00FE0E54">
        <w:rPr>
          <w:rStyle w:val="Hyperlink"/>
          <w:noProof/>
        </w:rPr>
        <w:instrText xml:space="preserve"> TOC \h \z \c "Figure 4." </w:instrText>
      </w:r>
      <w:r w:rsidRPr="00FE0E54">
        <w:rPr>
          <w:rStyle w:val="Hyperlink"/>
          <w:noProof/>
        </w:rPr>
        <w:fldChar w:fldCharType="separate"/>
      </w:r>
      <w:hyperlink w:anchor="_Toc11259356" w:history="1">
        <w:r w:rsidR="00D57958" w:rsidRPr="00D021A4">
          <w:rPr>
            <w:rStyle w:val="Hyperlink"/>
            <w:noProof/>
          </w:rPr>
          <w:t>Figure 4. 1 Share of firms providing training for employees.</w:t>
        </w:r>
        <w:r w:rsidR="00D57958">
          <w:rPr>
            <w:noProof/>
            <w:webHidden/>
          </w:rPr>
          <w:tab/>
        </w:r>
        <w:r w:rsidR="00D57958">
          <w:rPr>
            <w:noProof/>
            <w:webHidden/>
          </w:rPr>
          <w:fldChar w:fldCharType="begin"/>
        </w:r>
        <w:r w:rsidR="00D57958">
          <w:rPr>
            <w:noProof/>
            <w:webHidden/>
          </w:rPr>
          <w:instrText xml:space="preserve"> PAGEREF _Toc11259356 \h </w:instrText>
        </w:r>
        <w:r w:rsidR="00D57958">
          <w:rPr>
            <w:noProof/>
            <w:webHidden/>
          </w:rPr>
        </w:r>
        <w:r w:rsidR="00D57958">
          <w:rPr>
            <w:noProof/>
            <w:webHidden/>
          </w:rPr>
          <w:fldChar w:fldCharType="separate"/>
        </w:r>
        <w:r w:rsidR="00D57958">
          <w:rPr>
            <w:noProof/>
            <w:webHidden/>
          </w:rPr>
          <w:t>29</w:t>
        </w:r>
        <w:r w:rsidR="00D57958">
          <w:rPr>
            <w:noProof/>
            <w:webHidden/>
          </w:rPr>
          <w:fldChar w:fldCharType="end"/>
        </w:r>
      </w:hyperlink>
    </w:p>
    <w:p w14:paraId="3612BD5C" w14:textId="446D8CEB" w:rsidR="00D57958" w:rsidRDefault="00F90219">
      <w:pPr>
        <w:pStyle w:val="TableofFigures"/>
        <w:tabs>
          <w:tab w:val="right" w:leader="dot" w:pos="9389"/>
        </w:tabs>
        <w:rPr>
          <w:rFonts w:eastAsiaTheme="minorEastAsia" w:cstheme="minorBidi"/>
          <w:noProof/>
          <w:lang w:eastAsia="en-US"/>
        </w:rPr>
      </w:pPr>
      <w:hyperlink w:anchor="_Toc11259357" w:history="1">
        <w:r w:rsidR="00D57958" w:rsidRPr="00D021A4">
          <w:rPr>
            <w:rStyle w:val="Hyperlink"/>
            <w:noProof/>
          </w:rPr>
          <w:t>Figure 4. 2 Share of employees trained by firms that provide training.</w:t>
        </w:r>
        <w:r w:rsidR="00D57958">
          <w:rPr>
            <w:noProof/>
            <w:webHidden/>
          </w:rPr>
          <w:tab/>
        </w:r>
        <w:r w:rsidR="00D57958">
          <w:rPr>
            <w:noProof/>
            <w:webHidden/>
          </w:rPr>
          <w:fldChar w:fldCharType="begin"/>
        </w:r>
        <w:r w:rsidR="00D57958">
          <w:rPr>
            <w:noProof/>
            <w:webHidden/>
          </w:rPr>
          <w:instrText xml:space="preserve"> PAGEREF _Toc11259357 \h </w:instrText>
        </w:r>
        <w:r w:rsidR="00D57958">
          <w:rPr>
            <w:noProof/>
            <w:webHidden/>
          </w:rPr>
        </w:r>
        <w:r w:rsidR="00D57958">
          <w:rPr>
            <w:noProof/>
            <w:webHidden/>
          </w:rPr>
          <w:fldChar w:fldCharType="separate"/>
        </w:r>
        <w:r w:rsidR="00D57958">
          <w:rPr>
            <w:noProof/>
            <w:webHidden/>
          </w:rPr>
          <w:t>29</w:t>
        </w:r>
        <w:r w:rsidR="00D57958">
          <w:rPr>
            <w:noProof/>
            <w:webHidden/>
          </w:rPr>
          <w:fldChar w:fldCharType="end"/>
        </w:r>
      </w:hyperlink>
    </w:p>
    <w:p w14:paraId="07F7448C" w14:textId="2FB2177C" w:rsidR="00D57958" w:rsidRDefault="00F90219">
      <w:pPr>
        <w:pStyle w:val="TableofFigures"/>
        <w:tabs>
          <w:tab w:val="right" w:leader="dot" w:pos="9389"/>
        </w:tabs>
        <w:rPr>
          <w:rFonts w:eastAsiaTheme="minorEastAsia" w:cstheme="minorBidi"/>
          <w:noProof/>
          <w:lang w:eastAsia="en-US"/>
        </w:rPr>
      </w:pPr>
      <w:hyperlink w:anchor="_Toc11259358" w:history="1">
        <w:r w:rsidR="00D57958" w:rsidRPr="00D021A4">
          <w:rPr>
            <w:rStyle w:val="Hyperlink"/>
            <w:noProof/>
          </w:rPr>
          <w:t>Figure 4. 3 Share of firms using KPIs.</w:t>
        </w:r>
        <w:r w:rsidR="00D57958">
          <w:rPr>
            <w:noProof/>
            <w:webHidden/>
          </w:rPr>
          <w:tab/>
        </w:r>
        <w:r w:rsidR="00D57958">
          <w:rPr>
            <w:noProof/>
            <w:webHidden/>
          </w:rPr>
          <w:fldChar w:fldCharType="begin"/>
        </w:r>
        <w:r w:rsidR="00D57958">
          <w:rPr>
            <w:noProof/>
            <w:webHidden/>
          </w:rPr>
          <w:instrText xml:space="preserve"> PAGEREF _Toc11259358 \h </w:instrText>
        </w:r>
        <w:r w:rsidR="00D57958">
          <w:rPr>
            <w:noProof/>
            <w:webHidden/>
          </w:rPr>
        </w:r>
        <w:r w:rsidR="00D57958">
          <w:rPr>
            <w:noProof/>
            <w:webHidden/>
          </w:rPr>
          <w:fldChar w:fldCharType="separate"/>
        </w:r>
        <w:r w:rsidR="00D57958">
          <w:rPr>
            <w:noProof/>
            <w:webHidden/>
          </w:rPr>
          <w:t>30</w:t>
        </w:r>
        <w:r w:rsidR="00D57958">
          <w:rPr>
            <w:noProof/>
            <w:webHidden/>
          </w:rPr>
          <w:fldChar w:fldCharType="end"/>
        </w:r>
      </w:hyperlink>
    </w:p>
    <w:p w14:paraId="340D6555" w14:textId="675961D4" w:rsidR="00D57958" w:rsidRDefault="00F90219">
      <w:pPr>
        <w:pStyle w:val="TableofFigures"/>
        <w:tabs>
          <w:tab w:val="right" w:leader="dot" w:pos="9389"/>
        </w:tabs>
        <w:rPr>
          <w:rFonts w:eastAsiaTheme="minorEastAsia" w:cstheme="minorBidi"/>
          <w:noProof/>
          <w:lang w:eastAsia="en-US"/>
        </w:rPr>
      </w:pPr>
      <w:hyperlink w:anchor="_Toc11259359" w:history="1">
        <w:r w:rsidR="00D57958" w:rsidRPr="00D021A4">
          <w:rPr>
            <w:rStyle w:val="Hyperlink"/>
            <w:noProof/>
          </w:rPr>
          <w:t>Figure 4. 4 Share of firms giving manager performance bonuses.</w:t>
        </w:r>
        <w:r w:rsidR="00D57958">
          <w:rPr>
            <w:noProof/>
            <w:webHidden/>
          </w:rPr>
          <w:tab/>
        </w:r>
        <w:r w:rsidR="00D57958">
          <w:rPr>
            <w:noProof/>
            <w:webHidden/>
          </w:rPr>
          <w:fldChar w:fldCharType="begin"/>
        </w:r>
        <w:r w:rsidR="00D57958">
          <w:rPr>
            <w:noProof/>
            <w:webHidden/>
          </w:rPr>
          <w:instrText xml:space="preserve"> PAGEREF _Toc11259359 \h </w:instrText>
        </w:r>
        <w:r w:rsidR="00D57958">
          <w:rPr>
            <w:noProof/>
            <w:webHidden/>
          </w:rPr>
        </w:r>
        <w:r w:rsidR="00D57958">
          <w:rPr>
            <w:noProof/>
            <w:webHidden/>
          </w:rPr>
          <w:fldChar w:fldCharType="separate"/>
        </w:r>
        <w:r w:rsidR="00D57958">
          <w:rPr>
            <w:noProof/>
            <w:webHidden/>
          </w:rPr>
          <w:t>30</w:t>
        </w:r>
        <w:r w:rsidR="00D57958">
          <w:rPr>
            <w:noProof/>
            <w:webHidden/>
          </w:rPr>
          <w:fldChar w:fldCharType="end"/>
        </w:r>
      </w:hyperlink>
    </w:p>
    <w:p w14:paraId="00F549BF" w14:textId="3CEFA99F" w:rsidR="00D57958" w:rsidRDefault="00F90219">
      <w:pPr>
        <w:pStyle w:val="TableofFigures"/>
        <w:tabs>
          <w:tab w:val="right" w:leader="dot" w:pos="9389"/>
        </w:tabs>
        <w:rPr>
          <w:rFonts w:eastAsiaTheme="minorEastAsia" w:cstheme="minorBidi"/>
          <w:noProof/>
          <w:lang w:eastAsia="en-US"/>
        </w:rPr>
      </w:pPr>
      <w:hyperlink w:anchor="_Toc11259360" w:history="1">
        <w:r w:rsidR="00D57958" w:rsidRPr="00D021A4">
          <w:rPr>
            <w:rStyle w:val="Hyperlink"/>
            <w:noProof/>
          </w:rPr>
          <w:t>Figure 4. 5</w:t>
        </w:r>
        <w:r w:rsidR="00D57958" w:rsidRPr="00D021A4">
          <w:rPr>
            <w:rStyle w:val="Hyperlink"/>
            <w:bCs/>
            <w:noProof/>
          </w:rPr>
          <w:t xml:space="preserve"> Average weekly working hours.</w:t>
        </w:r>
        <w:r w:rsidR="00D57958">
          <w:rPr>
            <w:noProof/>
            <w:webHidden/>
          </w:rPr>
          <w:tab/>
        </w:r>
        <w:r w:rsidR="00D57958">
          <w:rPr>
            <w:noProof/>
            <w:webHidden/>
          </w:rPr>
          <w:fldChar w:fldCharType="begin"/>
        </w:r>
        <w:r w:rsidR="00D57958">
          <w:rPr>
            <w:noProof/>
            <w:webHidden/>
          </w:rPr>
          <w:instrText xml:space="preserve"> PAGEREF _Toc11259360 \h </w:instrText>
        </w:r>
        <w:r w:rsidR="00D57958">
          <w:rPr>
            <w:noProof/>
            <w:webHidden/>
          </w:rPr>
        </w:r>
        <w:r w:rsidR="00D57958">
          <w:rPr>
            <w:noProof/>
            <w:webHidden/>
          </w:rPr>
          <w:fldChar w:fldCharType="separate"/>
        </w:r>
        <w:r w:rsidR="00D57958">
          <w:rPr>
            <w:noProof/>
            <w:webHidden/>
          </w:rPr>
          <w:t>31</w:t>
        </w:r>
        <w:r w:rsidR="00D57958">
          <w:rPr>
            <w:noProof/>
            <w:webHidden/>
          </w:rPr>
          <w:fldChar w:fldCharType="end"/>
        </w:r>
      </w:hyperlink>
    </w:p>
    <w:p w14:paraId="5D1ACC06" w14:textId="2503E56E" w:rsidR="00D57958" w:rsidRDefault="00F90219">
      <w:pPr>
        <w:pStyle w:val="TableofFigures"/>
        <w:tabs>
          <w:tab w:val="right" w:leader="dot" w:pos="9389"/>
        </w:tabs>
        <w:rPr>
          <w:rFonts w:eastAsiaTheme="minorEastAsia" w:cstheme="minorBidi"/>
          <w:noProof/>
          <w:lang w:eastAsia="en-US"/>
        </w:rPr>
      </w:pPr>
      <w:hyperlink w:anchor="_Toc11259361" w:history="1">
        <w:r w:rsidR="00D57958" w:rsidRPr="00D021A4">
          <w:rPr>
            <w:rStyle w:val="Hyperlink"/>
            <w:noProof/>
          </w:rPr>
          <w:t>Figure 4. 6</w:t>
        </w:r>
        <w:r w:rsidR="00D57958" w:rsidRPr="00D021A4">
          <w:rPr>
            <w:rStyle w:val="Hyperlink"/>
            <w:bCs/>
            <w:noProof/>
          </w:rPr>
          <w:t xml:space="preserve"> Tenure in current job, in years.</w:t>
        </w:r>
        <w:r w:rsidR="00D57958">
          <w:rPr>
            <w:noProof/>
            <w:webHidden/>
          </w:rPr>
          <w:tab/>
        </w:r>
        <w:r w:rsidR="00D57958">
          <w:rPr>
            <w:noProof/>
            <w:webHidden/>
          </w:rPr>
          <w:fldChar w:fldCharType="begin"/>
        </w:r>
        <w:r w:rsidR="00D57958">
          <w:rPr>
            <w:noProof/>
            <w:webHidden/>
          </w:rPr>
          <w:instrText xml:space="preserve"> PAGEREF _Toc11259361 \h </w:instrText>
        </w:r>
        <w:r w:rsidR="00D57958">
          <w:rPr>
            <w:noProof/>
            <w:webHidden/>
          </w:rPr>
        </w:r>
        <w:r w:rsidR="00D57958">
          <w:rPr>
            <w:noProof/>
            <w:webHidden/>
          </w:rPr>
          <w:fldChar w:fldCharType="separate"/>
        </w:r>
        <w:r w:rsidR="00D57958">
          <w:rPr>
            <w:noProof/>
            <w:webHidden/>
          </w:rPr>
          <w:t>31</w:t>
        </w:r>
        <w:r w:rsidR="00D57958">
          <w:rPr>
            <w:noProof/>
            <w:webHidden/>
          </w:rPr>
          <w:fldChar w:fldCharType="end"/>
        </w:r>
      </w:hyperlink>
    </w:p>
    <w:p w14:paraId="6811DF64" w14:textId="6005C99D" w:rsidR="00D57958" w:rsidRDefault="00F90219">
      <w:pPr>
        <w:pStyle w:val="TableofFigures"/>
        <w:tabs>
          <w:tab w:val="right" w:leader="dot" w:pos="9389"/>
        </w:tabs>
        <w:rPr>
          <w:rFonts w:eastAsiaTheme="minorEastAsia" w:cstheme="minorBidi"/>
          <w:noProof/>
          <w:lang w:eastAsia="en-US"/>
        </w:rPr>
      </w:pPr>
      <w:hyperlink w:anchor="_Toc11259362" w:history="1">
        <w:r w:rsidR="00D57958" w:rsidRPr="00D021A4">
          <w:rPr>
            <w:rStyle w:val="Hyperlink"/>
            <w:noProof/>
          </w:rPr>
          <w:t>Figure 4. 7 On the job computer and internet usage among workers.</w:t>
        </w:r>
        <w:r w:rsidR="00D57958">
          <w:rPr>
            <w:noProof/>
            <w:webHidden/>
          </w:rPr>
          <w:tab/>
        </w:r>
        <w:r w:rsidR="00D57958">
          <w:rPr>
            <w:noProof/>
            <w:webHidden/>
          </w:rPr>
          <w:fldChar w:fldCharType="begin"/>
        </w:r>
        <w:r w:rsidR="00D57958">
          <w:rPr>
            <w:noProof/>
            <w:webHidden/>
          </w:rPr>
          <w:instrText xml:space="preserve"> PAGEREF _Toc11259362 \h </w:instrText>
        </w:r>
        <w:r w:rsidR="00D57958">
          <w:rPr>
            <w:noProof/>
            <w:webHidden/>
          </w:rPr>
        </w:r>
        <w:r w:rsidR="00D57958">
          <w:rPr>
            <w:noProof/>
            <w:webHidden/>
          </w:rPr>
          <w:fldChar w:fldCharType="separate"/>
        </w:r>
        <w:r w:rsidR="00D57958">
          <w:rPr>
            <w:noProof/>
            <w:webHidden/>
          </w:rPr>
          <w:t>31</w:t>
        </w:r>
        <w:r w:rsidR="00D57958">
          <w:rPr>
            <w:noProof/>
            <w:webHidden/>
          </w:rPr>
          <w:fldChar w:fldCharType="end"/>
        </w:r>
      </w:hyperlink>
    </w:p>
    <w:p w14:paraId="10B3E323" w14:textId="67515A1C" w:rsidR="00D57958" w:rsidRDefault="00F90219">
      <w:pPr>
        <w:pStyle w:val="TableofFigures"/>
        <w:tabs>
          <w:tab w:val="right" w:leader="dot" w:pos="9389"/>
        </w:tabs>
        <w:rPr>
          <w:rFonts w:eastAsiaTheme="minorEastAsia" w:cstheme="minorBidi"/>
          <w:noProof/>
          <w:lang w:eastAsia="en-US"/>
        </w:rPr>
      </w:pPr>
      <w:hyperlink w:anchor="_Toc11259363" w:history="1">
        <w:r w:rsidR="00D57958" w:rsidRPr="00D021A4">
          <w:rPr>
            <w:rStyle w:val="Hyperlink"/>
            <w:noProof/>
          </w:rPr>
          <w:t>Figure 4. 8</w:t>
        </w:r>
        <w:r w:rsidR="00D57958" w:rsidRPr="00D021A4">
          <w:rPr>
            <w:rStyle w:val="Hyperlink"/>
            <w:bCs/>
            <w:noProof/>
          </w:rPr>
          <w:t xml:space="preserve"> Share of companies using ERP/IFMIS.</w:t>
        </w:r>
        <w:r w:rsidR="00D57958">
          <w:rPr>
            <w:noProof/>
            <w:webHidden/>
          </w:rPr>
          <w:tab/>
        </w:r>
        <w:r w:rsidR="00D57958">
          <w:rPr>
            <w:noProof/>
            <w:webHidden/>
          </w:rPr>
          <w:fldChar w:fldCharType="begin"/>
        </w:r>
        <w:r w:rsidR="00D57958">
          <w:rPr>
            <w:noProof/>
            <w:webHidden/>
          </w:rPr>
          <w:instrText xml:space="preserve"> PAGEREF _Toc11259363 \h </w:instrText>
        </w:r>
        <w:r w:rsidR="00D57958">
          <w:rPr>
            <w:noProof/>
            <w:webHidden/>
          </w:rPr>
        </w:r>
        <w:r w:rsidR="00D57958">
          <w:rPr>
            <w:noProof/>
            <w:webHidden/>
          </w:rPr>
          <w:fldChar w:fldCharType="separate"/>
        </w:r>
        <w:r w:rsidR="00D57958">
          <w:rPr>
            <w:noProof/>
            <w:webHidden/>
          </w:rPr>
          <w:t>32</w:t>
        </w:r>
        <w:r w:rsidR="00D57958">
          <w:rPr>
            <w:noProof/>
            <w:webHidden/>
          </w:rPr>
          <w:fldChar w:fldCharType="end"/>
        </w:r>
      </w:hyperlink>
    </w:p>
    <w:p w14:paraId="601D6717" w14:textId="59FEDA8C" w:rsidR="00D57958" w:rsidRDefault="00F90219">
      <w:pPr>
        <w:pStyle w:val="TableofFigures"/>
        <w:tabs>
          <w:tab w:val="right" w:leader="dot" w:pos="9389"/>
        </w:tabs>
        <w:rPr>
          <w:rFonts w:eastAsiaTheme="minorEastAsia" w:cstheme="minorBidi"/>
          <w:noProof/>
          <w:lang w:eastAsia="en-US"/>
        </w:rPr>
      </w:pPr>
      <w:hyperlink w:anchor="_Toc11259364" w:history="1">
        <w:r w:rsidR="00D57958" w:rsidRPr="00D021A4">
          <w:rPr>
            <w:rStyle w:val="Hyperlink"/>
            <w:noProof/>
          </w:rPr>
          <w:t>Figure 4. 9</w:t>
        </w:r>
        <w:r w:rsidR="00D57958" w:rsidRPr="00D021A4">
          <w:rPr>
            <w:rStyle w:val="Hyperlink"/>
            <w:bCs/>
            <w:noProof/>
          </w:rPr>
          <w:t xml:space="preserve"> Share of companies with English-language website.</w:t>
        </w:r>
        <w:r w:rsidR="00D57958">
          <w:rPr>
            <w:noProof/>
            <w:webHidden/>
          </w:rPr>
          <w:tab/>
        </w:r>
        <w:r w:rsidR="00D57958">
          <w:rPr>
            <w:noProof/>
            <w:webHidden/>
          </w:rPr>
          <w:fldChar w:fldCharType="begin"/>
        </w:r>
        <w:r w:rsidR="00D57958">
          <w:rPr>
            <w:noProof/>
            <w:webHidden/>
          </w:rPr>
          <w:instrText xml:space="preserve"> PAGEREF _Toc11259364 \h </w:instrText>
        </w:r>
        <w:r w:rsidR="00D57958">
          <w:rPr>
            <w:noProof/>
            <w:webHidden/>
          </w:rPr>
        </w:r>
        <w:r w:rsidR="00D57958">
          <w:rPr>
            <w:noProof/>
            <w:webHidden/>
          </w:rPr>
          <w:fldChar w:fldCharType="separate"/>
        </w:r>
        <w:r w:rsidR="00D57958">
          <w:rPr>
            <w:noProof/>
            <w:webHidden/>
          </w:rPr>
          <w:t>32</w:t>
        </w:r>
        <w:r w:rsidR="00D57958">
          <w:rPr>
            <w:noProof/>
            <w:webHidden/>
          </w:rPr>
          <w:fldChar w:fldCharType="end"/>
        </w:r>
      </w:hyperlink>
    </w:p>
    <w:p w14:paraId="6308D218" w14:textId="33A0C872" w:rsidR="00D57958" w:rsidRDefault="00F90219">
      <w:pPr>
        <w:pStyle w:val="TableofFigures"/>
        <w:tabs>
          <w:tab w:val="right" w:leader="dot" w:pos="9389"/>
        </w:tabs>
        <w:rPr>
          <w:rFonts w:eastAsiaTheme="minorEastAsia" w:cstheme="minorBidi"/>
          <w:noProof/>
          <w:lang w:eastAsia="en-US"/>
        </w:rPr>
      </w:pPr>
      <w:hyperlink w:anchor="_Toc11259365" w:history="1">
        <w:r w:rsidR="00D57958" w:rsidRPr="00D021A4">
          <w:rPr>
            <w:rStyle w:val="Hyperlink"/>
            <w:noProof/>
          </w:rPr>
          <w:t>Figure 4. 10 Share of firms benchmarking wages to closest competitors.</w:t>
        </w:r>
        <w:r w:rsidR="00D57958">
          <w:rPr>
            <w:noProof/>
            <w:webHidden/>
          </w:rPr>
          <w:tab/>
        </w:r>
        <w:r w:rsidR="00D57958">
          <w:rPr>
            <w:noProof/>
            <w:webHidden/>
          </w:rPr>
          <w:fldChar w:fldCharType="begin"/>
        </w:r>
        <w:r w:rsidR="00D57958">
          <w:rPr>
            <w:noProof/>
            <w:webHidden/>
          </w:rPr>
          <w:instrText xml:space="preserve"> PAGEREF _Toc11259365 \h </w:instrText>
        </w:r>
        <w:r w:rsidR="00D57958">
          <w:rPr>
            <w:noProof/>
            <w:webHidden/>
          </w:rPr>
        </w:r>
        <w:r w:rsidR="00D57958">
          <w:rPr>
            <w:noProof/>
            <w:webHidden/>
          </w:rPr>
          <w:fldChar w:fldCharType="separate"/>
        </w:r>
        <w:r w:rsidR="00D57958">
          <w:rPr>
            <w:noProof/>
            <w:webHidden/>
          </w:rPr>
          <w:t>33</w:t>
        </w:r>
        <w:r w:rsidR="00D57958">
          <w:rPr>
            <w:noProof/>
            <w:webHidden/>
          </w:rPr>
          <w:fldChar w:fldCharType="end"/>
        </w:r>
      </w:hyperlink>
    </w:p>
    <w:p w14:paraId="06710980" w14:textId="3774BBFD" w:rsidR="00D57958" w:rsidRDefault="00791B0B" w:rsidP="00D57958">
      <w:pPr>
        <w:pStyle w:val="TableofFigures"/>
        <w:tabs>
          <w:tab w:val="right" w:leader="dot" w:pos="9389"/>
        </w:tabs>
        <w:spacing w:line="240" w:lineRule="auto"/>
        <w:contextualSpacing/>
        <w:rPr>
          <w:rFonts w:eastAsiaTheme="minorEastAsia" w:cstheme="minorBidi"/>
          <w:noProof/>
          <w:lang w:eastAsia="en-US"/>
        </w:rPr>
      </w:pPr>
      <w:r w:rsidRPr="00FE0E54">
        <w:rPr>
          <w:rStyle w:val="Hyperlink"/>
          <w:noProof/>
        </w:rPr>
        <w:fldChar w:fldCharType="end"/>
      </w:r>
      <w:r w:rsidRPr="00FE0E54">
        <w:rPr>
          <w:rStyle w:val="Hyperlink"/>
          <w:noProof/>
        </w:rPr>
        <w:fldChar w:fldCharType="begin"/>
      </w:r>
      <w:r w:rsidRPr="00FE0E54">
        <w:rPr>
          <w:rStyle w:val="Hyperlink"/>
          <w:noProof/>
        </w:rPr>
        <w:instrText xml:space="preserve"> TOC \h \z \c "Figure 5." </w:instrText>
      </w:r>
      <w:r w:rsidRPr="00FE0E54">
        <w:rPr>
          <w:rStyle w:val="Hyperlink"/>
          <w:noProof/>
        </w:rPr>
        <w:fldChar w:fldCharType="separate"/>
      </w:r>
      <w:hyperlink w:anchor="_Toc11259366" w:history="1">
        <w:r w:rsidR="00D57958" w:rsidRPr="00B17088">
          <w:rPr>
            <w:rStyle w:val="Hyperlink"/>
            <w:noProof/>
          </w:rPr>
          <w:t>Figure 5. 1 Share of firms receiving state subsidies, contracts, and non-financial assistance.</w:t>
        </w:r>
        <w:r w:rsidR="00D57958">
          <w:rPr>
            <w:noProof/>
            <w:webHidden/>
          </w:rPr>
          <w:tab/>
        </w:r>
        <w:r w:rsidR="00D57958">
          <w:rPr>
            <w:noProof/>
            <w:webHidden/>
          </w:rPr>
          <w:fldChar w:fldCharType="begin"/>
        </w:r>
        <w:r w:rsidR="00D57958">
          <w:rPr>
            <w:noProof/>
            <w:webHidden/>
          </w:rPr>
          <w:instrText xml:space="preserve"> PAGEREF _Toc11259366 \h </w:instrText>
        </w:r>
        <w:r w:rsidR="00D57958">
          <w:rPr>
            <w:noProof/>
            <w:webHidden/>
          </w:rPr>
        </w:r>
        <w:r w:rsidR="00D57958">
          <w:rPr>
            <w:noProof/>
            <w:webHidden/>
          </w:rPr>
          <w:fldChar w:fldCharType="separate"/>
        </w:r>
        <w:r w:rsidR="00D57958">
          <w:rPr>
            <w:noProof/>
            <w:webHidden/>
          </w:rPr>
          <w:t>36</w:t>
        </w:r>
        <w:r w:rsidR="00D57958">
          <w:rPr>
            <w:noProof/>
            <w:webHidden/>
          </w:rPr>
          <w:fldChar w:fldCharType="end"/>
        </w:r>
      </w:hyperlink>
    </w:p>
    <w:p w14:paraId="39863776" w14:textId="7EED2B14" w:rsidR="00D57958" w:rsidRDefault="00F90219">
      <w:pPr>
        <w:pStyle w:val="TableofFigures"/>
        <w:tabs>
          <w:tab w:val="right" w:leader="dot" w:pos="9389"/>
        </w:tabs>
        <w:rPr>
          <w:rFonts w:eastAsiaTheme="minorEastAsia" w:cstheme="minorBidi"/>
          <w:noProof/>
          <w:lang w:eastAsia="en-US"/>
        </w:rPr>
      </w:pPr>
      <w:hyperlink w:anchor="_Toc11259367" w:history="1">
        <w:r w:rsidR="00D57958" w:rsidRPr="00B17088">
          <w:rPr>
            <w:rStyle w:val="Hyperlink"/>
            <w:noProof/>
          </w:rPr>
          <w:t>Figure 5. 2 Share of firms whose prices of main products/services do not depend on competition.</w:t>
        </w:r>
        <w:r w:rsidR="00D57958">
          <w:rPr>
            <w:noProof/>
            <w:webHidden/>
          </w:rPr>
          <w:tab/>
        </w:r>
        <w:r w:rsidR="00D57958">
          <w:rPr>
            <w:noProof/>
            <w:webHidden/>
          </w:rPr>
          <w:fldChar w:fldCharType="begin"/>
        </w:r>
        <w:r w:rsidR="00D57958">
          <w:rPr>
            <w:noProof/>
            <w:webHidden/>
          </w:rPr>
          <w:instrText xml:space="preserve"> PAGEREF _Toc11259367 \h </w:instrText>
        </w:r>
        <w:r w:rsidR="00D57958">
          <w:rPr>
            <w:noProof/>
            <w:webHidden/>
          </w:rPr>
        </w:r>
        <w:r w:rsidR="00D57958">
          <w:rPr>
            <w:noProof/>
            <w:webHidden/>
          </w:rPr>
          <w:fldChar w:fldCharType="separate"/>
        </w:r>
        <w:r w:rsidR="00D57958">
          <w:rPr>
            <w:noProof/>
            <w:webHidden/>
          </w:rPr>
          <w:t>37</w:t>
        </w:r>
        <w:r w:rsidR="00D57958">
          <w:rPr>
            <w:noProof/>
            <w:webHidden/>
          </w:rPr>
          <w:fldChar w:fldCharType="end"/>
        </w:r>
      </w:hyperlink>
    </w:p>
    <w:p w14:paraId="6D0A7A0A" w14:textId="3D0022BF" w:rsidR="00D57958" w:rsidRDefault="00F90219">
      <w:pPr>
        <w:pStyle w:val="TableofFigures"/>
        <w:tabs>
          <w:tab w:val="right" w:leader="dot" w:pos="9389"/>
        </w:tabs>
        <w:rPr>
          <w:rFonts w:eastAsiaTheme="minorEastAsia" w:cstheme="minorBidi"/>
          <w:noProof/>
          <w:lang w:eastAsia="en-US"/>
        </w:rPr>
      </w:pPr>
      <w:hyperlink w:anchor="_Toc11259368" w:history="1">
        <w:r w:rsidR="00D57958" w:rsidRPr="00B17088">
          <w:rPr>
            <w:rStyle w:val="Hyperlink"/>
            <w:noProof/>
          </w:rPr>
          <w:t>Figure 5. 3 SOE-private wage gap, with and without government subsidy</w:t>
        </w:r>
        <w:r w:rsidR="00D57958">
          <w:rPr>
            <w:noProof/>
            <w:webHidden/>
          </w:rPr>
          <w:tab/>
        </w:r>
        <w:r w:rsidR="00D57958">
          <w:rPr>
            <w:noProof/>
            <w:webHidden/>
          </w:rPr>
          <w:fldChar w:fldCharType="begin"/>
        </w:r>
        <w:r w:rsidR="00D57958">
          <w:rPr>
            <w:noProof/>
            <w:webHidden/>
          </w:rPr>
          <w:instrText xml:space="preserve"> PAGEREF _Toc11259368 \h </w:instrText>
        </w:r>
        <w:r w:rsidR="00D57958">
          <w:rPr>
            <w:noProof/>
            <w:webHidden/>
          </w:rPr>
        </w:r>
        <w:r w:rsidR="00D57958">
          <w:rPr>
            <w:noProof/>
            <w:webHidden/>
          </w:rPr>
          <w:fldChar w:fldCharType="separate"/>
        </w:r>
        <w:r w:rsidR="00D57958">
          <w:rPr>
            <w:noProof/>
            <w:webHidden/>
          </w:rPr>
          <w:t>38</w:t>
        </w:r>
        <w:r w:rsidR="00D57958">
          <w:rPr>
            <w:noProof/>
            <w:webHidden/>
          </w:rPr>
          <w:fldChar w:fldCharType="end"/>
        </w:r>
      </w:hyperlink>
    </w:p>
    <w:p w14:paraId="69309A34" w14:textId="60B2690B" w:rsidR="00D57958" w:rsidRDefault="00791B0B" w:rsidP="00D57958">
      <w:pPr>
        <w:pStyle w:val="TableofFigures"/>
        <w:tabs>
          <w:tab w:val="right" w:leader="dot" w:pos="9389"/>
        </w:tabs>
        <w:spacing w:line="240" w:lineRule="auto"/>
        <w:contextualSpacing/>
        <w:rPr>
          <w:rFonts w:eastAsiaTheme="minorEastAsia" w:cstheme="minorBidi"/>
          <w:noProof/>
          <w:lang w:eastAsia="en-US"/>
        </w:rPr>
      </w:pPr>
      <w:r w:rsidRPr="00FE0E54">
        <w:rPr>
          <w:rStyle w:val="Hyperlink"/>
          <w:noProof/>
        </w:rPr>
        <w:fldChar w:fldCharType="end"/>
      </w:r>
      <w:r w:rsidRPr="00FE0E54">
        <w:rPr>
          <w:rStyle w:val="Hyperlink"/>
          <w:noProof/>
        </w:rPr>
        <w:fldChar w:fldCharType="begin"/>
      </w:r>
      <w:r w:rsidRPr="00FE0E54">
        <w:rPr>
          <w:rStyle w:val="Hyperlink"/>
          <w:noProof/>
        </w:rPr>
        <w:instrText xml:space="preserve"> TOC \h \z \c "Figure 6." </w:instrText>
      </w:r>
      <w:r w:rsidRPr="00FE0E54">
        <w:rPr>
          <w:rStyle w:val="Hyperlink"/>
          <w:noProof/>
        </w:rPr>
        <w:fldChar w:fldCharType="separate"/>
      </w:r>
      <w:hyperlink w:anchor="_Toc11259369" w:history="1">
        <w:r w:rsidR="00D57958" w:rsidRPr="00825351">
          <w:rPr>
            <w:rStyle w:val="Hyperlink"/>
            <w:noProof/>
          </w:rPr>
          <w:t>Figure 6. 1 Select Policy recommendations</w:t>
        </w:r>
        <w:r w:rsidR="00D57958">
          <w:rPr>
            <w:noProof/>
            <w:webHidden/>
          </w:rPr>
          <w:tab/>
        </w:r>
        <w:r w:rsidR="00D57958">
          <w:rPr>
            <w:noProof/>
            <w:webHidden/>
          </w:rPr>
          <w:fldChar w:fldCharType="begin"/>
        </w:r>
        <w:r w:rsidR="00D57958">
          <w:rPr>
            <w:noProof/>
            <w:webHidden/>
          </w:rPr>
          <w:instrText xml:space="preserve"> PAGEREF _Toc11259369 \h </w:instrText>
        </w:r>
        <w:r w:rsidR="00D57958">
          <w:rPr>
            <w:noProof/>
            <w:webHidden/>
          </w:rPr>
        </w:r>
        <w:r w:rsidR="00D57958">
          <w:rPr>
            <w:noProof/>
            <w:webHidden/>
          </w:rPr>
          <w:fldChar w:fldCharType="separate"/>
        </w:r>
        <w:r w:rsidR="00D57958">
          <w:rPr>
            <w:noProof/>
            <w:webHidden/>
          </w:rPr>
          <w:t>40</w:t>
        </w:r>
        <w:r w:rsidR="00D57958">
          <w:rPr>
            <w:noProof/>
            <w:webHidden/>
          </w:rPr>
          <w:fldChar w:fldCharType="end"/>
        </w:r>
      </w:hyperlink>
    </w:p>
    <w:p w14:paraId="6580BE5E" w14:textId="39E08D5F" w:rsidR="004961C6" w:rsidRDefault="00791B0B" w:rsidP="00FE0E54">
      <w:pPr>
        <w:pStyle w:val="TableofFigures"/>
        <w:tabs>
          <w:tab w:val="right" w:leader="dot" w:pos="9389"/>
        </w:tabs>
        <w:spacing w:line="240" w:lineRule="auto"/>
        <w:contextualSpacing/>
      </w:pPr>
      <w:r w:rsidRPr="00FE0E54">
        <w:rPr>
          <w:rStyle w:val="Hyperlink"/>
          <w:noProof/>
        </w:rPr>
        <w:fldChar w:fldCharType="end"/>
      </w:r>
    </w:p>
    <w:p w14:paraId="5CC34519" w14:textId="77777777" w:rsidR="004961C6" w:rsidRDefault="004961C6" w:rsidP="00CE1189">
      <w:pPr>
        <w:spacing w:after="0" w:line="240" w:lineRule="auto"/>
        <w:contextualSpacing/>
        <w:jc w:val="left"/>
      </w:pPr>
    </w:p>
    <w:bookmarkEnd w:id="3"/>
    <w:p w14:paraId="5484AAB7" w14:textId="77777777" w:rsidR="00A641C0" w:rsidRDefault="00A641C0">
      <w:pPr>
        <w:spacing w:after="160" w:line="259" w:lineRule="auto"/>
        <w:jc w:val="left"/>
        <w:rPr>
          <w:rFonts w:eastAsiaTheme="minorHAnsi" w:cstheme="minorHAnsi"/>
          <w:b/>
          <w:color w:val="2E74B5" w:themeColor="accent1" w:themeShade="BF"/>
          <w:sz w:val="28"/>
          <w:szCs w:val="28"/>
          <w:lang w:eastAsia="en-US"/>
        </w:rPr>
      </w:pPr>
      <w:r>
        <w:rPr>
          <w:rFonts w:eastAsiaTheme="minorHAnsi" w:cstheme="minorHAnsi"/>
          <w:b/>
          <w:color w:val="2E74B5" w:themeColor="accent1" w:themeShade="BF"/>
          <w:sz w:val="28"/>
          <w:szCs w:val="28"/>
          <w:lang w:eastAsia="en-US"/>
        </w:rPr>
        <w:br w:type="page"/>
      </w:r>
    </w:p>
    <w:p w14:paraId="4A3EC246" w14:textId="188F8241" w:rsidR="004961C6" w:rsidRDefault="004961C6" w:rsidP="004961C6">
      <w:pPr>
        <w:spacing w:after="0" w:line="240" w:lineRule="auto"/>
        <w:contextualSpacing/>
        <w:rPr>
          <w:rFonts w:eastAsiaTheme="minorHAnsi" w:cstheme="minorHAnsi"/>
          <w:b/>
          <w:color w:val="2E74B5" w:themeColor="accent1" w:themeShade="BF"/>
          <w:sz w:val="28"/>
          <w:szCs w:val="28"/>
          <w:lang w:eastAsia="en-US"/>
        </w:rPr>
      </w:pPr>
      <w:r w:rsidRPr="00400827">
        <w:rPr>
          <w:rFonts w:eastAsiaTheme="minorHAnsi" w:cstheme="minorHAnsi"/>
          <w:b/>
          <w:color w:val="2E74B5" w:themeColor="accent1" w:themeShade="BF"/>
          <w:sz w:val="28"/>
          <w:szCs w:val="28"/>
          <w:lang w:eastAsia="en-US"/>
        </w:rPr>
        <w:t xml:space="preserve">List of </w:t>
      </w:r>
      <w:r>
        <w:rPr>
          <w:rFonts w:eastAsiaTheme="minorHAnsi" w:cstheme="minorHAnsi"/>
          <w:b/>
          <w:color w:val="2E74B5" w:themeColor="accent1" w:themeShade="BF"/>
          <w:sz w:val="28"/>
          <w:szCs w:val="28"/>
          <w:lang w:eastAsia="en-US"/>
        </w:rPr>
        <w:t>Tables</w:t>
      </w:r>
    </w:p>
    <w:p w14:paraId="12B19179" w14:textId="77777777" w:rsidR="00A4286C" w:rsidRDefault="00A4286C" w:rsidP="004961C6">
      <w:pPr>
        <w:spacing w:after="0" w:line="240" w:lineRule="auto"/>
        <w:contextualSpacing/>
        <w:rPr>
          <w:rFonts w:eastAsiaTheme="minorHAnsi" w:cstheme="minorHAnsi"/>
          <w:b/>
          <w:color w:val="2E74B5" w:themeColor="accent1" w:themeShade="BF"/>
          <w:sz w:val="28"/>
          <w:szCs w:val="28"/>
          <w:lang w:eastAsia="en-US"/>
        </w:rPr>
      </w:pPr>
    </w:p>
    <w:p w14:paraId="29F510D2" w14:textId="1C9DB742" w:rsidR="00D57958" w:rsidRDefault="00AD09BB">
      <w:pPr>
        <w:pStyle w:val="TableofFigures"/>
        <w:tabs>
          <w:tab w:val="right" w:leader="dot" w:pos="9389"/>
        </w:tabs>
        <w:rPr>
          <w:rFonts w:eastAsiaTheme="minorEastAsia" w:cstheme="minorBidi"/>
          <w:noProof/>
          <w:lang w:eastAsia="en-US"/>
        </w:rPr>
      </w:pPr>
      <w:r>
        <w:rPr>
          <w:rFonts w:eastAsiaTheme="minorHAnsi" w:cstheme="minorHAnsi"/>
          <w:b/>
          <w:color w:val="2E74B5" w:themeColor="accent1" w:themeShade="BF"/>
          <w:sz w:val="28"/>
          <w:szCs w:val="28"/>
          <w:lang w:eastAsia="en-US"/>
        </w:rPr>
        <w:fldChar w:fldCharType="begin"/>
      </w:r>
      <w:r>
        <w:rPr>
          <w:rFonts w:eastAsiaTheme="minorHAnsi" w:cstheme="minorHAnsi"/>
          <w:b/>
          <w:color w:val="2E74B5" w:themeColor="accent1" w:themeShade="BF"/>
          <w:sz w:val="28"/>
          <w:szCs w:val="28"/>
          <w:lang w:eastAsia="en-US"/>
        </w:rPr>
        <w:instrText xml:space="preserve"> TOC \h \z \c "Table 2." </w:instrText>
      </w:r>
      <w:r>
        <w:rPr>
          <w:rFonts w:eastAsiaTheme="minorHAnsi" w:cstheme="minorHAnsi"/>
          <w:b/>
          <w:color w:val="2E74B5" w:themeColor="accent1" w:themeShade="BF"/>
          <w:sz w:val="28"/>
          <w:szCs w:val="28"/>
          <w:lang w:eastAsia="en-US"/>
        </w:rPr>
        <w:fldChar w:fldCharType="separate"/>
      </w:r>
      <w:hyperlink w:anchor="_Toc11259370" w:history="1">
        <w:r w:rsidR="00D57958" w:rsidRPr="006D005F">
          <w:rPr>
            <w:rStyle w:val="Hyperlink"/>
            <w:noProof/>
          </w:rPr>
          <w:t>Table 2. 1 SOE share in formal employment and value added (sales), by industry.</w:t>
        </w:r>
        <w:r w:rsidR="00D57958">
          <w:rPr>
            <w:noProof/>
            <w:webHidden/>
          </w:rPr>
          <w:tab/>
        </w:r>
        <w:r w:rsidR="00D57958">
          <w:rPr>
            <w:noProof/>
            <w:webHidden/>
          </w:rPr>
          <w:fldChar w:fldCharType="begin"/>
        </w:r>
        <w:r w:rsidR="00D57958">
          <w:rPr>
            <w:noProof/>
            <w:webHidden/>
          </w:rPr>
          <w:instrText xml:space="preserve"> PAGEREF _Toc11259370 \h </w:instrText>
        </w:r>
        <w:r w:rsidR="00D57958">
          <w:rPr>
            <w:noProof/>
            <w:webHidden/>
          </w:rPr>
        </w:r>
        <w:r w:rsidR="00D57958">
          <w:rPr>
            <w:noProof/>
            <w:webHidden/>
          </w:rPr>
          <w:fldChar w:fldCharType="separate"/>
        </w:r>
        <w:r w:rsidR="00D57958">
          <w:rPr>
            <w:noProof/>
            <w:webHidden/>
          </w:rPr>
          <w:t>13</w:t>
        </w:r>
        <w:r w:rsidR="00D57958">
          <w:rPr>
            <w:noProof/>
            <w:webHidden/>
          </w:rPr>
          <w:fldChar w:fldCharType="end"/>
        </w:r>
      </w:hyperlink>
    </w:p>
    <w:p w14:paraId="399307D4" w14:textId="184CE6C3" w:rsidR="00D57958" w:rsidRDefault="00F90219">
      <w:pPr>
        <w:pStyle w:val="TableofFigures"/>
        <w:tabs>
          <w:tab w:val="right" w:leader="dot" w:pos="9389"/>
        </w:tabs>
        <w:rPr>
          <w:rFonts w:eastAsiaTheme="minorEastAsia" w:cstheme="minorBidi"/>
          <w:noProof/>
          <w:lang w:eastAsia="en-US"/>
        </w:rPr>
      </w:pPr>
      <w:hyperlink w:anchor="_Toc11259371" w:history="1">
        <w:r w:rsidR="00D57958" w:rsidRPr="006D005F">
          <w:rPr>
            <w:rStyle w:val="Hyperlink"/>
            <w:noProof/>
          </w:rPr>
          <w:t>Table 2. 2 Average firm size (number of employees), by firm type</w:t>
        </w:r>
        <w:r w:rsidR="00D57958">
          <w:rPr>
            <w:noProof/>
            <w:webHidden/>
          </w:rPr>
          <w:tab/>
        </w:r>
        <w:r w:rsidR="00D57958">
          <w:rPr>
            <w:noProof/>
            <w:webHidden/>
          </w:rPr>
          <w:fldChar w:fldCharType="begin"/>
        </w:r>
        <w:r w:rsidR="00D57958">
          <w:rPr>
            <w:noProof/>
            <w:webHidden/>
          </w:rPr>
          <w:instrText xml:space="preserve"> PAGEREF _Toc11259371 \h </w:instrText>
        </w:r>
        <w:r w:rsidR="00D57958">
          <w:rPr>
            <w:noProof/>
            <w:webHidden/>
          </w:rPr>
        </w:r>
        <w:r w:rsidR="00D57958">
          <w:rPr>
            <w:noProof/>
            <w:webHidden/>
          </w:rPr>
          <w:fldChar w:fldCharType="separate"/>
        </w:r>
        <w:r w:rsidR="00D57958">
          <w:rPr>
            <w:noProof/>
            <w:webHidden/>
          </w:rPr>
          <w:t>14</w:t>
        </w:r>
        <w:r w:rsidR="00D57958">
          <w:rPr>
            <w:noProof/>
            <w:webHidden/>
          </w:rPr>
          <w:fldChar w:fldCharType="end"/>
        </w:r>
      </w:hyperlink>
    </w:p>
    <w:p w14:paraId="58A02B0D" w14:textId="52FFD6C2" w:rsidR="00D57958" w:rsidRDefault="00F90219">
      <w:pPr>
        <w:pStyle w:val="TableofFigures"/>
        <w:tabs>
          <w:tab w:val="right" w:leader="dot" w:pos="9389"/>
        </w:tabs>
        <w:rPr>
          <w:rFonts w:eastAsiaTheme="minorEastAsia" w:cstheme="minorBidi"/>
          <w:noProof/>
          <w:lang w:eastAsia="en-US"/>
        </w:rPr>
      </w:pPr>
      <w:hyperlink w:anchor="_Toc11259372" w:history="1">
        <w:r w:rsidR="00D57958" w:rsidRPr="006D005F">
          <w:rPr>
            <w:rStyle w:val="Hyperlink"/>
            <w:noProof/>
          </w:rPr>
          <w:t>Table 2. 3 Share of SOE firms, by size (number of employees)</w:t>
        </w:r>
        <w:r w:rsidR="00D57958">
          <w:rPr>
            <w:noProof/>
            <w:webHidden/>
          </w:rPr>
          <w:tab/>
        </w:r>
        <w:r w:rsidR="00D57958">
          <w:rPr>
            <w:noProof/>
            <w:webHidden/>
          </w:rPr>
          <w:fldChar w:fldCharType="begin"/>
        </w:r>
        <w:r w:rsidR="00D57958">
          <w:rPr>
            <w:noProof/>
            <w:webHidden/>
          </w:rPr>
          <w:instrText xml:space="preserve"> PAGEREF _Toc11259372 \h </w:instrText>
        </w:r>
        <w:r w:rsidR="00D57958">
          <w:rPr>
            <w:noProof/>
            <w:webHidden/>
          </w:rPr>
        </w:r>
        <w:r w:rsidR="00D57958">
          <w:rPr>
            <w:noProof/>
            <w:webHidden/>
          </w:rPr>
          <w:fldChar w:fldCharType="separate"/>
        </w:r>
        <w:r w:rsidR="00D57958">
          <w:rPr>
            <w:noProof/>
            <w:webHidden/>
          </w:rPr>
          <w:t>14</w:t>
        </w:r>
        <w:r w:rsidR="00D57958">
          <w:rPr>
            <w:noProof/>
            <w:webHidden/>
          </w:rPr>
          <w:fldChar w:fldCharType="end"/>
        </w:r>
      </w:hyperlink>
    </w:p>
    <w:p w14:paraId="07A1E65C" w14:textId="374156F9" w:rsidR="00D57958" w:rsidRDefault="00AD09BB" w:rsidP="00D57958">
      <w:pPr>
        <w:pStyle w:val="TableofFigures"/>
        <w:tabs>
          <w:tab w:val="right" w:leader="dot" w:pos="9389"/>
        </w:tabs>
        <w:rPr>
          <w:rFonts w:eastAsiaTheme="minorEastAsia" w:cstheme="minorBidi"/>
          <w:noProof/>
          <w:lang w:eastAsia="en-US"/>
        </w:rPr>
      </w:pPr>
      <w:r>
        <w:rPr>
          <w:rFonts w:eastAsiaTheme="minorHAnsi" w:cstheme="minorHAnsi"/>
          <w:b/>
          <w:color w:val="2E74B5" w:themeColor="accent1" w:themeShade="BF"/>
          <w:sz w:val="28"/>
          <w:szCs w:val="28"/>
          <w:lang w:eastAsia="en-US"/>
        </w:rPr>
        <w:fldChar w:fldCharType="end"/>
      </w:r>
      <w:r w:rsidRPr="00FE0E54">
        <w:rPr>
          <w:rStyle w:val="Hyperlink"/>
        </w:rPr>
        <w:fldChar w:fldCharType="begin"/>
      </w:r>
      <w:r w:rsidRPr="00FE0E54">
        <w:rPr>
          <w:rStyle w:val="Hyperlink"/>
        </w:rPr>
        <w:instrText xml:space="preserve"> TOC \h \z \c "Table 3." </w:instrText>
      </w:r>
      <w:r w:rsidRPr="00FE0E54">
        <w:rPr>
          <w:rStyle w:val="Hyperlink"/>
        </w:rPr>
        <w:fldChar w:fldCharType="separate"/>
      </w:r>
      <w:hyperlink w:anchor="_Toc11259373" w:history="1">
        <w:r w:rsidR="00D57958" w:rsidRPr="00D6330A">
          <w:rPr>
            <w:rStyle w:val="Hyperlink"/>
            <w:noProof/>
          </w:rPr>
          <w:t>Table 3. 1 SOE-private Adjusted gaps in mean hourly wages, in percent (private=0)</w:t>
        </w:r>
        <w:r w:rsidR="00D57958">
          <w:rPr>
            <w:noProof/>
            <w:webHidden/>
          </w:rPr>
          <w:tab/>
        </w:r>
        <w:r w:rsidR="00D57958">
          <w:rPr>
            <w:noProof/>
            <w:webHidden/>
          </w:rPr>
          <w:fldChar w:fldCharType="begin"/>
        </w:r>
        <w:r w:rsidR="00D57958">
          <w:rPr>
            <w:noProof/>
            <w:webHidden/>
          </w:rPr>
          <w:instrText xml:space="preserve"> PAGEREF _Toc11259373 \h </w:instrText>
        </w:r>
        <w:r w:rsidR="00D57958">
          <w:rPr>
            <w:noProof/>
            <w:webHidden/>
          </w:rPr>
        </w:r>
        <w:r w:rsidR="00D57958">
          <w:rPr>
            <w:noProof/>
            <w:webHidden/>
          </w:rPr>
          <w:fldChar w:fldCharType="separate"/>
        </w:r>
        <w:r w:rsidR="00D57958">
          <w:rPr>
            <w:noProof/>
            <w:webHidden/>
          </w:rPr>
          <w:t>17</w:t>
        </w:r>
        <w:r w:rsidR="00D57958">
          <w:rPr>
            <w:noProof/>
            <w:webHidden/>
          </w:rPr>
          <w:fldChar w:fldCharType="end"/>
        </w:r>
      </w:hyperlink>
    </w:p>
    <w:p w14:paraId="3342FFCC" w14:textId="46E45F97" w:rsidR="00983ABC" w:rsidRDefault="00AD09BB" w:rsidP="00FE0E54">
      <w:pPr>
        <w:pStyle w:val="TableofFigures"/>
        <w:tabs>
          <w:tab w:val="right" w:leader="dot" w:pos="9389"/>
        </w:tabs>
        <w:spacing w:line="240" w:lineRule="auto"/>
        <w:contextualSpacing/>
        <w:rPr>
          <w:rFonts w:eastAsiaTheme="minorHAnsi" w:cstheme="minorHAnsi"/>
          <w:b/>
          <w:color w:val="2E74B5" w:themeColor="accent1" w:themeShade="BF"/>
          <w:sz w:val="28"/>
          <w:szCs w:val="28"/>
          <w:lang w:eastAsia="en-US"/>
        </w:rPr>
      </w:pPr>
      <w:r w:rsidRPr="00FE0E54">
        <w:rPr>
          <w:rStyle w:val="Hyperlink"/>
        </w:rPr>
        <w:fldChar w:fldCharType="end"/>
      </w:r>
    </w:p>
    <w:p w14:paraId="1A76A184" w14:textId="541F0551" w:rsidR="004961C6" w:rsidRDefault="004961C6" w:rsidP="004961C6">
      <w:pPr>
        <w:spacing w:after="0" w:line="240" w:lineRule="auto"/>
        <w:contextualSpacing/>
        <w:rPr>
          <w:rFonts w:eastAsiaTheme="minorHAnsi" w:cstheme="minorHAnsi"/>
          <w:b/>
          <w:color w:val="2E74B5" w:themeColor="accent1" w:themeShade="BF"/>
          <w:sz w:val="28"/>
          <w:szCs w:val="28"/>
          <w:lang w:eastAsia="en-US"/>
        </w:rPr>
      </w:pPr>
    </w:p>
    <w:p w14:paraId="451BCF64" w14:textId="56EFF66F" w:rsidR="004961C6" w:rsidRDefault="004961C6" w:rsidP="004961C6">
      <w:pPr>
        <w:spacing w:after="0" w:line="240" w:lineRule="auto"/>
        <w:contextualSpacing/>
        <w:rPr>
          <w:rFonts w:eastAsiaTheme="minorHAnsi" w:cstheme="minorHAnsi"/>
          <w:b/>
          <w:color w:val="2E74B5" w:themeColor="accent1" w:themeShade="BF"/>
          <w:sz w:val="28"/>
          <w:szCs w:val="28"/>
          <w:lang w:eastAsia="en-US"/>
        </w:rPr>
      </w:pPr>
    </w:p>
    <w:p w14:paraId="77C9C58D" w14:textId="31CDBE53" w:rsidR="004961C6" w:rsidRDefault="004961C6" w:rsidP="004961C6">
      <w:pPr>
        <w:spacing w:after="0" w:line="240" w:lineRule="auto"/>
        <w:contextualSpacing/>
        <w:rPr>
          <w:rFonts w:eastAsiaTheme="minorHAnsi" w:cstheme="minorHAnsi"/>
          <w:b/>
          <w:color w:val="2E74B5" w:themeColor="accent1" w:themeShade="BF"/>
          <w:sz w:val="28"/>
          <w:szCs w:val="28"/>
          <w:lang w:eastAsia="en-US"/>
        </w:rPr>
      </w:pPr>
      <w:r w:rsidRPr="00400827">
        <w:rPr>
          <w:rFonts w:eastAsiaTheme="minorHAnsi" w:cstheme="minorHAnsi"/>
          <w:b/>
          <w:color w:val="2E74B5" w:themeColor="accent1" w:themeShade="BF"/>
          <w:sz w:val="28"/>
          <w:szCs w:val="28"/>
          <w:lang w:eastAsia="en-US"/>
        </w:rPr>
        <w:t xml:space="preserve">List of </w:t>
      </w:r>
      <w:r>
        <w:rPr>
          <w:rFonts w:eastAsiaTheme="minorHAnsi" w:cstheme="minorHAnsi"/>
          <w:b/>
          <w:color w:val="2E74B5" w:themeColor="accent1" w:themeShade="BF"/>
          <w:sz w:val="28"/>
          <w:szCs w:val="28"/>
          <w:lang w:eastAsia="en-US"/>
        </w:rPr>
        <w:t>Boxes</w:t>
      </w:r>
    </w:p>
    <w:p w14:paraId="3D0B4786" w14:textId="74C3C38E" w:rsidR="004961C6" w:rsidRDefault="004961C6" w:rsidP="004961C6">
      <w:pPr>
        <w:spacing w:after="0" w:line="240" w:lineRule="auto"/>
        <w:contextualSpacing/>
        <w:rPr>
          <w:rFonts w:eastAsiaTheme="minorHAnsi" w:cstheme="minorHAnsi"/>
          <w:b/>
          <w:color w:val="2E74B5" w:themeColor="accent1" w:themeShade="BF"/>
          <w:sz w:val="28"/>
          <w:szCs w:val="28"/>
          <w:lang w:eastAsia="en-US"/>
        </w:rPr>
      </w:pPr>
    </w:p>
    <w:p w14:paraId="74ED8281" w14:textId="6AB84A75" w:rsidR="00D57958" w:rsidRDefault="00983ABC">
      <w:pPr>
        <w:pStyle w:val="TableofFigures"/>
        <w:tabs>
          <w:tab w:val="right" w:leader="dot" w:pos="9389"/>
        </w:tabs>
        <w:rPr>
          <w:rFonts w:eastAsiaTheme="minorEastAsia" w:cstheme="minorBidi"/>
          <w:noProof/>
          <w:lang w:eastAsia="en-US"/>
        </w:rPr>
      </w:pPr>
      <w:r>
        <w:rPr>
          <w:rFonts w:eastAsiaTheme="minorHAnsi" w:cstheme="minorHAnsi"/>
          <w:b/>
          <w:color w:val="2E74B5" w:themeColor="accent1" w:themeShade="BF"/>
          <w:sz w:val="28"/>
          <w:szCs w:val="28"/>
          <w:lang w:eastAsia="en-US"/>
        </w:rPr>
        <w:fldChar w:fldCharType="begin"/>
      </w:r>
      <w:r>
        <w:rPr>
          <w:rFonts w:eastAsiaTheme="minorHAnsi" w:cstheme="minorHAnsi"/>
          <w:b/>
          <w:color w:val="2E74B5" w:themeColor="accent1" w:themeShade="BF"/>
          <w:sz w:val="28"/>
          <w:szCs w:val="28"/>
          <w:lang w:eastAsia="en-US"/>
        </w:rPr>
        <w:instrText xml:space="preserve"> TOC \h \z \c "Box 1." </w:instrText>
      </w:r>
      <w:r>
        <w:rPr>
          <w:rFonts w:eastAsiaTheme="minorHAnsi" w:cstheme="minorHAnsi"/>
          <w:b/>
          <w:color w:val="2E74B5" w:themeColor="accent1" w:themeShade="BF"/>
          <w:sz w:val="28"/>
          <w:szCs w:val="28"/>
          <w:lang w:eastAsia="en-US"/>
        </w:rPr>
        <w:fldChar w:fldCharType="separate"/>
      </w:r>
      <w:hyperlink w:anchor="_Toc11259374" w:history="1">
        <w:r w:rsidR="00D57958" w:rsidRPr="00EF633C">
          <w:rPr>
            <w:rStyle w:val="Hyperlink"/>
            <w:noProof/>
          </w:rPr>
          <w:t>Box 1. 1 GoR policy commitments to improve productivity and reduce SOE footprint</w:t>
        </w:r>
        <w:r w:rsidR="00D57958">
          <w:rPr>
            <w:noProof/>
            <w:webHidden/>
          </w:rPr>
          <w:tab/>
        </w:r>
        <w:r w:rsidR="00D57958">
          <w:rPr>
            <w:noProof/>
            <w:webHidden/>
          </w:rPr>
          <w:fldChar w:fldCharType="begin"/>
        </w:r>
        <w:r w:rsidR="00D57958">
          <w:rPr>
            <w:noProof/>
            <w:webHidden/>
          </w:rPr>
          <w:instrText xml:space="preserve"> PAGEREF _Toc11259374 \h </w:instrText>
        </w:r>
        <w:r w:rsidR="00D57958">
          <w:rPr>
            <w:noProof/>
            <w:webHidden/>
          </w:rPr>
        </w:r>
        <w:r w:rsidR="00D57958">
          <w:rPr>
            <w:noProof/>
            <w:webHidden/>
          </w:rPr>
          <w:fldChar w:fldCharType="separate"/>
        </w:r>
        <w:r w:rsidR="00D57958">
          <w:rPr>
            <w:noProof/>
            <w:webHidden/>
          </w:rPr>
          <w:t>2</w:t>
        </w:r>
        <w:r w:rsidR="00D57958">
          <w:rPr>
            <w:noProof/>
            <w:webHidden/>
          </w:rPr>
          <w:fldChar w:fldCharType="end"/>
        </w:r>
      </w:hyperlink>
    </w:p>
    <w:p w14:paraId="56B475AA" w14:textId="00983EBB" w:rsidR="00D57958" w:rsidRDefault="00F90219">
      <w:pPr>
        <w:pStyle w:val="TableofFigures"/>
        <w:tabs>
          <w:tab w:val="right" w:leader="dot" w:pos="9389"/>
        </w:tabs>
        <w:rPr>
          <w:rFonts w:eastAsiaTheme="minorEastAsia" w:cstheme="minorBidi"/>
          <w:noProof/>
          <w:lang w:eastAsia="en-US"/>
        </w:rPr>
      </w:pPr>
      <w:hyperlink w:anchor="_Toc11259375" w:history="1">
        <w:r w:rsidR="00D57958" w:rsidRPr="00EF633C">
          <w:rPr>
            <w:rStyle w:val="Hyperlink"/>
            <w:noProof/>
          </w:rPr>
          <w:t>Box 1. 2 Study’s main questions and messages</w:t>
        </w:r>
        <w:r w:rsidR="00D57958">
          <w:rPr>
            <w:noProof/>
            <w:webHidden/>
          </w:rPr>
          <w:tab/>
        </w:r>
        <w:r w:rsidR="00D57958">
          <w:rPr>
            <w:noProof/>
            <w:webHidden/>
          </w:rPr>
          <w:fldChar w:fldCharType="begin"/>
        </w:r>
        <w:r w:rsidR="00D57958">
          <w:rPr>
            <w:noProof/>
            <w:webHidden/>
          </w:rPr>
          <w:instrText xml:space="preserve"> PAGEREF _Toc11259375 \h </w:instrText>
        </w:r>
        <w:r w:rsidR="00D57958">
          <w:rPr>
            <w:noProof/>
            <w:webHidden/>
          </w:rPr>
        </w:r>
        <w:r w:rsidR="00D57958">
          <w:rPr>
            <w:noProof/>
            <w:webHidden/>
          </w:rPr>
          <w:fldChar w:fldCharType="separate"/>
        </w:r>
        <w:r w:rsidR="00D57958">
          <w:rPr>
            <w:noProof/>
            <w:webHidden/>
          </w:rPr>
          <w:t>4</w:t>
        </w:r>
        <w:r w:rsidR="00D57958">
          <w:rPr>
            <w:noProof/>
            <w:webHidden/>
          </w:rPr>
          <w:fldChar w:fldCharType="end"/>
        </w:r>
      </w:hyperlink>
    </w:p>
    <w:p w14:paraId="67190EE6" w14:textId="27A31AA1" w:rsidR="00D57958" w:rsidRDefault="00983ABC" w:rsidP="00D57958">
      <w:pPr>
        <w:pStyle w:val="TableofFigures"/>
        <w:tabs>
          <w:tab w:val="right" w:leader="dot" w:pos="9389"/>
        </w:tabs>
        <w:spacing w:line="240" w:lineRule="auto"/>
        <w:contextualSpacing/>
        <w:rPr>
          <w:rFonts w:eastAsiaTheme="minorEastAsia" w:cstheme="minorBidi"/>
          <w:noProof/>
          <w:lang w:eastAsia="en-US"/>
        </w:rPr>
      </w:pPr>
      <w:r>
        <w:rPr>
          <w:rFonts w:eastAsiaTheme="minorHAnsi" w:cstheme="minorHAnsi"/>
          <w:b/>
          <w:color w:val="2E74B5" w:themeColor="accent1" w:themeShade="BF"/>
          <w:sz w:val="28"/>
          <w:szCs w:val="28"/>
          <w:lang w:eastAsia="en-US"/>
        </w:rPr>
        <w:fldChar w:fldCharType="end"/>
      </w:r>
      <w:r w:rsidRPr="00FE0E54">
        <w:rPr>
          <w:rStyle w:val="Hyperlink"/>
          <w:noProof/>
        </w:rPr>
        <w:fldChar w:fldCharType="begin"/>
      </w:r>
      <w:r w:rsidRPr="00FE0E54">
        <w:rPr>
          <w:rStyle w:val="Hyperlink"/>
          <w:noProof/>
        </w:rPr>
        <w:instrText xml:space="preserve"> TOC \h \z \c "Box 2." </w:instrText>
      </w:r>
      <w:r w:rsidRPr="00FE0E54">
        <w:rPr>
          <w:rStyle w:val="Hyperlink"/>
          <w:noProof/>
        </w:rPr>
        <w:fldChar w:fldCharType="separate"/>
      </w:r>
      <w:hyperlink w:anchor="_Toc11259376" w:history="1">
        <w:r w:rsidR="00D57958" w:rsidRPr="0071732D">
          <w:rPr>
            <w:rStyle w:val="Hyperlink"/>
            <w:noProof/>
          </w:rPr>
          <w:t>Box 2. 1 Main microlevel data sources used in the study</w:t>
        </w:r>
        <w:r w:rsidR="00D57958">
          <w:rPr>
            <w:noProof/>
            <w:webHidden/>
          </w:rPr>
          <w:tab/>
        </w:r>
        <w:r w:rsidR="00D57958">
          <w:rPr>
            <w:noProof/>
            <w:webHidden/>
          </w:rPr>
          <w:fldChar w:fldCharType="begin"/>
        </w:r>
        <w:r w:rsidR="00D57958">
          <w:rPr>
            <w:noProof/>
            <w:webHidden/>
          </w:rPr>
          <w:instrText xml:space="preserve"> PAGEREF _Toc11259376 \h </w:instrText>
        </w:r>
        <w:r w:rsidR="00D57958">
          <w:rPr>
            <w:noProof/>
            <w:webHidden/>
          </w:rPr>
        </w:r>
        <w:r w:rsidR="00D57958">
          <w:rPr>
            <w:noProof/>
            <w:webHidden/>
          </w:rPr>
          <w:fldChar w:fldCharType="separate"/>
        </w:r>
        <w:r w:rsidR="00D57958">
          <w:rPr>
            <w:noProof/>
            <w:webHidden/>
          </w:rPr>
          <w:t>8</w:t>
        </w:r>
        <w:r w:rsidR="00D57958">
          <w:rPr>
            <w:noProof/>
            <w:webHidden/>
          </w:rPr>
          <w:fldChar w:fldCharType="end"/>
        </w:r>
      </w:hyperlink>
    </w:p>
    <w:p w14:paraId="475D7063" w14:textId="42214B00" w:rsidR="00D57958" w:rsidRDefault="00F90219">
      <w:pPr>
        <w:pStyle w:val="TableofFigures"/>
        <w:tabs>
          <w:tab w:val="right" w:leader="dot" w:pos="9389"/>
        </w:tabs>
        <w:rPr>
          <w:rFonts w:eastAsiaTheme="minorEastAsia" w:cstheme="minorBidi"/>
          <w:noProof/>
          <w:lang w:eastAsia="en-US"/>
        </w:rPr>
      </w:pPr>
      <w:hyperlink w:anchor="_Toc11259377" w:history="1">
        <w:r w:rsidR="00D57958" w:rsidRPr="0071732D">
          <w:rPr>
            <w:rStyle w:val="Hyperlink"/>
            <w:noProof/>
          </w:rPr>
          <w:t>Box 2. 2 Indirect state ownership</w:t>
        </w:r>
        <w:r w:rsidR="00D57958">
          <w:rPr>
            <w:noProof/>
            <w:webHidden/>
          </w:rPr>
          <w:tab/>
        </w:r>
        <w:r w:rsidR="00D57958">
          <w:rPr>
            <w:noProof/>
            <w:webHidden/>
          </w:rPr>
          <w:fldChar w:fldCharType="begin"/>
        </w:r>
        <w:r w:rsidR="00D57958">
          <w:rPr>
            <w:noProof/>
            <w:webHidden/>
          </w:rPr>
          <w:instrText xml:space="preserve"> PAGEREF _Toc11259377 \h </w:instrText>
        </w:r>
        <w:r w:rsidR="00D57958">
          <w:rPr>
            <w:noProof/>
            <w:webHidden/>
          </w:rPr>
        </w:r>
        <w:r w:rsidR="00D57958">
          <w:rPr>
            <w:noProof/>
            <w:webHidden/>
          </w:rPr>
          <w:fldChar w:fldCharType="separate"/>
        </w:r>
        <w:r w:rsidR="00D57958">
          <w:rPr>
            <w:noProof/>
            <w:webHidden/>
          </w:rPr>
          <w:t>10</w:t>
        </w:r>
        <w:r w:rsidR="00D57958">
          <w:rPr>
            <w:noProof/>
            <w:webHidden/>
          </w:rPr>
          <w:fldChar w:fldCharType="end"/>
        </w:r>
      </w:hyperlink>
    </w:p>
    <w:p w14:paraId="53FE2CA2" w14:textId="046EBF07" w:rsidR="00D57958" w:rsidRDefault="00983ABC" w:rsidP="00D57958">
      <w:pPr>
        <w:pStyle w:val="TableofFigures"/>
        <w:tabs>
          <w:tab w:val="right" w:leader="dot" w:pos="9389"/>
        </w:tabs>
        <w:spacing w:line="240" w:lineRule="auto"/>
        <w:contextualSpacing/>
        <w:rPr>
          <w:rFonts w:eastAsiaTheme="minorEastAsia" w:cstheme="minorBidi"/>
          <w:noProof/>
          <w:lang w:eastAsia="en-US"/>
        </w:rPr>
      </w:pPr>
      <w:r w:rsidRPr="00FE0E54">
        <w:rPr>
          <w:rStyle w:val="Hyperlink"/>
          <w:noProof/>
        </w:rPr>
        <w:fldChar w:fldCharType="end"/>
      </w:r>
      <w:r w:rsidR="00F67096" w:rsidRPr="00FE0E54">
        <w:rPr>
          <w:rStyle w:val="Hyperlink"/>
          <w:noProof/>
        </w:rPr>
        <w:fldChar w:fldCharType="begin"/>
      </w:r>
      <w:r w:rsidR="00F67096" w:rsidRPr="00FE0E54">
        <w:rPr>
          <w:rStyle w:val="Hyperlink"/>
          <w:noProof/>
        </w:rPr>
        <w:instrText xml:space="preserve"> TOC \h \z \c "Box 4." </w:instrText>
      </w:r>
      <w:r w:rsidR="00F67096" w:rsidRPr="00FE0E54">
        <w:rPr>
          <w:rStyle w:val="Hyperlink"/>
          <w:noProof/>
        </w:rPr>
        <w:fldChar w:fldCharType="separate"/>
      </w:r>
      <w:hyperlink w:anchor="_Toc11259379" w:history="1">
        <w:r w:rsidR="00D57958" w:rsidRPr="005E1E0C">
          <w:rPr>
            <w:rStyle w:val="Hyperlink"/>
            <w:noProof/>
          </w:rPr>
          <w:t>Box 4. 1 Select cases of “positive deviance” - Russian SOEs with frontier employment practices</w:t>
        </w:r>
        <w:r w:rsidR="00D57958">
          <w:rPr>
            <w:noProof/>
            <w:webHidden/>
          </w:rPr>
          <w:tab/>
        </w:r>
        <w:r w:rsidR="00D57958">
          <w:rPr>
            <w:noProof/>
            <w:webHidden/>
          </w:rPr>
          <w:fldChar w:fldCharType="begin"/>
        </w:r>
        <w:r w:rsidR="00D57958">
          <w:rPr>
            <w:noProof/>
            <w:webHidden/>
          </w:rPr>
          <w:instrText xml:space="preserve"> PAGEREF _Toc11259379 \h </w:instrText>
        </w:r>
        <w:r w:rsidR="00D57958">
          <w:rPr>
            <w:noProof/>
            <w:webHidden/>
          </w:rPr>
        </w:r>
        <w:r w:rsidR="00D57958">
          <w:rPr>
            <w:noProof/>
            <w:webHidden/>
          </w:rPr>
          <w:fldChar w:fldCharType="separate"/>
        </w:r>
        <w:r w:rsidR="00D57958">
          <w:rPr>
            <w:noProof/>
            <w:webHidden/>
          </w:rPr>
          <w:t>34</w:t>
        </w:r>
        <w:r w:rsidR="00D57958">
          <w:rPr>
            <w:noProof/>
            <w:webHidden/>
          </w:rPr>
          <w:fldChar w:fldCharType="end"/>
        </w:r>
      </w:hyperlink>
    </w:p>
    <w:p w14:paraId="54255BBF" w14:textId="1F5B162F" w:rsidR="00D57958" w:rsidRDefault="00F67096" w:rsidP="00D57958">
      <w:pPr>
        <w:pStyle w:val="TableofFigures"/>
        <w:tabs>
          <w:tab w:val="right" w:leader="dot" w:pos="9389"/>
        </w:tabs>
        <w:spacing w:line="240" w:lineRule="auto"/>
        <w:contextualSpacing/>
        <w:rPr>
          <w:rFonts w:eastAsiaTheme="minorEastAsia" w:cstheme="minorBidi"/>
          <w:noProof/>
          <w:lang w:eastAsia="en-US"/>
        </w:rPr>
      </w:pPr>
      <w:r w:rsidRPr="00FE0E54">
        <w:rPr>
          <w:rStyle w:val="Hyperlink"/>
          <w:noProof/>
        </w:rPr>
        <w:fldChar w:fldCharType="end"/>
      </w:r>
      <w:r w:rsidRPr="00FE0E54">
        <w:rPr>
          <w:rStyle w:val="Hyperlink"/>
          <w:noProof/>
        </w:rPr>
        <w:fldChar w:fldCharType="begin"/>
      </w:r>
      <w:r w:rsidRPr="00FE0E54">
        <w:rPr>
          <w:rStyle w:val="Hyperlink"/>
          <w:noProof/>
        </w:rPr>
        <w:instrText xml:space="preserve"> TOC \h \z \c "Box 5." </w:instrText>
      </w:r>
      <w:r w:rsidRPr="00FE0E54">
        <w:rPr>
          <w:rStyle w:val="Hyperlink"/>
          <w:noProof/>
        </w:rPr>
        <w:fldChar w:fldCharType="separate"/>
      </w:r>
      <w:hyperlink w:anchor="_Toc11259383" w:history="1">
        <w:r w:rsidR="00D57958" w:rsidRPr="000D2ED6">
          <w:rPr>
            <w:rStyle w:val="Hyperlink"/>
            <w:noProof/>
          </w:rPr>
          <w:t>Box 5. 1 Measures of state support in RuFiGE 2014 and IIELM 2017 surveys</w:t>
        </w:r>
        <w:r w:rsidR="00D57958">
          <w:rPr>
            <w:noProof/>
            <w:webHidden/>
          </w:rPr>
          <w:tab/>
        </w:r>
        <w:r w:rsidR="00D57958">
          <w:rPr>
            <w:noProof/>
            <w:webHidden/>
          </w:rPr>
          <w:fldChar w:fldCharType="begin"/>
        </w:r>
        <w:r w:rsidR="00D57958">
          <w:rPr>
            <w:noProof/>
            <w:webHidden/>
          </w:rPr>
          <w:instrText xml:space="preserve"> PAGEREF _Toc11259383 \h </w:instrText>
        </w:r>
        <w:r w:rsidR="00D57958">
          <w:rPr>
            <w:noProof/>
            <w:webHidden/>
          </w:rPr>
        </w:r>
        <w:r w:rsidR="00D57958">
          <w:rPr>
            <w:noProof/>
            <w:webHidden/>
          </w:rPr>
          <w:fldChar w:fldCharType="separate"/>
        </w:r>
        <w:r w:rsidR="00D57958">
          <w:rPr>
            <w:noProof/>
            <w:webHidden/>
          </w:rPr>
          <w:t>35</w:t>
        </w:r>
        <w:r w:rsidR="00D57958">
          <w:rPr>
            <w:noProof/>
            <w:webHidden/>
          </w:rPr>
          <w:fldChar w:fldCharType="end"/>
        </w:r>
      </w:hyperlink>
    </w:p>
    <w:p w14:paraId="153223A9" w14:textId="0A9CA841" w:rsidR="004961C6" w:rsidRPr="00400827" w:rsidRDefault="00F67096" w:rsidP="00FE0E54">
      <w:pPr>
        <w:pStyle w:val="TableofFigures"/>
        <w:tabs>
          <w:tab w:val="right" w:leader="dot" w:pos="9389"/>
        </w:tabs>
        <w:spacing w:line="240" w:lineRule="auto"/>
        <w:contextualSpacing/>
        <w:rPr>
          <w:rFonts w:eastAsiaTheme="minorHAnsi" w:cstheme="minorHAnsi"/>
          <w:b/>
          <w:color w:val="2E74B5" w:themeColor="accent1" w:themeShade="BF"/>
          <w:sz w:val="28"/>
          <w:szCs w:val="28"/>
          <w:lang w:eastAsia="en-US"/>
        </w:rPr>
      </w:pPr>
      <w:r w:rsidRPr="00FE0E54">
        <w:rPr>
          <w:rStyle w:val="Hyperlink"/>
          <w:noProof/>
        </w:rPr>
        <w:fldChar w:fldCharType="end"/>
      </w:r>
    </w:p>
    <w:p w14:paraId="4ECDE8A0" w14:textId="69F1AEBF" w:rsidR="004961C6" w:rsidRPr="00400827" w:rsidRDefault="004961C6" w:rsidP="004961C6">
      <w:pPr>
        <w:spacing w:after="0" w:line="240" w:lineRule="auto"/>
        <w:contextualSpacing/>
        <w:rPr>
          <w:rFonts w:eastAsiaTheme="minorHAnsi" w:cstheme="minorHAnsi"/>
          <w:b/>
          <w:color w:val="2E74B5" w:themeColor="accent1" w:themeShade="BF"/>
          <w:sz w:val="28"/>
          <w:szCs w:val="28"/>
          <w:lang w:eastAsia="en-US"/>
        </w:rPr>
      </w:pPr>
    </w:p>
    <w:p w14:paraId="164F6681" w14:textId="2649154F" w:rsidR="00400827" w:rsidRPr="00400827" w:rsidRDefault="00910681" w:rsidP="00CE1189">
      <w:pPr>
        <w:spacing w:after="0" w:line="240" w:lineRule="auto"/>
        <w:contextualSpacing/>
        <w:jc w:val="left"/>
      </w:pPr>
      <w:r>
        <w:br w:type="page"/>
      </w:r>
    </w:p>
    <w:bookmarkStart w:id="4" w:name="_Toc11219063"/>
    <w:p w14:paraId="3508BE92" w14:textId="0F217F14" w:rsidR="00371C36" w:rsidRDefault="00371C36" w:rsidP="00CE1189">
      <w:pPr>
        <w:pStyle w:val="Heading1"/>
        <w:spacing w:after="0" w:line="240" w:lineRule="auto"/>
        <w:contextualSpacing/>
      </w:pPr>
      <w:r w:rsidRPr="00397389">
        <mc:AlternateContent>
          <mc:Choice Requires="wps">
            <w:drawing>
              <wp:anchor distT="0" distB="0" distL="114300" distR="114300" simplePos="0" relativeHeight="251660288" behindDoc="0" locked="0" layoutInCell="1" allowOverlap="1" wp14:anchorId="3D959CDE" wp14:editId="2FAFC6BE">
                <wp:simplePos x="0" y="0"/>
                <wp:positionH relativeFrom="margin">
                  <wp:align>right</wp:align>
                </wp:positionH>
                <wp:positionV relativeFrom="paragraph">
                  <wp:posOffset>71562</wp:posOffset>
                </wp:positionV>
                <wp:extent cx="3715741" cy="142276"/>
                <wp:effectExtent l="0" t="0" r="0" b="0"/>
                <wp:wrapNone/>
                <wp:docPr id="25" name="Rectangle 25"/>
                <wp:cNvGraphicFramePr/>
                <a:graphic xmlns:a="http://schemas.openxmlformats.org/drawingml/2006/main">
                  <a:graphicData uri="http://schemas.microsoft.com/office/word/2010/wordprocessingShape">
                    <wps:wsp>
                      <wps:cNvSpPr/>
                      <wps:spPr>
                        <a:xfrm>
                          <a:off x="0" y="0"/>
                          <a:ext cx="3715741" cy="142276"/>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44090" id="Rectangle 25" o:spid="_x0000_s1026" style="position:absolute;margin-left:241.4pt;margin-top:5.65pt;width:292.6pt;height:11.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" fillcolor="#00aeef" stroked="f" strokeweight="1pt">
                <w10:wrap anchorx="margin"/>
              </v:rect>
            </w:pict>
          </mc:Fallback>
        </mc:AlternateContent>
      </w:r>
      <w:r w:rsidRPr="00397389">
        <w:t>ACKNOWLEDGEMENTS</w:t>
      </w:r>
      <w:bookmarkEnd w:id="1"/>
      <w:bookmarkEnd w:id="4"/>
    </w:p>
    <w:p w14:paraId="0EA52633" w14:textId="77777777" w:rsidR="00400827" w:rsidRDefault="00400827" w:rsidP="00CE1189">
      <w:pPr>
        <w:spacing w:after="0" w:line="240" w:lineRule="auto"/>
        <w:contextualSpacing/>
      </w:pPr>
    </w:p>
    <w:p w14:paraId="535C65EE" w14:textId="01E422EA" w:rsidR="00B6090B" w:rsidRDefault="00400827" w:rsidP="006846D6">
      <w:r w:rsidRPr="00B6090B">
        <w:t xml:space="preserve">This report was prepared by </w:t>
      </w:r>
      <w:r w:rsidR="00A95568" w:rsidRPr="00B6090B">
        <w:t>Zahid Hasnain (</w:t>
      </w:r>
      <w:r w:rsidR="00E4494C" w:rsidRPr="00B6090B">
        <w:t>Senior Public Sector Specialist, GGOEW</w:t>
      </w:r>
      <w:r w:rsidR="00A95568" w:rsidRPr="00B6090B">
        <w:t>)</w:t>
      </w:r>
      <w:r w:rsidR="00F40BD7">
        <w:t xml:space="preserve"> and </w:t>
      </w:r>
      <w:r w:rsidR="00F40BD7" w:rsidRPr="00B6090B">
        <w:t>Anya Vodopyanov (Extended Term Consultant, GGOEW)</w:t>
      </w:r>
      <w:r w:rsidRPr="00B6090B">
        <w:t>,</w:t>
      </w:r>
      <w:r w:rsidR="00D97330" w:rsidRPr="00B6090B">
        <w:t xml:space="preserve"> </w:t>
      </w:r>
      <w:r w:rsidR="00A9216F">
        <w:t xml:space="preserve">with a core team comprising </w:t>
      </w:r>
      <w:r w:rsidR="00D429F1" w:rsidRPr="00B6090B">
        <w:t xml:space="preserve">Galina Kuznetsova (Senior Financial </w:t>
      </w:r>
      <w:r w:rsidR="0060646A" w:rsidRPr="00B6090B">
        <w:t>Management Specialist, GGOEW</w:t>
      </w:r>
      <w:r w:rsidR="00D429F1" w:rsidRPr="00B6090B">
        <w:t>)</w:t>
      </w:r>
      <w:r w:rsidR="007226C5">
        <w:t xml:space="preserve">, </w:t>
      </w:r>
      <w:r w:rsidR="005D526B">
        <w:t xml:space="preserve">and </w:t>
      </w:r>
      <w:r w:rsidR="0039690B" w:rsidRPr="00B6090B">
        <w:t>Rong Shi (Consultant, GGOEW)</w:t>
      </w:r>
      <w:r w:rsidR="005D526B">
        <w:t>.</w:t>
      </w:r>
      <w:r w:rsidR="0039690B" w:rsidRPr="00B6090B">
        <w:t xml:space="preserve"> </w:t>
      </w:r>
      <w:r w:rsidR="00026580" w:rsidRPr="00B6090B">
        <w:t>The r</w:t>
      </w:r>
      <w:r w:rsidR="00622707" w:rsidRPr="00B6090B">
        <w:t>esearch was carried out in collaboration with Anna Lukyanova</w:t>
      </w:r>
      <w:r w:rsidR="006723A2">
        <w:t xml:space="preserve"> (</w:t>
      </w:r>
      <w:r w:rsidR="0060646A" w:rsidRPr="00B6090B">
        <w:t xml:space="preserve">Professor of Labor Economics and </w:t>
      </w:r>
      <w:r w:rsidR="0020049C" w:rsidRPr="00B6090B">
        <w:t>Senior</w:t>
      </w:r>
      <w:r w:rsidR="0060646A" w:rsidRPr="00B6090B">
        <w:t xml:space="preserve"> Research</w:t>
      </w:r>
      <w:r w:rsidR="0020049C" w:rsidRPr="00B6090B">
        <w:t xml:space="preserve"> Fellow</w:t>
      </w:r>
      <w:r w:rsidR="00F26B77" w:rsidRPr="00B6090B">
        <w:t xml:space="preserve"> at </w:t>
      </w:r>
      <w:r w:rsidR="00340728" w:rsidRPr="00B6090B">
        <w:t>the Higher School of Economics</w:t>
      </w:r>
      <w:r w:rsidR="006723A2">
        <w:t xml:space="preserve">, </w:t>
      </w:r>
      <w:r w:rsidR="00340728" w:rsidRPr="00B6090B">
        <w:t>Russia</w:t>
      </w:r>
      <w:r w:rsidR="00E36189">
        <w:t>)</w:t>
      </w:r>
      <w:r w:rsidR="00C42905" w:rsidRPr="00B6090B">
        <w:t xml:space="preserve">, and </w:t>
      </w:r>
      <w:r w:rsidR="00026580" w:rsidRPr="00B6090B">
        <w:t xml:space="preserve">parts of the report draw </w:t>
      </w:r>
      <w:r w:rsidR="00C42905" w:rsidRPr="00B6090B">
        <w:t xml:space="preserve">on </w:t>
      </w:r>
      <w:r w:rsidR="00026580" w:rsidRPr="00B6090B">
        <w:t xml:space="preserve">a background paper </w:t>
      </w:r>
      <w:r w:rsidR="00A81FE8" w:rsidRPr="00B6090B">
        <w:t xml:space="preserve">prepared by </w:t>
      </w:r>
      <w:r w:rsidR="00C42905" w:rsidRPr="00B6090B">
        <w:t>Dr Lukyanova</w:t>
      </w:r>
      <w:r w:rsidRPr="00B6090B">
        <w:t xml:space="preserve">. The report benefitted </w:t>
      </w:r>
      <w:r w:rsidR="00E36189">
        <w:t xml:space="preserve">greatly </w:t>
      </w:r>
      <w:r w:rsidRPr="00B6090B">
        <w:t xml:space="preserve">from </w:t>
      </w:r>
      <w:r w:rsidR="00482284" w:rsidRPr="00B6090B">
        <w:t xml:space="preserve">incisive </w:t>
      </w:r>
      <w:r w:rsidR="00340728" w:rsidRPr="00B6090B">
        <w:t xml:space="preserve">comments </w:t>
      </w:r>
      <w:r w:rsidRPr="00B6090B">
        <w:t xml:space="preserve">from </w:t>
      </w:r>
      <w:r w:rsidR="00B12D2E" w:rsidRPr="00B6090B">
        <w:t xml:space="preserve">peer reviewers Stefka Slavova (Lead Economist, </w:t>
      </w:r>
      <w:r w:rsidR="003F0585">
        <w:t>G</w:t>
      </w:r>
      <w:r w:rsidR="00B12D2E" w:rsidRPr="00B6090B">
        <w:t>FC</w:t>
      </w:r>
      <w:r w:rsidR="003F0585">
        <w:t>EE</w:t>
      </w:r>
      <w:r w:rsidR="00B12D2E" w:rsidRPr="00B6090B">
        <w:t>), Henri Fortin (Lead Financial Management Specialist, GGO</w:t>
      </w:r>
      <w:r w:rsidR="003F0585">
        <w:t>AC</w:t>
      </w:r>
      <w:r w:rsidR="00B12D2E" w:rsidRPr="00B6090B">
        <w:t>),</w:t>
      </w:r>
      <w:r w:rsidR="00504AD5" w:rsidRPr="00B6090B">
        <w:t xml:space="preserve"> and Gregory Kisunko (Senior Public Sector Specialist, GGO</w:t>
      </w:r>
      <w:r w:rsidR="00D627FB">
        <w:t>AE</w:t>
      </w:r>
      <w:r w:rsidR="00504AD5" w:rsidRPr="00B6090B">
        <w:t>)</w:t>
      </w:r>
      <w:r w:rsidR="00A420F2" w:rsidRPr="00B6090B">
        <w:t xml:space="preserve">, as well as </w:t>
      </w:r>
      <w:r w:rsidR="00307B12" w:rsidRPr="00B6090B">
        <w:t xml:space="preserve">technical discussions with </w:t>
      </w:r>
      <w:r w:rsidR="005D526B" w:rsidRPr="00B6090B">
        <w:t>Lorena Vinuela (Senior Public Sector Specialist, GGOEW)</w:t>
      </w:r>
      <w:r w:rsidR="005D526B">
        <w:t>,</w:t>
      </w:r>
      <w:r w:rsidR="005D526B" w:rsidRPr="00B6090B">
        <w:t xml:space="preserve"> </w:t>
      </w:r>
      <w:r w:rsidR="00954869" w:rsidRPr="00B6090B">
        <w:t xml:space="preserve">Christopher Miller (Program Lead, </w:t>
      </w:r>
      <w:r w:rsidR="00B557E5" w:rsidRPr="00B6090B">
        <w:t>ECCRU</w:t>
      </w:r>
      <w:r w:rsidR="00954869" w:rsidRPr="00B6090B">
        <w:t xml:space="preserve">), Apurva Sanghi (Lead Economist, </w:t>
      </w:r>
      <w:r w:rsidR="00D627FB">
        <w:t>G</w:t>
      </w:r>
      <w:r w:rsidR="001979C4">
        <w:t>MT</w:t>
      </w:r>
      <w:r w:rsidR="00D627FB">
        <w:t>E2</w:t>
      </w:r>
      <w:r w:rsidR="00954869" w:rsidRPr="00B6090B">
        <w:t xml:space="preserve">), </w:t>
      </w:r>
      <w:r w:rsidR="002167D6" w:rsidRPr="00B6090B">
        <w:t xml:space="preserve">Denis </w:t>
      </w:r>
      <w:r w:rsidR="00884DC0" w:rsidRPr="00B6090B">
        <w:t>Medvedev (</w:t>
      </w:r>
      <w:r w:rsidR="002167D6" w:rsidRPr="00B6090B">
        <w:t xml:space="preserve">Practice Manager, </w:t>
      </w:r>
      <w:r w:rsidR="002750AE">
        <w:t>GFCFE</w:t>
      </w:r>
      <w:r w:rsidR="00884DC0" w:rsidRPr="00B6090B">
        <w:t xml:space="preserve">), </w:t>
      </w:r>
      <w:r w:rsidR="00D331C4" w:rsidRPr="00B6090B">
        <w:t xml:space="preserve">Ana Cusolito (Senior Economist, </w:t>
      </w:r>
      <w:r w:rsidR="002750AE">
        <w:t>GFCMT</w:t>
      </w:r>
      <w:r w:rsidR="00D331C4" w:rsidRPr="00B6090B">
        <w:t xml:space="preserve">), Arti Grover (Senior Economist, </w:t>
      </w:r>
      <w:r w:rsidR="002750AE">
        <w:t>GFCFE</w:t>
      </w:r>
      <w:r w:rsidR="00D331C4" w:rsidRPr="00B6090B">
        <w:t xml:space="preserve">), </w:t>
      </w:r>
      <w:r w:rsidR="0006345B" w:rsidRPr="00B6090B">
        <w:t xml:space="preserve">Maurizio Bussolo (Lead Economist, </w:t>
      </w:r>
      <w:r w:rsidR="001979C4">
        <w:t>ECACE</w:t>
      </w:r>
      <w:r w:rsidR="0006345B" w:rsidRPr="00B6090B">
        <w:t xml:space="preserve">), </w:t>
      </w:r>
      <w:r w:rsidR="004D4F93" w:rsidRPr="00B6090B">
        <w:t>Samuel Freije-Rodriguez</w:t>
      </w:r>
      <w:r w:rsidR="00A71C82" w:rsidRPr="00B6090B">
        <w:t xml:space="preserve"> (Lead Economist, </w:t>
      </w:r>
      <w:r w:rsidR="002750AE">
        <w:t>GP</w:t>
      </w:r>
      <w:r w:rsidR="00531F0E">
        <w:t>V03</w:t>
      </w:r>
      <w:r w:rsidR="00A71C82" w:rsidRPr="00B6090B">
        <w:t xml:space="preserve">), </w:t>
      </w:r>
      <w:r w:rsidR="00270923" w:rsidRPr="00B6090B">
        <w:t>Leonardo</w:t>
      </w:r>
      <w:r w:rsidR="0047158E" w:rsidRPr="00B6090B">
        <w:t xml:space="preserve"> Iacovone</w:t>
      </w:r>
      <w:r w:rsidR="00270923" w:rsidRPr="00B6090B">
        <w:t xml:space="preserve"> (Lead Economist, </w:t>
      </w:r>
      <w:r w:rsidR="00531F0E">
        <w:t>GFCFE</w:t>
      </w:r>
      <w:r w:rsidR="00270923" w:rsidRPr="00B6090B">
        <w:t xml:space="preserve">), </w:t>
      </w:r>
      <w:r w:rsidR="00BA6E6F" w:rsidRPr="00B6090B">
        <w:t>Mikhail Bunchuk (</w:t>
      </w:r>
      <w:r w:rsidR="00531F0E">
        <w:t>ECCRU</w:t>
      </w:r>
      <w:r w:rsidR="00BA6E6F" w:rsidRPr="00B6090B">
        <w:t>), Dorota Novak (Program Coordinator</w:t>
      </w:r>
      <w:r w:rsidR="00B557E5" w:rsidRPr="00B6090B">
        <w:t>, ECCRU</w:t>
      </w:r>
      <w:r w:rsidR="00BA6E6F" w:rsidRPr="00B6090B">
        <w:t xml:space="preserve">), </w:t>
      </w:r>
      <w:r w:rsidR="00884DC0" w:rsidRPr="00B6090B">
        <w:t xml:space="preserve">Mikhail </w:t>
      </w:r>
      <w:r w:rsidR="007E0560" w:rsidRPr="00B6090B">
        <w:t xml:space="preserve">Matytsin (Research Analyst, </w:t>
      </w:r>
      <w:r w:rsidR="00531F0E">
        <w:t>GPV03</w:t>
      </w:r>
      <w:r w:rsidR="00A71C82" w:rsidRPr="00B6090B">
        <w:t>)</w:t>
      </w:r>
      <w:r w:rsidR="00BD461A" w:rsidRPr="00B6090B">
        <w:t xml:space="preserve">, </w:t>
      </w:r>
      <w:r w:rsidR="00270923" w:rsidRPr="00B6090B">
        <w:t>Elwyn Davies (</w:t>
      </w:r>
      <w:r w:rsidR="00706FD4">
        <w:t>Economist</w:t>
      </w:r>
      <w:r w:rsidR="00270923" w:rsidRPr="00B6090B">
        <w:t xml:space="preserve">, </w:t>
      </w:r>
      <w:r w:rsidR="00706FD4">
        <w:t>GFCFE</w:t>
      </w:r>
      <w:r w:rsidR="00270923" w:rsidRPr="00B6090B">
        <w:t xml:space="preserve">), </w:t>
      </w:r>
      <w:r w:rsidR="00BD461A" w:rsidRPr="00B6090B">
        <w:t xml:space="preserve">and Cesar Cancho (Economist, </w:t>
      </w:r>
      <w:r w:rsidR="00706FD4">
        <w:t>GPV03</w:t>
      </w:r>
      <w:r w:rsidR="00BD461A" w:rsidRPr="00B6090B">
        <w:t>)</w:t>
      </w:r>
      <w:r w:rsidR="0048502E" w:rsidRPr="00B6090B">
        <w:t xml:space="preserve">. </w:t>
      </w:r>
      <w:r w:rsidR="00C52AF7" w:rsidRPr="00B6090B">
        <w:t xml:space="preserve">Helpful </w:t>
      </w:r>
      <w:r w:rsidR="00C45DA5" w:rsidRPr="00B6090B">
        <w:t xml:space="preserve">feedback </w:t>
      </w:r>
      <w:r w:rsidR="00C52AF7" w:rsidRPr="00B6090B">
        <w:t xml:space="preserve">was received from </w:t>
      </w:r>
      <w:r w:rsidR="00C50EB6" w:rsidRPr="00B6090B">
        <w:t xml:space="preserve">Russian researchers </w:t>
      </w:r>
      <w:r w:rsidR="001C3997">
        <w:t>during initial stakeholder consultations in April 2019</w:t>
      </w:r>
      <w:r w:rsidR="00C50EB6" w:rsidRPr="00B6090B">
        <w:t xml:space="preserve">, including </w:t>
      </w:r>
      <w:proofErr w:type="spellStart"/>
      <w:r w:rsidR="00954869" w:rsidRPr="00B6090B">
        <w:t>Gleb</w:t>
      </w:r>
      <w:proofErr w:type="spellEnd"/>
      <w:r w:rsidR="00954869" w:rsidRPr="00B6090B">
        <w:t xml:space="preserve"> </w:t>
      </w:r>
      <w:proofErr w:type="spellStart"/>
      <w:r w:rsidR="000B122B" w:rsidRPr="00B6090B">
        <w:t>Pokatovich</w:t>
      </w:r>
      <w:proofErr w:type="spellEnd"/>
      <w:r w:rsidR="000B122B" w:rsidRPr="00B6090B">
        <w:t xml:space="preserve"> </w:t>
      </w:r>
      <w:r w:rsidR="00954869" w:rsidRPr="00B6090B">
        <w:t xml:space="preserve">(First Deputy Head, Analytical Center for the Government), </w:t>
      </w:r>
      <w:r w:rsidR="00964CFD" w:rsidRPr="00B6090B">
        <w:t xml:space="preserve">Marina </w:t>
      </w:r>
      <w:proofErr w:type="spellStart"/>
      <w:r w:rsidR="00964CFD" w:rsidRPr="00B6090B">
        <w:t>Moskvina</w:t>
      </w:r>
      <w:proofErr w:type="spellEnd"/>
      <w:r w:rsidR="00964CFD" w:rsidRPr="00B6090B">
        <w:t xml:space="preserve"> </w:t>
      </w:r>
      <w:r w:rsidR="00C52AF7" w:rsidRPr="00B6090B">
        <w:t>(</w:t>
      </w:r>
      <w:r w:rsidR="00754EE1" w:rsidRPr="00B6090B">
        <w:t xml:space="preserve">Senior Economist and Managing Director, </w:t>
      </w:r>
      <w:r w:rsidR="00C52AF7" w:rsidRPr="00B6090B">
        <w:t>Union</w:t>
      </w:r>
      <w:r w:rsidR="00964CFD" w:rsidRPr="00B6090B">
        <w:t xml:space="preserve"> of Russian Industrialists and </w:t>
      </w:r>
      <w:r w:rsidR="001965B9" w:rsidRPr="00B6090B">
        <w:t>Entrepreneurs</w:t>
      </w:r>
      <w:r w:rsidR="00C52AF7" w:rsidRPr="00B6090B">
        <w:t xml:space="preserve">), </w:t>
      </w:r>
      <w:r w:rsidR="00754EE1" w:rsidRPr="00B6090B">
        <w:t>Alexander Abramov (</w:t>
      </w:r>
      <w:r w:rsidR="00AC7998">
        <w:t xml:space="preserve">Senior Economist and </w:t>
      </w:r>
      <w:r w:rsidR="00754EE1" w:rsidRPr="00B6090B">
        <w:t xml:space="preserve">Deputy Director, Russian Academy of National Economy and Public Administration), </w:t>
      </w:r>
      <w:r w:rsidR="00C52AF7" w:rsidRPr="00B6090B">
        <w:t xml:space="preserve">and Mikhail </w:t>
      </w:r>
      <w:r w:rsidR="006C4EB6" w:rsidRPr="00B6090B">
        <w:t xml:space="preserve">Gershman </w:t>
      </w:r>
      <w:r w:rsidR="0006345B" w:rsidRPr="00B6090B">
        <w:t>(</w:t>
      </w:r>
      <w:r w:rsidR="00AC7998">
        <w:t xml:space="preserve">Assistant Professor of Economics, </w:t>
      </w:r>
      <w:r w:rsidR="0006345B" w:rsidRPr="00B6090B">
        <w:t>Higher School of Economics)</w:t>
      </w:r>
      <w:r w:rsidR="00954869" w:rsidRPr="00B6090B">
        <w:t xml:space="preserve">. </w:t>
      </w:r>
      <w:r w:rsidR="00DC543C" w:rsidRPr="00B6090B">
        <w:t>The team would like to thank the Higher School of Economics</w:t>
      </w:r>
      <w:r w:rsidR="00421A66">
        <w:t xml:space="preserve">, </w:t>
      </w:r>
      <w:r w:rsidR="002167D6" w:rsidRPr="00B6090B">
        <w:t>Denis Medvedev</w:t>
      </w:r>
      <w:r w:rsidR="00421A66">
        <w:t xml:space="preserve">, </w:t>
      </w:r>
      <w:r w:rsidR="00F27EAF">
        <w:t>Arti Grover, and Ana Cusolito</w:t>
      </w:r>
      <w:r w:rsidR="00421A66">
        <w:t>,</w:t>
      </w:r>
      <w:r w:rsidR="002167D6" w:rsidRPr="00B6090B">
        <w:t xml:space="preserve"> </w:t>
      </w:r>
      <w:r w:rsidR="00DC543C" w:rsidRPr="00B6090B">
        <w:t xml:space="preserve">for </w:t>
      </w:r>
      <w:r w:rsidR="00254854" w:rsidRPr="00B6090B">
        <w:t xml:space="preserve">making available </w:t>
      </w:r>
      <w:r w:rsidR="001403D4" w:rsidRPr="00B6090B">
        <w:t xml:space="preserve">key </w:t>
      </w:r>
      <w:r w:rsidR="00AC7998">
        <w:t xml:space="preserve">data </w:t>
      </w:r>
      <w:r w:rsidR="001403D4" w:rsidRPr="00B6090B">
        <w:t>used for the report.</w:t>
      </w:r>
      <w:r w:rsidR="00A46989" w:rsidRPr="00B6090B">
        <w:t xml:space="preserve"> </w:t>
      </w:r>
      <w:r w:rsidR="00A51F24" w:rsidRPr="00B6090B">
        <w:t xml:space="preserve">Overall guidance was provided by Andras Horvai (Country Director, </w:t>
      </w:r>
      <w:r w:rsidR="00186E7E">
        <w:t>ECCRU</w:t>
      </w:r>
      <w:r w:rsidR="00A51F24" w:rsidRPr="00B6090B">
        <w:t>) and Roby Senderowitsch (Practice Manager, GGOEW).</w:t>
      </w:r>
    </w:p>
    <w:p w14:paraId="5784167F" w14:textId="77777777" w:rsidR="00421A66" w:rsidRDefault="00421A66" w:rsidP="006846D6"/>
    <w:p w14:paraId="1F278955" w14:textId="26907354" w:rsidR="00371C36" w:rsidRDefault="00371C36" w:rsidP="00CE1189">
      <w:pPr>
        <w:spacing w:after="0" w:line="240" w:lineRule="auto"/>
        <w:contextualSpacing/>
      </w:pPr>
      <w:r>
        <w:br w:type="page"/>
      </w:r>
    </w:p>
    <w:bookmarkStart w:id="5" w:name="_Toc527378645"/>
    <w:bookmarkStart w:id="6" w:name="_Toc11219064"/>
    <w:p w14:paraId="4ACC4C0F" w14:textId="083479D1" w:rsidR="00371C36" w:rsidRDefault="00371C36" w:rsidP="00CE1189">
      <w:pPr>
        <w:pStyle w:val="Heading1"/>
        <w:spacing w:after="0" w:line="240" w:lineRule="auto"/>
        <w:contextualSpacing/>
      </w:pPr>
      <w:r w:rsidRPr="00A76B16">
        <mc:AlternateContent>
          <mc:Choice Requires="wps">
            <w:drawing>
              <wp:anchor distT="0" distB="0" distL="114300" distR="114300" simplePos="0" relativeHeight="251659264" behindDoc="0" locked="0" layoutInCell="1" allowOverlap="1" wp14:anchorId="0568358D" wp14:editId="09DB237D">
                <wp:simplePos x="0" y="0"/>
                <wp:positionH relativeFrom="margin">
                  <wp:align>right</wp:align>
                </wp:positionH>
                <wp:positionV relativeFrom="paragraph">
                  <wp:posOffset>73998</wp:posOffset>
                </wp:positionV>
                <wp:extent cx="3715741" cy="142276"/>
                <wp:effectExtent l="0" t="0" r="0" b="0"/>
                <wp:wrapNone/>
                <wp:docPr id="10" name="Rectangle 10"/>
                <wp:cNvGraphicFramePr/>
                <a:graphic xmlns:a="http://schemas.openxmlformats.org/drawingml/2006/main">
                  <a:graphicData uri="http://schemas.microsoft.com/office/word/2010/wordprocessingShape">
                    <wps:wsp>
                      <wps:cNvSpPr/>
                      <wps:spPr>
                        <a:xfrm>
                          <a:off x="0" y="0"/>
                          <a:ext cx="3715741" cy="142276"/>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A4F37" id="Rectangle 10" o:spid="_x0000_s1026" style="position:absolute;margin-left:241.4pt;margin-top:5.85pt;width:292.6pt;height:11.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" fillcolor="#00aeef" stroked="f" strokeweight="1pt">
                <w10:wrap anchorx="margin"/>
              </v:rect>
            </w:pict>
          </mc:Fallback>
        </mc:AlternateContent>
      </w:r>
      <w:r>
        <w:t>EXECUTIVE SUMMARY</w:t>
      </w:r>
      <w:bookmarkEnd w:id="5"/>
      <w:bookmarkEnd w:id="6"/>
      <w:r>
        <w:t xml:space="preserve">  </w:t>
      </w:r>
    </w:p>
    <w:p w14:paraId="5E330C06" w14:textId="6761289B" w:rsidR="00E04084" w:rsidRDefault="00E04084" w:rsidP="00CE1189">
      <w:pPr>
        <w:spacing w:after="0" w:line="240" w:lineRule="auto"/>
        <w:contextualSpacing/>
        <w:rPr>
          <w:lang w:eastAsia="en-US"/>
        </w:rPr>
      </w:pPr>
    </w:p>
    <w:p w14:paraId="4FC92D46" w14:textId="2A529DC2" w:rsidR="00DA5549" w:rsidRDefault="00DA5549" w:rsidP="00EC0C4D">
      <w:pPr>
        <w:contextualSpacing/>
        <w:rPr>
          <w:lang w:eastAsia="en-US"/>
        </w:rPr>
      </w:pPr>
      <w:r w:rsidRPr="007D41D2">
        <w:rPr>
          <w:rFonts w:cs="Calibri"/>
          <w:b/>
          <w:bCs/>
        </w:rPr>
        <w:t xml:space="preserve">Low productivity and </w:t>
      </w:r>
      <w:r w:rsidR="008B3E1E">
        <w:rPr>
          <w:rFonts w:cs="Calibri"/>
          <w:b/>
          <w:bCs/>
        </w:rPr>
        <w:t xml:space="preserve">the </w:t>
      </w:r>
      <w:r w:rsidRPr="007D41D2">
        <w:rPr>
          <w:rFonts w:cs="Calibri"/>
          <w:b/>
          <w:bCs/>
        </w:rPr>
        <w:t>competitiveness of Russia</w:t>
      </w:r>
      <w:r w:rsidR="009632BD">
        <w:rPr>
          <w:rFonts w:cs="Calibri"/>
          <w:b/>
          <w:bCs/>
        </w:rPr>
        <w:t>n</w:t>
      </w:r>
      <w:r w:rsidRPr="007D41D2">
        <w:rPr>
          <w:rFonts w:cs="Calibri"/>
          <w:b/>
          <w:bCs/>
        </w:rPr>
        <w:t xml:space="preserve"> </w:t>
      </w:r>
      <w:r w:rsidR="009632BD">
        <w:rPr>
          <w:rFonts w:cs="Calibri"/>
          <w:b/>
          <w:bCs/>
        </w:rPr>
        <w:t>firms</w:t>
      </w:r>
      <w:r w:rsidRPr="007D41D2">
        <w:rPr>
          <w:rFonts w:cs="Calibri"/>
          <w:b/>
          <w:bCs/>
        </w:rPr>
        <w:t xml:space="preserve"> </w:t>
      </w:r>
      <w:r w:rsidR="008B3E1E">
        <w:rPr>
          <w:rFonts w:cs="Calibri"/>
          <w:b/>
          <w:bCs/>
        </w:rPr>
        <w:t>have been among</w:t>
      </w:r>
      <w:r w:rsidR="00C05188">
        <w:rPr>
          <w:rFonts w:cs="Calibri"/>
          <w:b/>
          <w:bCs/>
        </w:rPr>
        <w:t xml:space="preserve"> </w:t>
      </w:r>
      <w:r>
        <w:rPr>
          <w:rFonts w:cs="Calibri"/>
          <w:b/>
          <w:bCs/>
        </w:rPr>
        <w:t xml:space="preserve">Russia’s </w:t>
      </w:r>
      <w:r w:rsidR="00C05188">
        <w:rPr>
          <w:rFonts w:cs="Calibri"/>
          <w:b/>
          <w:bCs/>
        </w:rPr>
        <w:t xml:space="preserve">primary </w:t>
      </w:r>
      <w:r w:rsidRPr="007D41D2">
        <w:rPr>
          <w:rFonts w:cs="Calibri"/>
          <w:b/>
          <w:bCs/>
        </w:rPr>
        <w:t xml:space="preserve">economic </w:t>
      </w:r>
      <w:r w:rsidR="00C05188">
        <w:rPr>
          <w:rFonts w:cs="Calibri"/>
          <w:b/>
          <w:bCs/>
        </w:rPr>
        <w:t>challenges</w:t>
      </w:r>
      <w:r w:rsidRPr="007D41D2">
        <w:rPr>
          <w:rFonts w:cs="Calibri"/>
          <w:b/>
          <w:bCs/>
        </w:rPr>
        <w:t xml:space="preserve"> over the past decade</w:t>
      </w:r>
      <w:r w:rsidRPr="00EF334D">
        <w:rPr>
          <w:rFonts w:cs="Calibri"/>
        </w:rPr>
        <w:t>.</w:t>
      </w:r>
      <w:r>
        <w:rPr>
          <w:rFonts w:cs="Calibri"/>
        </w:rPr>
        <w:t xml:space="preserve"> </w:t>
      </w:r>
      <w:r w:rsidR="005F4459" w:rsidRPr="005F4459">
        <w:rPr>
          <w:bCs/>
          <w:lang w:eastAsia="en-US"/>
        </w:rPr>
        <w:t>The Government of Russia (GoR) has made boosting productivity a policy priority</w:t>
      </w:r>
      <w:r w:rsidR="00A04A8F">
        <w:rPr>
          <w:bCs/>
          <w:lang w:eastAsia="en-US"/>
        </w:rPr>
        <w:t xml:space="preserve"> and </w:t>
      </w:r>
      <w:r w:rsidR="00A04A8F">
        <w:rPr>
          <w:lang w:eastAsia="en-US"/>
        </w:rPr>
        <w:t>s</w:t>
      </w:r>
      <w:r w:rsidR="005F4459" w:rsidRPr="005F4459">
        <w:rPr>
          <w:lang w:eastAsia="en-US"/>
        </w:rPr>
        <w:t xml:space="preserve">ince 2012 has rolled out several visible </w:t>
      </w:r>
      <w:r w:rsidR="005F4459" w:rsidRPr="005F4459">
        <w:t xml:space="preserve">policy initiatives to strengthen employment practices in </w:t>
      </w:r>
      <w:r w:rsidR="00A04A8F">
        <w:rPr>
          <w:lang w:eastAsia="en-US"/>
        </w:rPr>
        <w:t>firms</w:t>
      </w:r>
      <w:r w:rsidR="005F4459" w:rsidRPr="005F4459">
        <w:rPr>
          <w:lang w:eastAsia="en-US"/>
        </w:rPr>
        <w:t xml:space="preserve"> to raise their productivity and positive spillovers, including the 2012 Plan for Raising the Productivity of Companies, the 2018-2024 National Project on Labor Productivity, and 2018-2019 National Plan for Competition Development.</w:t>
      </w:r>
    </w:p>
    <w:p w14:paraId="3E7ADE50" w14:textId="77777777" w:rsidR="00D30800" w:rsidRDefault="00D30800" w:rsidP="00EC0C4D">
      <w:pPr>
        <w:contextualSpacing/>
        <w:rPr>
          <w:rFonts w:ascii="Calibri" w:hAnsi="Calibri" w:cs="Calibri"/>
        </w:rPr>
      </w:pPr>
    </w:p>
    <w:p w14:paraId="48F82F04" w14:textId="0AAF7DCE" w:rsidR="00EF7A2F" w:rsidRDefault="007705B3" w:rsidP="00EC0C4D">
      <w:pPr>
        <w:contextualSpacing/>
      </w:pPr>
      <w:r>
        <w:rPr>
          <w:rFonts w:ascii="Calibri" w:hAnsi="Calibri" w:cs="Calibri"/>
        </w:rPr>
        <w:t>The</w:t>
      </w:r>
      <w:r w:rsidR="00C05188" w:rsidRPr="0028162A">
        <w:rPr>
          <w:b/>
          <w:bCs/>
        </w:rPr>
        <w:t xml:space="preserve"> </w:t>
      </w:r>
      <w:r w:rsidR="00537F6C">
        <w:rPr>
          <w:b/>
          <w:bCs/>
        </w:rPr>
        <w:t xml:space="preserve">objective </w:t>
      </w:r>
      <w:r w:rsidR="00537F6C" w:rsidRPr="0028162A">
        <w:rPr>
          <w:b/>
          <w:bCs/>
        </w:rPr>
        <w:t>of th</w:t>
      </w:r>
      <w:r w:rsidR="00537F6C">
        <w:rPr>
          <w:b/>
          <w:bCs/>
        </w:rPr>
        <w:t>is</w:t>
      </w:r>
      <w:r w:rsidR="00537F6C" w:rsidRPr="0028162A">
        <w:rPr>
          <w:b/>
          <w:bCs/>
        </w:rPr>
        <w:t xml:space="preserve"> </w:t>
      </w:r>
      <w:r w:rsidR="00537F6C">
        <w:rPr>
          <w:b/>
          <w:bCs/>
        </w:rPr>
        <w:t xml:space="preserve">report </w:t>
      </w:r>
      <w:r w:rsidR="00537F6C" w:rsidRPr="0028162A">
        <w:rPr>
          <w:b/>
          <w:bCs/>
        </w:rPr>
        <w:t>is to</w:t>
      </w:r>
      <w:r w:rsidR="00537F6C">
        <w:rPr>
          <w:b/>
          <w:bCs/>
        </w:rPr>
        <w:t xml:space="preserve"> contribute to this productivity agenda by</w:t>
      </w:r>
      <w:r w:rsidR="00537F6C" w:rsidRPr="0028162A">
        <w:rPr>
          <w:b/>
          <w:bCs/>
        </w:rPr>
        <w:t xml:space="preserve"> </w:t>
      </w:r>
      <w:r>
        <w:rPr>
          <w:b/>
          <w:bCs/>
        </w:rPr>
        <w:t>analyzing</w:t>
      </w:r>
      <w:r w:rsidR="00C05188">
        <w:rPr>
          <w:b/>
          <w:bCs/>
        </w:rPr>
        <w:t xml:space="preserve"> </w:t>
      </w:r>
      <w:r w:rsidR="00BC51C3">
        <w:rPr>
          <w:b/>
          <w:bCs/>
        </w:rPr>
        <w:t xml:space="preserve">the </w:t>
      </w:r>
      <w:r w:rsidR="00537F6C" w:rsidRPr="0028162A">
        <w:rPr>
          <w:b/>
          <w:bCs/>
        </w:rPr>
        <w:t>employment practices</w:t>
      </w:r>
      <w:r w:rsidR="00EC0C4D">
        <w:rPr>
          <w:b/>
          <w:bCs/>
        </w:rPr>
        <w:t xml:space="preserve"> </w:t>
      </w:r>
      <w:r w:rsidR="00BC51C3">
        <w:rPr>
          <w:b/>
          <w:bCs/>
        </w:rPr>
        <w:t xml:space="preserve">of </w:t>
      </w:r>
      <w:r w:rsidR="00C86B88">
        <w:rPr>
          <w:b/>
          <w:bCs/>
        </w:rPr>
        <w:t>s</w:t>
      </w:r>
      <w:r w:rsidR="00423DDB">
        <w:rPr>
          <w:b/>
          <w:bCs/>
        </w:rPr>
        <w:t>tate-owned enterprises (SOEs)</w:t>
      </w:r>
      <w:r w:rsidR="00537F6C" w:rsidRPr="0028162A">
        <w:rPr>
          <w:b/>
          <w:bCs/>
        </w:rPr>
        <w:t>,</w:t>
      </w:r>
      <w:r w:rsidR="00537F6C">
        <w:rPr>
          <w:b/>
          <w:bCs/>
        </w:rPr>
        <w:t xml:space="preserve"> their implications for labor supply and internal firm capabilities</w:t>
      </w:r>
      <w:r w:rsidR="00316387">
        <w:rPr>
          <w:b/>
          <w:bCs/>
        </w:rPr>
        <w:t xml:space="preserve">, and the influence of state </w:t>
      </w:r>
      <w:r w:rsidR="00D94CEC">
        <w:rPr>
          <w:b/>
          <w:bCs/>
        </w:rPr>
        <w:t>policy</w:t>
      </w:r>
      <w:r w:rsidR="00537F6C">
        <w:rPr>
          <w:b/>
          <w:bCs/>
        </w:rPr>
        <w:t xml:space="preserve">. </w:t>
      </w:r>
      <w:r w:rsidR="00A04A8F" w:rsidRPr="00353E99">
        <w:t>SOEs</w:t>
      </w:r>
      <w:r w:rsidR="00A04A8F">
        <w:t xml:space="preserve"> </w:t>
      </w:r>
      <w:r w:rsidR="00012F89">
        <w:t xml:space="preserve">contribute </w:t>
      </w:r>
      <w:r w:rsidR="00FA0811">
        <w:t>a significant share of output and employment in</w:t>
      </w:r>
      <w:r w:rsidR="00A04A8F">
        <w:t xml:space="preserve"> Russia’s economy and academic recent research shows that they have lower productivity than private sector firms. The implications of SOE employment practices</w:t>
      </w:r>
      <w:r w:rsidR="00A465A1">
        <w:t>—compensation and management—</w:t>
      </w:r>
      <w:r w:rsidR="00A04A8F">
        <w:t>on overall productivity however, has not been investigated, a gap that this report aims to fill</w:t>
      </w:r>
      <w:r w:rsidR="008727C3">
        <w:t xml:space="preserve"> by</w:t>
      </w:r>
      <w:r w:rsidR="00765D8C">
        <w:t xml:space="preserve"> analyz</w:t>
      </w:r>
      <w:r w:rsidR="008727C3">
        <w:t>ing</w:t>
      </w:r>
      <w:r w:rsidR="00765D8C">
        <w:t xml:space="preserve"> the following questions</w:t>
      </w:r>
      <w:r w:rsidR="00EF7A2F">
        <w:t>:</w:t>
      </w:r>
    </w:p>
    <w:p w14:paraId="7F6AA0CB" w14:textId="16D924EB" w:rsidR="00EF7A2F" w:rsidRPr="005124E7" w:rsidRDefault="00DA5549" w:rsidP="005124E7">
      <w:pPr>
        <w:pStyle w:val="ListParagraph"/>
        <w:numPr>
          <w:ilvl w:val="0"/>
          <w:numId w:val="28"/>
        </w:numPr>
        <w:spacing w:after="240" w:line="276" w:lineRule="auto"/>
        <w:ind w:left="763"/>
        <w:rPr>
          <w:sz w:val="22"/>
        </w:rPr>
      </w:pPr>
      <w:r w:rsidRPr="005124E7">
        <w:rPr>
          <w:sz w:val="22"/>
        </w:rPr>
        <w:t xml:space="preserve">What are SOE employment practices and how do they compare to international and private sector benchmarks? </w:t>
      </w:r>
    </w:p>
    <w:p w14:paraId="0C43D6F6" w14:textId="77777777" w:rsidR="00EF7A2F" w:rsidRPr="005124E7" w:rsidRDefault="00DA5549" w:rsidP="005124E7">
      <w:pPr>
        <w:pStyle w:val="ListParagraph"/>
        <w:numPr>
          <w:ilvl w:val="0"/>
          <w:numId w:val="28"/>
        </w:numPr>
        <w:spacing w:after="240" w:line="276" w:lineRule="auto"/>
        <w:ind w:left="763"/>
        <w:rPr>
          <w:sz w:val="22"/>
        </w:rPr>
      </w:pPr>
      <w:r w:rsidRPr="005124E7">
        <w:rPr>
          <w:sz w:val="22"/>
        </w:rPr>
        <w:t xml:space="preserve">How do SOE employment practices, particularly compensation, affect allocation of labor across firms? </w:t>
      </w:r>
    </w:p>
    <w:p w14:paraId="39F48D71" w14:textId="77777777" w:rsidR="00EF7A2F" w:rsidRPr="005124E7" w:rsidRDefault="00DA5549" w:rsidP="005124E7">
      <w:pPr>
        <w:pStyle w:val="ListParagraph"/>
        <w:numPr>
          <w:ilvl w:val="0"/>
          <w:numId w:val="28"/>
        </w:numPr>
        <w:spacing w:after="240" w:line="276" w:lineRule="auto"/>
        <w:ind w:left="763"/>
        <w:rPr>
          <w:sz w:val="22"/>
        </w:rPr>
      </w:pPr>
      <w:r w:rsidRPr="005124E7">
        <w:rPr>
          <w:sz w:val="22"/>
        </w:rPr>
        <w:t xml:space="preserve">How do SOE compensation and management practices shape their internal capabilities? </w:t>
      </w:r>
    </w:p>
    <w:p w14:paraId="1DC15C8D" w14:textId="47451149" w:rsidR="00EF7A2F" w:rsidRDefault="00DA5549" w:rsidP="005124E7">
      <w:pPr>
        <w:pStyle w:val="ListParagraph"/>
        <w:numPr>
          <w:ilvl w:val="0"/>
          <w:numId w:val="28"/>
        </w:numPr>
        <w:spacing w:after="240" w:line="276" w:lineRule="auto"/>
        <w:ind w:left="763"/>
        <w:rPr>
          <w:szCs w:val="20"/>
        </w:rPr>
      </w:pPr>
      <w:r w:rsidRPr="005124E7">
        <w:rPr>
          <w:sz w:val="22"/>
        </w:rPr>
        <w:t xml:space="preserve">How </w:t>
      </w:r>
      <w:r w:rsidR="00765D8C" w:rsidRPr="005124E7">
        <w:rPr>
          <w:sz w:val="22"/>
        </w:rPr>
        <w:t>do</w:t>
      </w:r>
      <w:r w:rsidR="00C342D9">
        <w:rPr>
          <w:sz w:val="22"/>
        </w:rPr>
        <w:t>es</w:t>
      </w:r>
      <w:r w:rsidR="00765D8C" w:rsidRPr="005124E7">
        <w:rPr>
          <w:sz w:val="22"/>
        </w:rPr>
        <w:t xml:space="preserve"> </w:t>
      </w:r>
      <w:r w:rsidRPr="005124E7">
        <w:rPr>
          <w:sz w:val="22"/>
        </w:rPr>
        <w:t xml:space="preserve">government </w:t>
      </w:r>
      <w:r w:rsidR="00C342D9">
        <w:rPr>
          <w:sz w:val="22"/>
        </w:rPr>
        <w:t>financial and non-financial support to SOEs</w:t>
      </w:r>
      <w:r w:rsidR="00C342D9" w:rsidRPr="005124E7">
        <w:rPr>
          <w:sz w:val="22"/>
        </w:rPr>
        <w:t xml:space="preserve"> </w:t>
      </w:r>
      <w:r w:rsidR="00C342D9">
        <w:rPr>
          <w:sz w:val="22"/>
        </w:rPr>
        <w:t>influence</w:t>
      </w:r>
      <w:r w:rsidR="00C342D9" w:rsidRPr="005124E7">
        <w:rPr>
          <w:sz w:val="22"/>
        </w:rPr>
        <w:t xml:space="preserve"> </w:t>
      </w:r>
      <w:r w:rsidR="00C342D9">
        <w:rPr>
          <w:sz w:val="22"/>
        </w:rPr>
        <w:t>these employment practices</w:t>
      </w:r>
      <w:r w:rsidRPr="005124E7">
        <w:rPr>
          <w:sz w:val="22"/>
        </w:rPr>
        <w:t>?</w:t>
      </w:r>
      <w:r w:rsidR="00886528" w:rsidRPr="001A4A2F">
        <w:rPr>
          <w:szCs w:val="20"/>
        </w:rPr>
        <w:t xml:space="preserve"> </w:t>
      </w:r>
    </w:p>
    <w:p w14:paraId="35E261E6" w14:textId="1358D785" w:rsidR="00651465" w:rsidRDefault="00886528" w:rsidP="00651465">
      <w:pPr>
        <w:contextualSpacing/>
        <w:rPr>
          <w:bCs/>
        </w:rPr>
      </w:pPr>
      <w:r>
        <w:t xml:space="preserve">Taking the </w:t>
      </w:r>
      <w:r w:rsidRPr="0028162A">
        <w:t xml:space="preserve">level and form of government participation in the economy as a given, </w:t>
      </w:r>
      <w:r>
        <w:t xml:space="preserve">the report </w:t>
      </w:r>
      <w:r w:rsidRPr="0028162A">
        <w:t>focus</w:t>
      </w:r>
      <w:r>
        <w:t>es primarily</w:t>
      </w:r>
      <w:r w:rsidRPr="0028162A">
        <w:t xml:space="preserve"> on </w:t>
      </w:r>
      <w:r>
        <w:t xml:space="preserve">the sector’s current practices, and how </w:t>
      </w:r>
      <w:r w:rsidRPr="0028162A">
        <w:t xml:space="preserve">government </w:t>
      </w:r>
      <w:r>
        <w:t xml:space="preserve">policies towards the sector </w:t>
      </w:r>
      <w:r w:rsidRPr="0028162A">
        <w:t xml:space="preserve">can be improved to boost </w:t>
      </w:r>
      <w:r>
        <w:t>SOE performance and positive spillovers</w:t>
      </w:r>
      <w:r w:rsidRPr="0028162A">
        <w:t>.</w:t>
      </w:r>
      <w:r>
        <w:t xml:space="preserve"> </w:t>
      </w:r>
      <w:r w:rsidRPr="001A4A2F">
        <w:rPr>
          <w:bCs/>
        </w:rPr>
        <w:t xml:space="preserve">We explore these questions using five Russian microlevel datasets, including worker and firm surveys </w:t>
      </w:r>
      <w:r w:rsidRPr="00EF7A2F">
        <w:rPr>
          <w:bCs/>
        </w:rPr>
        <w:t>and a large firm register.</w:t>
      </w:r>
      <w:r w:rsidR="00647593">
        <w:rPr>
          <w:bCs/>
        </w:rPr>
        <w:t xml:space="preserve"> </w:t>
      </w:r>
      <w:r w:rsidR="00647593" w:rsidRPr="00647593">
        <w:rPr>
          <w:bCs/>
        </w:rPr>
        <w:t>The report utilizes a taxonomy of SOEs that includes state SOEs which have 100</w:t>
      </w:r>
      <w:r w:rsidR="00647593">
        <w:rPr>
          <w:bCs/>
        </w:rPr>
        <w:t xml:space="preserve"> percent</w:t>
      </w:r>
      <w:r w:rsidR="00647593" w:rsidRPr="00647593">
        <w:rPr>
          <w:bCs/>
        </w:rPr>
        <w:t xml:space="preserve"> gov</w:t>
      </w:r>
      <w:r w:rsidR="00647593">
        <w:rPr>
          <w:bCs/>
        </w:rPr>
        <w:t>ernmen</w:t>
      </w:r>
      <w:r w:rsidR="00647593" w:rsidRPr="00647593">
        <w:rPr>
          <w:bCs/>
        </w:rPr>
        <w:t xml:space="preserve">t ownership, and mixed SOEs which have some share of state ownership </w:t>
      </w:r>
      <w:r w:rsidR="00647593">
        <w:rPr>
          <w:bCs/>
        </w:rPr>
        <w:t xml:space="preserve">that is </w:t>
      </w:r>
      <w:r w:rsidR="00647593" w:rsidRPr="00647593">
        <w:rPr>
          <w:bCs/>
        </w:rPr>
        <w:t>less than 100</w:t>
      </w:r>
      <w:r w:rsidR="00647593">
        <w:rPr>
          <w:bCs/>
        </w:rPr>
        <w:t xml:space="preserve"> percent.</w:t>
      </w:r>
    </w:p>
    <w:p w14:paraId="5065B90F" w14:textId="77777777" w:rsidR="00651465" w:rsidRDefault="00651465" w:rsidP="00651465">
      <w:pPr>
        <w:contextualSpacing/>
        <w:rPr>
          <w:b/>
          <w:bCs/>
        </w:rPr>
      </w:pPr>
    </w:p>
    <w:p w14:paraId="0832B46A" w14:textId="4B455374" w:rsidR="0044145F" w:rsidRDefault="007B686F" w:rsidP="00651465">
      <w:pPr>
        <w:contextualSpacing/>
        <w:rPr>
          <w:szCs w:val="20"/>
        </w:rPr>
      </w:pPr>
      <w:r>
        <w:rPr>
          <w:b/>
          <w:bCs/>
        </w:rPr>
        <w:t>The report</w:t>
      </w:r>
      <w:r w:rsidR="00DA5549">
        <w:rPr>
          <w:b/>
          <w:bCs/>
        </w:rPr>
        <w:t xml:space="preserve"> find</w:t>
      </w:r>
      <w:r>
        <w:rPr>
          <w:b/>
          <w:bCs/>
        </w:rPr>
        <w:t>s</w:t>
      </w:r>
      <w:r w:rsidR="00DA5549">
        <w:rPr>
          <w:b/>
          <w:bCs/>
        </w:rPr>
        <w:t xml:space="preserve"> that </w:t>
      </w:r>
      <w:r w:rsidR="00DA5549" w:rsidRPr="00824C8A">
        <w:rPr>
          <w:b/>
          <w:bCs/>
        </w:rPr>
        <w:t>Russian SOE</w:t>
      </w:r>
      <w:r w:rsidR="006366BE">
        <w:rPr>
          <w:b/>
          <w:bCs/>
        </w:rPr>
        <w:t>s pay a</w:t>
      </w:r>
      <w:r w:rsidR="00B60844">
        <w:rPr>
          <w:b/>
          <w:bCs/>
        </w:rPr>
        <w:t>n overall</w:t>
      </w:r>
      <w:r w:rsidR="006366BE">
        <w:rPr>
          <w:b/>
          <w:bCs/>
        </w:rPr>
        <w:t xml:space="preserve"> compensation premiu</w:t>
      </w:r>
      <w:bookmarkStart w:id="7" w:name="_GoBack"/>
      <w:bookmarkEnd w:id="7"/>
      <w:r w:rsidR="006366BE">
        <w:rPr>
          <w:b/>
          <w:bCs/>
        </w:rPr>
        <w:t>m and that this premium</w:t>
      </w:r>
      <w:r w:rsidR="00DA5549">
        <w:rPr>
          <w:b/>
          <w:bCs/>
        </w:rPr>
        <w:t xml:space="preserve"> contribute</w:t>
      </w:r>
      <w:r w:rsidR="00A465A1">
        <w:rPr>
          <w:b/>
          <w:bCs/>
        </w:rPr>
        <w:t>s</w:t>
      </w:r>
      <w:r w:rsidR="00DA5549">
        <w:rPr>
          <w:b/>
          <w:bCs/>
        </w:rPr>
        <w:t xml:space="preserve"> to </w:t>
      </w:r>
      <w:r w:rsidR="003F2BB2">
        <w:rPr>
          <w:b/>
          <w:bCs/>
        </w:rPr>
        <w:t>labor shortages in the private sector</w:t>
      </w:r>
      <w:r w:rsidR="00DA5549" w:rsidRPr="00824C8A">
        <w:rPr>
          <w:b/>
          <w:bCs/>
        </w:rPr>
        <w:t>.</w:t>
      </w:r>
      <w:r w:rsidR="00DA5549" w:rsidRPr="008456FA">
        <w:rPr>
          <w:szCs w:val="20"/>
        </w:rPr>
        <w:t xml:space="preserve"> </w:t>
      </w:r>
      <w:r w:rsidR="00973F8E">
        <w:rPr>
          <w:bCs/>
        </w:rPr>
        <w:t>W</w:t>
      </w:r>
      <w:r w:rsidR="00973F8E" w:rsidRPr="00BD74CC">
        <w:rPr>
          <w:bCs/>
        </w:rPr>
        <w:t xml:space="preserve">hile </w:t>
      </w:r>
      <w:r w:rsidR="00973F8E">
        <w:rPr>
          <w:bCs/>
        </w:rPr>
        <w:t xml:space="preserve">overall the </w:t>
      </w:r>
      <w:r w:rsidR="00973F8E" w:rsidRPr="00BD74CC">
        <w:rPr>
          <w:bCs/>
        </w:rPr>
        <w:t>SOE</w:t>
      </w:r>
      <w:r w:rsidR="00973F8E">
        <w:rPr>
          <w:bCs/>
        </w:rPr>
        <w:t xml:space="preserve"> sec</w:t>
      </w:r>
      <w:r w:rsidR="00973F8E">
        <w:rPr>
          <w:bCs/>
        </w:rPr>
        <w:t>tor has</w:t>
      </w:r>
      <w:r w:rsidR="00973F8E">
        <w:rPr>
          <w:bCs/>
        </w:rPr>
        <w:t xml:space="preserve"> </w:t>
      </w:r>
      <w:r w:rsidR="00973F8E" w:rsidRPr="00D00A9F">
        <w:rPr>
          <w:bCs/>
        </w:rPr>
        <w:t xml:space="preserve">a </w:t>
      </w:r>
      <w:r w:rsidR="00973F8E">
        <w:rPr>
          <w:bCs/>
        </w:rPr>
        <w:t xml:space="preserve">small </w:t>
      </w:r>
      <w:r w:rsidR="00973F8E">
        <w:rPr>
          <w:bCs/>
        </w:rPr>
        <w:t xml:space="preserve">wage </w:t>
      </w:r>
      <w:r w:rsidR="00973F8E" w:rsidRPr="00BD74CC">
        <w:rPr>
          <w:bCs/>
        </w:rPr>
        <w:t>penalty</w:t>
      </w:r>
      <w:r w:rsidR="00973F8E">
        <w:rPr>
          <w:bCs/>
        </w:rPr>
        <w:t>, wage differentials with the private sector vary by type and size of the SOEs.</w:t>
      </w:r>
      <w:r w:rsidR="00973F8E" w:rsidRPr="003E07C6">
        <w:rPr>
          <w:szCs w:val="20"/>
        </w:rPr>
        <w:t xml:space="preserve"> </w:t>
      </w:r>
      <w:r w:rsidR="003E07C6" w:rsidRPr="003E07C6">
        <w:rPr>
          <w:szCs w:val="20"/>
        </w:rPr>
        <w:t>Mixed SOEs</w:t>
      </w:r>
      <w:r w:rsidR="00647593">
        <w:rPr>
          <w:szCs w:val="20"/>
        </w:rPr>
        <w:t xml:space="preserve"> </w:t>
      </w:r>
      <w:r w:rsidR="003E07C6" w:rsidRPr="003E07C6">
        <w:rPr>
          <w:szCs w:val="20"/>
        </w:rPr>
        <w:t xml:space="preserve">pay a small wage premium over </w:t>
      </w:r>
      <w:r w:rsidR="00A465A1">
        <w:rPr>
          <w:szCs w:val="20"/>
        </w:rPr>
        <w:t xml:space="preserve">the </w:t>
      </w:r>
      <w:r w:rsidR="003E07C6" w:rsidRPr="003E07C6">
        <w:rPr>
          <w:szCs w:val="20"/>
        </w:rPr>
        <w:t>private sector</w:t>
      </w:r>
      <w:r w:rsidR="00647593">
        <w:rPr>
          <w:szCs w:val="20"/>
        </w:rPr>
        <w:t xml:space="preserve"> while state SOEs have a small wage penalty</w:t>
      </w:r>
      <w:r w:rsidR="00973F8E">
        <w:rPr>
          <w:szCs w:val="20"/>
        </w:rPr>
        <w:t>.</w:t>
      </w:r>
      <w:r w:rsidR="00647593">
        <w:rPr>
          <w:szCs w:val="20"/>
        </w:rPr>
        <w:t xml:space="preserve"> </w:t>
      </w:r>
      <w:r w:rsidR="00973F8E">
        <w:rPr>
          <w:szCs w:val="20"/>
        </w:rPr>
        <w:t>Both</w:t>
      </w:r>
      <w:r w:rsidR="00973F8E">
        <w:rPr>
          <w:szCs w:val="20"/>
        </w:rPr>
        <w:t xml:space="preserve"> </w:t>
      </w:r>
      <w:r w:rsidR="00B63B2D">
        <w:rPr>
          <w:szCs w:val="20"/>
        </w:rPr>
        <w:t>types of</w:t>
      </w:r>
      <w:r w:rsidR="003E07C6" w:rsidRPr="003E07C6">
        <w:rPr>
          <w:szCs w:val="20"/>
        </w:rPr>
        <w:t xml:space="preserve"> SOEs pay </w:t>
      </w:r>
      <w:r w:rsidR="00647593">
        <w:rPr>
          <w:szCs w:val="20"/>
        </w:rPr>
        <w:t xml:space="preserve">a </w:t>
      </w:r>
      <w:r w:rsidR="003E07C6" w:rsidRPr="003E07C6">
        <w:rPr>
          <w:szCs w:val="20"/>
        </w:rPr>
        <w:t>wage premium in competitive settings</w:t>
      </w:r>
      <w:r w:rsidR="003E07C6">
        <w:rPr>
          <w:szCs w:val="20"/>
        </w:rPr>
        <w:t xml:space="preserve">. </w:t>
      </w:r>
      <w:r w:rsidR="003E07C6" w:rsidRPr="003E07C6">
        <w:rPr>
          <w:szCs w:val="20"/>
        </w:rPr>
        <w:t xml:space="preserve">SOEs </w:t>
      </w:r>
      <w:r w:rsidR="006366BE">
        <w:rPr>
          <w:szCs w:val="20"/>
        </w:rPr>
        <w:t xml:space="preserve">have an overall compensation premium as they </w:t>
      </w:r>
      <w:r w:rsidR="003E07C6" w:rsidRPr="003E07C6">
        <w:rPr>
          <w:szCs w:val="20"/>
        </w:rPr>
        <w:t xml:space="preserve">provide more generous benefits </w:t>
      </w:r>
      <w:r w:rsidR="003E07C6">
        <w:rPr>
          <w:szCs w:val="20"/>
        </w:rPr>
        <w:t xml:space="preserve">like paid vacations, maternity leave, and training </w:t>
      </w:r>
      <w:r w:rsidR="003E07C6" w:rsidRPr="003E07C6">
        <w:rPr>
          <w:szCs w:val="20"/>
        </w:rPr>
        <w:t>than private sector firms</w:t>
      </w:r>
      <w:r w:rsidR="003E07C6">
        <w:rPr>
          <w:szCs w:val="20"/>
        </w:rPr>
        <w:t xml:space="preserve">. </w:t>
      </w:r>
      <w:r w:rsidR="00B06A13" w:rsidRPr="00B06A13">
        <w:rPr>
          <w:szCs w:val="20"/>
        </w:rPr>
        <w:t>Workers in SOEs are more satisfied with their jobs than workers in the private sector</w:t>
      </w:r>
      <w:r w:rsidR="00B06A13">
        <w:rPr>
          <w:szCs w:val="20"/>
        </w:rPr>
        <w:t xml:space="preserve">, have </w:t>
      </w:r>
      <w:r w:rsidR="00B06A13" w:rsidRPr="00B06A13">
        <w:rPr>
          <w:szCs w:val="20"/>
        </w:rPr>
        <w:t>a higher assessment of their social and economic status in society</w:t>
      </w:r>
      <w:r w:rsidR="00B06A13">
        <w:rPr>
          <w:szCs w:val="20"/>
        </w:rPr>
        <w:t xml:space="preserve">, and are less likely to quit their jobs. </w:t>
      </w:r>
      <w:r w:rsidR="00B06A13" w:rsidRPr="00B06A13">
        <w:rPr>
          <w:szCs w:val="20"/>
        </w:rPr>
        <w:t>SOEs have been more successful at attracting highly skilled workers than private sector firms over the past two decades</w:t>
      </w:r>
      <w:r w:rsidR="00B06A13">
        <w:rPr>
          <w:szCs w:val="20"/>
        </w:rPr>
        <w:t xml:space="preserve"> which, in the context of Russia’s tight labor markets, contributes to skill shortages in the private sector.</w:t>
      </w:r>
      <w:r w:rsidR="0015355D">
        <w:rPr>
          <w:szCs w:val="20"/>
        </w:rPr>
        <w:t xml:space="preserve"> </w:t>
      </w:r>
      <w:r w:rsidR="00E65130">
        <w:rPr>
          <w:szCs w:val="20"/>
        </w:rPr>
        <w:t>This finding complements the World Bank’s ongoing research on competition conditions in the Russian Federation.</w:t>
      </w:r>
    </w:p>
    <w:p w14:paraId="0B2EDFD4" w14:textId="77777777" w:rsidR="0015355D" w:rsidRDefault="0015355D" w:rsidP="00B656AD">
      <w:pPr>
        <w:contextualSpacing/>
        <w:rPr>
          <w:szCs w:val="20"/>
        </w:rPr>
      </w:pPr>
    </w:p>
    <w:p w14:paraId="4C4813D1" w14:textId="5357763F" w:rsidR="00DA5549" w:rsidRDefault="00DA5549" w:rsidP="006744A7">
      <w:pPr>
        <w:contextualSpacing/>
        <w:rPr>
          <w:szCs w:val="20"/>
        </w:rPr>
      </w:pPr>
      <w:r w:rsidRPr="0015355D">
        <w:rPr>
          <w:b/>
          <w:szCs w:val="20"/>
        </w:rPr>
        <w:t xml:space="preserve">SOEs </w:t>
      </w:r>
      <w:r w:rsidR="00A465A1">
        <w:rPr>
          <w:b/>
          <w:szCs w:val="20"/>
        </w:rPr>
        <w:t>also have relatively weaker management practices compared to international comparators</w:t>
      </w:r>
      <w:r w:rsidR="006744A7">
        <w:rPr>
          <w:b/>
          <w:szCs w:val="20"/>
        </w:rPr>
        <w:t xml:space="preserve"> and</w:t>
      </w:r>
      <w:r w:rsidR="00B656AD">
        <w:rPr>
          <w:b/>
          <w:szCs w:val="20"/>
        </w:rPr>
        <w:t xml:space="preserve"> in many </w:t>
      </w:r>
      <w:r w:rsidR="006744A7">
        <w:rPr>
          <w:b/>
          <w:szCs w:val="20"/>
        </w:rPr>
        <w:t>cases</w:t>
      </w:r>
      <w:r w:rsidR="00B656AD">
        <w:rPr>
          <w:b/>
          <w:szCs w:val="20"/>
        </w:rPr>
        <w:t xml:space="preserve"> </w:t>
      </w:r>
      <w:r w:rsidR="006744A7">
        <w:rPr>
          <w:b/>
          <w:szCs w:val="20"/>
        </w:rPr>
        <w:t>to Russian private sector firms</w:t>
      </w:r>
      <w:r w:rsidR="0015355D">
        <w:rPr>
          <w:szCs w:val="20"/>
        </w:rPr>
        <w:t xml:space="preserve">. </w:t>
      </w:r>
      <w:r w:rsidR="00716E86" w:rsidRPr="00716E86">
        <w:rPr>
          <w:szCs w:val="20"/>
        </w:rPr>
        <w:t xml:space="preserve">Global experience shows that firms that adopt good management practices—such as incentivizing and managing </w:t>
      </w:r>
      <w:proofErr w:type="gramStart"/>
      <w:r w:rsidR="00716E86" w:rsidRPr="00716E86">
        <w:rPr>
          <w:szCs w:val="20"/>
        </w:rPr>
        <w:t>performance, and</w:t>
      </w:r>
      <w:proofErr w:type="gramEnd"/>
      <w:r w:rsidR="00716E86" w:rsidRPr="00716E86">
        <w:rPr>
          <w:szCs w:val="20"/>
        </w:rPr>
        <w:t xml:space="preserve"> investing in human capital and technology—maximize their productive potential. </w:t>
      </w:r>
      <w:r w:rsidR="00756859">
        <w:rPr>
          <w:szCs w:val="20"/>
        </w:rPr>
        <w:t xml:space="preserve">By international standards, Russian </w:t>
      </w:r>
      <w:r w:rsidR="0015355D">
        <w:rPr>
          <w:szCs w:val="20"/>
        </w:rPr>
        <w:t xml:space="preserve">SOEs are </w:t>
      </w:r>
      <w:r w:rsidRPr="00602808">
        <w:rPr>
          <w:szCs w:val="20"/>
        </w:rPr>
        <w:t>low use</w:t>
      </w:r>
      <w:r w:rsidR="0015355D">
        <w:rPr>
          <w:szCs w:val="20"/>
        </w:rPr>
        <w:t>rs</w:t>
      </w:r>
      <w:r w:rsidRPr="00602808">
        <w:rPr>
          <w:szCs w:val="20"/>
        </w:rPr>
        <w:t xml:space="preserve"> of performance incentives</w:t>
      </w:r>
      <w:r w:rsidR="0015355D">
        <w:rPr>
          <w:szCs w:val="20"/>
        </w:rPr>
        <w:t xml:space="preserve"> and</w:t>
      </w:r>
      <w:r w:rsidRPr="00602808">
        <w:rPr>
          <w:szCs w:val="20"/>
        </w:rPr>
        <w:t xml:space="preserve"> performance </w:t>
      </w:r>
      <w:proofErr w:type="gramStart"/>
      <w:r w:rsidRPr="00602808">
        <w:rPr>
          <w:szCs w:val="20"/>
        </w:rPr>
        <w:t>management, and</w:t>
      </w:r>
      <w:proofErr w:type="gramEnd"/>
      <w:r w:rsidRPr="00602808">
        <w:rPr>
          <w:szCs w:val="20"/>
        </w:rPr>
        <w:t xml:space="preserve"> </w:t>
      </w:r>
      <w:r w:rsidR="0015355D">
        <w:rPr>
          <w:szCs w:val="20"/>
        </w:rPr>
        <w:t xml:space="preserve">under-utilize information </w:t>
      </w:r>
      <w:r w:rsidRPr="00602808">
        <w:rPr>
          <w:szCs w:val="20"/>
        </w:rPr>
        <w:t>technolog</w:t>
      </w:r>
      <w:r w:rsidR="0015355D">
        <w:rPr>
          <w:szCs w:val="20"/>
        </w:rPr>
        <w:t>y like management information systems</w:t>
      </w:r>
      <w:r>
        <w:rPr>
          <w:szCs w:val="20"/>
        </w:rPr>
        <w:t>. Small</w:t>
      </w:r>
      <w:r w:rsidR="00E22BB3">
        <w:rPr>
          <w:szCs w:val="20"/>
        </w:rPr>
        <w:t xml:space="preserve"> and medium</w:t>
      </w:r>
      <w:r>
        <w:rPr>
          <w:szCs w:val="20"/>
        </w:rPr>
        <w:t xml:space="preserve"> sized companies </w:t>
      </w:r>
      <w:r w:rsidR="00A40DDA">
        <w:rPr>
          <w:szCs w:val="20"/>
        </w:rPr>
        <w:t>have the weakest management practices</w:t>
      </w:r>
      <w:r>
        <w:rPr>
          <w:szCs w:val="20"/>
        </w:rPr>
        <w:t xml:space="preserve">, while large companies perform mostly on par with the private sector. </w:t>
      </w:r>
      <w:r w:rsidR="00756859">
        <w:rPr>
          <w:szCs w:val="20"/>
        </w:rPr>
        <w:t xml:space="preserve">These findings complement the World Bank’s </w:t>
      </w:r>
      <w:r w:rsidR="00E96CB0">
        <w:rPr>
          <w:szCs w:val="20"/>
        </w:rPr>
        <w:t xml:space="preserve">ongoing engagement </w:t>
      </w:r>
      <w:r w:rsidR="00756859">
        <w:rPr>
          <w:szCs w:val="20"/>
        </w:rPr>
        <w:t xml:space="preserve">on </w:t>
      </w:r>
      <w:r w:rsidR="00E96CB0">
        <w:rPr>
          <w:szCs w:val="20"/>
        </w:rPr>
        <w:t xml:space="preserve">firm-level management and performance in Russia. </w:t>
      </w:r>
    </w:p>
    <w:p w14:paraId="03958E69" w14:textId="1B84F30A" w:rsidR="00236523" w:rsidRDefault="00236523" w:rsidP="00075BF8">
      <w:pPr>
        <w:contextualSpacing/>
        <w:rPr>
          <w:b/>
          <w:bCs/>
        </w:rPr>
      </w:pPr>
    </w:p>
    <w:p w14:paraId="566C9681" w14:textId="534231B5" w:rsidR="00236523" w:rsidRDefault="00236523" w:rsidP="00985357">
      <w:pPr>
        <w:contextualSpacing/>
        <w:rPr>
          <w:b/>
          <w:bCs/>
        </w:rPr>
      </w:pPr>
      <w:r w:rsidRPr="00236523">
        <w:rPr>
          <w:b/>
          <w:szCs w:val="20"/>
        </w:rPr>
        <w:t>State support</w:t>
      </w:r>
      <w:r w:rsidR="00E07706">
        <w:rPr>
          <w:b/>
          <w:szCs w:val="20"/>
        </w:rPr>
        <w:t xml:space="preserve"> </w:t>
      </w:r>
      <w:r w:rsidR="0083096C">
        <w:rPr>
          <w:b/>
          <w:szCs w:val="20"/>
        </w:rPr>
        <w:t xml:space="preserve">to SOEs </w:t>
      </w:r>
      <w:r w:rsidR="002B48E6">
        <w:rPr>
          <w:b/>
          <w:szCs w:val="20"/>
        </w:rPr>
        <w:t>influences and sustains</w:t>
      </w:r>
      <w:r w:rsidRPr="00236523">
        <w:rPr>
          <w:b/>
          <w:szCs w:val="20"/>
        </w:rPr>
        <w:t xml:space="preserve"> </w:t>
      </w:r>
      <w:r w:rsidR="0083096C">
        <w:rPr>
          <w:b/>
          <w:szCs w:val="20"/>
        </w:rPr>
        <w:t>these employment practices</w:t>
      </w:r>
      <w:r w:rsidRPr="00236523">
        <w:rPr>
          <w:b/>
          <w:szCs w:val="20"/>
        </w:rPr>
        <w:t>.</w:t>
      </w:r>
      <w:r>
        <w:rPr>
          <w:szCs w:val="20"/>
        </w:rPr>
        <w:t xml:space="preserve"> </w:t>
      </w:r>
      <w:r w:rsidR="00E07706" w:rsidRPr="00E07706">
        <w:rPr>
          <w:bCs/>
        </w:rPr>
        <w:t>SOEs are more likely than private firms to receive financial assistance and state contracts, non-financial assistance, and protection from competition</w:t>
      </w:r>
      <w:r w:rsidR="00E07706">
        <w:rPr>
          <w:bCs/>
        </w:rPr>
        <w:t xml:space="preserve">, and </w:t>
      </w:r>
      <w:r w:rsidR="00E07706" w:rsidRPr="00E07706">
        <w:rPr>
          <w:bCs/>
        </w:rPr>
        <w:t>SOEs that receive state support are more likely to offer higher wages to their employees.</w:t>
      </w:r>
      <w:r w:rsidR="00716AB6">
        <w:rPr>
          <w:bCs/>
        </w:rPr>
        <w:t xml:space="preserve"> State support is also not </w:t>
      </w:r>
      <w:r w:rsidR="0083096C">
        <w:rPr>
          <w:bCs/>
        </w:rPr>
        <w:t xml:space="preserve">correlated with </w:t>
      </w:r>
      <w:r w:rsidR="00716AB6">
        <w:rPr>
          <w:bCs/>
        </w:rPr>
        <w:t xml:space="preserve">quality of </w:t>
      </w:r>
      <w:r w:rsidR="0083096C">
        <w:rPr>
          <w:bCs/>
        </w:rPr>
        <w:t xml:space="preserve">SOE </w:t>
      </w:r>
      <w:r w:rsidR="00716AB6">
        <w:rPr>
          <w:bCs/>
        </w:rPr>
        <w:t>management practices</w:t>
      </w:r>
      <w:r w:rsidR="00716AB6" w:rsidRPr="00716AB6">
        <w:rPr>
          <w:bCs/>
        </w:rPr>
        <w:t xml:space="preserve">. </w:t>
      </w:r>
      <w:r w:rsidR="00716AB6">
        <w:rPr>
          <w:bCs/>
        </w:rPr>
        <w:t xml:space="preserve"> </w:t>
      </w:r>
    </w:p>
    <w:p w14:paraId="042D13F8" w14:textId="77777777" w:rsidR="00DA5549" w:rsidRDefault="00DA5549" w:rsidP="00075BF8">
      <w:pPr>
        <w:contextualSpacing/>
        <w:rPr>
          <w:b/>
          <w:bCs/>
        </w:rPr>
      </w:pPr>
    </w:p>
    <w:p w14:paraId="7E08BCAB" w14:textId="7DB03E23" w:rsidR="00DA5549" w:rsidRPr="00067F7A" w:rsidRDefault="00DA5549" w:rsidP="00075BF8">
      <w:pPr>
        <w:contextualSpacing/>
        <w:rPr>
          <w:bCs/>
        </w:rPr>
      </w:pPr>
      <w:r w:rsidRPr="00214E19">
        <w:rPr>
          <w:b/>
          <w:bCs/>
        </w:rPr>
        <w:t xml:space="preserve">International experience shows that SOEs can contribute to overall productivity growth if managed well, and the </w:t>
      </w:r>
      <w:r>
        <w:rPr>
          <w:b/>
          <w:bCs/>
        </w:rPr>
        <w:t xml:space="preserve">report suggests several high-impact policy areas </w:t>
      </w:r>
      <w:r w:rsidR="00EB6C21">
        <w:rPr>
          <w:b/>
          <w:bCs/>
        </w:rPr>
        <w:t xml:space="preserve">in which </w:t>
      </w:r>
      <w:r>
        <w:rPr>
          <w:b/>
          <w:bCs/>
        </w:rPr>
        <w:t>the Russian Government can invest to support that outcome</w:t>
      </w:r>
      <w:r w:rsidR="00EB6C21">
        <w:rPr>
          <w:b/>
          <w:bCs/>
        </w:rPr>
        <w:t>,</w:t>
      </w:r>
      <w:r>
        <w:rPr>
          <w:b/>
          <w:bCs/>
        </w:rPr>
        <w:t xml:space="preserve"> complement</w:t>
      </w:r>
      <w:r w:rsidR="00EB6C21">
        <w:rPr>
          <w:b/>
          <w:bCs/>
        </w:rPr>
        <w:t>ing</w:t>
      </w:r>
      <w:r>
        <w:rPr>
          <w:b/>
          <w:bCs/>
        </w:rPr>
        <w:t xml:space="preserve"> its existing interventions. </w:t>
      </w:r>
      <w:r w:rsidRPr="003A60AE">
        <w:rPr>
          <w:bCs/>
        </w:rPr>
        <w:t xml:space="preserve">The Government can improve SOE employment practices through a combination of support, incentives, and regulation, underlaid by a foundation of good data on SOE employment practices which would enable better monitoring and evaluation. Support would </w:t>
      </w:r>
      <w:r>
        <w:rPr>
          <w:bCs/>
        </w:rPr>
        <w:t>include</w:t>
      </w:r>
      <w:r w:rsidRPr="003A60AE">
        <w:rPr>
          <w:bCs/>
        </w:rPr>
        <w:t xml:space="preserve"> business development services, or business training, for SOEs, with a focus on management training. This capacity building would need to be accompanied by improved incentives for SOE performance, through hardening the soft budget constraint for SOEs through more competitive public procurement </w:t>
      </w:r>
      <w:r w:rsidR="009C3D26">
        <w:rPr>
          <w:bCs/>
        </w:rPr>
        <w:t xml:space="preserve">and allocation of subsidies </w:t>
      </w:r>
      <w:r w:rsidRPr="003A60AE">
        <w:rPr>
          <w:bCs/>
        </w:rPr>
        <w:t xml:space="preserve">and awards and recognition for good SOE managers. </w:t>
      </w:r>
      <w:r w:rsidR="007705B3">
        <w:rPr>
          <w:bCs/>
        </w:rPr>
        <w:t xml:space="preserve">These measures would complement the on-going reforms of the Government to </w:t>
      </w:r>
      <w:r w:rsidR="00AC222B">
        <w:rPr>
          <w:bCs/>
        </w:rPr>
        <w:t>foster</w:t>
      </w:r>
      <w:r w:rsidR="007705B3">
        <w:rPr>
          <w:bCs/>
        </w:rPr>
        <w:t xml:space="preserve"> competition. </w:t>
      </w:r>
      <w:r w:rsidRPr="003A60AE">
        <w:rPr>
          <w:bCs/>
        </w:rPr>
        <w:t>The government can also explore more regulatory oversight over SOE compensation, though this will need to be modest as there is a tradeoff between regulation and autonomy, particularly for commercial SOEs. Finally, and most importantly, none of these interventions will be successful without better data, monitoring and evaluation.</w:t>
      </w:r>
      <w:r>
        <w:rPr>
          <w:bCs/>
        </w:rPr>
        <w:t xml:space="preserve"> </w:t>
      </w:r>
    </w:p>
    <w:p w14:paraId="27F53871" w14:textId="77777777" w:rsidR="00F6553A" w:rsidRDefault="00F6553A" w:rsidP="00CE1189">
      <w:pPr>
        <w:spacing w:after="0" w:line="240" w:lineRule="auto"/>
        <w:contextualSpacing/>
        <w:rPr>
          <w:lang w:eastAsia="en-US"/>
        </w:rPr>
      </w:pPr>
    </w:p>
    <w:p w14:paraId="069144B2" w14:textId="77777777" w:rsidR="00AB5F51" w:rsidRDefault="00AB5F51" w:rsidP="00F6553A">
      <w:pPr>
        <w:spacing w:after="0" w:line="240" w:lineRule="auto"/>
        <w:jc w:val="left"/>
      </w:pPr>
      <w:bookmarkStart w:id="8" w:name="_Hlk528946900"/>
    </w:p>
    <w:bookmarkEnd w:id="8"/>
    <w:p w14:paraId="78BFC973" w14:textId="2F74E89D" w:rsidR="00F6553A" w:rsidRPr="00F6553A" w:rsidRDefault="00F6553A" w:rsidP="00363A82">
      <w:pPr>
        <w:spacing w:after="0" w:line="240" w:lineRule="auto"/>
        <w:jc w:val="left"/>
      </w:pPr>
    </w:p>
    <w:p w14:paraId="19F8AF7C" w14:textId="49CA80E6" w:rsidR="00F6553A" w:rsidRPr="00E04084" w:rsidRDefault="00F6553A" w:rsidP="00CE1189">
      <w:pPr>
        <w:spacing w:after="0" w:line="240" w:lineRule="auto"/>
        <w:contextualSpacing/>
        <w:rPr>
          <w:lang w:eastAsia="en-US"/>
        </w:rPr>
        <w:sectPr w:rsidR="00F6553A" w:rsidRPr="00E04084" w:rsidSect="008734F4">
          <w:headerReference w:type="default" r:id="rId13"/>
          <w:footerReference w:type="default" r:id="rId14"/>
          <w:pgSz w:w="12240" w:h="15840"/>
          <w:pgMar w:top="1421" w:right="1401" w:bottom="1239" w:left="1440" w:header="720" w:footer="720" w:gutter="0"/>
          <w:pgNumType w:fmt="lowerRoman" w:start="1"/>
          <w:cols w:space="720"/>
          <w:titlePg/>
          <w:docGrid w:linePitch="299"/>
        </w:sectPr>
      </w:pPr>
    </w:p>
    <w:bookmarkStart w:id="9" w:name="_Toc11219065"/>
    <w:p w14:paraId="59E06CC3" w14:textId="6DA0C463" w:rsidR="00D65BC0" w:rsidRPr="000F3DCC" w:rsidRDefault="00C5340E" w:rsidP="00CE1189">
      <w:pPr>
        <w:pStyle w:val="Heading1"/>
        <w:spacing w:after="0" w:line="240" w:lineRule="auto"/>
        <w:contextualSpacing/>
        <w:rPr>
          <w:rStyle w:val="IntenseEmphasis"/>
          <w:i w:val="0"/>
          <w:color w:val="2E74B5" w:themeColor="accent1" w:themeShade="BF"/>
        </w:rPr>
      </w:pPr>
      <w:r w:rsidRPr="000F3DCC">
        <mc:AlternateContent>
          <mc:Choice Requires="wps">
            <w:drawing>
              <wp:anchor distT="0" distB="0" distL="114300" distR="114300" simplePos="0" relativeHeight="251652608" behindDoc="0" locked="0" layoutInCell="1" allowOverlap="1" wp14:anchorId="65183E04" wp14:editId="18952715">
                <wp:simplePos x="0" y="0"/>
                <wp:positionH relativeFrom="margin">
                  <wp:posOffset>4346812</wp:posOffset>
                </wp:positionH>
                <wp:positionV relativeFrom="paragraph">
                  <wp:posOffset>66656</wp:posOffset>
                </wp:positionV>
                <wp:extent cx="1608862" cy="180975"/>
                <wp:effectExtent l="0" t="0" r="0" b="9525"/>
                <wp:wrapNone/>
                <wp:docPr id="12" name="Rectangle 12"/>
                <wp:cNvGraphicFramePr/>
                <a:graphic xmlns:a="http://schemas.openxmlformats.org/drawingml/2006/main">
                  <a:graphicData uri="http://schemas.microsoft.com/office/word/2010/wordprocessingShape">
                    <wps:wsp>
                      <wps:cNvSpPr/>
                      <wps:spPr>
                        <a:xfrm>
                          <a:off x="0" y="0"/>
                          <a:ext cx="1608862" cy="18097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5ECA8" id="Rectangle 12" o:spid="_x0000_s1026" style="position:absolute;margin-left:342.25pt;margin-top:5.25pt;width:126.7pt;height:14.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" fillcolor="#00aeef" stroked="f" strokeweight="1pt">
                <w10:wrap anchorx="margin"/>
              </v:rect>
            </w:pict>
          </mc:Fallback>
        </mc:AlternateContent>
      </w:r>
      <w:r w:rsidR="00371C36">
        <w:rPr>
          <w:rStyle w:val="IntenseEmphasis"/>
          <w:i w:val="0"/>
          <w:color w:val="2E74B5" w:themeColor="accent1" w:themeShade="BF"/>
        </w:rPr>
        <w:t>1</w:t>
      </w:r>
      <w:r w:rsidR="00501AB1" w:rsidRPr="000F3DCC">
        <w:rPr>
          <w:rStyle w:val="IntenseEmphasis"/>
          <w:i w:val="0"/>
          <w:color w:val="2E74B5" w:themeColor="accent1" w:themeShade="BF"/>
        </w:rPr>
        <w:t xml:space="preserve">. </w:t>
      </w:r>
      <w:bookmarkEnd w:id="2"/>
      <w:r w:rsidR="00371C36">
        <w:t>OBJECTIVE</w:t>
      </w:r>
      <w:r w:rsidR="001B74DF">
        <w:t xml:space="preserve"> AND ANALYTICAL FRAMEWORK</w:t>
      </w:r>
      <w:bookmarkEnd w:id="9"/>
      <w:r w:rsidR="00E16294" w:rsidRPr="00A74767">
        <w:t xml:space="preserve"> </w:t>
      </w:r>
    </w:p>
    <w:p w14:paraId="0D86D20A" w14:textId="7974FA64" w:rsidR="001D0AF5" w:rsidRDefault="001D0AF5" w:rsidP="00CE1189">
      <w:pPr>
        <w:spacing w:after="0" w:line="240" w:lineRule="auto"/>
        <w:contextualSpacing/>
      </w:pPr>
    </w:p>
    <w:p w14:paraId="20C96828" w14:textId="03C6CE6A" w:rsidR="00C354C0" w:rsidRDefault="001B74DF" w:rsidP="00A32E59">
      <w:pPr>
        <w:pStyle w:val="Heading2"/>
      </w:pPr>
      <w:bookmarkStart w:id="10" w:name="_Toc11219066"/>
      <w:r>
        <w:t>Objective</w:t>
      </w:r>
      <w:bookmarkEnd w:id="10"/>
    </w:p>
    <w:p w14:paraId="72EF2F3F" w14:textId="40955F2A" w:rsidR="00AE72BC" w:rsidRDefault="0030022C" w:rsidP="001A4A2F">
      <w:pPr>
        <w:pStyle w:val="Normal0"/>
        <w:numPr>
          <w:ilvl w:val="0"/>
          <w:numId w:val="21"/>
        </w:numPr>
        <w:spacing w:after="0" w:line="276" w:lineRule="auto"/>
        <w:ind w:left="0" w:firstLine="0"/>
        <w:jc w:val="both"/>
        <w:rPr>
          <w:rFonts w:cs="Calibri"/>
        </w:rPr>
      </w:pPr>
      <w:r w:rsidRPr="007D41D2">
        <w:rPr>
          <w:rFonts w:cs="Calibri"/>
          <w:b/>
          <w:bCs/>
        </w:rPr>
        <w:t>Low productivity and competitiveness of Russia</w:t>
      </w:r>
      <w:r>
        <w:rPr>
          <w:rFonts w:cs="Calibri"/>
          <w:b/>
          <w:bCs/>
        </w:rPr>
        <w:t>n</w:t>
      </w:r>
      <w:r w:rsidRPr="007D41D2">
        <w:rPr>
          <w:rFonts w:cs="Calibri"/>
          <w:b/>
          <w:bCs/>
        </w:rPr>
        <w:t xml:space="preserve"> </w:t>
      </w:r>
      <w:r>
        <w:rPr>
          <w:rFonts w:cs="Calibri"/>
          <w:b/>
          <w:bCs/>
        </w:rPr>
        <w:t>firms</w:t>
      </w:r>
      <w:r w:rsidRPr="007D41D2">
        <w:rPr>
          <w:rFonts w:cs="Calibri"/>
          <w:b/>
          <w:bCs/>
        </w:rPr>
        <w:t xml:space="preserve"> have hurt </w:t>
      </w:r>
      <w:r>
        <w:rPr>
          <w:rFonts w:cs="Calibri"/>
          <w:b/>
          <w:bCs/>
        </w:rPr>
        <w:t xml:space="preserve">Russia’s </w:t>
      </w:r>
      <w:r w:rsidRPr="007D41D2">
        <w:rPr>
          <w:rFonts w:cs="Calibri"/>
          <w:b/>
          <w:bCs/>
        </w:rPr>
        <w:t>economic growth over the past decade</w:t>
      </w:r>
      <w:r w:rsidRPr="00EF334D">
        <w:rPr>
          <w:rFonts w:cs="Calibri"/>
        </w:rPr>
        <w:t>.</w:t>
      </w:r>
      <w:r>
        <w:rPr>
          <w:rFonts w:cs="Calibri"/>
        </w:rPr>
        <w:t xml:space="preserve"> </w:t>
      </w:r>
      <w:r w:rsidR="00555337" w:rsidRPr="0005094E">
        <w:rPr>
          <w:rFonts w:cs="Calibri"/>
        </w:rPr>
        <w:t xml:space="preserve">Each year fewer new private sector firms are </w:t>
      </w:r>
      <w:r w:rsidR="00C31F68">
        <w:rPr>
          <w:rFonts w:cs="Calibri"/>
        </w:rPr>
        <w:t>created, and o</w:t>
      </w:r>
      <w:r w:rsidR="00555337" w:rsidRPr="0005094E">
        <w:rPr>
          <w:rFonts w:cs="Calibri"/>
        </w:rPr>
        <w:t xml:space="preserve">nly 10 percent report technological innovation activity compared to 30-40 percent in OECD countries. As a result, the economy’s overall productivity growth has been falling and turned negative in recent years. The </w:t>
      </w:r>
      <w:r w:rsidR="00EC383C">
        <w:rPr>
          <w:rFonts w:cs="Calibri"/>
        </w:rPr>
        <w:t>low firm</w:t>
      </w:r>
      <w:r w:rsidR="00555337" w:rsidRPr="0005094E">
        <w:rPr>
          <w:rFonts w:cs="Calibri"/>
        </w:rPr>
        <w:t xml:space="preserve"> productivity has affected not only the country’s macroeconomic prospects but also individual incomes, particularly for the bottom 40 percent of the distribution, as Russians increasingly enter low-productivity informal jobs</w:t>
      </w:r>
      <w:r w:rsidR="008F2DE2">
        <w:rPr>
          <w:rFonts w:cs="Calibri"/>
        </w:rPr>
        <w:t xml:space="preserve"> (World Bank 2016, Global Entrepreneurship Monitor)</w:t>
      </w:r>
      <w:r w:rsidR="00555337" w:rsidRPr="0005094E">
        <w:rPr>
          <w:rFonts w:cs="Calibri"/>
        </w:rPr>
        <w:t>.</w:t>
      </w:r>
    </w:p>
    <w:p w14:paraId="193CE64C" w14:textId="77777777" w:rsidR="00AE72BC" w:rsidRPr="00BF06EE" w:rsidRDefault="00AE72BC">
      <w:pPr>
        <w:pStyle w:val="Normal0"/>
        <w:spacing w:after="0" w:line="276" w:lineRule="auto"/>
        <w:jc w:val="both"/>
        <w:rPr>
          <w:rFonts w:cs="Calibri"/>
        </w:rPr>
      </w:pPr>
    </w:p>
    <w:p w14:paraId="225D9509" w14:textId="56AD66E1" w:rsidR="007360EE" w:rsidRDefault="00254B34" w:rsidP="004C0F45">
      <w:pPr>
        <w:pStyle w:val="Normal0"/>
        <w:numPr>
          <w:ilvl w:val="0"/>
          <w:numId w:val="21"/>
        </w:numPr>
        <w:spacing w:after="240" w:line="276" w:lineRule="auto"/>
        <w:ind w:left="0" w:firstLine="0"/>
        <w:jc w:val="both"/>
      </w:pPr>
      <w:r>
        <w:rPr>
          <w:rFonts w:cs="Calibri"/>
          <w:b/>
          <w:bCs/>
        </w:rPr>
        <w:t xml:space="preserve">The </w:t>
      </w:r>
      <w:r w:rsidR="00CA41E5">
        <w:rPr>
          <w:rFonts w:cs="Calibri"/>
          <w:b/>
          <w:bCs/>
        </w:rPr>
        <w:t xml:space="preserve">proximate </w:t>
      </w:r>
      <w:r w:rsidR="00253571" w:rsidRPr="00E27EF4">
        <w:rPr>
          <w:rFonts w:cs="Calibri"/>
          <w:b/>
          <w:bCs/>
        </w:rPr>
        <w:t xml:space="preserve">causes of </w:t>
      </w:r>
      <w:r w:rsidR="00374BA0" w:rsidRPr="00E27EF4">
        <w:rPr>
          <w:rFonts w:cs="Calibri"/>
          <w:b/>
          <w:bCs/>
        </w:rPr>
        <w:t>Russia’s</w:t>
      </w:r>
      <w:r w:rsidR="00B55911" w:rsidRPr="00E27EF4">
        <w:rPr>
          <w:rFonts w:cs="Calibri"/>
          <w:b/>
          <w:bCs/>
        </w:rPr>
        <w:t xml:space="preserve"> </w:t>
      </w:r>
      <w:r w:rsidR="008D69D3" w:rsidRPr="00E27EF4">
        <w:rPr>
          <w:rFonts w:cs="Calibri"/>
          <w:b/>
          <w:bCs/>
        </w:rPr>
        <w:t>weak</w:t>
      </w:r>
      <w:r w:rsidR="00C24E70" w:rsidRPr="00E27EF4">
        <w:rPr>
          <w:rFonts w:cs="Calibri"/>
          <w:b/>
          <w:bCs/>
        </w:rPr>
        <w:t xml:space="preserve"> productivity </w:t>
      </w:r>
      <w:r w:rsidR="00253571" w:rsidRPr="00E27EF4">
        <w:rPr>
          <w:rFonts w:cs="Calibri"/>
          <w:b/>
          <w:bCs/>
        </w:rPr>
        <w:t xml:space="preserve">are </w:t>
      </w:r>
      <w:r w:rsidR="00CD1B2F" w:rsidRPr="00E27EF4">
        <w:rPr>
          <w:rFonts w:cs="Calibri"/>
          <w:b/>
          <w:bCs/>
        </w:rPr>
        <w:t>structural,</w:t>
      </w:r>
      <w:r w:rsidR="00A77C7A" w:rsidRPr="00E27EF4">
        <w:rPr>
          <w:rFonts w:cs="Calibri"/>
          <w:b/>
          <w:bCs/>
        </w:rPr>
        <w:t xml:space="preserve"> </w:t>
      </w:r>
      <w:r w:rsidR="001D0DFA">
        <w:rPr>
          <w:rFonts w:cs="Calibri"/>
          <w:b/>
          <w:bCs/>
        </w:rPr>
        <w:t>includ</w:t>
      </w:r>
      <w:r w:rsidR="007E5CB0">
        <w:rPr>
          <w:rFonts w:cs="Calibri"/>
          <w:b/>
          <w:bCs/>
        </w:rPr>
        <w:t>ing</w:t>
      </w:r>
      <w:r w:rsidR="001D0DFA">
        <w:rPr>
          <w:rFonts w:cs="Calibri"/>
          <w:b/>
          <w:bCs/>
        </w:rPr>
        <w:t xml:space="preserve"> </w:t>
      </w:r>
      <w:r w:rsidR="00A13423" w:rsidRPr="00E27EF4">
        <w:rPr>
          <w:rFonts w:cs="Calibri"/>
          <w:b/>
          <w:bCs/>
        </w:rPr>
        <w:t>inefficient allocation of resources and weaknesses in internal firm capabilities</w:t>
      </w:r>
      <w:r w:rsidR="00A13423" w:rsidRPr="003C5EBE">
        <w:rPr>
          <w:rFonts w:cs="Calibri"/>
        </w:rPr>
        <w:t>.</w:t>
      </w:r>
      <w:r w:rsidR="00A13423" w:rsidRPr="0005094E">
        <w:rPr>
          <w:rFonts w:cs="Calibri"/>
          <w:b/>
          <w:bCs/>
        </w:rPr>
        <w:t xml:space="preserve"> </w:t>
      </w:r>
      <w:r w:rsidR="0056620D">
        <w:rPr>
          <w:rFonts w:cs="Calibri"/>
        </w:rPr>
        <w:t>B</w:t>
      </w:r>
      <w:r w:rsidR="00D70BD4">
        <w:rPr>
          <w:rFonts w:eastAsiaTheme="minorHAnsi" w:cs="Calibri"/>
        </w:rPr>
        <w:t xml:space="preserve">asic </w:t>
      </w:r>
      <w:r w:rsidR="00341492" w:rsidRPr="0005094E">
        <w:rPr>
          <w:rFonts w:eastAsiaTheme="minorHAnsi" w:cs="Calibri"/>
        </w:rPr>
        <w:t>factors of production</w:t>
      </w:r>
      <w:r w:rsidR="002A13D6">
        <w:rPr>
          <w:rFonts w:eastAsiaTheme="minorHAnsi" w:cs="Calibri"/>
        </w:rPr>
        <w:t xml:space="preserve">, </w:t>
      </w:r>
      <w:r w:rsidR="00D70BD4">
        <w:rPr>
          <w:rFonts w:eastAsiaTheme="minorHAnsi" w:cs="Calibri"/>
        </w:rPr>
        <w:t xml:space="preserve">such as </w:t>
      </w:r>
      <w:r w:rsidR="000763FB">
        <w:rPr>
          <w:rFonts w:eastAsiaTheme="minorHAnsi" w:cs="Calibri"/>
        </w:rPr>
        <w:t xml:space="preserve">land, </w:t>
      </w:r>
      <w:r w:rsidR="00D70BD4">
        <w:rPr>
          <w:rFonts w:eastAsiaTheme="minorHAnsi" w:cs="Calibri"/>
        </w:rPr>
        <w:t>labor</w:t>
      </w:r>
      <w:r w:rsidR="002A13D6">
        <w:rPr>
          <w:rFonts w:eastAsiaTheme="minorHAnsi" w:cs="Calibri"/>
        </w:rPr>
        <w:t>,</w:t>
      </w:r>
      <w:r w:rsidR="00D70BD4">
        <w:rPr>
          <w:rFonts w:eastAsiaTheme="minorHAnsi" w:cs="Calibri"/>
        </w:rPr>
        <w:t xml:space="preserve"> and capital</w:t>
      </w:r>
      <w:r w:rsidR="002A13D6">
        <w:rPr>
          <w:rFonts w:eastAsiaTheme="minorHAnsi" w:cs="Calibri"/>
        </w:rPr>
        <w:t>,</w:t>
      </w:r>
      <w:r w:rsidR="00D70BD4">
        <w:rPr>
          <w:rFonts w:eastAsiaTheme="minorHAnsi" w:cs="Calibri"/>
        </w:rPr>
        <w:t xml:space="preserve"> are not allocated to the most </w:t>
      </w:r>
      <w:r w:rsidR="00341492" w:rsidRPr="0005094E">
        <w:rPr>
          <w:rFonts w:eastAsiaTheme="minorHAnsi" w:cs="Calibri"/>
        </w:rPr>
        <w:t xml:space="preserve">productive </w:t>
      </w:r>
      <w:r w:rsidR="00647812">
        <w:rPr>
          <w:rFonts w:eastAsiaTheme="minorHAnsi" w:cs="Calibri"/>
        </w:rPr>
        <w:t xml:space="preserve">sectors and </w:t>
      </w:r>
      <w:r w:rsidR="00341492" w:rsidRPr="0005094E">
        <w:rPr>
          <w:rFonts w:eastAsiaTheme="minorHAnsi" w:cs="Calibri"/>
        </w:rPr>
        <w:t>firms</w:t>
      </w:r>
      <w:r w:rsidR="00253571">
        <w:rPr>
          <w:rFonts w:eastAsiaTheme="minorHAnsi" w:cs="Calibri"/>
        </w:rPr>
        <w:t xml:space="preserve">. </w:t>
      </w:r>
      <w:r w:rsidR="00EC383C">
        <w:t xml:space="preserve">SOEs, which comprise a large share of Russian establishments and formal employment, are believed to distort markets and crowd out more efficient private firms due to their privileged access to markets, financing, and factor inputs (World Bank 2016, IMF 2018). </w:t>
      </w:r>
      <w:r w:rsidR="00DC020F">
        <w:t>Additionally</w:t>
      </w:r>
      <w:r w:rsidR="00A416D8">
        <w:t xml:space="preserve">, </w:t>
      </w:r>
      <w:r w:rsidR="00DC020F">
        <w:t xml:space="preserve">SOEs </w:t>
      </w:r>
      <w:r w:rsidR="007F602B">
        <w:rPr>
          <w:rFonts w:eastAsiaTheme="minorHAnsi" w:cs="Calibri"/>
        </w:rPr>
        <w:t xml:space="preserve">have been shown </w:t>
      </w:r>
      <w:r w:rsidR="00152729">
        <w:rPr>
          <w:rFonts w:eastAsiaTheme="minorHAnsi" w:cs="Calibri"/>
        </w:rPr>
        <w:t xml:space="preserve">to </w:t>
      </w:r>
      <w:proofErr w:type="gramStart"/>
      <w:r w:rsidR="00152729">
        <w:rPr>
          <w:rFonts w:eastAsiaTheme="minorHAnsi" w:cs="Calibri"/>
        </w:rPr>
        <w:t>lag behind</w:t>
      </w:r>
      <w:proofErr w:type="gramEnd"/>
      <w:r w:rsidR="00152729">
        <w:rPr>
          <w:rFonts w:eastAsiaTheme="minorHAnsi" w:cs="Calibri"/>
        </w:rPr>
        <w:t xml:space="preserve"> </w:t>
      </w:r>
      <w:r w:rsidR="00D46131">
        <w:rPr>
          <w:rFonts w:eastAsiaTheme="minorHAnsi" w:cs="Calibri"/>
        </w:rPr>
        <w:t xml:space="preserve">international </w:t>
      </w:r>
      <w:r w:rsidR="000763FB">
        <w:rPr>
          <w:rFonts w:eastAsiaTheme="minorHAnsi" w:cs="Calibri"/>
        </w:rPr>
        <w:t xml:space="preserve">comparators </w:t>
      </w:r>
      <w:r w:rsidR="00DC020F">
        <w:rPr>
          <w:rFonts w:eastAsiaTheme="minorHAnsi" w:cs="Calibri"/>
        </w:rPr>
        <w:t xml:space="preserve">and in </w:t>
      </w:r>
      <w:r w:rsidR="00152729">
        <w:rPr>
          <w:rFonts w:eastAsiaTheme="minorHAnsi" w:cs="Calibri"/>
        </w:rPr>
        <w:t xml:space="preserve">many </w:t>
      </w:r>
      <w:r w:rsidR="00DC020F">
        <w:rPr>
          <w:rFonts w:eastAsiaTheme="minorHAnsi" w:cs="Calibri"/>
        </w:rPr>
        <w:t xml:space="preserve">cases private domestic firms </w:t>
      </w:r>
      <w:r w:rsidR="000763FB">
        <w:rPr>
          <w:rFonts w:eastAsiaTheme="minorHAnsi" w:cs="Calibri"/>
        </w:rPr>
        <w:t xml:space="preserve">on </w:t>
      </w:r>
      <w:r w:rsidR="00E01413">
        <w:rPr>
          <w:rFonts w:eastAsiaTheme="minorHAnsi" w:cs="Calibri"/>
        </w:rPr>
        <w:t xml:space="preserve">key </w:t>
      </w:r>
      <w:r w:rsidR="000763FB">
        <w:rPr>
          <w:rFonts w:eastAsiaTheme="minorHAnsi" w:cs="Calibri"/>
        </w:rPr>
        <w:t>internal</w:t>
      </w:r>
      <w:r w:rsidR="00341492" w:rsidRPr="0005094E">
        <w:rPr>
          <w:rFonts w:eastAsiaTheme="minorHAnsi" w:cs="Calibri"/>
        </w:rPr>
        <w:t xml:space="preserve"> capabilit</w:t>
      </w:r>
      <w:r w:rsidR="00183977">
        <w:rPr>
          <w:rFonts w:eastAsiaTheme="minorHAnsi" w:cs="Calibri"/>
        </w:rPr>
        <w:t>y measures</w:t>
      </w:r>
      <w:r w:rsidR="00341492" w:rsidRPr="0005094E">
        <w:rPr>
          <w:rFonts w:eastAsiaTheme="minorHAnsi" w:cs="Calibri"/>
        </w:rPr>
        <w:t xml:space="preserve"> such as capacity</w:t>
      </w:r>
      <w:r w:rsidR="00B3058F" w:rsidRPr="0005094E">
        <w:rPr>
          <w:rFonts w:eastAsiaTheme="minorHAnsi" w:cs="Calibri"/>
        </w:rPr>
        <w:t xml:space="preserve"> for innovation</w:t>
      </w:r>
      <w:r w:rsidR="00341492" w:rsidRPr="0005094E">
        <w:rPr>
          <w:rFonts w:eastAsiaTheme="minorHAnsi" w:cs="Calibri"/>
        </w:rPr>
        <w:t>, adopt</w:t>
      </w:r>
      <w:r w:rsidR="00907167">
        <w:rPr>
          <w:rFonts w:eastAsiaTheme="minorHAnsi" w:cs="Calibri"/>
        </w:rPr>
        <w:t>ion of</w:t>
      </w:r>
      <w:r w:rsidR="00341492" w:rsidRPr="0005094E">
        <w:rPr>
          <w:rFonts w:eastAsiaTheme="minorHAnsi" w:cs="Calibri"/>
        </w:rPr>
        <w:t xml:space="preserve"> technology,</w:t>
      </w:r>
      <w:r w:rsidR="00E154C3" w:rsidRPr="0005094E">
        <w:rPr>
          <w:rFonts w:cs="Calibri"/>
          <w:b/>
          <w:bCs/>
        </w:rPr>
        <w:t xml:space="preserve"> </w:t>
      </w:r>
      <w:r w:rsidR="00341492" w:rsidRPr="0005094E">
        <w:rPr>
          <w:rFonts w:eastAsiaTheme="minorHAnsi" w:cs="Calibri"/>
        </w:rPr>
        <w:t>managerial skills, and workforce skills</w:t>
      </w:r>
      <w:r w:rsidR="00657F60">
        <w:rPr>
          <w:rFonts w:eastAsiaTheme="minorHAnsi" w:cs="Calibri"/>
        </w:rPr>
        <w:t xml:space="preserve"> (World Bank 2016</w:t>
      </w:r>
      <w:r w:rsidR="007F602B">
        <w:rPr>
          <w:rFonts w:eastAsiaTheme="minorHAnsi" w:cs="Calibri"/>
        </w:rPr>
        <w:t xml:space="preserve">, </w:t>
      </w:r>
      <w:r w:rsidR="007F602B">
        <w:t>Cusolito &amp; Winkler 2017;</w:t>
      </w:r>
      <w:r w:rsidR="007F602B" w:rsidRPr="003B00B8">
        <w:t xml:space="preserve"> </w:t>
      </w:r>
      <w:r w:rsidR="007F602B">
        <w:t>Abramov et al 2017, 2019</w:t>
      </w:r>
      <w:r w:rsidR="00657F60">
        <w:rPr>
          <w:rFonts w:eastAsiaTheme="minorHAnsi" w:cs="Calibri"/>
        </w:rPr>
        <w:t>)</w:t>
      </w:r>
      <w:r w:rsidR="00E154C3" w:rsidRPr="0005094E">
        <w:rPr>
          <w:rFonts w:eastAsiaTheme="minorHAnsi" w:cs="Calibri"/>
        </w:rPr>
        <w:t>.</w:t>
      </w:r>
    </w:p>
    <w:p w14:paraId="54E43A7F" w14:textId="1CE55115" w:rsidR="000616FF" w:rsidRDefault="00087B51" w:rsidP="000616FF">
      <w:pPr>
        <w:pStyle w:val="Normal0"/>
        <w:numPr>
          <w:ilvl w:val="0"/>
          <w:numId w:val="21"/>
        </w:numPr>
        <w:spacing w:after="240" w:line="276" w:lineRule="auto"/>
        <w:ind w:left="0" w:firstLine="0"/>
        <w:jc w:val="both"/>
      </w:pPr>
      <w:r w:rsidRPr="0028162A">
        <w:rPr>
          <w:b/>
          <w:bCs/>
        </w:rPr>
        <w:t xml:space="preserve">The </w:t>
      </w:r>
      <w:r>
        <w:rPr>
          <w:b/>
          <w:bCs/>
        </w:rPr>
        <w:t xml:space="preserve">objective </w:t>
      </w:r>
      <w:r w:rsidRPr="0028162A">
        <w:rPr>
          <w:b/>
          <w:bCs/>
        </w:rPr>
        <w:t>of th</w:t>
      </w:r>
      <w:r>
        <w:rPr>
          <w:b/>
          <w:bCs/>
        </w:rPr>
        <w:t>is</w:t>
      </w:r>
      <w:r w:rsidRPr="0028162A">
        <w:rPr>
          <w:b/>
          <w:bCs/>
        </w:rPr>
        <w:t xml:space="preserve"> </w:t>
      </w:r>
      <w:r>
        <w:rPr>
          <w:b/>
          <w:bCs/>
        </w:rPr>
        <w:t xml:space="preserve">report </w:t>
      </w:r>
      <w:r w:rsidRPr="0028162A">
        <w:rPr>
          <w:b/>
          <w:bCs/>
        </w:rPr>
        <w:t>is to</w:t>
      </w:r>
      <w:r>
        <w:rPr>
          <w:b/>
          <w:bCs/>
        </w:rPr>
        <w:t xml:space="preserve"> contribute to </w:t>
      </w:r>
      <w:r w:rsidR="00DF0DDA">
        <w:rPr>
          <w:b/>
          <w:bCs/>
        </w:rPr>
        <w:t xml:space="preserve">the Russian Government’s </w:t>
      </w:r>
      <w:r>
        <w:rPr>
          <w:b/>
          <w:bCs/>
        </w:rPr>
        <w:t>productivity agenda by</w:t>
      </w:r>
      <w:r w:rsidRPr="0028162A">
        <w:rPr>
          <w:b/>
          <w:bCs/>
        </w:rPr>
        <w:t xml:space="preserve"> </w:t>
      </w:r>
      <w:r>
        <w:rPr>
          <w:b/>
          <w:bCs/>
        </w:rPr>
        <w:t>empirically understanding</w:t>
      </w:r>
      <w:r w:rsidRPr="0028162A">
        <w:rPr>
          <w:b/>
          <w:bCs/>
        </w:rPr>
        <w:t xml:space="preserve"> </w:t>
      </w:r>
      <w:r>
        <w:rPr>
          <w:b/>
          <w:bCs/>
        </w:rPr>
        <w:t>SOE</w:t>
      </w:r>
      <w:r w:rsidRPr="0028162A">
        <w:rPr>
          <w:b/>
          <w:bCs/>
        </w:rPr>
        <w:t xml:space="preserve"> employment practices,</w:t>
      </w:r>
      <w:r>
        <w:rPr>
          <w:b/>
          <w:bCs/>
        </w:rPr>
        <w:t xml:space="preserve"> the influence of state support on these practices, and their implications for labor supply and internal firm capabilities. </w:t>
      </w:r>
      <w:r w:rsidR="00004D25" w:rsidRPr="00004D25">
        <w:t>Given substantial prior research on the connections between allocative efficiency</w:t>
      </w:r>
      <w:r w:rsidR="00004D25">
        <w:t xml:space="preserve">, </w:t>
      </w:r>
      <w:r w:rsidR="00004D25" w:rsidRPr="00004D25">
        <w:t>firm capabilities and productivity growth, this study takes them as given. Instead, we focus on the less studied micro</w:t>
      </w:r>
      <w:r w:rsidR="00004D25">
        <w:t>-</w:t>
      </w:r>
      <w:r w:rsidR="00004D25" w:rsidRPr="00004D25">
        <w:t>foundation of productivity</w:t>
      </w:r>
      <w:r w:rsidR="00004D25">
        <w:t>—</w:t>
      </w:r>
      <w:r w:rsidR="00004D25" w:rsidRPr="00004D25">
        <w:t xml:space="preserve">the </w:t>
      </w:r>
      <w:r w:rsidR="00004D25">
        <w:t>links</w:t>
      </w:r>
      <w:r w:rsidR="00004D25" w:rsidRPr="00004D25">
        <w:t xml:space="preserve"> between SOE employment practices</w:t>
      </w:r>
      <w:r w:rsidR="00004D25">
        <w:t xml:space="preserve">, labor supply, and SOE capabilities. </w:t>
      </w:r>
      <w:r w:rsidR="00A67E9E" w:rsidRPr="00297868">
        <w:rPr>
          <w:bCs/>
        </w:rPr>
        <w:t>We define SOE employment practices as salient attributes of compensation and management of human resources</w:t>
      </w:r>
      <w:r w:rsidR="00A67E9E" w:rsidRPr="00BF06EE">
        <w:t>.</w:t>
      </w:r>
      <w:r w:rsidR="00A67E9E">
        <w:t xml:space="preserve"> Compensation </w:t>
      </w:r>
      <w:r w:rsidR="005A1A08">
        <w:t>includes all major</w:t>
      </w:r>
      <w:r w:rsidR="00A67E9E">
        <w:rPr>
          <w:rFonts w:cs="Calibri"/>
        </w:rPr>
        <w:t xml:space="preserve"> pecuniary and non-pecuniary </w:t>
      </w:r>
      <w:r w:rsidR="00A67E9E" w:rsidRPr="00613F43">
        <w:rPr>
          <w:rFonts w:cs="Calibri"/>
        </w:rPr>
        <w:t>reward</w:t>
      </w:r>
      <w:r w:rsidR="00A67E9E">
        <w:rPr>
          <w:rFonts w:cs="Calibri"/>
        </w:rPr>
        <w:t>s</w:t>
      </w:r>
      <w:r w:rsidR="00A67E9E" w:rsidRPr="00613F43">
        <w:rPr>
          <w:rFonts w:cs="Calibri"/>
        </w:rPr>
        <w:t xml:space="preserve"> from </w:t>
      </w:r>
      <w:r w:rsidR="00A67E9E">
        <w:rPr>
          <w:rFonts w:cs="Calibri"/>
        </w:rPr>
        <w:t xml:space="preserve">the </w:t>
      </w:r>
      <w:r w:rsidR="00A67E9E" w:rsidRPr="00613F43">
        <w:rPr>
          <w:rFonts w:cs="Calibri"/>
        </w:rPr>
        <w:t>job</w:t>
      </w:r>
      <w:r w:rsidR="00A67E9E">
        <w:rPr>
          <w:rFonts w:cs="Calibri"/>
        </w:rPr>
        <w:t>, including</w:t>
      </w:r>
      <w:r w:rsidR="00A67E9E" w:rsidRPr="00613F43">
        <w:rPr>
          <w:rFonts w:cs="Calibri"/>
        </w:rPr>
        <w:t xml:space="preserve"> </w:t>
      </w:r>
      <w:r w:rsidR="00A67E9E">
        <w:rPr>
          <w:rFonts w:cs="Calibri"/>
        </w:rPr>
        <w:t xml:space="preserve">wages, allowances, current and deferred benefits, formal contract, and job security. </w:t>
      </w:r>
      <w:r w:rsidR="00A67E9E" w:rsidRPr="00613F43">
        <w:rPr>
          <w:rFonts w:cs="Calibri"/>
        </w:rPr>
        <w:t xml:space="preserve">Key dimensions of management practices include </w:t>
      </w:r>
      <w:r w:rsidR="00A67E9E">
        <w:rPr>
          <w:rFonts w:cs="Calibri"/>
        </w:rPr>
        <w:t xml:space="preserve">performance incentives, performance management, and use of technology. </w:t>
      </w:r>
      <w:r w:rsidR="00E3301D">
        <w:t xml:space="preserve">Taking the </w:t>
      </w:r>
      <w:r w:rsidR="00136083" w:rsidRPr="0028162A">
        <w:t xml:space="preserve">level </w:t>
      </w:r>
      <w:r w:rsidR="00127A1E" w:rsidRPr="0028162A">
        <w:t xml:space="preserve">and form of </w:t>
      </w:r>
      <w:r w:rsidR="003F07C3" w:rsidRPr="0028162A">
        <w:t>government participa</w:t>
      </w:r>
      <w:r w:rsidR="00127A1E" w:rsidRPr="0028162A">
        <w:t>tion in the economy</w:t>
      </w:r>
      <w:r w:rsidR="003F07C3" w:rsidRPr="0028162A">
        <w:t xml:space="preserve"> </w:t>
      </w:r>
      <w:r w:rsidR="00127A1E" w:rsidRPr="0028162A">
        <w:t>as a given</w:t>
      </w:r>
      <w:r w:rsidR="00136083" w:rsidRPr="0028162A">
        <w:t>,</w:t>
      </w:r>
      <w:r w:rsidR="003B2017" w:rsidRPr="0028162A">
        <w:t xml:space="preserve"> </w:t>
      </w:r>
      <w:r w:rsidR="00152D0F">
        <w:t xml:space="preserve">the </w:t>
      </w:r>
      <w:r w:rsidR="00A67E9E">
        <w:t xml:space="preserve">report </w:t>
      </w:r>
      <w:r w:rsidR="003B2017" w:rsidRPr="0028162A">
        <w:t>focus</w:t>
      </w:r>
      <w:r w:rsidR="00E3301D">
        <w:t>es primarily</w:t>
      </w:r>
      <w:r w:rsidR="003B2017" w:rsidRPr="0028162A">
        <w:t xml:space="preserve"> on </w:t>
      </w:r>
      <w:r w:rsidR="00004D25" w:rsidRPr="00297868">
        <w:rPr>
          <w:iCs/>
        </w:rPr>
        <w:t>how</w:t>
      </w:r>
      <w:r w:rsidR="00004D25" w:rsidRPr="0028162A">
        <w:t xml:space="preserve"> </w:t>
      </w:r>
      <w:r w:rsidR="0028162A" w:rsidRPr="0028162A">
        <w:t xml:space="preserve">government participation can be improved to boost </w:t>
      </w:r>
      <w:r w:rsidR="00726096">
        <w:t>firm performance and</w:t>
      </w:r>
      <w:r w:rsidR="00C14F05">
        <w:t xml:space="preserve"> positive spillovers</w:t>
      </w:r>
      <w:r w:rsidR="00E33988" w:rsidRPr="0028162A">
        <w:t>.</w:t>
      </w:r>
    </w:p>
    <w:p w14:paraId="5F55E05C" w14:textId="0D81B989" w:rsidR="00977857" w:rsidRPr="000616FF" w:rsidRDefault="00977857" w:rsidP="000616FF">
      <w:pPr>
        <w:pStyle w:val="Normal0"/>
        <w:numPr>
          <w:ilvl w:val="0"/>
          <w:numId w:val="21"/>
        </w:numPr>
        <w:spacing w:after="240" w:line="276" w:lineRule="auto"/>
        <w:ind w:left="0" w:firstLine="0"/>
        <w:jc w:val="both"/>
      </w:pPr>
      <w:r w:rsidRPr="000616FF">
        <w:rPr>
          <w:b/>
          <w:bCs/>
        </w:rPr>
        <w:t xml:space="preserve">The </w:t>
      </w:r>
      <w:r w:rsidR="00004D25" w:rsidRPr="000616FF">
        <w:rPr>
          <w:b/>
          <w:bCs/>
        </w:rPr>
        <w:t>report</w:t>
      </w:r>
      <w:r w:rsidRPr="000616FF">
        <w:rPr>
          <w:b/>
          <w:bCs/>
        </w:rPr>
        <w:t xml:space="preserve"> </w:t>
      </w:r>
      <w:r w:rsidR="00004D25" w:rsidRPr="000616FF">
        <w:rPr>
          <w:b/>
          <w:bCs/>
        </w:rPr>
        <w:t>contributes to</w:t>
      </w:r>
      <w:r w:rsidRPr="000616FF">
        <w:rPr>
          <w:b/>
          <w:bCs/>
        </w:rPr>
        <w:t xml:space="preserve"> the Government of Russia</w:t>
      </w:r>
      <w:r w:rsidR="00004D25" w:rsidRPr="000616FF">
        <w:rPr>
          <w:b/>
          <w:bCs/>
        </w:rPr>
        <w:t xml:space="preserve">’s </w:t>
      </w:r>
      <w:r w:rsidRPr="000616FF">
        <w:rPr>
          <w:b/>
          <w:bCs/>
        </w:rPr>
        <w:t xml:space="preserve">(GoR) </w:t>
      </w:r>
      <w:r w:rsidR="00004D25" w:rsidRPr="000616FF">
        <w:rPr>
          <w:b/>
          <w:bCs/>
        </w:rPr>
        <w:t xml:space="preserve">reform priority of </w:t>
      </w:r>
      <w:r w:rsidRPr="000616FF">
        <w:rPr>
          <w:b/>
          <w:bCs/>
        </w:rPr>
        <w:t xml:space="preserve">boosting productivity. </w:t>
      </w:r>
      <w:r w:rsidRPr="00373F0C">
        <w:t>Since the financial crisis of 2008, Russia has faced a painful and slow recovery, compounded by depressed commodity prices</w:t>
      </w:r>
      <w:r>
        <w:t>,</w:t>
      </w:r>
      <w:r w:rsidRPr="00373F0C">
        <w:t xml:space="preserve"> and international sanctions</w:t>
      </w:r>
      <w:r>
        <w:t xml:space="preserve"> since 2014</w:t>
      </w:r>
      <w:r w:rsidRPr="00373F0C">
        <w:t xml:space="preserve">. </w:t>
      </w:r>
      <w:r>
        <w:t xml:space="preserve">These immediate challenges and the longer-term goal of strengthening Russia’s economy have encouraged policy makers to direct more attention to sources of productivity and growth. </w:t>
      </w:r>
      <w:proofErr w:type="gramStart"/>
      <w:r w:rsidR="00275C60">
        <w:t xml:space="preserve">Several recent </w:t>
      </w:r>
      <w:r w:rsidR="00275C60" w:rsidRPr="00020A6D">
        <w:t xml:space="preserve">policy </w:t>
      </w:r>
      <w:r w:rsidR="00275C60">
        <w:t>initiatives</w:t>
      </w:r>
      <w:r w:rsidR="00E947BB">
        <w:t>,</w:t>
      </w:r>
      <w:proofErr w:type="gramEnd"/>
      <w:r>
        <w:t xml:space="preserve"> featured in </w:t>
      </w:r>
      <w:r w:rsidR="003E687D">
        <w:fldChar w:fldCharType="begin"/>
      </w:r>
      <w:r w:rsidR="003E687D">
        <w:instrText xml:space="preserve"> REF _Ref9337156 \h </w:instrText>
      </w:r>
      <w:r w:rsidR="003E687D">
        <w:fldChar w:fldCharType="separate"/>
      </w:r>
      <w:r w:rsidR="00384800" w:rsidRPr="001F2ADF">
        <w:t>Box</w:t>
      </w:r>
      <w:r w:rsidR="00384800" w:rsidRPr="00062DE8">
        <w:t xml:space="preserve"> 1. </w:t>
      </w:r>
      <w:r w:rsidR="00384800">
        <w:rPr>
          <w:noProof/>
        </w:rPr>
        <w:t>1</w:t>
      </w:r>
      <w:r w:rsidR="003E687D">
        <w:fldChar w:fldCharType="end"/>
      </w:r>
      <w:r>
        <w:t xml:space="preserve">, seek to raise overall productivity through improved competition and firm management practices in SOEs and other firms. </w:t>
      </w:r>
      <w:r w:rsidR="00715D98" w:rsidRPr="00715D98">
        <w:t xml:space="preserve">The </w:t>
      </w:r>
      <w:proofErr w:type="spellStart"/>
      <w:r w:rsidR="00715D98" w:rsidRPr="00715D98">
        <w:t>GoR's</w:t>
      </w:r>
      <w:proofErr w:type="spellEnd"/>
      <w:r w:rsidR="00715D98" w:rsidRPr="00715D98">
        <w:t xml:space="preserve"> commitment is also indirectly visible from its support for research </w:t>
      </w:r>
      <w:r w:rsidR="00715D98">
        <w:t xml:space="preserve">in </w:t>
      </w:r>
      <w:r w:rsidR="00715D98" w:rsidRPr="00715D98">
        <w:t>top state-affiliated economics institutes and think tanks on SOE productivity, state's economic footprint, and firm management and innovation practices.</w:t>
      </w:r>
      <w:r w:rsidR="00715D98">
        <w:rPr>
          <w:rStyle w:val="FootnoteReference"/>
        </w:rPr>
        <w:footnoteReference w:id="1"/>
      </w:r>
      <w:r w:rsidR="00715D98" w:rsidRPr="00715D98">
        <w:t xml:space="preserve"> </w:t>
      </w:r>
      <w:r w:rsidR="00715D98">
        <w:t>This report’s</w:t>
      </w:r>
      <w:r w:rsidR="00715D98" w:rsidRPr="00715D98">
        <w:t xml:space="preserve"> premise is that while policy corrections are necessary, they need not entail (only) changes in company ownership. International experience shows that SOEs can contribute to overall productivity growth if managed well. This report provides initial evidence on steps policy makers can take to improve the internal management of SOEs, to unlock that productive potential.</w:t>
      </w:r>
    </w:p>
    <w:tbl>
      <w:tblPr>
        <w:tblStyle w:val="TableGrid0"/>
        <w:tblW w:w="0" w:type="auto"/>
        <w:shd w:val="clear" w:color="auto" w:fill="FFFFCC"/>
        <w:tblLook w:val="04A0" w:firstRow="1" w:lastRow="0" w:firstColumn="1" w:lastColumn="0" w:noHBand="0" w:noVBand="1"/>
      </w:tblPr>
      <w:tblGrid>
        <w:gridCol w:w="9389"/>
      </w:tblGrid>
      <w:tr w:rsidR="00977857" w14:paraId="4852D80E" w14:textId="77777777" w:rsidTr="00B32372">
        <w:tc>
          <w:tcPr>
            <w:tcW w:w="9389" w:type="dxa"/>
            <w:shd w:val="clear" w:color="auto" w:fill="538135" w:themeFill="accent6" w:themeFillShade="BF"/>
          </w:tcPr>
          <w:p w14:paraId="7C8D0056" w14:textId="35ECDF08" w:rsidR="00977857" w:rsidRPr="00062DE8" w:rsidRDefault="001F2ADF" w:rsidP="00D52F46">
            <w:pPr>
              <w:pStyle w:val="Box"/>
            </w:pPr>
            <w:bookmarkStart w:id="11" w:name="_Ref9337156"/>
            <w:bookmarkStart w:id="12" w:name="_Toc11259374"/>
            <w:r w:rsidRPr="001F2ADF">
              <w:t>Box</w:t>
            </w:r>
            <w:r w:rsidR="00257608" w:rsidRPr="00062DE8">
              <w:t xml:space="preserve"> 1. </w:t>
            </w:r>
            <w:r w:rsidR="00320D6E">
              <w:rPr>
                <w:noProof/>
              </w:rPr>
              <w:fldChar w:fldCharType="begin"/>
            </w:r>
            <w:r w:rsidR="00320D6E">
              <w:rPr>
                <w:noProof/>
              </w:rPr>
              <w:instrText xml:space="preserve"> SEQ Box_1. \* ARABIC </w:instrText>
            </w:r>
            <w:r w:rsidR="00320D6E">
              <w:rPr>
                <w:noProof/>
              </w:rPr>
              <w:fldChar w:fldCharType="separate"/>
            </w:r>
            <w:r w:rsidR="00384800">
              <w:rPr>
                <w:noProof/>
              </w:rPr>
              <w:t>1</w:t>
            </w:r>
            <w:r w:rsidR="00320D6E">
              <w:rPr>
                <w:noProof/>
              </w:rPr>
              <w:fldChar w:fldCharType="end"/>
            </w:r>
            <w:bookmarkEnd w:id="11"/>
            <w:r w:rsidR="00977857" w:rsidRPr="00062DE8">
              <w:t xml:space="preserve"> GoR policy commitments to improve productivity and reduce SOE footprint</w:t>
            </w:r>
            <w:bookmarkEnd w:id="12"/>
          </w:p>
        </w:tc>
      </w:tr>
      <w:tr w:rsidR="00977857" w14:paraId="22379582" w14:textId="77777777" w:rsidTr="00B32372">
        <w:tc>
          <w:tcPr>
            <w:tcW w:w="9389" w:type="dxa"/>
            <w:shd w:val="clear" w:color="auto" w:fill="FFF8E5"/>
          </w:tcPr>
          <w:p w14:paraId="2D3771D2" w14:textId="77777777" w:rsidR="00977857" w:rsidRPr="00052627" w:rsidRDefault="00977857" w:rsidP="00B32372">
            <w:pPr>
              <w:pStyle w:val="Normal0"/>
              <w:spacing w:line="240" w:lineRule="auto"/>
              <w:contextualSpacing/>
              <w:rPr>
                <w:rFonts w:cs="Calibri"/>
                <w:b/>
                <w:bCs/>
                <w:sz w:val="12"/>
                <w:szCs w:val="12"/>
              </w:rPr>
            </w:pPr>
          </w:p>
          <w:p w14:paraId="43164BDF" w14:textId="3C273161" w:rsidR="00977857" w:rsidRPr="002918DF" w:rsidRDefault="00977857" w:rsidP="00297868">
            <w:pPr>
              <w:pStyle w:val="Normal0"/>
              <w:numPr>
                <w:ilvl w:val="0"/>
                <w:numId w:val="17"/>
              </w:numPr>
              <w:spacing w:after="120" w:line="240" w:lineRule="auto"/>
              <w:rPr>
                <w:rFonts w:cs="Calibri"/>
                <w:b/>
                <w:bCs/>
                <w:sz w:val="20"/>
                <w:szCs w:val="20"/>
              </w:rPr>
            </w:pPr>
            <w:r w:rsidRPr="002918DF">
              <w:rPr>
                <w:rFonts w:cs="Calibri"/>
                <w:b/>
                <w:bCs/>
                <w:sz w:val="20"/>
                <w:szCs w:val="20"/>
              </w:rPr>
              <w:t xml:space="preserve">National Project on Labor Productivity 2018-2024. </w:t>
            </w:r>
            <w:r w:rsidRPr="002918DF">
              <w:rPr>
                <w:rFonts w:cs="Calibri"/>
                <w:sz w:val="20"/>
                <w:szCs w:val="20"/>
              </w:rPr>
              <w:t xml:space="preserve">Launched in </w:t>
            </w:r>
            <w:r w:rsidR="002F3D06">
              <w:rPr>
                <w:rFonts w:cs="Calibri"/>
                <w:sz w:val="20"/>
                <w:szCs w:val="20"/>
              </w:rPr>
              <w:t xml:space="preserve">January </w:t>
            </w:r>
            <w:r w:rsidRPr="002918DF">
              <w:rPr>
                <w:rFonts w:cs="Calibri"/>
                <w:sz w:val="20"/>
                <w:szCs w:val="20"/>
              </w:rPr>
              <w:t>201</w:t>
            </w:r>
            <w:r w:rsidR="002F3D06">
              <w:rPr>
                <w:rFonts w:cs="Calibri"/>
                <w:sz w:val="20"/>
                <w:szCs w:val="20"/>
              </w:rPr>
              <w:t>9</w:t>
            </w:r>
            <w:r w:rsidRPr="002918DF">
              <w:rPr>
                <w:rFonts w:cs="Calibri"/>
                <w:sz w:val="20"/>
                <w:szCs w:val="20"/>
              </w:rPr>
              <w:t xml:space="preserve"> to boost labor productivity</w:t>
            </w:r>
            <w:r w:rsidR="00A36DC3">
              <w:rPr>
                <w:rFonts w:cs="Calibri"/>
                <w:sz w:val="20"/>
                <w:szCs w:val="20"/>
              </w:rPr>
              <w:t xml:space="preserve"> </w:t>
            </w:r>
            <w:r w:rsidR="00A36DC3" w:rsidRPr="002918DF">
              <w:rPr>
                <w:rFonts w:cs="Calibri"/>
                <w:sz w:val="20"/>
                <w:szCs w:val="20"/>
              </w:rPr>
              <w:t>of 10,000 medium-large enterprises</w:t>
            </w:r>
            <w:r w:rsidR="002F3D06">
              <w:rPr>
                <w:rFonts w:cs="Calibri"/>
                <w:sz w:val="20"/>
                <w:szCs w:val="20"/>
              </w:rPr>
              <w:t xml:space="preserve">; </w:t>
            </w:r>
            <w:proofErr w:type="gramStart"/>
            <w:r w:rsidR="002F3D06">
              <w:rPr>
                <w:rFonts w:cs="Calibri"/>
                <w:sz w:val="20"/>
                <w:szCs w:val="20"/>
              </w:rPr>
              <w:t>also</w:t>
            </w:r>
            <w:proofErr w:type="gramEnd"/>
            <w:r w:rsidRPr="002918DF">
              <w:rPr>
                <w:rFonts w:cs="Calibri"/>
                <w:sz w:val="20"/>
                <w:szCs w:val="20"/>
              </w:rPr>
              <w:t xml:space="preserve"> private sector development, export competitiveness, and employment.</w:t>
            </w:r>
            <w:r w:rsidRPr="002918DF">
              <w:rPr>
                <w:rStyle w:val="FootnoteReference"/>
                <w:rFonts w:cs="Calibri"/>
                <w:sz w:val="20"/>
                <w:szCs w:val="20"/>
              </w:rPr>
              <w:footnoteReference w:id="2"/>
            </w:r>
            <w:r w:rsidRPr="002918DF">
              <w:rPr>
                <w:rFonts w:cs="Calibri"/>
                <w:sz w:val="20"/>
                <w:szCs w:val="20"/>
              </w:rPr>
              <w:t xml:space="preserve"> </w:t>
            </w:r>
            <w:r w:rsidR="00DD29A9">
              <w:rPr>
                <w:rFonts w:cs="Calibri"/>
                <w:sz w:val="20"/>
                <w:szCs w:val="20"/>
              </w:rPr>
              <w:t xml:space="preserve">Offers </w:t>
            </w:r>
            <w:r w:rsidR="00A36DC3">
              <w:rPr>
                <w:rFonts w:cs="Calibri"/>
                <w:sz w:val="20"/>
                <w:szCs w:val="20"/>
              </w:rPr>
              <w:t>s</w:t>
            </w:r>
            <w:r w:rsidRPr="002918DF">
              <w:rPr>
                <w:rFonts w:cs="Calibri"/>
                <w:sz w:val="20"/>
                <w:szCs w:val="20"/>
              </w:rPr>
              <w:t xml:space="preserve">upport </w:t>
            </w:r>
            <w:r w:rsidR="00DD29A9">
              <w:rPr>
                <w:rFonts w:cs="Calibri"/>
                <w:sz w:val="20"/>
                <w:szCs w:val="20"/>
              </w:rPr>
              <w:t xml:space="preserve">to </w:t>
            </w:r>
            <w:r w:rsidRPr="002918DF">
              <w:rPr>
                <w:rFonts w:cs="Calibri"/>
                <w:sz w:val="20"/>
                <w:szCs w:val="20"/>
              </w:rPr>
              <w:t xml:space="preserve">enterprises </w:t>
            </w:r>
          </w:p>
          <w:p w14:paraId="496987E6" w14:textId="77777777" w:rsidR="00977857" w:rsidRPr="002918DF" w:rsidRDefault="00977857" w:rsidP="00297868">
            <w:pPr>
              <w:pStyle w:val="Normal0"/>
              <w:numPr>
                <w:ilvl w:val="0"/>
                <w:numId w:val="17"/>
              </w:numPr>
              <w:spacing w:after="120" w:line="240" w:lineRule="auto"/>
              <w:rPr>
                <w:rFonts w:cs="Calibri"/>
                <w:b/>
                <w:bCs/>
                <w:sz w:val="20"/>
                <w:szCs w:val="20"/>
              </w:rPr>
            </w:pPr>
            <w:r w:rsidRPr="002918DF">
              <w:rPr>
                <w:rFonts w:cs="Calibri"/>
                <w:b/>
                <w:bCs/>
                <w:sz w:val="20"/>
                <w:szCs w:val="20"/>
              </w:rPr>
              <w:t xml:space="preserve">National Plan for Competition Development 2018-2019, </w:t>
            </w:r>
            <w:r w:rsidRPr="002918DF">
              <w:rPr>
                <w:rFonts w:cs="Calibri"/>
                <w:sz w:val="20"/>
                <w:szCs w:val="20"/>
              </w:rPr>
              <w:t>draft Law No 554026-7 introduced by the Federal Antimonopoly Service. Envisions liquidation of unitary enterprises and forbids GoR from acquiring enterprises operating in competitive product markets</w:t>
            </w:r>
          </w:p>
          <w:p w14:paraId="708F4CE2" w14:textId="77777777" w:rsidR="00977857" w:rsidRPr="002918DF" w:rsidRDefault="00977857" w:rsidP="00297868">
            <w:pPr>
              <w:pStyle w:val="Normal0"/>
              <w:numPr>
                <w:ilvl w:val="0"/>
                <w:numId w:val="17"/>
              </w:numPr>
              <w:spacing w:after="120" w:line="240" w:lineRule="auto"/>
              <w:rPr>
                <w:rFonts w:cs="Calibri"/>
                <w:b/>
                <w:bCs/>
                <w:sz w:val="20"/>
                <w:szCs w:val="20"/>
              </w:rPr>
            </w:pPr>
            <w:r w:rsidRPr="002918DF">
              <w:rPr>
                <w:rFonts w:cs="Calibri"/>
                <w:b/>
                <w:bCs/>
                <w:sz w:val="20"/>
                <w:szCs w:val="20"/>
              </w:rPr>
              <w:t xml:space="preserve">Presidential Decree No 618 of 21 December 2017 </w:t>
            </w:r>
            <w:r w:rsidRPr="002918DF">
              <w:rPr>
                <w:rFonts w:cs="Calibri"/>
                <w:sz w:val="20"/>
                <w:szCs w:val="20"/>
              </w:rPr>
              <w:t>laying out Competition Policy Guidelines, calls for stimulating efficiency and competitiveness of economic entities in all sectors, envisions reduction of commercial establishments established or controlled by the state</w:t>
            </w:r>
            <w:r w:rsidRPr="002918DF">
              <w:rPr>
                <w:rStyle w:val="FootnoteReference"/>
                <w:rFonts w:cs="Calibri"/>
                <w:sz w:val="20"/>
                <w:szCs w:val="20"/>
              </w:rPr>
              <w:footnoteReference w:id="3"/>
            </w:r>
            <w:r w:rsidRPr="002918DF">
              <w:rPr>
                <w:rFonts w:cs="Calibri"/>
                <w:sz w:val="20"/>
                <w:szCs w:val="20"/>
              </w:rPr>
              <w:t xml:space="preserve"> </w:t>
            </w:r>
          </w:p>
          <w:p w14:paraId="44855B22" w14:textId="77777777" w:rsidR="00977857" w:rsidRPr="002918DF" w:rsidRDefault="00977857" w:rsidP="00297868">
            <w:pPr>
              <w:pStyle w:val="Normal0"/>
              <w:numPr>
                <w:ilvl w:val="0"/>
                <w:numId w:val="17"/>
              </w:numPr>
              <w:spacing w:after="120" w:line="240" w:lineRule="auto"/>
              <w:rPr>
                <w:rFonts w:cs="Calibri"/>
                <w:b/>
                <w:bCs/>
                <w:sz w:val="20"/>
                <w:szCs w:val="20"/>
              </w:rPr>
            </w:pPr>
            <w:r w:rsidRPr="002918DF">
              <w:rPr>
                <w:rFonts w:cs="Calibri"/>
                <w:b/>
                <w:bCs/>
                <w:sz w:val="20"/>
                <w:szCs w:val="20"/>
              </w:rPr>
              <w:t>Government Decree No 2-548</w:t>
            </w:r>
            <w:r w:rsidRPr="002918DF">
              <w:rPr>
                <w:rFonts w:cs="Calibri"/>
                <w:sz w:val="20"/>
                <w:szCs w:val="20"/>
              </w:rPr>
              <w:t xml:space="preserve"> </w:t>
            </w:r>
            <w:r w:rsidRPr="002918DF">
              <w:rPr>
                <w:rFonts w:cs="Calibri"/>
                <w:b/>
                <w:bCs/>
                <w:sz w:val="20"/>
                <w:szCs w:val="20"/>
              </w:rPr>
              <w:t>of 14 November 2017</w:t>
            </w:r>
            <w:r w:rsidRPr="002918DF">
              <w:rPr>
                <w:rFonts w:cs="Calibri"/>
                <w:sz w:val="20"/>
                <w:szCs w:val="20"/>
              </w:rPr>
              <w:t xml:space="preserve"> laid out </w:t>
            </w:r>
            <w:proofErr w:type="gramStart"/>
            <w:r w:rsidRPr="002918DF">
              <w:rPr>
                <w:rFonts w:cs="Calibri"/>
                <w:sz w:val="20"/>
                <w:szCs w:val="20"/>
              </w:rPr>
              <w:t>a number of</w:t>
            </w:r>
            <w:proofErr w:type="gramEnd"/>
            <w:r w:rsidRPr="002918DF">
              <w:rPr>
                <w:rFonts w:cs="Calibri"/>
                <w:sz w:val="20"/>
                <w:szCs w:val="20"/>
              </w:rPr>
              <w:t xml:space="preserve"> key performance indicators for regional authorities (currently 20 governors), including those related to private sector development and employment, and incentive to boost productivity</w:t>
            </w:r>
          </w:p>
          <w:p w14:paraId="4B0609E2" w14:textId="77777777" w:rsidR="00977857" w:rsidRPr="002918DF" w:rsidRDefault="00977857" w:rsidP="00297868">
            <w:pPr>
              <w:pStyle w:val="Normal0"/>
              <w:numPr>
                <w:ilvl w:val="0"/>
                <w:numId w:val="17"/>
              </w:numPr>
              <w:spacing w:after="120" w:line="240" w:lineRule="auto"/>
              <w:rPr>
                <w:rFonts w:cs="Calibri"/>
                <w:b/>
                <w:bCs/>
                <w:sz w:val="20"/>
                <w:szCs w:val="20"/>
              </w:rPr>
            </w:pPr>
            <w:r w:rsidRPr="002918DF">
              <w:rPr>
                <w:rFonts w:cs="Calibri"/>
                <w:b/>
                <w:bCs/>
                <w:sz w:val="20"/>
                <w:szCs w:val="20"/>
              </w:rPr>
              <w:t xml:space="preserve">Government Decree No 227-R of 8 February 2017. </w:t>
            </w:r>
            <w:r w:rsidRPr="002918DF">
              <w:rPr>
                <w:rFonts w:cs="Calibri"/>
                <w:sz w:val="20"/>
                <w:szCs w:val="20"/>
              </w:rPr>
              <w:t xml:space="preserve">Envisions during 2017-2019 reduction or sale of government shares in Joint Stock Companies, including large JSCs (e.g. </w:t>
            </w:r>
            <w:proofErr w:type="spellStart"/>
            <w:r w:rsidRPr="002918DF">
              <w:rPr>
                <w:rFonts w:cs="Calibri"/>
                <w:sz w:val="20"/>
                <w:szCs w:val="20"/>
              </w:rPr>
              <w:t>Alrosa</w:t>
            </w:r>
            <w:proofErr w:type="spellEnd"/>
            <w:r w:rsidRPr="002918DF">
              <w:rPr>
                <w:rFonts w:cs="Calibri"/>
                <w:sz w:val="20"/>
                <w:szCs w:val="20"/>
              </w:rPr>
              <w:t xml:space="preserve">, VTB bank) </w:t>
            </w:r>
          </w:p>
          <w:p w14:paraId="41B5F779" w14:textId="77777777" w:rsidR="00977857" w:rsidRPr="002918DF" w:rsidRDefault="00977857" w:rsidP="00297868">
            <w:pPr>
              <w:pStyle w:val="Normal0"/>
              <w:numPr>
                <w:ilvl w:val="0"/>
                <w:numId w:val="17"/>
              </w:numPr>
              <w:spacing w:after="120" w:line="240" w:lineRule="auto"/>
              <w:rPr>
                <w:rFonts w:cs="Calibri"/>
                <w:b/>
                <w:bCs/>
                <w:sz w:val="20"/>
                <w:szCs w:val="20"/>
              </w:rPr>
            </w:pPr>
            <w:r w:rsidRPr="002918DF">
              <w:rPr>
                <w:rFonts w:cs="Calibri"/>
                <w:b/>
                <w:bCs/>
                <w:sz w:val="20"/>
                <w:szCs w:val="20"/>
              </w:rPr>
              <w:t xml:space="preserve">2012-2015 Government decree 12-50R “Plan for raising Productivity of Companies”. </w:t>
            </w:r>
            <w:r w:rsidRPr="002918DF">
              <w:rPr>
                <w:rFonts w:cs="Calibri"/>
                <w:sz w:val="20"/>
                <w:szCs w:val="20"/>
              </w:rPr>
              <w:t>Part of May Decrees (</w:t>
            </w:r>
            <w:r w:rsidRPr="002918DF">
              <w:rPr>
                <w:rFonts w:cs="Calibri"/>
                <w:b/>
                <w:bCs/>
                <w:sz w:val="20"/>
                <w:szCs w:val="20"/>
              </w:rPr>
              <w:t xml:space="preserve">Presidential Decree of 7 May 2012 No 596 by 2016). </w:t>
            </w:r>
            <w:r w:rsidRPr="002918DF">
              <w:rPr>
                <w:rFonts w:cs="Calibri"/>
                <w:sz w:val="20"/>
                <w:szCs w:val="20"/>
              </w:rPr>
              <w:t xml:space="preserve">Focus on 200 hand-picked state companies </w:t>
            </w:r>
          </w:p>
          <w:p w14:paraId="7CE3A4A9" w14:textId="333CA1EC" w:rsidR="00977857" w:rsidRPr="00052627" w:rsidRDefault="00977857" w:rsidP="00297868">
            <w:pPr>
              <w:pStyle w:val="ListParagraph"/>
              <w:numPr>
                <w:ilvl w:val="0"/>
                <w:numId w:val="17"/>
              </w:numPr>
              <w:spacing w:after="120" w:line="240" w:lineRule="auto"/>
              <w:contextualSpacing w:val="0"/>
              <w:jc w:val="left"/>
              <w:rPr>
                <w:sz w:val="22"/>
              </w:rPr>
            </w:pPr>
            <w:r w:rsidRPr="002918DF">
              <w:rPr>
                <w:rFonts w:cs="Calibri"/>
                <w:b/>
                <w:bCs/>
                <w:szCs w:val="20"/>
              </w:rPr>
              <w:t>Presidential Decree No Pr-307 of 2011, Innovative Russia 2020 Strategy.</w:t>
            </w:r>
            <w:r w:rsidRPr="002918DF">
              <w:rPr>
                <w:rFonts w:cs="Calibri"/>
                <w:szCs w:val="20"/>
              </w:rPr>
              <w:t xml:space="preserve"> Aimed to boost </w:t>
            </w:r>
            <w:r w:rsidRPr="002918DF">
              <w:rPr>
                <w:szCs w:val="20"/>
              </w:rPr>
              <w:t>innovation, management, and productivity in large SOEs by strengthening role and responsibilities of managers, use of KPIs, mechanisms for motivating employees, investment in technologies. B</w:t>
            </w:r>
            <w:r w:rsidRPr="002918DF">
              <w:rPr>
                <w:rFonts w:cs="Calibri"/>
                <w:szCs w:val="20"/>
              </w:rPr>
              <w:t>enchmarked 60 largest SOEs against international industry leaders, revealed weaknesses in management practices and low level of R&amp;D. Led by Ministry of Economic Development, Ministry of Education, Ministry of Finance</w:t>
            </w:r>
            <w:r w:rsidRPr="002918DF">
              <w:rPr>
                <w:szCs w:val="20"/>
              </w:rPr>
              <w:t>.</w:t>
            </w:r>
          </w:p>
          <w:p w14:paraId="4430E114" w14:textId="77777777" w:rsidR="00977857" w:rsidRPr="00052627" w:rsidRDefault="00977857" w:rsidP="00B32372">
            <w:pPr>
              <w:spacing w:after="0" w:line="240" w:lineRule="auto"/>
              <w:ind w:left="360"/>
              <w:jc w:val="left"/>
              <w:rPr>
                <w:sz w:val="12"/>
                <w:szCs w:val="12"/>
              </w:rPr>
            </w:pPr>
          </w:p>
        </w:tc>
      </w:tr>
    </w:tbl>
    <w:p w14:paraId="5A7057D5" w14:textId="26013AB4" w:rsidR="00A7618D" w:rsidRPr="00A7618D" w:rsidRDefault="00A7618D" w:rsidP="00A7618D">
      <w:pPr>
        <w:pStyle w:val="Heading2"/>
      </w:pPr>
      <w:bookmarkStart w:id="13" w:name="_Toc11219067"/>
      <w:r>
        <w:t>Analytical framework</w:t>
      </w:r>
      <w:r w:rsidR="00977857">
        <w:t xml:space="preserve"> and main findings</w:t>
      </w:r>
      <w:bookmarkEnd w:id="13"/>
    </w:p>
    <w:p w14:paraId="07BD7D56" w14:textId="4ABF3FD9" w:rsidR="000A4B99" w:rsidRDefault="0079327B" w:rsidP="001A4A2F">
      <w:pPr>
        <w:pStyle w:val="Normal0"/>
        <w:numPr>
          <w:ilvl w:val="0"/>
          <w:numId w:val="21"/>
        </w:numPr>
        <w:spacing w:after="240" w:line="276" w:lineRule="auto"/>
        <w:ind w:left="0" w:firstLine="0"/>
        <w:jc w:val="both"/>
      </w:pPr>
      <w:r w:rsidRPr="00BA4FEB">
        <w:rPr>
          <w:b/>
          <w:bCs/>
        </w:rPr>
        <w:t xml:space="preserve">The analytical framework for the report is depicted in </w:t>
      </w:r>
      <w:r w:rsidR="002F6A41" w:rsidRPr="002F6A41">
        <w:rPr>
          <w:b/>
          <w:bCs/>
        </w:rPr>
        <w:fldChar w:fldCharType="begin"/>
      </w:r>
      <w:r w:rsidR="002F6A41" w:rsidRPr="002F6A41">
        <w:rPr>
          <w:b/>
          <w:bCs/>
        </w:rPr>
        <w:instrText xml:space="preserve"> REF _Ref9378037 \h  \* MERGEFORMAT </w:instrText>
      </w:r>
      <w:r w:rsidR="002F6A41" w:rsidRPr="002F6A41">
        <w:rPr>
          <w:b/>
          <w:bCs/>
        </w:rPr>
      </w:r>
      <w:r w:rsidR="002F6A41" w:rsidRPr="002F6A41">
        <w:rPr>
          <w:b/>
          <w:bCs/>
        </w:rPr>
        <w:fldChar w:fldCharType="separate"/>
      </w:r>
      <w:r w:rsidR="00384800" w:rsidRPr="00E947BB">
        <w:rPr>
          <w:b/>
          <w:bCs/>
        </w:rPr>
        <w:t xml:space="preserve">Figure 1. </w:t>
      </w:r>
      <w:r w:rsidR="00384800" w:rsidRPr="00E947BB">
        <w:rPr>
          <w:b/>
          <w:bCs/>
          <w:noProof/>
        </w:rPr>
        <w:t>1</w:t>
      </w:r>
      <w:r w:rsidR="002F6A41" w:rsidRPr="002F6A41">
        <w:rPr>
          <w:b/>
          <w:bCs/>
        </w:rPr>
        <w:fldChar w:fldCharType="end"/>
      </w:r>
      <w:r w:rsidRPr="009A3EC0">
        <w:t>.</w:t>
      </w:r>
      <w:r w:rsidR="000A4B99">
        <w:t xml:space="preserve"> It does not cover the full range of mechanisms affecting overall productivity growth, which is beyond the scope of this study. Instead, we focus</w:t>
      </w:r>
      <w:r>
        <w:t xml:space="preserve"> </w:t>
      </w:r>
      <w:r w:rsidR="000A4B99">
        <w:t xml:space="preserve">on </w:t>
      </w:r>
      <w:r w:rsidR="00EF2BD1">
        <w:t>the previously less studied mechanisms</w:t>
      </w:r>
      <w:r w:rsidR="000A4B99">
        <w:t xml:space="preserve"> relating to SOE employment practices. </w:t>
      </w:r>
    </w:p>
    <w:p w14:paraId="6A6D3842" w14:textId="761110C6" w:rsidR="0079327B" w:rsidRDefault="001D0A50" w:rsidP="0097133E">
      <w:pPr>
        <w:pStyle w:val="Normal0"/>
        <w:numPr>
          <w:ilvl w:val="0"/>
          <w:numId w:val="21"/>
        </w:numPr>
        <w:spacing w:after="240" w:line="276" w:lineRule="auto"/>
        <w:ind w:left="0" w:firstLine="0"/>
        <w:jc w:val="both"/>
      </w:pPr>
      <w:r w:rsidRPr="0097133E">
        <w:rPr>
          <w:b/>
        </w:rPr>
        <w:t>Firm c</w:t>
      </w:r>
      <w:r w:rsidR="0079327B" w:rsidRPr="0097133E">
        <w:rPr>
          <w:b/>
        </w:rPr>
        <w:t xml:space="preserve">ompensation </w:t>
      </w:r>
      <w:r w:rsidRPr="0097133E">
        <w:rPr>
          <w:b/>
        </w:rPr>
        <w:t xml:space="preserve">practices </w:t>
      </w:r>
      <w:r w:rsidR="0079327B" w:rsidRPr="0097133E">
        <w:rPr>
          <w:b/>
        </w:rPr>
        <w:t xml:space="preserve">affect allocative efficiency, particularly </w:t>
      </w:r>
      <w:r w:rsidRPr="0097133E">
        <w:rPr>
          <w:b/>
        </w:rPr>
        <w:t xml:space="preserve">allocation of </w:t>
      </w:r>
      <w:r w:rsidR="0079327B" w:rsidRPr="0097133E">
        <w:rPr>
          <w:b/>
        </w:rPr>
        <w:t xml:space="preserve">labor, because </w:t>
      </w:r>
      <w:r w:rsidRPr="0097133E">
        <w:rPr>
          <w:b/>
        </w:rPr>
        <w:t>they</w:t>
      </w:r>
      <w:r w:rsidR="0044381F" w:rsidRPr="0097133E">
        <w:rPr>
          <w:b/>
        </w:rPr>
        <w:t xml:space="preserve"> </w:t>
      </w:r>
      <w:r w:rsidR="0079327B" w:rsidRPr="0097133E">
        <w:rPr>
          <w:b/>
        </w:rPr>
        <w:t>shape labor supply.</w:t>
      </w:r>
      <w:r w:rsidR="0079327B" w:rsidRPr="006562BA">
        <w:t xml:space="preserve"> This </w:t>
      </w:r>
      <w:r w:rsidR="0079327B">
        <w:t>link</w:t>
      </w:r>
      <w:r w:rsidR="0079327B" w:rsidRPr="006562BA">
        <w:t xml:space="preserve"> </w:t>
      </w:r>
      <w:r w:rsidR="00375BBD">
        <w:t>is based</w:t>
      </w:r>
      <w:r w:rsidR="0079327B" w:rsidRPr="006562BA">
        <w:t xml:space="preserve"> on standard labor economics theory, that workers gravitate to the highest paying jobs and firms paying the highest wages can recruit the best workers. In competitive markets, labor compensation is correlated with productivity, so the most productive firms offer the highest wages and attract the best workers, which further reinforces their productive capacity. Allocative inefficiencies arise if wages do not reflect firm productivity, the highest wages are paid by less productive firms, and the best workers stream to unproductive jobs while productive firms are starved of skilled labor. The inefficient scenario can arise even in competitive markets if less productive firms benefit from external support. Since SOEs often benefit from direct or indirect government assistance, and therefore face softer budget constraints, they could distort efficient allocation of labor. Whether or not the distortions materialize depends on two conditions: if government support is untied to performance and if SOEs invest the windfall rents into added worker compensation rather than improved productive capacity, which itself depends on the conditions of the assistance.</w:t>
      </w:r>
    </w:p>
    <w:p w14:paraId="406CD583" w14:textId="69168BC8" w:rsidR="00C5159D" w:rsidRPr="00DF4974" w:rsidRDefault="00791B0B" w:rsidP="009F6E0B">
      <w:pPr>
        <w:pStyle w:val="Figure"/>
        <w:rPr>
          <w:bCs/>
        </w:rPr>
      </w:pPr>
      <w:bookmarkStart w:id="14" w:name="_Ref9378037"/>
      <w:bookmarkStart w:id="15" w:name="_Toc9327219"/>
      <w:bookmarkStart w:id="16" w:name="_Toc11259334"/>
      <w:r>
        <w:t>Figure</w:t>
      </w:r>
      <w:r w:rsidR="00586E71" w:rsidRPr="00586E71">
        <w:t xml:space="preserve"> 1. </w:t>
      </w:r>
      <w:r w:rsidR="009612D5">
        <w:rPr>
          <w:noProof/>
        </w:rPr>
        <w:fldChar w:fldCharType="begin"/>
      </w:r>
      <w:r w:rsidR="009612D5">
        <w:rPr>
          <w:noProof/>
        </w:rPr>
        <w:instrText xml:space="preserve"> SEQ Figure_1. \* ARABIC </w:instrText>
      </w:r>
      <w:r w:rsidR="009612D5">
        <w:rPr>
          <w:noProof/>
        </w:rPr>
        <w:fldChar w:fldCharType="separate"/>
      </w:r>
      <w:r w:rsidR="00384800">
        <w:rPr>
          <w:noProof/>
        </w:rPr>
        <w:t>1</w:t>
      </w:r>
      <w:r w:rsidR="009612D5">
        <w:rPr>
          <w:noProof/>
        </w:rPr>
        <w:fldChar w:fldCharType="end"/>
      </w:r>
      <w:bookmarkEnd w:id="14"/>
      <w:r w:rsidR="00DF4974">
        <w:t xml:space="preserve"> </w:t>
      </w:r>
      <w:r w:rsidR="00DF4974" w:rsidRPr="00DF4974">
        <w:t>Analytical framework linking SOE employment practices to productivity</w:t>
      </w:r>
      <w:bookmarkEnd w:id="15"/>
      <w:bookmarkEnd w:id="16"/>
    </w:p>
    <w:p w14:paraId="03519395" w14:textId="77777777" w:rsidR="00373D68" w:rsidRDefault="00373D68" w:rsidP="00373D68">
      <w:pPr>
        <w:spacing w:after="0" w:line="240" w:lineRule="auto"/>
        <w:contextualSpacing/>
        <w:jc w:val="center"/>
      </w:pPr>
      <w:r>
        <w:rPr>
          <w:noProof/>
        </w:rPr>
        <w:drawing>
          <wp:inline distT="0" distB="0" distL="0" distR="0" wp14:anchorId="3E8F48D0" wp14:editId="19E93353">
            <wp:extent cx="6118860" cy="2360046"/>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775" cy="2370813"/>
                    </a:xfrm>
                    <a:prstGeom prst="rect">
                      <a:avLst/>
                    </a:prstGeom>
                    <a:noFill/>
                  </pic:spPr>
                </pic:pic>
              </a:graphicData>
            </a:graphic>
          </wp:inline>
        </w:drawing>
      </w:r>
    </w:p>
    <w:p w14:paraId="6B9773EC" w14:textId="2435D609" w:rsidR="00373D68" w:rsidRPr="00297868" w:rsidRDefault="001D2060" w:rsidP="00373D68">
      <w:pPr>
        <w:spacing w:after="0" w:line="240" w:lineRule="auto"/>
        <w:contextualSpacing/>
        <w:rPr>
          <w:sz w:val="18"/>
          <w:szCs w:val="18"/>
        </w:rPr>
      </w:pPr>
      <w:r w:rsidRPr="00297868">
        <w:rPr>
          <w:i/>
          <w:sz w:val="18"/>
          <w:szCs w:val="18"/>
        </w:rPr>
        <w:t>Source</w:t>
      </w:r>
      <w:r>
        <w:rPr>
          <w:sz w:val="18"/>
          <w:szCs w:val="18"/>
        </w:rPr>
        <w:t xml:space="preserve">: Authors </w:t>
      </w:r>
      <w:r w:rsidR="00297868">
        <w:rPr>
          <w:sz w:val="18"/>
          <w:szCs w:val="18"/>
        </w:rPr>
        <w:t>depiction</w:t>
      </w:r>
      <w:r w:rsidR="000C34A5">
        <w:rPr>
          <w:sz w:val="18"/>
          <w:szCs w:val="18"/>
        </w:rPr>
        <w:t>,</w:t>
      </w:r>
      <w:r>
        <w:rPr>
          <w:sz w:val="18"/>
          <w:szCs w:val="18"/>
        </w:rPr>
        <w:t xml:space="preserve"> </w:t>
      </w:r>
      <w:r w:rsidR="000C34A5">
        <w:rPr>
          <w:sz w:val="18"/>
          <w:szCs w:val="18"/>
        </w:rPr>
        <w:t xml:space="preserve">based </w:t>
      </w:r>
      <w:r w:rsidRPr="001D2060">
        <w:rPr>
          <w:sz w:val="18"/>
          <w:szCs w:val="18"/>
        </w:rPr>
        <w:t xml:space="preserve">on Cirera &amp; Maloney (2017) and Grover, Medvedev, &amp; </w:t>
      </w:r>
      <w:proofErr w:type="spellStart"/>
      <w:r w:rsidRPr="001D2060">
        <w:rPr>
          <w:sz w:val="18"/>
          <w:szCs w:val="18"/>
        </w:rPr>
        <w:t>Olafsen</w:t>
      </w:r>
      <w:proofErr w:type="spellEnd"/>
      <w:r w:rsidRPr="001D2060">
        <w:rPr>
          <w:sz w:val="18"/>
          <w:szCs w:val="18"/>
        </w:rPr>
        <w:t xml:space="preserve"> (2018)</w:t>
      </w:r>
    </w:p>
    <w:p w14:paraId="2C4718CD" w14:textId="77777777" w:rsidR="00373D68" w:rsidRDefault="00373D68" w:rsidP="00373D68">
      <w:pPr>
        <w:spacing w:after="0" w:line="240" w:lineRule="auto"/>
        <w:contextualSpacing/>
      </w:pPr>
    </w:p>
    <w:p w14:paraId="18C76A63" w14:textId="2F92557F" w:rsidR="00C72153" w:rsidRDefault="00C72153" w:rsidP="00385123">
      <w:pPr>
        <w:spacing w:after="0" w:line="240" w:lineRule="auto"/>
        <w:contextualSpacing/>
      </w:pPr>
    </w:p>
    <w:p w14:paraId="71D19ACF" w14:textId="3C680AD5" w:rsidR="00977857" w:rsidRDefault="0079327B" w:rsidP="00297868">
      <w:pPr>
        <w:pStyle w:val="Normal0"/>
        <w:numPr>
          <w:ilvl w:val="0"/>
          <w:numId w:val="21"/>
        </w:numPr>
        <w:spacing w:after="240" w:line="276" w:lineRule="auto"/>
        <w:ind w:left="0" w:firstLine="0"/>
        <w:jc w:val="both"/>
      </w:pPr>
      <w:r w:rsidRPr="00BF06EE">
        <w:rPr>
          <w:b/>
          <w:bCs/>
        </w:rPr>
        <w:t>C</w:t>
      </w:r>
      <w:r w:rsidR="00A675B3" w:rsidRPr="00BF06EE">
        <w:rPr>
          <w:b/>
          <w:bCs/>
        </w:rPr>
        <w:t xml:space="preserve">ompensation and </w:t>
      </w:r>
      <w:r w:rsidR="00C72153" w:rsidRPr="00BF06EE">
        <w:rPr>
          <w:b/>
          <w:bCs/>
        </w:rPr>
        <w:t xml:space="preserve">management </w:t>
      </w:r>
      <w:r w:rsidR="00FC0FD3" w:rsidRPr="00BF06EE">
        <w:rPr>
          <w:b/>
          <w:bCs/>
        </w:rPr>
        <w:t xml:space="preserve">practices </w:t>
      </w:r>
      <w:r w:rsidRPr="00BF06EE">
        <w:rPr>
          <w:b/>
          <w:bCs/>
        </w:rPr>
        <w:t xml:space="preserve">also </w:t>
      </w:r>
      <w:r w:rsidR="00FC0FD3" w:rsidRPr="00BF06EE">
        <w:rPr>
          <w:b/>
          <w:bCs/>
        </w:rPr>
        <w:t xml:space="preserve">affect </w:t>
      </w:r>
      <w:r w:rsidR="00FD2715" w:rsidRPr="00BF06EE">
        <w:rPr>
          <w:b/>
          <w:bCs/>
        </w:rPr>
        <w:t xml:space="preserve">SOEs’ </w:t>
      </w:r>
      <w:r w:rsidR="00FC0FD3" w:rsidRPr="00BF06EE">
        <w:rPr>
          <w:b/>
          <w:bCs/>
        </w:rPr>
        <w:t>internal capabilities</w:t>
      </w:r>
      <w:r w:rsidR="00102430" w:rsidRPr="00BF06EE">
        <w:rPr>
          <w:b/>
          <w:bCs/>
        </w:rPr>
        <w:t xml:space="preserve"> and</w:t>
      </w:r>
      <w:r w:rsidR="00DD21F5" w:rsidRPr="00BF06EE">
        <w:rPr>
          <w:b/>
          <w:bCs/>
        </w:rPr>
        <w:t xml:space="preserve"> </w:t>
      </w:r>
      <w:r w:rsidR="00102430" w:rsidRPr="00BF06EE">
        <w:rPr>
          <w:b/>
          <w:bCs/>
        </w:rPr>
        <w:t>performance</w:t>
      </w:r>
      <w:r w:rsidR="00924214" w:rsidRPr="00BF06EE">
        <w:rPr>
          <w:b/>
          <w:bCs/>
        </w:rPr>
        <w:t xml:space="preserve">. </w:t>
      </w:r>
      <w:r w:rsidR="00766B4B" w:rsidRPr="00564861">
        <w:t xml:space="preserve">This prediction builds on a </w:t>
      </w:r>
      <w:r w:rsidR="00A60899" w:rsidRPr="00564861">
        <w:t>growing</w:t>
      </w:r>
      <w:r w:rsidR="00766B4B" w:rsidRPr="00564861">
        <w:t xml:space="preserve"> literature in industrial </w:t>
      </w:r>
      <w:r w:rsidR="00F36EC1" w:rsidRPr="00564861">
        <w:t xml:space="preserve">and management </w:t>
      </w:r>
      <w:r w:rsidR="00A60899" w:rsidRPr="00564861">
        <w:t xml:space="preserve">economics </w:t>
      </w:r>
      <w:r w:rsidR="009C6743" w:rsidRPr="00564861">
        <w:t xml:space="preserve">(Cirera </w:t>
      </w:r>
      <w:r w:rsidR="00374163" w:rsidRPr="00564861">
        <w:t xml:space="preserve">and </w:t>
      </w:r>
      <w:r w:rsidR="009C6743" w:rsidRPr="00564861">
        <w:t>Maloney 2017</w:t>
      </w:r>
      <w:r w:rsidR="00374163" w:rsidRPr="00564861">
        <w:t>,</w:t>
      </w:r>
      <w:r w:rsidR="009C6743" w:rsidRPr="00564861">
        <w:t xml:space="preserve"> Grover et al 2018, Bloom et al 2016)</w:t>
      </w:r>
      <w:r w:rsidR="00F36EC1" w:rsidRPr="00564861">
        <w:t xml:space="preserve">, but extends it from private commercial firms to SOEs. </w:t>
      </w:r>
      <w:r w:rsidR="00722591" w:rsidRPr="00564861">
        <w:t xml:space="preserve">In competitive markets, </w:t>
      </w:r>
      <w:r w:rsidR="006F0ADC" w:rsidRPr="00564861">
        <w:t>firms</w:t>
      </w:r>
      <w:r w:rsidR="007B0319" w:rsidRPr="00564861">
        <w:t xml:space="preserve"> </w:t>
      </w:r>
      <w:r w:rsidR="00236986" w:rsidRPr="00564861">
        <w:t xml:space="preserve">are </w:t>
      </w:r>
      <w:r w:rsidR="007B0319" w:rsidRPr="00564861">
        <w:t xml:space="preserve">expected </w:t>
      </w:r>
      <w:r w:rsidR="00114080" w:rsidRPr="00564861">
        <w:t xml:space="preserve">adopt compensation and management practices that </w:t>
      </w:r>
      <w:r w:rsidR="00514C29" w:rsidRPr="00564861">
        <w:t xml:space="preserve">maximize their productive potential </w:t>
      </w:r>
      <w:r w:rsidR="00114080" w:rsidRPr="00564861">
        <w:t xml:space="preserve">and </w:t>
      </w:r>
      <w:r w:rsidR="00F45363" w:rsidRPr="00564861">
        <w:t>profits</w:t>
      </w:r>
      <w:r w:rsidR="002E63D1" w:rsidRPr="00564861">
        <w:t xml:space="preserve">, such as </w:t>
      </w:r>
      <w:r w:rsidR="00382EF6" w:rsidRPr="00564861">
        <w:t xml:space="preserve">paying competitive wages, </w:t>
      </w:r>
      <w:r w:rsidR="00187655" w:rsidRPr="00564861">
        <w:t xml:space="preserve">incentivizing </w:t>
      </w:r>
      <w:r w:rsidR="00651DAE" w:rsidRPr="00564861">
        <w:t xml:space="preserve">and </w:t>
      </w:r>
      <w:r w:rsidR="00187655" w:rsidRPr="00564861">
        <w:t>managing performance</w:t>
      </w:r>
      <w:r w:rsidR="00651DAE" w:rsidRPr="00564861">
        <w:t xml:space="preserve">, and investing in human capital and technology. </w:t>
      </w:r>
      <w:r w:rsidR="003970DC" w:rsidRPr="00564861">
        <w:t xml:space="preserve">If </w:t>
      </w:r>
      <w:r w:rsidR="00762C5D" w:rsidRPr="00564861">
        <w:t xml:space="preserve">SOEs </w:t>
      </w:r>
      <w:r w:rsidR="00412EE3" w:rsidRPr="00564861">
        <w:t xml:space="preserve">invest in these practices at the same rate as </w:t>
      </w:r>
      <w:r w:rsidR="008148FA" w:rsidRPr="00564861">
        <w:t xml:space="preserve">private </w:t>
      </w:r>
      <w:r w:rsidR="00087053" w:rsidRPr="00564861">
        <w:t>firms</w:t>
      </w:r>
      <w:r w:rsidR="00AD3855" w:rsidRPr="00564861">
        <w:t>, their internal capabilities will develop at the same rate, but if not their efficiency and productivity will fall behind over time</w:t>
      </w:r>
      <w:r w:rsidR="00087053" w:rsidRPr="00564861">
        <w:t xml:space="preserve">. State support </w:t>
      </w:r>
      <w:r w:rsidR="003970DC" w:rsidRPr="00564861">
        <w:t xml:space="preserve">to SOEs can either </w:t>
      </w:r>
      <w:r w:rsidR="006E19ED" w:rsidRPr="00564861">
        <w:t xml:space="preserve">help or hurt </w:t>
      </w:r>
      <w:r w:rsidR="00564861" w:rsidRPr="00564861">
        <w:t>in this regard</w:t>
      </w:r>
      <w:r w:rsidR="003970DC" w:rsidRPr="00564861">
        <w:t xml:space="preserve">, </w:t>
      </w:r>
      <w:r w:rsidR="006E19ED" w:rsidRPr="00564861">
        <w:t xml:space="preserve">depending on how </w:t>
      </w:r>
      <w:r w:rsidR="00564861" w:rsidRPr="00564861">
        <w:t xml:space="preserve">it </w:t>
      </w:r>
      <w:r w:rsidR="006E19ED" w:rsidRPr="00564861">
        <w:t xml:space="preserve">is conditioned. </w:t>
      </w:r>
      <w:r w:rsidR="006E19ED" w:rsidRPr="00297868">
        <w:rPr>
          <w:bCs/>
          <w:iCs/>
        </w:rPr>
        <w:t>If state support is conditio</w:t>
      </w:r>
      <w:r w:rsidR="00FC0213" w:rsidRPr="00297868">
        <w:rPr>
          <w:bCs/>
          <w:iCs/>
        </w:rPr>
        <w:t>ned</w:t>
      </w:r>
      <w:r w:rsidR="006E19ED" w:rsidRPr="00297868">
        <w:rPr>
          <w:bCs/>
          <w:iCs/>
        </w:rPr>
        <w:t xml:space="preserve"> on performance </w:t>
      </w:r>
      <w:r w:rsidR="00884105" w:rsidRPr="00297868">
        <w:rPr>
          <w:bCs/>
          <w:iCs/>
        </w:rPr>
        <w:t xml:space="preserve">it can push </w:t>
      </w:r>
      <w:r w:rsidR="00A30475" w:rsidRPr="00297868">
        <w:rPr>
          <w:bCs/>
          <w:iCs/>
        </w:rPr>
        <w:t>SOEs</w:t>
      </w:r>
      <w:r w:rsidR="00FC0213" w:rsidRPr="00297868">
        <w:rPr>
          <w:bCs/>
          <w:iCs/>
        </w:rPr>
        <w:t xml:space="preserve"> </w:t>
      </w:r>
      <w:r w:rsidR="00884105" w:rsidRPr="00297868">
        <w:rPr>
          <w:bCs/>
          <w:iCs/>
        </w:rPr>
        <w:t xml:space="preserve">to invest in improved compensation and management practices that grow </w:t>
      </w:r>
      <w:r w:rsidR="00B361FA" w:rsidRPr="00297868">
        <w:rPr>
          <w:bCs/>
          <w:iCs/>
        </w:rPr>
        <w:t>their</w:t>
      </w:r>
      <w:r w:rsidR="00FC0213" w:rsidRPr="00297868">
        <w:rPr>
          <w:bCs/>
          <w:iCs/>
        </w:rPr>
        <w:t xml:space="preserve"> </w:t>
      </w:r>
      <w:r w:rsidR="00884105" w:rsidRPr="00297868">
        <w:rPr>
          <w:bCs/>
          <w:iCs/>
        </w:rPr>
        <w:t xml:space="preserve">internal capabilities, but if </w:t>
      </w:r>
      <w:proofErr w:type="gramStart"/>
      <w:r w:rsidR="00375BBD" w:rsidRPr="00297868">
        <w:rPr>
          <w:bCs/>
          <w:iCs/>
        </w:rPr>
        <w:t>not</w:t>
      </w:r>
      <w:proofErr w:type="gramEnd"/>
      <w:r w:rsidR="00E81709" w:rsidRPr="00297868">
        <w:rPr>
          <w:bCs/>
          <w:iCs/>
        </w:rPr>
        <w:t xml:space="preserve"> </w:t>
      </w:r>
      <w:r w:rsidR="00390B7D" w:rsidRPr="00297868">
        <w:rPr>
          <w:bCs/>
          <w:iCs/>
        </w:rPr>
        <w:t xml:space="preserve">it </w:t>
      </w:r>
      <w:r w:rsidR="00B24CB3" w:rsidRPr="00297868">
        <w:rPr>
          <w:bCs/>
          <w:iCs/>
        </w:rPr>
        <w:t xml:space="preserve">may </w:t>
      </w:r>
      <w:r w:rsidR="00E73881" w:rsidRPr="00297868">
        <w:rPr>
          <w:bCs/>
          <w:iCs/>
        </w:rPr>
        <w:t xml:space="preserve">lower </w:t>
      </w:r>
      <w:r w:rsidR="00FC0213" w:rsidRPr="00297868">
        <w:rPr>
          <w:bCs/>
          <w:iCs/>
        </w:rPr>
        <w:t xml:space="preserve">SOEs’ </w:t>
      </w:r>
      <w:r w:rsidR="00E73881" w:rsidRPr="00297868">
        <w:rPr>
          <w:bCs/>
          <w:iCs/>
        </w:rPr>
        <w:t>incentive</w:t>
      </w:r>
      <w:r w:rsidR="00FC0213" w:rsidRPr="00297868">
        <w:rPr>
          <w:bCs/>
          <w:iCs/>
        </w:rPr>
        <w:t>s</w:t>
      </w:r>
      <w:r w:rsidR="00E73881" w:rsidRPr="00297868">
        <w:rPr>
          <w:bCs/>
          <w:iCs/>
        </w:rPr>
        <w:t xml:space="preserve"> to invest in </w:t>
      </w:r>
      <w:r w:rsidR="00B24CB3" w:rsidRPr="00297868">
        <w:rPr>
          <w:bCs/>
          <w:iCs/>
        </w:rPr>
        <w:t>productive capacity</w:t>
      </w:r>
      <w:r w:rsidR="00E73881" w:rsidRPr="00297868">
        <w:rPr>
          <w:bCs/>
          <w:iCs/>
        </w:rPr>
        <w:t xml:space="preserve"> </w:t>
      </w:r>
      <w:r w:rsidR="004211A9" w:rsidRPr="00297868">
        <w:rPr>
          <w:bCs/>
          <w:iCs/>
        </w:rPr>
        <w:t xml:space="preserve">since managers will know their firms will </w:t>
      </w:r>
      <w:r w:rsidR="00E73881" w:rsidRPr="00297868">
        <w:rPr>
          <w:bCs/>
          <w:iCs/>
        </w:rPr>
        <w:t xml:space="preserve">survive </w:t>
      </w:r>
      <w:r w:rsidR="005566B8" w:rsidRPr="00297868">
        <w:rPr>
          <w:bCs/>
          <w:iCs/>
        </w:rPr>
        <w:t>even if they remain unproductive</w:t>
      </w:r>
      <w:r w:rsidR="00B24CB3" w:rsidRPr="00297868">
        <w:rPr>
          <w:bCs/>
          <w:iCs/>
        </w:rPr>
        <w:t>.</w:t>
      </w:r>
      <w:r w:rsidR="00B24CB3">
        <w:t xml:space="preserve"> </w:t>
      </w:r>
    </w:p>
    <w:p w14:paraId="701EA1C5" w14:textId="20548871" w:rsidR="00DD09AA" w:rsidRDefault="00977857" w:rsidP="009C1125">
      <w:pPr>
        <w:pStyle w:val="Normal0"/>
        <w:numPr>
          <w:ilvl w:val="0"/>
          <w:numId w:val="21"/>
        </w:numPr>
        <w:spacing w:after="240" w:line="276" w:lineRule="auto"/>
        <w:ind w:left="0" w:firstLine="0"/>
        <w:jc w:val="both"/>
      </w:pPr>
      <w:r>
        <w:rPr>
          <w:b/>
          <w:bCs/>
        </w:rPr>
        <w:t xml:space="preserve">The study’s main questions and findings are summarized in </w:t>
      </w:r>
      <w:r w:rsidR="008171FD" w:rsidRPr="008171FD">
        <w:rPr>
          <w:b/>
          <w:bCs/>
        </w:rPr>
        <w:fldChar w:fldCharType="begin"/>
      </w:r>
      <w:r w:rsidR="008171FD" w:rsidRPr="008171FD">
        <w:rPr>
          <w:b/>
          <w:bCs/>
        </w:rPr>
        <w:instrText xml:space="preserve"> REF _Ref9378085 \h  \* MERGEFORMAT </w:instrText>
      </w:r>
      <w:r w:rsidR="008171FD" w:rsidRPr="008171FD">
        <w:rPr>
          <w:b/>
          <w:bCs/>
        </w:rPr>
      </w:r>
      <w:r w:rsidR="008171FD" w:rsidRPr="008171FD">
        <w:rPr>
          <w:b/>
          <w:bCs/>
        </w:rPr>
        <w:fldChar w:fldCharType="separate"/>
      </w:r>
      <w:r w:rsidR="00384800" w:rsidRPr="0097133E">
        <w:rPr>
          <w:b/>
          <w:bCs/>
        </w:rPr>
        <w:t xml:space="preserve">Box 1. </w:t>
      </w:r>
      <w:r w:rsidR="00384800" w:rsidRPr="0097133E">
        <w:rPr>
          <w:b/>
          <w:bCs/>
          <w:noProof/>
        </w:rPr>
        <w:t>2</w:t>
      </w:r>
      <w:r w:rsidR="008171FD" w:rsidRPr="008171FD">
        <w:rPr>
          <w:b/>
          <w:bCs/>
        </w:rPr>
        <w:fldChar w:fldCharType="end"/>
      </w:r>
      <w:r>
        <w:rPr>
          <w:b/>
          <w:bCs/>
        </w:rPr>
        <w:t xml:space="preserve">. </w:t>
      </w:r>
      <w:r>
        <w:t>We go beyond previous studies in providing detailed new evidence on SOE compensation practices</w:t>
      </w:r>
      <w:r w:rsidR="00C01175">
        <w:t>, showing that SOEs pay above-market total compensation compared to private firms for similar workers in similar jobs, and that SOE compensation distorts labor markets and hurts labor supply to the private sector.</w:t>
      </w:r>
      <w:r>
        <w:rPr>
          <w:rStyle w:val="FootnoteReference"/>
        </w:rPr>
        <w:footnoteReference w:id="4"/>
      </w:r>
      <w:r>
        <w:t xml:space="preserve"> SOE</w:t>
      </w:r>
      <w:r w:rsidR="00C01175">
        <w:t>s also have weaker</w:t>
      </w:r>
      <w:r>
        <w:t xml:space="preserve"> management practices </w:t>
      </w:r>
      <w:r w:rsidR="00C01175">
        <w:t>compared to</w:t>
      </w:r>
      <w:r>
        <w:t xml:space="preserve"> domestic private sector and foreign comparators</w:t>
      </w:r>
      <w:r w:rsidR="00C01175">
        <w:t>.</w:t>
      </w:r>
      <w:r>
        <w:rPr>
          <w:rStyle w:val="FootnoteReference"/>
        </w:rPr>
        <w:footnoteReference w:id="5"/>
      </w:r>
      <w:r>
        <w:t xml:space="preserve"> </w:t>
      </w:r>
      <w:r w:rsidR="00C01175">
        <w:t>These SOE employment practices are sustained by state financial and non-financial support</w:t>
      </w:r>
      <w:r>
        <w:t xml:space="preserve">. </w:t>
      </w:r>
    </w:p>
    <w:tbl>
      <w:tblPr>
        <w:tblStyle w:val="TableGrid0"/>
        <w:tblW w:w="0" w:type="auto"/>
        <w:shd w:val="clear" w:color="auto" w:fill="FFFFCC"/>
        <w:tblLook w:val="04A0" w:firstRow="1" w:lastRow="0" w:firstColumn="1" w:lastColumn="0" w:noHBand="0" w:noVBand="1"/>
      </w:tblPr>
      <w:tblGrid>
        <w:gridCol w:w="3865"/>
        <w:gridCol w:w="5524"/>
      </w:tblGrid>
      <w:tr w:rsidR="00977857" w14:paraId="624A1A95" w14:textId="77777777" w:rsidTr="00B32372">
        <w:tc>
          <w:tcPr>
            <w:tcW w:w="9389" w:type="dxa"/>
            <w:gridSpan w:val="2"/>
            <w:shd w:val="clear" w:color="auto" w:fill="538135" w:themeFill="accent6" w:themeFillShade="BF"/>
          </w:tcPr>
          <w:p w14:paraId="67B9E9C5" w14:textId="5AB0ED0B" w:rsidR="00977857" w:rsidRPr="00DD09AA" w:rsidRDefault="001F2ADF" w:rsidP="00D52F46">
            <w:pPr>
              <w:pStyle w:val="Box"/>
            </w:pPr>
            <w:bookmarkStart w:id="17" w:name="_Ref9378085"/>
            <w:bookmarkStart w:id="18" w:name="_Toc11259375"/>
            <w:r>
              <w:t>Box</w:t>
            </w:r>
            <w:r w:rsidR="00DD09AA" w:rsidRPr="00DD09AA">
              <w:t xml:space="preserve"> 1. </w:t>
            </w:r>
            <w:r w:rsidR="00320D6E">
              <w:rPr>
                <w:noProof/>
              </w:rPr>
              <w:fldChar w:fldCharType="begin"/>
            </w:r>
            <w:r w:rsidR="00320D6E">
              <w:rPr>
                <w:noProof/>
              </w:rPr>
              <w:instrText xml:space="preserve"> SEQ Box_1. \* ARABIC </w:instrText>
            </w:r>
            <w:r w:rsidR="00320D6E">
              <w:rPr>
                <w:noProof/>
              </w:rPr>
              <w:fldChar w:fldCharType="separate"/>
            </w:r>
            <w:r w:rsidR="00384800">
              <w:rPr>
                <w:noProof/>
              </w:rPr>
              <w:t>2</w:t>
            </w:r>
            <w:r w:rsidR="00320D6E">
              <w:rPr>
                <w:noProof/>
              </w:rPr>
              <w:fldChar w:fldCharType="end"/>
            </w:r>
            <w:bookmarkEnd w:id="17"/>
            <w:r w:rsidR="00DD09AA" w:rsidRPr="00DD09AA">
              <w:t xml:space="preserve"> </w:t>
            </w:r>
            <w:r w:rsidR="00977857" w:rsidRPr="00DD09AA">
              <w:t>Study’s main questions and messages</w:t>
            </w:r>
            <w:bookmarkEnd w:id="18"/>
          </w:p>
        </w:tc>
      </w:tr>
      <w:tr w:rsidR="00977857" w14:paraId="58D76DF8" w14:textId="77777777" w:rsidTr="00F227BE">
        <w:tc>
          <w:tcPr>
            <w:tcW w:w="3865" w:type="dxa"/>
            <w:shd w:val="clear" w:color="auto" w:fill="FFF8E5"/>
          </w:tcPr>
          <w:p w14:paraId="4FEAB52C" w14:textId="77777777" w:rsidR="00977857" w:rsidRPr="00461F7D" w:rsidRDefault="00977857" w:rsidP="002930ED">
            <w:pPr>
              <w:spacing w:after="0"/>
              <w:contextualSpacing/>
              <w:rPr>
                <w:b/>
                <w:bCs/>
                <w:sz w:val="12"/>
                <w:szCs w:val="12"/>
              </w:rPr>
            </w:pPr>
          </w:p>
          <w:p w14:paraId="67054DA6" w14:textId="459B4906" w:rsidR="00977857" w:rsidRPr="00C037E4" w:rsidRDefault="00977857" w:rsidP="002930ED">
            <w:pPr>
              <w:spacing w:after="0"/>
              <w:contextualSpacing/>
              <w:rPr>
                <w:b/>
                <w:bCs/>
              </w:rPr>
            </w:pPr>
            <w:r>
              <w:rPr>
                <w:b/>
                <w:bCs/>
              </w:rPr>
              <w:t>Questions</w:t>
            </w:r>
          </w:p>
          <w:p w14:paraId="5180C4D3" w14:textId="77777777" w:rsidR="00977857" w:rsidRPr="00602808" w:rsidRDefault="00977857" w:rsidP="002930ED">
            <w:pPr>
              <w:pStyle w:val="ListParagraph"/>
              <w:numPr>
                <w:ilvl w:val="0"/>
                <w:numId w:val="17"/>
              </w:numPr>
              <w:spacing w:after="120" w:line="240" w:lineRule="auto"/>
              <w:ind w:left="331" w:hanging="216"/>
              <w:contextualSpacing w:val="0"/>
              <w:rPr>
                <w:szCs w:val="20"/>
              </w:rPr>
            </w:pPr>
            <w:r w:rsidRPr="00602808">
              <w:rPr>
                <w:szCs w:val="20"/>
              </w:rPr>
              <w:t xml:space="preserve">What are SOE employment practices and how do they compare to international and private sector benchmarks? </w:t>
            </w:r>
          </w:p>
          <w:p w14:paraId="540BC597" w14:textId="77777777" w:rsidR="00977857" w:rsidRPr="00602808" w:rsidRDefault="00977857" w:rsidP="002930ED">
            <w:pPr>
              <w:pStyle w:val="ListParagraph"/>
              <w:numPr>
                <w:ilvl w:val="0"/>
                <w:numId w:val="17"/>
              </w:numPr>
              <w:spacing w:after="120" w:line="240" w:lineRule="auto"/>
              <w:ind w:left="331" w:hanging="216"/>
              <w:contextualSpacing w:val="0"/>
              <w:rPr>
                <w:szCs w:val="20"/>
              </w:rPr>
            </w:pPr>
            <w:r w:rsidRPr="00602808">
              <w:rPr>
                <w:szCs w:val="20"/>
              </w:rPr>
              <w:t>How do</w:t>
            </w:r>
            <w:r>
              <w:rPr>
                <w:szCs w:val="20"/>
              </w:rPr>
              <w:t>es</w:t>
            </w:r>
            <w:r w:rsidRPr="00602808">
              <w:rPr>
                <w:szCs w:val="20"/>
              </w:rPr>
              <w:t xml:space="preserve"> SOE compensation affect the allocation of labor across firms? </w:t>
            </w:r>
          </w:p>
          <w:p w14:paraId="62A8241F" w14:textId="77777777" w:rsidR="00977857" w:rsidRPr="00602808" w:rsidRDefault="00977857" w:rsidP="002930ED">
            <w:pPr>
              <w:pStyle w:val="ListParagraph"/>
              <w:numPr>
                <w:ilvl w:val="0"/>
                <w:numId w:val="17"/>
              </w:numPr>
              <w:spacing w:after="120" w:line="240" w:lineRule="auto"/>
              <w:ind w:left="331" w:hanging="216"/>
              <w:contextualSpacing w:val="0"/>
              <w:rPr>
                <w:szCs w:val="20"/>
              </w:rPr>
            </w:pPr>
            <w:r w:rsidRPr="00602808">
              <w:rPr>
                <w:szCs w:val="20"/>
              </w:rPr>
              <w:t xml:space="preserve">How do SOE management practices shape their own internal firm capabilities? </w:t>
            </w:r>
          </w:p>
          <w:p w14:paraId="3B7CA82E" w14:textId="72DCC03B" w:rsidR="00977857" w:rsidRPr="009C1125" w:rsidRDefault="00977857" w:rsidP="002930ED">
            <w:pPr>
              <w:pStyle w:val="ListParagraph"/>
              <w:numPr>
                <w:ilvl w:val="0"/>
                <w:numId w:val="17"/>
              </w:numPr>
              <w:spacing w:after="120" w:line="240" w:lineRule="auto"/>
              <w:ind w:left="331" w:hanging="216"/>
              <w:contextualSpacing w:val="0"/>
              <w:rPr>
                <w:sz w:val="22"/>
              </w:rPr>
            </w:pPr>
            <w:r w:rsidRPr="00602808">
              <w:rPr>
                <w:szCs w:val="20"/>
              </w:rPr>
              <w:t>Do current government policies ameliorate or exacerbate possible inefficiencies and distortions? Is the government getting good value for money in providing financial or non-financial support to SOEs? What policy changes could improve outcomes?</w:t>
            </w:r>
            <w:r>
              <w:rPr>
                <w:sz w:val="22"/>
              </w:rPr>
              <w:t xml:space="preserve"> </w:t>
            </w:r>
            <w:r w:rsidRPr="009C1125">
              <w:rPr>
                <w:sz w:val="10"/>
                <w:szCs w:val="10"/>
              </w:rPr>
              <w:t xml:space="preserve"> </w:t>
            </w:r>
          </w:p>
        </w:tc>
        <w:tc>
          <w:tcPr>
            <w:tcW w:w="5524" w:type="dxa"/>
            <w:shd w:val="clear" w:color="auto" w:fill="FFF8E5"/>
          </w:tcPr>
          <w:p w14:paraId="384CBB76" w14:textId="77777777" w:rsidR="00977857" w:rsidRPr="00461F7D" w:rsidRDefault="00977857" w:rsidP="002930ED">
            <w:pPr>
              <w:spacing w:after="0"/>
              <w:contextualSpacing/>
              <w:rPr>
                <w:b/>
                <w:bCs/>
                <w:sz w:val="12"/>
                <w:szCs w:val="12"/>
              </w:rPr>
            </w:pPr>
          </w:p>
          <w:p w14:paraId="5C3052C3" w14:textId="0533418B" w:rsidR="00977857" w:rsidRPr="00C037E4" w:rsidRDefault="00977857" w:rsidP="002930ED">
            <w:pPr>
              <w:spacing w:after="0"/>
              <w:contextualSpacing/>
              <w:rPr>
                <w:b/>
                <w:bCs/>
              </w:rPr>
            </w:pPr>
            <w:r>
              <w:rPr>
                <w:b/>
                <w:bCs/>
              </w:rPr>
              <w:t>Finding</w:t>
            </w:r>
            <w:r w:rsidR="00C037E4">
              <w:rPr>
                <w:b/>
                <w:bCs/>
              </w:rPr>
              <w:t>s</w:t>
            </w:r>
          </w:p>
          <w:p w14:paraId="546FAB26" w14:textId="6B984C16" w:rsidR="00603620" w:rsidRDefault="00603620" w:rsidP="00603620">
            <w:pPr>
              <w:pStyle w:val="ListParagraph"/>
              <w:numPr>
                <w:ilvl w:val="0"/>
                <w:numId w:val="17"/>
              </w:numPr>
              <w:spacing w:after="120" w:line="240" w:lineRule="auto"/>
              <w:ind w:left="432" w:hanging="216"/>
              <w:contextualSpacing w:val="0"/>
              <w:rPr>
                <w:szCs w:val="20"/>
              </w:rPr>
            </w:pPr>
            <w:r w:rsidRPr="00772557">
              <w:rPr>
                <w:szCs w:val="20"/>
              </w:rPr>
              <w:t xml:space="preserve">SOEs </w:t>
            </w:r>
            <w:r>
              <w:rPr>
                <w:szCs w:val="20"/>
              </w:rPr>
              <w:t xml:space="preserve">have an overall compensation premium </w:t>
            </w:r>
            <w:r w:rsidR="00DC0DEC">
              <w:rPr>
                <w:szCs w:val="20"/>
              </w:rPr>
              <w:t>over private firms</w:t>
            </w:r>
            <w:r w:rsidRPr="00772557">
              <w:rPr>
                <w:szCs w:val="20"/>
              </w:rPr>
              <w:t>.</w:t>
            </w:r>
            <w:r>
              <w:rPr>
                <w:szCs w:val="20"/>
              </w:rPr>
              <w:t xml:space="preserve"> </w:t>
            </w:r>
          </w:p>
          <w:p w14:paraId="17A38CB3" w14:textId="29AFC8DC" w:rsidR="00772557" w:rsidRDefault="00772557" w:rsidP="0097133E">
            <w:pPr>
              <w:pStyle w:val="ListParagraph"/>
              <w:numPr>
                <w:ilvl w:val="0"/>
                <w:numId w:val="17"/>
              </w:numPr>
              <w:spacing w:after="120" w:line="240" w:lineRule="auto"/>
              <w:ind w:left="432" w:hanging="216"/>
              <w:contextualSpacing w:val="0"/>
              <w:rPr>
                <w:szCs w:val="20"/>
              </w:rPr>
            </w:pPr>
            <w:r w:rsidRPr="00772557">
              <w:rPr>
                <w:szCs w:val="20"/>
              </w:rPr>
              <w:t xml:space="preserve">Mixed SOEs pay a small wage premium over the private sector while state SOEs have a small wage penalty; </w:t>
            </w:r>
            <w:r w:rsidR="00C5361A">
              <w:rPr>
                <w:szCs w:val="20"/>
              </w:rPr>
              <w:t>both</w:t>
            </w:r>
            <w:r w:rsidRPr="00772557">
              <w:rPr>
                <w:szCs w:val="20"/>
              </w:rPr>
              <w:t xml:space="preserve"> </w:t>
            </w:r>
            <w:r w:rsidR="00C5361A">
              <w:rPr>
                <w:szCs w:val="20"/>
              </w:rPr>
              <w:t xml:space="preserve">types of </w:t>
            </w:r>
            <w:r w:rsidRPr="00772557">
              <w:rPr>
                <w:szCs w:val="20"/>
              </w:rPr>
              <w:t>SOEs pay a wage premium in competitive settings.</w:t>
            </w:r>
          </w:p>
          <w:p w14:paraId="4A2694E6" w14:textId="4D97C8C4" w:rsidR="009B142A" w:rsidRPr="00603620" w:rsidRDefault="009B142A" w:rsidP="0097133E">
            <w:pPr>
              <w:pStyle w:val="ListParagraph"/>
              <w:numPr>
                <w:ilvl w:val="0"/>
                <w:numId w:val="17"/>
              </w:numPr>
              <w:spacing w:after="120" w:line="240" w:lineRule="auto"/>
              <w:ind w:left="432" w:hanging="216"/>
              <w:contextualSpacing w:val="0"/>
              <w:rPr>
                <w:szCs w:val="20"/>
              </w:rPr>
            </w:pPr>
            <w:r>
              <w:rPr>
                <w:szCs w:val="20"/>
              </w:rPr>
              <w:t xml:space="preserve">SOEs </w:t>
            </w:r>
            <w:r w:rsidRPr="00772557">
              <w:rPr>
                <w:szCs w:val="20"/>
              </w:rPr>
              <w:t xml:space="preserve">provide </w:t>
            </w:r>
            <w:r w:rsidR="003546CA">
              <w:rPr>
                <w:szCs w:val="20"/>
              </w:rPr>
              <w:t xml:space="preserve">significantly </w:t>
            </w:r>
            <w:r w:rsidRPr="00772557">
              <w:rPr>
                <w:szCs w:val="20"/>
              </w:rPr>
              <w:t>more generous benefits like paid vacations, maternity leave, and training than private sector firms.</w:t>
            </w:r>
            <w:r>
              <w:rPr>
                <w:szCs w:val="20"/>
              </w:rPr>
              <w:t xml:space="preserve"> </w:t>
            </w:r>
          </w:p>
          <w:p w14:paraId="2126C420" w14:textId="283A9F3E" w:rsidR="00772557" w:rsidRPr="00602808" w:rsidRDefault="00772557" w:rsidP="004D789A">
            <w:pPr>
              <w:pStyle w:val="ListParagraph"/>
              <w:numPr>
                <w:ilvl w:val="0"/>
                <w:numId w:val="17"/>
              </w:numPr>
              <w:spacing w:after="120" w:line="240" w:lineRule="auto"/>
              <w:ind w:left="432" w:hanging="216"/>
              <w:contextualSpacing w:val="0"/>
              <w:rPr>
                <w:szCs w:val="20"/>
              </w:rPr>
            </w:pPr>
            <w:r w:rsidRPr="00772557">
              <w:rPr>
                <w:szCs w:val="20"/>
              </w:rPr>
              <w:t xml:space="preserve">Workers in SOEs are more satisfied with their jobs than workers in the private sector, have a higher assessment of their social and economic status in society, and are less likely to quit their jobs. </w:t>
            </w:r>
          </w:p>
          <w:p w14:paraId="1F2E2460" w14:textId="1DE92B5F" w:rsidR="00772557" w:rsidRDefault="00772557" w:rsidP="004D789A">
            <w:pPr>
              <w:pStyle w:val="ListParagraph"/>
              <w:numPr>
                <w:ilvl w:val="0"/>
                <w:numId w:val="17"/>
              </w:numPr>
              <w:spacing w:after="120" w:line="240" w:lineRule="auto"/>
              <w:ind w:left="432" w:hanging="216"/>
              <w:contextualSpacing w:val="0"/>
              <w:rPr>
                <w:szCs w:val="20"/>
              </w:rPr>
            </w:pPr>
            <w:r w:rsidRPr="00772557">
              <w:rPr>
                <w:szCs w:val="20"/>
              </w:rPr>
              <w:t>SOEs have been more successful at attracting highly skilled workers than private sector firms which</w:t>
            </w:r>
            <w:r>
              <w:rPr>
                <w:szCs w:val="20"/>
              </w:rPr>
              <w:t xml:space="preserve"> </w:t>
            </w:r>
            <w:r w:rsidRPr="00772557">
              <w:rPr>
                <w:szCs w:val="20"/>
              </w:rPr>
              <w:t>contributes to skill shortages in the private sector.</w:t>
            </w:r>
          </w:p>
          <w:p w14:paraId="323D0D47" w14:textId="74CD3D25" w:rsidR="00977857" w:rsidRPr="00602808" w:rsidRDefault="00977857" w:rsidP="001D3C23">
            <w:pPr>
              <w:pStyle w:val="ListParagraph"/>
              <w:numPr>
                <w:ilvl w:val="0"/>
                <w:numId w:val="17"/>
              </w:numPr>
              <w:spacing w:after="120" w:line="240" w:lineRule="auto"/>
              <w:ind w:left="432" w:hanging="216"/>
              <w:contextualSpacing w:val="0"/>
              <w:rPr>
                <w:szCs w:val="20"/>
              </w:rPr>
            </w:pPr>
            <w:r w:rsidRPr="00602808">
              <w:rPr>
                <w:szCs w:val="20"/>
              </w:rPr>
              <w:t xml:space="preserve">SOEs have </w:t>
            </w:r>
            <w:r w:rsidR="00772557">
              <w:rPr>
                <w:szCs w:val="20"/>
              </w:rPr>
              <w:t xml:space="preserve">relatively </w:t>
            </w:r>
            <w:r w:rsidRPr="00602808">
              <w:rPr>
                <w:szCs w:val="20"/>
              </w:rPr>
              <w:t xml:space="preserve">weaker management </w:t>
            </w:r>
            <w:r w:rsidR="00034309">
              <w:rPr>
                <w:szCs w:val="20"/>
              </w:rPr>
              <w:t xml:space="preserve">compared to Russian private sector firms and international comparators </w:t>
            </w:r>
            <w:r w:rsidRPr="00602808">
              <w:rPr>
                <w:szCs w:val="20"/>
              </w:rPr>
              <w:t xml:space="preserve">as evidenced by low use of performance incentives, performance management, and use of technologies.  Smaller-sized SOEs are </w:t>
            </w:r>
            <w:r>
              <w:rPr>
                <w:szCs w:val="20"/>
              </w:rPr>
              <w:t xml:space="preserve">the weakest. </w:t>
            </w:r>
          </w:p>
          <w:p w14:paraId="2695B898" w14:textId="6F439F8E" w:rsidR="00977857" w:rsidRPr="001D3C23" w:rsidRDefault="00772557" w:rsidP="002930ED">
            <w:pPr>
              <w:pStyle w:val="ListParagraph"/>
              <w:numPr>
                <w:ilvl w:val="0"/>
                <w:numId w:val="17"/>
              </w:numPr>
              <w:spacing w:after="120" w:line="240" w:lineRule="auto"/>
              <w:ind w:left="432" w:hanging="216"/>
              <w:contextualSpacing w:val="0"/>
              <w:rPr>
                <w:szCs w:val="20"/>
              </w:rPr>
            </w:pPr>
            <w:r>
              <w:rPr>
                <w:szCs w:val="20"/>
              </w:rPr>
              <w:t>F</w:t>
            </w:r>
            <w:r w:rsidR="00977857" w:rsidRPr="00602808">
              <w:rPr>
                <w:szCs w:val="20"/>
              </w:rPr>
              <w:t>inancial and non-financial state support</w:t>
            </w:r>
            <w:r>
              <w:rPr>
                <w:szCs w:val="20"/>
              </w:rPr>
              <w:t xml:space="preserve"> </w:t>
            </w:r>
            <w:r w:rsidR="002930ED">
              <w:rPr>
                <w:szCs w:val="20"/>
              </w:rPr>
              <w:t xml:space="preserve">may be a factor in </w:t>
            </w:r>
            <w:r>
              <w:rPr>
                <w:szCs w:val="20"/>
              </w:rPr>
              <w:t>sustain</w:t>
            </w:r>
            <w:r w:rsidR="002930ED">
              <w:rPr>
                <w:szCs w:val="20"/>
              </w:rPr>
              <w:t>ing</w:t>
            </w:r>
            <w:r>
              <w:rPr>
                <w:szCs w:val="20"/>
              </w:rPr>
              <w:t xml:space="preserve"> these employment practices</w:t>
            </w:r>
          </w:p>
        </w:tc>
      </w:tr>
    </w:tbl>
    <w:p w14:paraId="73B86096" w14:textId="77777777" w:rsidR="002A25FF" w:rsidRDefault="002A25FF" w:rsidP="002A25FF"/>
    <w:p w14:paraId="0503ABA8" w14:textId="6E815C21" w:rsidR="00193C55" w:rsidRPr="000B733C" w:rsidRDefault="000B733C" w:rsidP="000B733C">
      <w:pPr>
        <w:pStyle w:val="Heading2"/>
      </w:pPr>
      <w:bookmarkStart w:id="19" w:name="_Toc11219068"/>
      <w:r w:rsidRPr="00C764BB">
        <w:t xml:space="preserve">Structure of the </w:t>
      </w:r>
      <w:r w:rsidR="00D452CB">
        <w:t>r</w:t>
      </w:r>
      <w:r w:rsidRPr="00C764BB">
        <w:t>eport</w:t>
      </w:r>
      <w:bookmarkEnd w:id="19"/>
    </w:p>
    <w:p w14:paraId="43DFB978" w14:textId="24777B70" w:rsidR="00371C36" w:rsidRPr="00337BD5" w:rsidRDefault="000B733C" w:rsidP="00337BD5">
      <w:pPr>
        <w:pStyle w:val="Normal0"/>
        <w:numPr>
          <w:ilvl w:val="0"/>
          <w:numId w:val="21"/>
        </w:numPr>
        <w:spacing w:after="240" w:line="276" w:lineRule="auto"/>
        <w:ind w:left="0" w:firstLine="0"/>
        <w:jc w:val="both"/>
      </w:pPr>
      <w:r w:rsidRPr="001E2BF9">
        <w:t xml:space="preserve">The report is structured as follows. </w:t>
      </w:r>
      <w:r w:rsidR="00B05673" w:rsidRPr="001E2BF9">
        <w:t xml:space="preserve">Chapter 2 </w:t>
      </w:r>
      <w:r w:rsidR="00DC57F4" w:rsidRPr="001E2BF9">
        <w:t xml:space="preserve">provides the legal definition </w:t>
      </w:r>
      <w:r w:rsidR="000D7313">
        <w:t xml:space="preserve">and classification </w:t>
      </w:r>
      <w:r w:rsidR="00744A5E" w:rsidRPr="001E2BF9">
        <w:t>of SOEs</w:t>
      </w:r>
      <w:r w:rsidR="00DC57F4" w:rsidRPr="001E2BF9">
        <w:t xml:space="preserve"> in the Russian context and </w:t>
      </w:r>
      <w:r w:rsidR="00F16B2E" w:rsidRPr="001E2BF9">
        <w:t xml:space="preserve">provides indicative estimates of </w:t>
      </w:r>
      <w:r w:rsidR="002778AF" w:rsidRPr="001E2BF9">
        <w:t xml:space="preserve">the sector’s footprint on the </w:t>
      </w:r>
      <w:r w:rsidR="002347FA" w:rsidRPr="001E2BF9">
        <w:t xml:space="preserve">country’s </w:t>
      </w:r>
      <w:r w:rsidR="002778AF" w:rsidRPr="001E2BF9">
        <w:t xml:space="preserve">labor market and economy. </w:t>
      </w:r>
      <w:r w:rsidR="00F16B2E" w:rsidRPr="001E2BF9">
        <w:t xml:space="preserve">It also discusses the data sources </w:t>
      </w:r>
      <w:r w:rsidR="002778AF" w:rsidRPr="001E2BF9">
        <w:t>used in the report. Chapter</w:t>
      </w:r>
      <w:r w:rsidR="001321AC" w:rsidRPr="001E2BF9">
        <w:t>s 3 and 4</w:t>
      </w:r>
      <w:r w:rsidR="002778AF" w:rsidRPr="001E2BF9">
        <w:t xml:space="preserve"> </w:t>
      </w:r>
      <w:r w:rsidR="009249AD" w:rsidRPr="001E2BF9">
        <w:t>trace</w:t>
      </w:r>
      <w:r w:rsidR="001321AC" w:rsidRPr="001E2BF9">
        <w:t xml:space="preserve"> the effects of SOE employment practices</w:t>
      </w:r>
      <w:r w:rsidR="00A32F28" w:rsidRPr="001E2BF9">
        <w:t xml:space="preserve"> on </w:t>
      </w:r>
      <w:r w:rsidR="001321AC" w:rsidRPr="001E2BF9">
        <w:t xml:space="preserve">proximate drivers of </w:t>
      </w:r>
      <w:r w:rsidR="000D7313">
        <w:t xml:space="preserve">firm </w:t>
      </w:r>
      <w:r w:rsidR="001321AC" w:rsidRPr="001E2BF9">
        <w:t>productivity</w:t>
      </w:r>
      <w:r w:rsidR="00D802CE" w:rsidRPr="001E2BF9">
        <w:t xml:space="preserve">, showing </w:t>
      </w:r>
      <w:r w:rsidR="00A32F28" w:rsidRPr="001E2BF9">
        <w:t xml:space="preserve">significant inefficiencies and distortions </w:t>
      </w:r>
      <w:r w:rsidR="00D802CE" w:rsidRPr="001E2BF9">
        <w:t>in both cases</w:t>
      </w:r>
      <w:r w:rsidR="001321AC" w:rsidRPr="001E2BF9">
        <w:t xml:space="preserve">. </w:t>
      </w:r>
      <w:r w:rsidR="0041744E" w:rsidRPr="001E2BF9">
        <w:t xml:space="preserve">Chapter 5 </w:t>
      </w:r>
      <w:r w:rsidR="002E0542" w:rsidRPr="001E2BF9">
        <w:t xml:space="preserve">presents </w:t>
      </w:r>
      <w:r w:rsidR="0041744E" w:rsidRPr="001E2BF9">
        <w:t xml:space="preserve">how inefficiencies in SOE employment practices are enabled </w:t>
      </w:r>
      <w:r w:rsidR="00245737">
        <w:t xml:space="preserve">by </w:t>
      </w:r>
      <w:r w:rsidR="0041744E" w:rsidRPr="001E2BF9">
        <w:t>government support</w:t>
      </w:r>
      <w:r w:rsidR="005E1503" w:rsidRPr="001E2BF9">
        <w:t xml:space="preserve"> </w:t>
      </w:r>
      <w:r w:rsidR="00245737">
        <w:t>which</w:t>
      </w:r>
      <w:r w:rsidR="003E7E19">
        <w:t>, as currently formulated,</w:t>
      </w:r>
      <w:r w:rsidR="00245737">
        <w:t xml:space="preserve"> </w:t>
      </w:r>
      <w:r w:rsidR="003E7E19">
        <w:t xml:space="preserve">does little to incentivize </w:t>
      </w:r>
      <w:r w:rsidR="00D365BC">
        <w:t>firm performance</w:t>
      </w:r>
      <w:r w:rsidR="0041744E" w:rsidRPr="001E2BF9">
        <w:t>.</w:t>
      </w:r>
      <w:r w:rsidR="005E1503" w:rsidRPr="001E2BF9">
        <w:t xml:space="preserve"> Finally, Chapter 6 concludes with </w:t>
      </w:r>
      <w:r w:rsidR="001E2BF9" w:rsidRPr="001E2BF9">
        <w:t>initial policy recommendations.</w:t>
      </w:r>
      <w:r w:rsidR="0041744E" w:rsidRPr="001E2BF9">
        <w:t xml:space="preserve"> </w:t>
      </w:r>
      <w:r w:rsidR="00371C36">
        <w:br w:type="page"/>
      </w:r>
    </w:p>
    <w:p w14:paraId="182BA1D4" w14:textId="69BF4A55" w:rsidR="001D0AF5" w:rsidRDefault="001D0AF5" w:rsidP="00CE1189">
      <w:pPr>
        <w:pStyle w:val="Heading1"/>
        <w:spacing w:after="0" w:line="240" w:lineRule="auto"/>
        <w:contextualSpacing/>
        <w:rPr>
          <w:rStyle w:val="IntenseEmphasis"/>
          <w:i w:val="0"/>
          <w:color w:val="2E74B5" w:themeColor="accent1" w:themeShade="BF"/>
        </w:rPr>
      </w:pPr>
      <w:bookmarkStart w:id="20" w:name="_Toc11219069"/>
      <w:r>
        <w:rPr>
          <w:rStyle w:val="IntenseEmphasis"/>
          <w:i w:val="0"/>
          <w:color w:val="2E74B5" w:themeColor="accent1" w:themeShade="BF"/>
        </w:rPr>
        <w:t xml:space="preserve">2. </w:t>
      </w:r>
      <w:r w:rsidR="00303251">
        <w:rPr>
          <w:rStyle w:val="IntenseEmphasis"/>
          <w:i w:val="0"/>
          <w:color w:val="2E74B5" w:themeColor="accent1" w:themeShade="BF"/>
        </w:rPr>
        <w:t>RUSSIA’S SOE SECTOR: DEFINITIONS AND SIZE</w:t>
      </w:r>
      <w:bookmarkEnd w:id="20"/>
    </w:p>
    <w:p w14:paraId="20442A34" w14:textId="3B2EC37D" w:rsidR="0098600B" w:rsidRDefault="0098600B" w:rsidP="00A44EBD">
      <w:pPr>
        <w:pStyle w:val="Heading2"/>
        <w:spacing w:after="0" w:line="240" w:lineRule="auto"/>
        <w:contextualSpacing/>
        <w:jc w:val="left"/>
      </w:pPr>
    </w:p>
    <w:p w14:paraId="0F3228B6" w14:textId="10A57065" w:rsidR="005D5488" w:rsidRDefault="000B1332" w:rsidP="00A44EBD">
      <w:pPr>
        <w:pStyle w:val="Heading2"/>
        <w:spacing w:after="0" w:line="240" w:lineRule="auto"/>
        <w:contextualSpacing/>
      </w:pPr>
      <w:bookmarkStart w:id="21" w:name="_Toc11219070"/>
      <w:r>
        <w:t xml:space="preserve">Legal </w:t>
      </w:r>
      <w:r w:rsidR="005C4D14">
        <w:t xml:space="preserve">definition and </w:t>
      </w:r>
      <w:r w:rsidR="00B96ECE">
        <w:t>regulatory framework</w:t>
      </w:r>
      <w:bookmarkEnd w:id="21"/>
    </w:p>
    <w:p w14:paraId="2418060D" w14:textId="5BD13FC7" w:rsidR="005D5488" w:rsidRDefault="005D5488" w:rsidP="00A44EBD">
      <w:pPr>
        <w:spacing w:after="0" w:line="240" w:lineRule="auto"/>
        <w:contextualSpacing/>
      </w:pPr>
    </w:p>
    <w:p w14:paraId="7B79DC4E" w14:textId="2592A0D2" w:rsidR="005C4D14" w:rsidRPr="008631A6" w:rsidRDefault="009D5446" w:rsidP="00B32372">
      <w:pPr>
        <w:pStyle w:val="Normal0"/>
        <w:numPr>
          <w:ilvl w:val="0"/>
          <w:numId w:val="21"/>
        </w:numPr>
        <w:spacing w:after="240" w:line="276" w:lineRule="auto"/>
        <w:ind w:left="0" w:firstLine="0"/>
        <w:jc w:val="both"/>
      </w:pPr>
      <w:bookmarkStart w:id="22" w:name="_Hlk9264626"/>
      <w:r w:rsidRPr="009D5446">
        <w:rPr>
          <w:b/>
          <w:bCs/>
        </w:rPr>
        <w:t xml:space="preserve">According to the national statistics agency (Rosstat), SOEs are defined as any public non-budgetary establishment with a positive direct government share. </w:t>
      </w:r>
      <w:r w:rsidRPr="009D5446">
        <w:t xml:space="preserve">The definition of SOEs differs across countries, and Russia’s is broader than the OECD’s, which </w:t>
      </w:r>
      <w:r w:rsidR="00851275">
        <w:t>requires</w:t>
      </w:r>
      <w:r w:rsidRPr="009D5446">
        <w:t xml:space="preserve"> majority ownership or equivalent other means of control, </w:t>
      </w:r>
      <w:r w:rsidR="00BC667E">
        <w:t xml:space="preserve">and </w:t>
      </w:r>
      <w:r w:rsidRPr="009D5446">
        <w:t xml:space="preserve">a minimum 10 percent state stake (OECD 2015, Abramov et al 2017). </w:t>
      </w:r>
      <w:bookmarkEnd w:id="22"/>
      <w:r w:rsidR="00B96ECE" w:rsidRPr="009D5446">
        <w:t xml:space="preserve">Russian SOEs can take four legal </w:t>
      </w:r>
      <w:r w:rsidR="00B96ECE" w:rsidRPr="00D7136C">
        <w:t>forms (</w:t>
      </w:r>
      <w:r w:rsidR="00D7136C" w:rsidRPr="00403312">
        <w:rPr>
          <w:b/>
        </w:rPr>
        <w:fldChar w:fldCharType="begin"/>
      </w:r>
      <w:r w:rsidR="00D7136C" w:rsidRPr="00403312">
        <w:rPr>
          <w:b/>
        </w:rPr>
        <w:instrText xml:space="preserve"> REF _Ref9378158 \h  \* MERGEFORMAT </w:instrText>
      </w:r>
      <w:r w:rsidR="00D7136C" w:rsidRPr="00403312">
        <w:rPr>
          <w:b/>
        </w:rPr>
      </w:r>
      <w:r w:rsidR="00D7136C" w:rsidRPr="00403312">
        <w:rPr>
          <w:b/>
        </w:rPr>
        <w:fldChar w:fldCharType="separate"/>
      </w:r>
      <w:r w:rsidR="00384800" w:rsidRPr="00095A1F">
        <w:rPr>
          <w:rStyle w:val="FigureChar"/>
          <w:b w:val="0"/>
          <w:iCs w:val="0"/>
          <w:caps w:val="0"/>
          <w:color w:val="auto"/>
        </w:rPr>
        <w:t>Figure 2. 1</w:t>
      </w:r>
      <w:r w:rsidR="00D7136C" w:rsidRPr="00403312">
        <w:rPr>
          <w:b/>
        </w:rPr>
        <w:fldChar w:fldCharType="end"/>
      </w:r>
      <w:r w:rsidR="00B96ECE" w:rsidRPr="00D7136C">
        <w:t>):</w:t>
      </w:r>
    </w:p>
    <w:p w14:paraId="5CE7AD10" w14:textId="41CDFA25" w:rsidR="003E25DA" w:rsidRPr="009F6E0B" w:rsidRDefault="009F6E0B" w:rsidP="009F6E0B">
      <w:pPr>
        <w:pStyle w:val="Figure"/>
      </w:pPr>
      <w:bookmarkStart w:id="23" w:name="_Ref9378158"/>
      <w:bookmarkStart w:id="24" w:name="_Toc9327221"/>
      <w:bookmarkStart w:id="25" w:name="_Toc11259338"/>
      <w:r>
        <w:rPr>
          <w:rStyle w:val="FigureChar"/>
          <w:b/>
          <w:iCs/>
          <w:caps/>
        </w:rPr>
        <w:t xml:space="preserve">Figure </w:t>
      </w:r>
      <w:r w:rsidR="003E25DA" w:rsidRPr="009F6E0B">
        <w:rPr>
          <w:rStyle w:val="FigureChar"/>
          <w:b/>
          <w:iCs/>
          <w:caps/>
        </w:rPr>
        <w:t xml:space="preserve">2. </w:t>
      </w:r>
      <w:r w:rsidR="003E25DA" w:rsidRPr="009F6E0B">
        <w:rPr>
          <w:rStyle w:val="FigureChar"/>
          <w:b/>
          <w:iCs/>
          <w:caps/>
        </w:rPr>
        <w:fldChar w:fldCharType="begin"/>
      </w:r>
      <w:r w:rsidR="003E25DA" w:rsidRPr="009F6E0B">
        <w:rPr>
          <w:rStyle w:val="FigureChar"/>
          <w:b/>
          <w:iCs/>
          <w:caps/>
        </w:rPr>
        <w:instrText xml:space="preserve"> SEQ Figure_2. \* ARABIC </w:instrText>
      </w:r>
      <w:r w:rsidR="003E25DA" w:rsidRPr="009F6E0B">
        <w:rPr>
          <w:rStyle w:val="FigureChar"/>
          <w:b/>
          <w:iCs/>
          <w:caps/>
        </w:rPr>
        <w:fldChar w:fldCharType="separate"/>
      </w:r>
      <w:r w:rsidR="00384800">
        <w:rPr>
          <w:rStyle w:val="FigureChar"/>
          <w:b/>
          <w:iCs/>
          <w:caps/>
          <w:noProof/>
        </w:rPr>
        <w:t>1</w:t>
      </w:r>
      <w:r w:rsidR="003E25DA" w:rsidRPr="009F6E0B">
        <w:rPr>
          <w:rStyle w:val="FigureChar"/>
          <w:b/>
          <w:iCs/>
          <w:caps/>
        </w:rPr>
        <w:fldChar w:fldCharType="end"/>
      </w:r>
      <w:bookmarkEnd w:id="23"/>
      <w:r w:rsidR="003E25DA" w:rsidRPr="009F6E0B">
        <w:t xml:space="preserve"> Public establishments: classification according to Civil Code.</w:t>
      </w:r>
      <w:bookmarkEnd w:id="24"/>
      <w:bookmarkEnd w:id="25"/>
    </w:p>
    <w:p w14:paraId="7062E203" w14:textId="77777777" w:rsidR="00FF1F27" w:rsidRPr="005D5488" w:rsidRDefault="00FF1F27" w:rsidP="00943FE3">
      <w:pPr>
        <w:spacing w:after="0" w:line="240" w:lineRule="auto"/>
        <w:contextualSpacing/>
        <w:jc w:val="center"/>
      </w:pPr>
      <w:r>
        <w:rPr>
          <w:noProof/>
        </w:rPr>
        <w:drawing>
          <wp:inline distT="0" distB="0" distL="0" distR="0" wp14:anchorId="480F04A6" wp14:editId="520C67AD">
            <wp:extent cx="3740012" cy="3248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4186" cy="3251650"/>
                    </a:xfrm>
                    <a:prstGeom prst="rect">
                      <a:avLst/>
                    </a:prstGeom>
                    <a:noFill/>
                  </pic:spPr>
                </pic:pic>
              </a:graphicData>
            </a:graphic>
          </wp:inline>
        </w:drawing>
      </w:r>
    </w:p>
    <w:p w14:paraId="1C857CBC" w14:textId="6B88ED2C" w:rsidR="00FF1F27" w:rsidRDefault="0079412F" w:rsidP="007C3447">
      <w:pPr>
        <w:spacing w:after="0" w:line="240" w:lineRule="auto"/>
        <w:ind w:left="720" w:firstLine="720"/>
        <w:contextualSpacing/>
      </w:pPr>
      <w:r w:rsidRPr="00D02A21">
        <w:rPr>
          <w:bCs/>
          <w:i/>
          <w:sz w:val="18"/>
          <w:szCs w:val="18"/>
        </w:rPr>
        <w:t>Source</w:t>
      </w:r>
      <w:r>
        <w:rPr>
          <w:b/>
          <w:bCs/>
        </w:rPr>
        <w:t xml:space="preserve">: </w:t>
      </w:r>
      <w:r w:rsidRPr="00D02A21">
        <w:rPr>
          <w:bCs/>
          <w:sz w:val="18"/>
          <w:szCs w:val="18"/>
        </w:rPr>
        <w:t>Russian Civil Code.</w:t>
      </w:r>
    </w:p>
    <w:p w14:paraId="6F24A2DD" w14:textId="77777777" w:rsidR="0079412F" w:rsidRDefault="0079412F" w:rsidP="00FF1F27">
      <w:pPr>
        <w:spacing w:after="0" w:line="240" w:lineRule="auto"/>
        <w:contextualSpacing/>
      </w:pPr>
    </w:p>
    <w:p w14:paraId="75635EA1" w14:textId="77777777" w:rsidR="00994C7B" w:rsidRPr="00994C7B" w:rsidRDefault="00994C7B" w:rsidP="00994C7B">
      <w:pPr>
        <w:pStyle w:val="ListParagraph"/>
        <w:spacing w:after="0" w:line="240" w:lineRule="auto"/>
        <w:rPr>
          <w:sz w:val="12"/>
          <w:szCs w:val="12"/>
        </w:rPr>
      </w:pPr>
    </w:p>
    <w:p w14:paraId="3E996E33" w14:textId="0D13E286" w:rsidR="00136697" w:rsidRPr="00970BF4" w:rsidRDefault="00136697" w:rsidP="00D02A21">
      <w:pPr>
        <w:pStyle w:val="ListParagraph"/>
        <w:numPr>
          <w:ilvl w:val="0"/>
          <w:numId w:val="17"/>
        </w:numPr>
        <w:spacing w:after="120" w:line="276" w:lineRule="auto"/>
        <w:contextualSpacing w:val="0"/>
        <w:rPr>
          <w:sz w:val="22"/>
        </w:rPr>
      </w:pPr>
      <w:r w:rsidRPr="00D02A21">
        <w:rPr>
          <w:bCs/>
          <w:i/>
          <w:iCs/>
          <w:sz w:val="22"/>
        </w:rPr>
        <w:t>Commercial companies with state participation</w:t>
      </w:r>
      <w:r w:rsidRPr="00A1771F">
        <w:rPr>
          <w:i/>
          <w:iCs/>
          <w:sz w:val="22"/>
        </w:rPr>
        <w:t xml:space="preserve"> </w:t>
      </w:r>
      <w:r w:rsidRPr="00970BF4">
        <w:rPr>
          <w:sz w:val="22"/>
        </w:rPr>
        <w:t xml:space="preserve">include joint stock and limited liability companies. </w:t>
      </w:r>
      <w:r w:rsidR="00064DA5">
        <w:rPr>
          <w:sz w:val="22"/>
        </w:rPr>
        <w:t xml:space="preserve">While a fraction </w:t>
      </w:r>
      <w:proofErr w:type="gramStart"/>
      <w:r w:rsidR="00064DA5">
        <w:rPr>
          <w:sz w:val="22"/>
        </w:rPr>
        <w:t>are</w:t>
      </w:r>
      <w:proofErr w:type="gramEnd"/>
      <w:r w:rsidR="00064DA5">
        <w:rPr>
          <w:sz w:val="22"/>
        </w:rPr>
        <w:t xml:space="preserve"> fully state owned, most </w:t>
      </w:r>
      <w:r w:rsidRPr="00970BF4">
        <w:rPr>
          <w:sz w:val="22"/>
        </w:rPr>
        <w:t xml:space="preserve">have mixed public and private ownership, and </w:t>
      </w:r>
      <w:r w:rsidR="00E675BF">
        <w:rPr>
          <w:sz w:val="22"/>
        </w:rPr>
        <w:t xml:space="preserve">are often </w:t>
      </w:r>
      <w:r w:rsidRPr="00970BF4">
        <w:rPr>
          <w:sz w:val="22"/>
        </w:rPr>
        <w:t>referred to as “</w:t>
      </w:r>
      <w:r w:rsidRPr="00D02A21">
        <w:rPr>
          <w:bCs/>
          <w:i/>
          <w:iCs/>
          <w:sz w:val="22"/>
        </w:rPr>
        <w:t>mixed</w:t>
      </w:r>
      <w:r w:rsidRPr="00970BF4">
        <w:rPr>
          <w:sz w:val="22"/>
        </w:rPr>
        <w:t xml:space="preserve">”. This heterogeneous category includes both small-medium sized SOEs as well as some of Russia’s largest companies, </w:t>
      </w:r>
      <w:r w:rsidR="00E675BF">
        <w:rPr>
          <w:sz w:val="22"/>
        </w:rPr>
        <w:t xml:space="preserve">in various industries, including </w:t>
      </w:r>
      <w:proofErr w:type="spellStart"/>
      <w:r w:rsidRPr="00970BF4">
        <w:rPr>
          <w:sz w:val="22"/>
        </w:rPr>
        <w:t>Alrosa</w:t>
      </w:r>
      <w:proofErr w:type="spellEnd"/>
      <w:r w:rsidR="00E675BF">
        <w:rPr>
          <w:sz w:val="22"/>
        </w:rPr>
        <w:t xml:space="preserve"> (diamonds)</w:t>
      </w:r>
      <w:r w:rsidRPr="00970BF4">
        <w:rPr>
          <w:sz w:val="22"/>
        </w:rPr>
        <w:t>, Sberbank, Russian Railways, and Aeroflot</w:t>
      </w:r>
      <w:r w:rsidR="00994C7B">
        <w:rPr>
          <w:sz w:val="22"/>
        </w:rPr>
        <w:t xml:space="preserve"> (national airline)</w:t>
      </w:r>
      <w:r w:rsidRPr="00970BF4">
        <w:rPr>
          <w:sz w:val="22"/>
        </w:rPr>
        <w:t xml:space="preserve">. </w:t>
      </w:r>
      <w:r w:rsidR="002423F5" w:rsidRPr="00970BF4">
        <w:rPr>
          <w:sz w:val="22"/>
        </w:rPr>
        <w:t>Some of the l</w:t>
      </w:r>
      <w:r w:rsidR="0010281B" w:rsidRPr="00970BF4">
        <w:rPr>
          <w:sz w:val="22"/>
        </w:rPr>
        <w:t xml:space="preserve">arger mixed companies are </w:t>
      </w:r>
      <w:r w:rsidR="002423F5" w:rsidRPr="00970BF4">
        <w:rPr>
          <w:sz w:val="22"/>
        </w:rPr>
        <w:t>listed on the stock exchange.</w:t>
      </w:r>
    </w:p>
    <w:p w14:paraId="1F2560D0" w14:textId="5BFB6DB5" w:rsidR="00136697" w:rsidRPr="00970BF4" w:rsidRDefault="00136697" w:rsidP="00D02A21">
      <w:pPr>
        <w:pStyle w:val="ListParagraph"/>
        <w:numPr>
          <w:ilvl w:val="0"/>
          <w:numId w:val="17"/>
        </w:numPr>
        <w:spacing w:after="120" w:line="276" w:lineRule="auto"/>
        <w:contextualSpacing w:val="0"/>
        <w:rPr>
          <w:sz w:val="22"/>
        </w:rPr>
      </w:pPr>
      <w:r w:rsidRPr="00D02A21">
        <w:rPr>
          <w:bCs/>
          <w:i/>
          <w:iCs/>
          <w:sz w:val="22"/>
        </w:rPr>
        <w:t>Unitary enterprises</w:t>
      </w:r>
      <w:r w:rsidRPr="00970BF4">
        <w:rPr>
          <w:sz w:val="22"/>
        </w:rPr>
        <w:t>, like mixed companies, are commercial establishments of different sizes</w:t>
      </w:r>
      <w:r w:rsidR="00064DA5">
        <w:rPr>
          <w:sz w:val="22"/>
        </w:rPr>
        <w:t>. They differ from mixed</w:t>
      </w:r>
      <w:r w:rsidRPr="00970BF4">
        <w:rPr>
          <w:sz w:val="22"/>
        </w:rPr>
        <w:t xml:space="preserve"> </w:t>
      </w:r>
      <w:r w:rsidR="00064DA5">
        <w:rPr>
          <w:sz w:val="22"/>
        </w:rPr>
        <w:t xml:space="preserve">in their </w:t>
      </w:r>
      <w:r w:rsidRPr="00970BF4">
        <w:rPr>
          <w:sz w:val="22"/>
        </w:rPr>
        <w:t xml:space="preserve">use of state property for operations. Unitary enterprises can be federal or municipal. Examples of federal unitary enterprises include Russian Mail, </w:t>
      </w:r>
      <w:proofErr w:type="spellStart"/>
      <w:r w:rsidRPr="00970BF4">
        <w:rPr>
          <w:sz w:val="22"/>
        </w:rPr>
        <w:t>Rosspirtprom</w:t>
      </w:r>
      <w:proofErr w:type="spellEnd"/>
      <w:r w:rsidRPr="00970BF4">
        <w:rPr>
          <w:sz w:val="22"/>
        </w:rPr>
        <w:t xml:space="preserve"> (alcohol), </w:t>
      </w:r>
      <w:proofErr w:type="spellStart"/>
      <w:r w:rsidRPr="00970BF4">
        <w:rPr>
          <w:sz w:val="22"/>
        </w:rPr>
        <w:t>Goznak</w:t>
      </w:r>
      <w:proofErr w:type="spellEnd"/>
      <w:r w:rsidRPr="00970BF4">
        <w:rPr>
          <w:sz w:val="22"/>
        </w:rPr>
        <w:t xml:space="preserve"> (minting), VGTRK (media corporation). As of March 2019, there were over 18,000</w:t>
      </w:r>
      <w:r w:rsidRPr="00970BF4">
        <w:rPr>
          <w:rStyle w:val="FootnoteReference"/>
          <w:sz w:val="22"/>
        </w:rPr>
        <w:footnoteReference w:id="6"/>
      </w:r>
      <w:r w:rsidRPr="00970BF4">
        <w:rPr>
          <w:sz w:val="22"/>
        </w:rPr>
        <w:t xml:space="preserve"> federal and municipal unitary enterprises in Russia, although a recent draft law passed in the State Duma envisions </w:t>
      </w:r>
      <w:r w:rsidR="00B97421">
        <w:rPr>
          <w:sz w:val="22"/>
        </w:rPr>
        <w:t xml:space="preserve">potentially </w:t>
      </w:r>
      <w:r w:rsidRPr="00970BF4">
        <w:rPr>
          <w:sz w:val="22"/>
        </w:rPr>
        <w:t>reorganizing them into mixed companies by January 2021.</w:t>
      </w:r>
      <w:r w:rsidRPr="00970BF4">
        <w:rPr>
          <w:rStyle w:val="FootnoteReference"/>
          <w:sz w:val="22"/>
        </w:rPr>
        <w:footnoteReference w:id="7"/>
      </w:r>
      <w:r w:rsidRPr="00970BF4">
        <w:rPr>
          <w:sz w:val="22"/>
        </w:rPr>
        <w:t xml:space="preserve"> </w:t>
      </w:r>
    </w:p>
    <w:p w14:paraId="77FFCD92" w14:textId="33D1FCAC" w:rsidR="00136697" w:rsidRPr="00970BF4" w:rsidRDefault="00136697" w:rsidP="00D02A21">
      <w:pPr>
        <w:pStyle w:val="ListParagraph"/>
        <w:numPr>
          <w:ilvl w:val="0"/>
          <w:numId w:val="17"/>
        </w:numPr>
        <w:spacing w:after="120" w:line="276" w:lineRule="auto"/>
        <w:contextualSpacing w:val="0"/>
        <w:rPr>
          <w:sz w:val="22"/>
        </w:rPr>
      </w:pPr>
      <w:r w:rsidRPr="00D02A21">
        <w:rPr>
          <w:bCs/>
          <w:i/>
          <w:iCs/>
          <w:sz w:val="22"/>
        </w:rPr>
        <w:t>State corporations</w:t>
      </w:r>
      <w:r w:rsidRPr="00970BF4">
        <w:rPr>
          <w:sz w:val="22"/>
        </w:rPr>
        <w:t xml:space="preserve"> are large non-commercial SOEs with 100 percent state ownership, created to carry out strategic research and social functions, using government properties and funding. At present there are six state corporations in Russia, including </w:t>
      </w:r>
      <w:proofErr w:type="spellStart"/>
      <w:r w:rsidRPr="00970BF4">
        <w:rPr>
          <w:sz w:val="22"/>
        </w:rPr>
        <w:t>Rostec</w:t>
      </w:r>
      <w:proofErr w:type="spellEnd"/>
      <w:r w:rsidRPr="00970BF4">
        <w:rPr>
          <w:sz w:val="22"/>
        </w:rPr>
        <w:t xml:space="preserve"> (technology research), </w:t>
      </w:r>
      <w:proofErr w:type="spellStart"/>
      <w:r w:rsidRPr="00970BF4">
        <w:rPr>
          <w:sz w:val="22"/>
        </w:rPr>
        <w:t>Rosatom</w:t>
      </w:r>
      <w:proofErr w:type="spellEnd"/>
      <w:r w:rsidRPr="00970BF4">
        <w:rPr>
          <w:sz w:val="22"/>
        </w:rPr>
        <w:t xml:space="preserve"> (atomic research), </w:t>
      </w:r>
      <w:proofErr w:type="spellStart"/>
      <w:r w:rsidRPr="00970BF4">
        <w:rPr>
          <w:sz w:val="22"/>
        </w:rPr>
        <w:t>Roskosmos</w:t>
      </w:r>
      <w:proofErr w:type="spellEnd"/>
      <w:r w:rsidRPr="00970BF4">
        <w:rPr>
          <w:sz w:val="22"/>
        </w:rPr>
        <w:t xml:space="preserve"> (space agency), Russian Development Bank (VEB), Deposit Insurance Agency, and Housing Reform Fund. Although </w:t>
      </w:r>
      <w:r w:rsidR="00EE04AC">
        <w:rPr>
          <w:sz w:val="22"/>
        </w:rPr>
        <w:t xml:space="preserve">themselves </w:t>
      </w:r>
      <w:r w:rsidRPr="00970BF4">
        <w:rPr>
          <w:sz w:val="22"/>
        </w:rPr>
        <w:t xml:space="preserve">non-commercial, </w:t>
      </w:r>
      <w:r w:rsidR="00EE04AC">
        <w:rPr>
          <w:sz w:val="22"/>
        </w:rPr>
        <w:t xml:space="preserve">state corporations </w:t>
      </w:r>
      <w:r w:rsidRPr="00970BF4">
        <w:rPr>
          <w:sz w:val="22"/>
        </w:rPr>
        <w:t>can own commercial subsidiar</w:t>
      </w:r>
      <w:r w:rsidR="00EE04AC">
        <w:rPr>
          <w:sz w:val="22"/>
        </w:rPr>
        <w:t>ies</w:t>
      </w:r>
      <w:r w:rsidRPr="00970BF4">
        <w:rPr>
          <w:sz w:val="22"/>
        </w:rPr>
        <w:t xml:space="preserve"> (also fully or </w:t>
      </w:r>
      <w:r w:rsidR="00EE04AC">
        <w:rPr>
          <w:sz w:val="22"/>
        </w:rPr>
        <w:t xml:space="preserve">partially </w:t>
      </w:r>
      <w:r w:rsidRPr="00970BF4">
        <w:rPr>
          <w:sz w:val="22"/>
        </w:rPr>
        <w:t xml:space="preserve">state-owned). For </w:t>
      </w:r>
      <w:proofErr w:type="gramStart"/>
      <w:r w:rsidRPr="00970BF4">
        <w:rPr>
          <w:sz w:val="22"/>
        </w:rPr>
        <w:t>example</w:t>
      </w:r>
      <w:proofErr w:type="gramEnd"/>
      <w:r w:rsidRPr="00970BF4">
        <w:rPr>
          <w:sz w:val="22"/>
        </w:rPr>
        <w:t xml:space="preserve"> </w:t>
      </w:r>
      <w:proofErr w:type="spellStart"/>
      <w:r w:rsidRPr="00970BF4">
        <w:rPr>
          <w:sz w:val="22"/>
        </w:rPr>
        <w:t>Rostec</w:t>
      </w:r>
      <w:proofErr w:type="spellEnd"/>
      <w:r w:rsidRPr="00970BF4">
        <w:rPr>
          <w:sz w:val="22"/>
        </w:rPr>
        <w:t xml:space="preserve"> owns </w:t>
      </w:r>
      <w:r w:rsidR="00EE04AC">
        <w:rPr>
          <w:sz w:val="22"/>
        </w:rPr>
        <w:t xml:space="preserve">over 70 </w:t>
      </w:r>
      <w:r w:rsidRPr="00970BF4">
        <w:rPr>
          <w:sz w:val="22"/>
        </w:rPr>
        <w:t xml:space="preserve">commercial </w:t>
      </w:r>
      <w:r w:rsidR="00E570ED">
        <w:rPr>
          <w:sz w:val="22"/>
        </w:rPr>
        <w:t>companies</w:t>
      </w:r>
      <w:r w:rsidR="00EE04AC">
        <w:rPr>
          <w:sz w:val="22"/>
        </w:rPr>
        <w:t xml:space="preserve">, including </w:t>
      </w:r>
      <w:proofErr w:type="spellStart"/>
      <w:r w:rsidRPr="00970BF4">
        <w:rPr>
          <w:sz w:val="22"/>
        </w:rPr>
        <w:t>Avtovaz</w:t>
      </w:r>
      <w:proofErr w:type="spellEnd"/>
      <w:r w:rsidRPr="00970BF4">
        <w:rPr>
          <w:sz w:val="22"/>
        </w:rPr>
        <w:t xml:space="preserve"> and </w:t>
      </w:r>
      <w:proofErr w:type="spellStart"/>
      <w:r w:rsidRPr="00970BF4">
        <w:rPr>
          <w:sz w:val="22"/>
        </w:rPr>
        <w:t>Kamaz</w:t>
      </w:r>
      <w:proofErr w:type="spellEnd"/>
      <w:r w:rsidR="00EE04AC">
        <w:rPr>
          <w:sz w:val="22"/>
        </w:rPr>
        <w:t xml:space="preserve"> </w:t>
      </w:r>
      <w:r w:rsidR="00E570ED">
        <w:rPr>
          <w:sz w:val="22"/>
        </w:rPr>
        <w:t>(</w:t>
      </w:r>
      <w:r w:rsidR="00EE04AC">
        <w:rPr>
          <w:sz w:val="22"/>
        </w:rPr>
        <w:t>automobile</w:t>
      </w:r>
      <w:r w:rsidR="00E570ED">
        <w:rPr>
          <w:sz w:val="22"/>
        </w:rPr>
        <w:t>)</w:t>
      </w:r>
      <w:r w:rsidRPr="00970BF4">
        <w:rPr>
          <w:sz w:val="22"/>
        </w:rPr>
        <w:t>.</w:t>
      </w:r>
    </w:p>
    <w:p w14:paraId="2B7E5B38" w14:textId="77777777" w:rsidR="00136697" w:rsidRPr="00970BF4" w:rsidRDefault="00136697" w:rsidP="00D02A21">
      <w:pPr>
        <w:pStyle w:val="ListParagraph"/>
        <w:numPr>
          <w:ilvl w:val="0"/>
          <w:numId w:val="17"/>
        </w:numPr>
        <w:spacing w:after="120" w:line="276" w:lineRule="auto"/>
        <w:contextualSpacing w:val="0"/>
        <w:rPr>
          <w:sz w:val="22"/>
        </w:rPr>
      </w:pPr>
      <w:r w:rsidRPr="00D02A21">
        <w:rPr>
          <w:bCs/>
          <w:i/>
          <w:iCs/>
          <w:sz w:val="22"/>
        </w:rPr>
        <w:t>Public interest entities</w:t>
      </w:r>
      <w:r w:rsidRPr="00970BF4">
        <w:rPr>
          <w:sz w:val="22"/>
        </w:rPr>
        <w:t xml:space="preserve"> are non-commercial establishments, often created through the organizations of state corporations, that work in defense of specific public causes. An example is Home Buyers’ Rights Protection Fund.</w:t>
      </w:r>
    </w:p>
    <w:p w14:paraId="48B6DE86" w14:textId="2A8385C2" w:rsidR="008044C3" w:rsidRDefault="008044C3" w:rsidP="002D07BE">
      <w:pPr>
        <w:spacing w:after="0" w:line="240" w:lineRule="auto"/>
        <w:contextualSpacing/>
      </w:pPr>
    </w:p>
    <w:p w14:paraId="400C6CB7" w14:textId="2D6AA7FE" w:rsidR="008044C3" w:rsidRDefault="008044C3" w:rsidP="008044C3">
      <w:pPr>
        <w:pStyle w:val="Normal0"/>
        <w:numPr>
          <w:ilvl w:val="0"/>
          <w:numId w:val="21"/>
        </w:numPr>
        <w:spacing w:after="240" w:line="276" w:lineRule="auto"/>
        <w:ind w:left="0" w:firstLine="0"/>
        <w:jc w:val="both"/>
      </w:pPr>
      <w:r w:rsidRPr="00066586">
        <w:rPr>
          <w:b/>
          <w:bCs/>
        </w:rPr>
        <w:t xml:space="preserve">Russia does not have a single law regulating all companies with state participation, but </w:t>
      </w:r>
      <w:r>
        <w:rPr>
          <w:b/>
          <w:bCs/>
        </w:rPr>
        <w:t xml:space="preserve">rather </w:t>
      </w:r>
      <w:r w:rsidRPr="00066586">
        <w:rPr>
          <w:b/>
          <w:bCs/>
        </w:rPr>
        <w:t xml:space="preserve">a series of regulations that apply to different </w:t>
      </w:r>
      <w:r>
        <w:rPr>
          <w:b/>
          <w:bCs/>
        </w:rPr>
        <w:t xml:space="preserve">categories of </w:t>
      </w:r>
      <w:r w:rsidRPr="00066586">
        <w:rPr>
          <w:b/>
          <w:bCs/>
        </w:rPr>
        <w:t>SOE</w:t>
      </w:r>
      <w:r>
        <w:rPr>
          <w:b/>
          <w:bCs/>
        </w:rPr>
        <w:t>s</w:t>
      </w:r>
      <w:r>
        <w:t>. The Law on Federal and Municipal Unitary Enterprises regulates many important aspects of governance and management in unitary companies, including approval of company charter, director, chief accountant, financial statements, and KPIs. Mixed companies follow the provisions of the Joint stock company law, Civil Code, Accounting law, Audit law, Central Bank bylaws, Government decrees, Corporate Governance Code (on a voluntary basis), and, if applicable, the Securities Market Law.</w:t>
      </w:r>
    </w:p>
    <w:p w14:paraId="456DD882" w14:textId="5D13CF22" w:rsidR="00075930" w:rsidRPr="00F91A91" w:rsidRDefault="00847D6B" w:rsidP="00D02A21">
      <w:pPr>
        <w:pStyle w:val="Normal0"/>
        <w:numPr>
          <w:ilvl w:val="0"/>
          <w:numId w:val="21"/>
        </w:numPr>
        <w:spacing w:after="240" w:line="276" w:lineRule="auto"/>
        <w:ind w:left="0" w:firstLine="0"/>
        <w:jc w:val="both"/>
        <w:rPr>
          <w:b/>
          <w:bCs/>
        </w:rPr>
      </w:pPr>
      <w:r>
        <w:rPr>
          <w:b/>
          <w:bCs/>
        </w:rPr>
        <w:t xml:space="preserve">Legally, </w:t>
      </w:r>
      <w:r w:rsidR="00410430">
        <w:rPr>
          <w:b/>
          <w:bCs/>
        </w:rPr>
        <w:t xml:space="preserve">Russian </w:t>
      </w:r>
      <w:r w:rsidR="00694D3E" w:rsidRPr="006163ED">
        <w:rPr>
          <w:b/>
          <w:bCs/>
        </w:rPr>
        <w:t>SOEs</w:t>
      </w:r>
      <w:r w:rsidR="00D14B66">
        <w:rPr>
          <w:b/>
          <w:bCs/>
        </w:rPr>
        <w:t xml:space="preserve">, </w:t>
      </w:r>
      <w:r w:rsidR="00AE313C">
        <w:rPr>
          <w:b/>
          <w:bCs/>
        </w:rPr>
        <w:t xml:space="preserve">particularly </w:t>
      </w:r>
      <w:r w:rsidR="00410430">
        <w:rPr>
          <w:b/>
          <w:bCs/>
        </w:rPr>
        <w:t>the commercial mixed and unitary enterprises</w:t>
      </w:r>
      <w:r w:rsidR="00D14B66">
        <w:rPr>
          <w:b/>
          <w:bCs/>
        </w:rPr>
        <w:t xml:space="preserve">, </w:t>
      </w:r>
      <w:r w:rsidR="00410430">
        <w:rPr>
          <w:b/>
          <w:bCs/>
        </w:rPr>
        <w:t xml:space="preserve">have </w:t>
      </w:r>
      <w:r w:rsidR="00694D3E" w:rsidRPr="006163ED">
        <w:rPr>
          <w:b/>
          <w:bCs/>
        </w:rPr>
        <w:t xml:space="preserve">considerable discretion </w:t>
      </w:r>
      <w:r w:rsidR="00403312">
        <w:rPr>
          <w:b/>
          <w:bCs/>
        </w:rPr>
        <w:t>over</w:t>
      </w:r>
      <w:r w:rsidR="00710C02">
        <w:rPr>
          <w:b/>
          <w:bCs/>
        </w:rPr>
        <w:t xml:space="preserve"> </w:t>
      </w:r>
      <w:r w:rsidR="00403312">
        <w:rPr>
          <w:b/>
          <w:bCs/>
        </w:rPr>
        <w:t xml:space="preserve">their </w:t>
      </w:r>
      <w:r w:rsidR="00694D3E" w:rsidRPr="006163ED">
        <w:rPr>
          <w:b/>
          <w:bCs/>
        </w:rPr>
        <w:t>employment practices</w:t>
      </w:r>
      <w:r w:rsidR="007B2048">
        <w:rPr>
          <w:b/>
          <w:bCs/>
        </w:rPr>
        <w:t xml:space="preserve">. </w:t>
      </w:r>
      <w:r w:rsidR="00AF5955" w:rsidRPr="00327063">
        <w:t xml:space="preserve">All </w:t>
      </w:r>
      <w:r w:rsidR="00137E12" w:rsidRPr="00327063">
        <w:t xml:space="preserve">must comply with the basic </w:t>
      </w:r>
      <w:r w:rsidR="00EF582F">
        <w:t xml:space="preserve">provisions </w:t>
      </w:r>
      <w:r w:rsidR="00137E12" w:rsidRPr="00327063">
        <w:t xml:space="preserve">of the Labor Code, including on the minimum wage and basic worker rights and safety, </w:t>
      </w:r>
      <w:r w:rsidR="00AF5955" w:rsidRPr="00327063">
        <w:t xml:space="preserve">but beyond that </w:t>
      </w:r>
      <w:r w:rsidR="00EF582F">
        <w:t xml:space="preserve">compensation and management practices are regulated </w:t>
      </w:r>
      <w:r w:rsidR="002E0E7A" w:rsidRPr="00327063">
        <w:t>at the company level</w:t>
      </w:r>
      <w:r w:rsidR="00F271A9">
        <w:t xml:space="preserve">. </w:t>
      </w:r>
      <w:r w:rsidR="002E14CA">
        <w:t>C</w:t>
      </w:r>
      <w:r w:rsidR="00637B76" w:rsidRPr="00327063">
        <w:t xml:space="preserve">ompanies’ internal </w:t>
      </w:r>
      <w:r w:rsidR="002E14CA">
        <w:t xml:space="preserve">codes regulate </w:t>
      </w:r>
      <w:r w:rsidR="00042E0F" w:rsidRPr="00327063">
        <w:t>pay scales</w:t>
      </w:r>
      <w:r w:rsidR="002E0E7A" w:rsidRPr="00327063">
        <w:t xml:space="preserve"> and day to day management</w:t>
      </w:r>
      <w:r w:rsidR="00327063">
        <w:t xml:space="preserve"> principles</w:t>
      </w:r>
      <w:r w:rsidR="001A5D13" w:rsidRPr="00327063">
        <w:t xml:space="preserve">. </w:t>
      </w:r>
      <w:r w:rsidR="007B2048" w:rsidRPr="00327063">
        <w:t xml:space="preserve">One partial </w:t>
      </w:r>
      <w:r w:rsidR="00075930" w:rsidRPr="00327063">
        <w:t xml:space="preserve">exception are salaries of senior management of federal and municipal unitary enterprises, state corporations, and </w:t>
      </w:r>
      <w:r w:rsidR="00A844D3" w:rsidRPr="00327063">
        <w:t xml:space="preserve">mixed </w:t>
      </w:r>
      <w:r w:rsidR="00075930" w:rsidRPr="00327063">
        <w:t>companies with state participation exceeding 50</w:t>
      </w:r>
      <w:r w:rsidR="00327063">
        <w:t xml:space="preserve"> percent, which are capped by law</w:t>
      </w:r>
      <w:r w:rsidR="00A844D3" w:rsidRPr="00327063">
        <w:t>.</w:t>
      </w:r>
      <w:r w:rsidR="00F062E5" w:rsidRPr="00327063">
        <w:rPr>
          <w:rStyle w:val="FootnoteReference"/>
        </w:rPr>
        <w:footnoteReference w:id="8"/>
      </w:r>
      <w:r w:rsidR="00075930" w:rsidRPr="00327063">
        <w:t xml:space="preserve"> </w:t>
      </w:r>
      <w:r w:rsidR="00B356A4">
        <w:t xml:space="preserve">The high level of </w:t>
      </w:r>
      <w:r w:rsidR="000955A5">
        <w:t xml:space="preserve">firm-level </w:t>
      </w:r>
      <w:r w:rsidR="00B356A4">
        <w:t xml:space="preserve">discretion in </w:t>
      </w:r>
      <w:r w:rsidR="0054353C">
        <w:t xml:space="preserve">employment practices is </w:t>
      </w:r>
      <w:r w:rsidR="00663F3F">
        <w:t xml:space="preserve">relatively </w:t>
      </w:r>
      <w:r w:rsidR="0054353C">
        <w:t xml:space="preserve">unusual by international standard, but </w:t>
      </w:r>
      <w:r w:rsidR="00677A96">
        <w:t xml:space="preserve">from an economic standpoint it is </w:t>
      </w:r>
      <w:r w:rsidR="00663F3F">
        <w:t xml:space="preserve">not necessarily </w:t>
      </w:r>
      <w:r w:rsidR="000955A5">
        <w:t>inefficient</w:t>
      </w:r>
      <w:r w:rsidR="006F70F3">
        <w:t>, especially if</w:t>
      </w:r>
      <w:r w:rsidR="000955A5">
        <w:t xml:space="preserve"> </w:t>
      </w:r>
      <w:r w:rsidR="00677A96" w:rsidRPr="006F70F3">
        <w:t>companies have strong incentives to be productive</w:t>
      </w:r>
      <w:r w:rsidR="004C3076" w:rsidRPr="006F70F3">
        <w:t>.</w:t>
      </w:r>
    </w:p>
    <w:p w14:paraId="10154F27" w14:textId="53FFB758" w:rsidR="00323D58" w:rsidRDefault="00C77695" w:rsidP="00D02A21">
      <w:pPr>
        <w:pStyle w:val="Normal0"/>
        <w:numPr>
          <w:ilvl w:val="0"/>
          <w:numId w:val="21"/>
        </w:numPr>
        <w:spacing w:after="240" w:line="276" w:lineRule="auto"/>
        <w:ind w:left="0" w:firstLine="0"/>
        <w:jc w:val="both"/>
      </w:pPr>
      <w:r>
        <w:rPr>
          <w:b/>
          <w:bCs/>
        </w:rPr>
        <w:t xml:space="preserve">Russia, </w:t>
      </w:r>
      <w:r w:rsidR="009B1145">
        <w:rPr>
          <w:b/>
          <w:bCs/>
        </w:rPr>
        <w:t xml:space="preserve">like </w:t>
      </w:r>
      <w:r>
        <w:rPr>
          <w:b/>
          <w:bCs/>
        </w:rPr>
        <w:t>many</w:t>
      </w:r>
      <w:r w:rsidR="009B1145">
        <w:rPr>
          <w:b/>
          <w:bCs/>
        </w:rPr>
        <w:t xml:space="preserve"> </w:t>
      </w:r>
      <w:r>
        <w:rPr>
          <w:b/>
          <w:bCs/>
        </w:rPr>
        <w:t xml:space="preserve">countries, </w:t>
      </w:r>
      <w:r w:rsidR="00175218">
        <w:rPr>
          <w:b/>
          <w:bCs/>
        </w:rPr>
        <w:t xml:space="preserve">does not have a </w:t>
      </w:r>
      <w:r w:rsidR="007D3E76">
        <w:rPr>
          <w:b/>
          <w:bCs/>
        </w:rPr>
        <w:t xml:space="preserve">single </w:t>
      </w:r>
      <w:r w:rsidR="009B1145">
        <w:rPr>
          <w:b/>
          <w:bCs/>
        </w:rPr>
        <w:t xml:space="preserve">central </w:t>
      </w:r>
      <w:r w:rsidR="00B009BB">
        <w:rPr>
          <w:b/>
          <w:bCs/>
        </w:rPr>
        <w:t>institution regulat</w:t>
      </w:r>
      <w:r w:rsidR="009B1145">
        <w:rPr>
          <w:b/>
          <w:bCs/>
        </w:rPr>
        <w:t>ing</w:t>
      </w:r>
      <w:r w:rsidR="00B009BB">
        <w:rPr>
          <w:b/>
          <w:bCs/>
        </w:rPr>
        <w:t xml:space="preserve"> and overs</w:t>
      </w:r>
      <w:r w:rsidR="009B1145">
        <w:rPr>
          <w:b/>
          <w:bCs/>
        </w:rPr>
        <w:t>eeing</w:t>
      </w:r>
      <w:r w:rsidR="00B009BB">
        <w:rPr>
          <w:b/>
          <w:bCs/>
        </w:rPr>
        <w:t xml:space="preserve"> </w:t>
      </w:r>
      <w:r w:rsidR="009B1145">
        <w:rPr>
          <w:b/>
          <w:bCs/>
        </w:rPr>
        <w:t xml:space="preserve">all </w:t>
      </w:r>
      <w:r w:rsidR="00B009BB">
        <w:rPr>
          <w:b/>
          <w:bCs/>
        </w:rPr>
        <w:t>SOEs</w:t>
      </w:r>
      <w:r w:rsidR="009B1145">
        <w:rPr>
          <w:b/>
          <w:bCs/>
        </w:rPr>
        <w:t>, but rather a constellation of institutions</w:t>
      </w:r>
      <w:r w:rsidR="00B009BB">
        <w:rPr>
          <w:b/>
          <w:bCs/>
        </w:rPr>
        <w:t xml:space="preserve">. </w:t>
      </w:r>
      <w:r w:rsidRPr="00FD697A">
        <w:t xml:space="preserve">At the federal level, the Ministry for Economic Development (MED) and </w:t>
      </w:r>
      <w:r w:rsidR="009B1145" w:rsidRPr="00FD697A">
        <w:t xml:space="preserve">its subordinate </w:t>
      </w:r>
      <w:r w:rsidRPr="00FD697A">
        <w:t>Federal Agency for State Property Management (FASPM)</w:t>
      </w:r>
      <w:r w:rsidR="00FD697A">
        <w:t xml:space="preserve"> play a leading role</w:t>
      </w:r>
      <w:r w:rsidR="00D67991" w:rsidRPr="00FD697A">
        <w:t xml:space="preserve"> </w:t>
      </w:r>
      <w:r w:rsidR="00FD697A">
        <w:t xml:space="preserve">in </w:t>
      </w:r>
      <w:r w:rsidR="00351192" w:rsidRPr="00FD697A">
        <w:t xml:space="preserve">SOE-related </w:t>
      </w:r>
      <w:r w:rsidR="00D67991" w:rsidRPr="00FD697A">
        <w:t>regulati</w:t>
      </w:r>
      <w:r w:rsidR="00351192" w:rsidRPr="00FD697A">
        <w:t>on</w:t>
      </w:r>
      <w:r w:rsidR="00D67991" w:rsidRPr="00FD697A">
        <w:t xml:space="preserve">, monitoring, and </w:t>
      </w:r>
      <w:r w:rsidR="00351192" w:rsidRPr="00FD697A">
        <w:t>legislative proposals</w:t>
      </w:r>
      <w:r w:rsidR="007F6532">
        <w:t>, as well as sales of shares and state properties</w:t>
      </w:r>
      <w:r w:rsidR="00351192" w:rsidRPr="00FD697A">
        <w:t>.</w:t>
      </w:r>
      <w:r w:rsidR="00146254">
        <w:t xml:space="preserve"> </w:t>
      </w:r>
      <w:r w:rsidR="00146254" w:rsidRPr="001A2066">
        <w:t>FASPM represent</w:t>
      </w:r>
      <w:r w:rsidR="008F3FFD" w:rsidRPr="001A2066">
        <w:t>s</w:t>
      </w:r>
      <w:r w:rsidR="00146254" w:rsidRPr="001A2066">
        <w:t xml:space="preserve"> the </w:t>
      </w:r>
      <w:r w:rsidR="00771BC4" w:rsidRPr="001A2066">
        <w:t>federal g</w:t>
      </w:r>
      <w:r w:rsidR="00146254" w:rsidRPr="001A2066">
        <w:t xml:space="preserve">overnment </w:t>
      </w:r>
      <w:r w:rsidR="008F3FFD" w:rsidRPr="001A2066">
        <w:t xml:space="preserve">as shareholder </w:t>
      </w:r>
      <w:r w:rsidR="00146254" w:rsidRPr="001A2066">
        <w:t xml:space="preserve">in </w:t>
      </w:r>
      <w:r w:rsidR="00A13986" w:rsidRPr="001A2066">
        <w:t>SOEs</w:t>
      </w:r>
      <w:r w:rsidR="00146254" w:rsidRPr="001A2066">
        <w:t>.</w:t>
      </w:r>
      <w:r w:rsidR="00A13986" w:rsidRPr="001A2066">
        <w:rPr>
          <w:rStyle w:val="FootnoteReference"/>
        </w:rPr>
        <w:footnoteReference w:id="9"/>
      </w:r>
      <w:r w:rsidR="00A13986" w:rsidRPr="001A2066">
        <w:t xml:space="preserve"> </w:t>
      </w:r>
      <w:r w:rsidR="00323D58" w:rsidRPr="001A2066">
        <w:t xml:space="preserve">Line ministries, </w:t>
      </w:r>
      <w:r w:rsidR="00305FC9">
        <w:t xml:space="preserve">and regional and </w:t>
      </w:r>
      <w:r w:rsidR="00323D58" w:rsidRPr="001A2066">
        <w:t xml:space="preserve">municipal </w:t>
      </w:r>
      <w:r w:rsidR="00A13986" w:rsidRPr="001A2066">
        <w:t xml:space="preserve">governments may buy shares in </w:t>
      </w:r>
      <w:r w:rsidR="00007B3C">
        <w:t xml:space="preserve">mixed </w:t>
      </w:r>
      <w:r w:rsidR="00A13986" w:rsidRPr="001A2066">
        <w:t xml:space="preserve">companies </w:t>
      </w:r>
      <w:r w:rsidR="00007B3C">
        <w:t xml:space="preserve">or </w:t>
      </w:r>
      <w:r w:rsidR="00323D58" w:rsidRPr="001A2066">
        <w:t xml:space="preserve">establish </w:t>
      </w:r>
      <w:r w:rsidR="00007B3C">
        <w:t xml:space="preserve">their </w:t>
      </w:r>
      <w:r w:rsidR="00E673F5" w:rsidRPr="001A2066">
        <w:t xml:space="preserve">own </w:t>
      </w:r>
      <w:r w:rsidR="00323D58" w:rsidRPr="001A2066">
        <w:t>unitary enterprises</w:t>
      </w:r>
      <w:r w:rsidR="006519E4" w:rsidRPr="001A2066">
        <w:t>, in which case they</w:t>
      </w:r>
      <w:r w:rsidR="00E673F5" w:rsidRPr="001A2066">
        <w:t xml:space="preserve"> </w:t>
      </w:r>
      <w:r w:rsidR="00820214" w:rsidRPr="001A2066">
        <w:t xml:space="preserve">take on </w:t>
      </w:r>
      <w:r w:rsidR="001F79B6" w:rsidRPr="001A2066">
        <w:t xml:space="preserve">oversight </w:t>
      </w:r>
      <w:r w:rsidR="00323D58" w:rsidRPr="001A2066">
        <w:t>functions</w:t>
      </w:r>
      <w:r w:rsidR="00323D58">
        <w:t xml:space="preserve">, including </w:t>
      </w:r>
      <w:r w:rsidR="00820214">
        <w:t>appointing d</w:t>
      </w:r>
      <w:r w:rsidR="00323D58">
        <w:t>irector</w:t>
      </w:r>
      <w:r w:rsidR="006519E4">
        <w:t>s</w:t>
      </w:r>
      <w:r w:rsidR="00820214">
        <w:t xml:space="preserve">, </w:t>
      </w:r>
      <w:r w:rsidR="00007B3C">
        <w:t xml:space="preserve">and </w:t>
      </w:r>
      <w:r w:rsidR="006519E4">
        <w:t xml:space="preserve">approving </w:t>
      </w:r>
      <w:r w:rsidR="001F79B6">
        <w:t>and monitoring of financial statements and KPIs.</w:t>
      </w:r>
      <w:r w:rsidR="0047578B">
        <w:t xml:space="preserve"> </w:t>
      </w:r>
      <w:r w:rsidR="00AF4E68">
        <w:t xml:space="preserve">Any public sector organizations </w:t>
      </w:r>
      <w:r w:rsidR="0047578B">
        <w:t xml:space="preserve">can sign contracts with SOEs for </w:t>
      </w:r>
      <w:proofErr w:type="gramStart"/>
      <w:r w:rsidR="0047578B">
        <w:t>particular service</w:t>
      </w:r>
      <w:r w:rsidR="001A2066">
        <w:t>s</w:t>
      </w:r>
      <w:proofErr w:type="gramEnd"/>
      <w:r w:rsidR="0047578B">
        <w:t xml:space="preserve"> or goods orders</w:t>
      </w:r>
      <w:r w:rsidR="009B434B">
        <w:t xml:space="preserve">; </w:t>
      </w:r>
      <w:r w:rsidR="00C728AF">
        <w:t>SOEs can also contract other SOEs</w:t>
      </w:r>
      <w:r w:rsidR="009B434B">
        <w:t>.</w:t>
      </w:r>
      <w:r w:rsidR="0047578B">
        <w:t xml:space="preserve"> </w:t>
      </w:r>
      <w:r w:rsidR="009B434B">
        <w:t xml:space="preserve">In </w:t>
      </w:r>
      <w:r w:rsidR="0047578B">
        <w:t>practice</w:t>
      </w:r>
      <w:r w:rsidR="009B434B">
        <w:t>,</w:t>
      </w:r>
      <w:r w:rsidR="00AF4E68">
        <w:t xml:space="preserve"> </w:t>
      </w:r>
      <w:r w:rsidR="009B434B">
        <w:t>SOEs--particularly unitary companies--</w:t>
      </w:r>
      <w:r w:rsidR="001A2066">
        <w:t xml:space="preserve">often </w:t>
      </w:r>
      <w:r w:rsidR="00AF4E68">
        <w:t xml:space="preserve">have special </w:t>
      </w:r>
      <w:r w:rsidR="00E64147">
        <w:t xml:space="preserve">contracting </w:t>
      </w:r>
      <w:r w:rsidR="00AF4E68">
        <w:t>relationship</w:t>
      </w:r>
      <w:r w:rsidR="001A2066">
        <w:t>s</w:t>
      </w:r>
      <w:r w:rsidR="00C728AF">
        <w:t xml:space="preserve"> </w:t>
      </w:r>
      <w:r w:rsidR="00E64147">
        <w:t xml:space="preserve">with </w:t>
      </w:r>
      <w:r w:rsidR="009B434B">
        <w:t xml:space="preserve">certain </w:t>
      </w:r>
      <w:r w:rsidR="001A2066">
        <w:t xml:space="preserve">agencies, usually </w:t>
      </w:r>
      <w:r w:rsidR="00E64147">
        <w:t xml:space="preserve">their founding </w:t>
      </w:r>
      <w:r w:rsidR="001A2066">
        <w:t>agency</w:t>
      </w:r>
      <w:r w:rsidR="002B0625">
        <w:t xml:space="preserve"> or m</w:t>
      </w:r>
      <w:r w:rsidR="00C728AF">
        <w:t>inistry</w:t>
      </w:r>
      <w:r w:rsidR="00E64147">
        <w:t>.</w:t>
      </w:r>
      <w:r w:rsidR="001A2066">
        <w:t xml:space="preserve"> </w:t>
      </w:r>
      <w:r w:rsidR="00A15301">
        <w:t xml:space="preserve">Line ministries and agencies </w:t>
      </w:r>
      <w:r w:rsidR="003627A6">
        <w:t xml:space="preserve">also apportion </w:t>
      </w:r>
      <w:r w:rsidR="00A15301">
        <w:t xml:space="preserve">subsidies </w:t>
      </w:r>
      <w:r w:rsidR="00E80A12">
        <w:t xml:space="preserve">for </w:t>
      </w:r>
      <w:r w:rsidR="00A15301">
        <w:t xml:space="preserve">SOEs, </w:t>
      </w:r>
      <w:r w:rsidR="0093419E">
        <w:t xml:space="preserve">with approval from the </w:t>
      </w:r>
      <w:r w:rsidR="00F056D1">
        <w:t xml:space="preserve">Government </w:t>
      </w:r>
      <w:r w:rsidR="00060C42">
        <w:t>(cabinet)</w:t>
      </w:r>
      <w:r w:rsidR="0093419E">
        <w:t xml:space="preserve">. </w:t>
      </w:r>
      <w:r w:rsidR="00060C42">
        <w:t xml:space="preserve">The Ministry of Finance </w:t>
      </w:r>
      <w:r w:rsidR="0093419E">
        <w:t xml:space="preserve">checks the legal basis for the subsidy requests and </w:t>
      </w:r>
      <w:r w:rsidR="006E1BAB">
        <w:t>the justification for the amounts requested.</w:t>
      </w:r>
      <w:r w:rsidR="007569C4">
        <w:t xml:space="preserve"> Finally, the Federal Antimonopoly Service plays an indirect role in monitoring for potential anticompetitive practices and </w:t>
      </w:r>
      <w:r w:rsidR="007D17AE">
        <w:t xml:space="preserve">has in the past championed legislation to reduce state participation in commercial entities. </w:t>
      </w:r>
    </w:p>
    <w:p w14:paraId="7746242D" w14:textId="2F0D4DB0" w:rsidR="00C700E1" w:rsidRDefault="00C700E1" w:rsidP="00C700E1">
      <w:pPr>
        <w:pStyle w:val="Heading2"/>
        <w:spacing w:after="0" w:line="240" w:lineRule="auto"/>
        <w:contextualSpacing/>
      </w:pPr>
      <w:bookmarkStart w:id="26" w:name="_Toc11219071"/>
      <w:r>
        <w:t xml:space="preserve">Data </w:t>
      </w:r>
      <w:r w:rsidR="00D452CB">
        <w:t>s</w:t>
      </w:r>
      <w:r>
        <w:t>ources</w:t>
      </w:r>
      <w:bookmarkEnd w:id="26"/>
    </w:p>
    <w:p w14:paraId="640E5680" w14:textId="77777777" w:rsidR="00C700E1" w:rsidRDefault="00C700E1" w:rsidP="00C700E1">
      <w:pPr>
        <w:tabs>
          <w:tab w:val="left" w:pos="1685"/>
        </w:tabs>
        <w:spacing w:after="0" w:line="240" w:lineRule="auto"/>
        <w:contextualSpacing/>
      </w:pPr>
    </w:p>
    <w:p w14:paraId="6F49DB9A" w14:textId="0798190E" w:rsidR="00F87CB9" w:rsidRPr="00490814" w:rsidRDefault="00176CE6" w:rsidP="00490814">
      <w:pPr>
        <w:pStyle w:val="Normal0"/>
        <w:numPr>
          <w:ilvl w:val="0"/>
          <w:numId w:val="21"/>
        </w:numPr>
        <w:spacing w:after="240" w:line="276" w:lineRule="auto"/>
        <w:ind w:left="0" w:firstLine="0"/>
        <w:jc w:val="both"/>
      </w:pPr>
      <w:r>
        <w:rPr>
          <w:b/>
          <w:bCs/>
        </w:rPr>
        <w:t xml:space="preserve">The report </w:t>
      </w:r>
      <w:r w:rsidR="002928CD" w:rsidRPr="002118E5">
        <w:rPr>
          <w:b/>
          <w:bCs/>
        </w:rPr>
        <w:t>draw</w:t>
      </w:r>
      <w:r>
        <w:rPr>
          <w:b/>
          <w:bCs/>
        </w:rPr>
        <w:t>s</w:t>
      </w:r>
      <w:r w:rsidR="002928CD" w:rsidRPr="002118E5">
        <w:rPr>
          <w:b/>
          <w:bCs/>
        </w:rPr>
        <w:t xml:space="preserve"> on </w:t>
      </w:r>
      <w:r w:rsidR="00850D3F" w:rsidRPr="002118E5">
        <w:rPr>
          <w:b/>
          <w:bCs/>
        </w:rPr>
        <w:t xml:space="preserve">five </w:t>
      </w:r>
      <w:r w:rsidR="009A071B">
        <w:rPr>
          <w:b/>
          <w:bCs/>
        </w:rPr>
        <w:t xml:space="preserve">main </w:t>
      </w:r>
      <w:r w:rsidR="00850D3F" w:rsidRPr="002118E5">
        <w:rPr>
          <w:b/>
          <w:bCs/>
        </w:rPr>
        <w:t>microlevel datasets</w:t>
      </w:r>
      <w:r w:rsidR="00451BAE">
        <w:rPr>
          <w:b/>
          <w:bCs/>
        </w:rPr>
        <w:t xml:space="preserve"> </w:t>
      </w:r>
      <w:r>
        <w:rPr>
          <w:b/>
          <w:bCs/>
        </w:rPr>
        <w:t xml:space="preserve">for its core empirical analyses </w:t>
      </w:r>
      <w:r w:rsidR="0003195E">
        <w:rPr>
          <w:b/>
          <w:bCs/>
        </w:rPr>
        <w:t>(</w:t>
      </w:r>
      <w:r w:rsidR="00ED189F" w:rsidRPr="00ED189F">
        <w:rPr>
          <w:b/>
          <w:bCs/>
        </w:rPr>
        <w:fldChar w:fldCharType="begin"/>
      </w:r>
      <w:r w:rsidR="00ED189F" w:rsidRPr="00ED189F">
        <w:rPr>
          <w:b/>
          <w:bCs/>
        </w:rPr>
        <w:instrText xml:space="preserve"> REF _Ref9378231 \h  \* MERGEFORMAT </w:instrText>
      </w:r>
      <w:r w:rsidR="00ED189F" w:rsidRPr="00ED189F">
        <w:rPr>
          <w:b/>
          <w:bCs/>
        </w:rPr>
      </w:r>
      <w:r w:rsidR="00ED189F" w:rsidRPr="00ED189F">
        <w:rPr>
          <w:b/>
          <w:bCs/>
        </w:rPr>
        <w:fldChar w:fldCharType="separate"/>
      </w:r>
      <w:r w:rsidR="00384800" w:rsidRPr="00095A1F">
        <w:rPr>
          <w:b/>
          <w:bCs/>
        </w:rPr>
        <w:t xml:space="preserve">Box 2. </w:t>
      </w:r>
      <w:r w:rsidR="00384800" w:rsidRPr="00095A1F">
        <w:rPr>
          <w:b/>
          <w:bCs/>
          <w:noProof/>
        </w:rPr>
        <w:t>1</w:t>
      </w:r>
      <w:r w:rsidR="00ED189F" w:rsidRPr="00ED189F">
        <w:rPr>
          <w:b/>
          <w:bCs/>
        </w:rPr>
        <w:fldChar w:fldCharType="end"/>
      </w:r>
      <w:r w:rsidR="0003195E">
        <w:rPr>
          <w:b/>
          <w:bCs/>
        </w:rPr>
        <w:t>)</w:t>
      </w:r>
      <w:r w:rsidR="00CF1517">
        <w:rPr>
          <w:b/>
          <w:bCs/>
        </w:rPr>
        <w:t>.</w:t>
      </w:r>
      <w:r w:rsidR="001C12E7" w:rsidRPr="002118E5">
        <w:rPr>
          <w:b/>
          <w:bCs/>
        </w:rPr>
        <w:t xml:space="preserve"> </w:t>
      </w:r>
      <w:r w:rsidR="000D2B24">
        <w:t>The datasets</w:t>
      </w:r>
      <w:r w:rsidR="00451BAE">
        <w:t xml:space="preserve"> were</w:t>
      </w:r>
      <w:r w:rsidR="00CF1517">
        <w:t xml:space="preserve"> </w:t>
      </w:r>
      <w:r w:rsidR="00CF1517" w:rsidRPr="00CF1517">
        <w:t xml:space="preserve">collected by Rosstat (national statistics agency) and </w:t>
      </w:r>
      <w:r w:rsidR="009105F9">
        <w:t xml:space="preserve">the Higher School of Economics, </w:t>
      </w:r>
      <w:r>
        <w:t>Russia</w:t>
      </w:r>
      <w:r w:rsidR="009105F9">
        <w:t>’s top economics</w:t>
      </w:r>
      <w:r>
        <w:t xml:space="preserve"> </w:t>
      </w:r>
      <w:r w:rsidR="00CF1517" w:rsidRPr="00CF1517">
        <w:t>research institute</w:t>
      </w:r>
      <w:r w:rsidR="00FA7718">
        <w:t>.</w:t>
      </w:r>
      <w:r w:rsidR="000A2DB6">
        <w:t xml:space="preserve"> </w:t>
      </w:r>
      <w:r w:rsidR="00EF3BC5">
        <w:rPr>
          <w:bCs/>
        </w:rPr>
        <w:t>The RLMS and SOW</w:t>
      </w:r>
      <w:r w:rsidR="00EF3BC5" w:rsidRPr="00D02A21">
        <w:rPr>
          <w:bCs/>
        </w:rPr>
        <w:t xml:space="preserve"> are worker surveys</w:t>
      </w:r>
      <w:r w:rsidR="00EF3BC5">
        <w:rPr>
          <w:bCs/>
        </w:rPr>
        <w:t xml:space="preserve"> which </w:t>
      </w:r>
      <w:r w:rsidR="00EF3BC5">
        <w:t xml:space="preserve">permit granular analyses of worker characteristics, employment dynamics, and job attributes, including compensation, at the individual level. They also complement each other in several ways: RLMS </w:t>
      </w:r>
      <w:r w:rsidR="006F2870">
        <w:t xml:space="preserve">is a panel dataset with </w:t>
      </w:r>
      <w:r w:rsidR="00C603AF">
        <w:t xml:space="preserve">self-reported </w:t>
      </w:r>
      <w:r w:rsidR="00EF3BC5">
        <w:t>wage data</w:t>
      </w:r>
      <w:r w:rsidR="006F2870">
        <w:t>,</w:t>
      </w:r>
      <w:r w:rsidR="00EF3BC5">
        <w:t xml:space="preserve"> while SOW</w:t>
      </w:r>
      <w:r w:rsidR="006F2870">
        <w:t xml:space="preserve"> is a cross-section dataset representative at the regional level, with wage data</w:t>
      </w:r>
      <w:r w:rsidR="00EF3BC5">
        <w:t xml:space="preserve"> from administrative payroll records.</w:t>
      </w:r>
      <w:r w:rsidR="00EF3BC5">
        <w:rPr>
          <w:bCs/>
        </w:rPr>
        <w:t xml:space="preserve"> The </w:t>
      </w:r>
      <w:r w:rsidR="0064274D">
        <w:rPr>
          <w:bCs/>
        </w:rPr>
        <w:t xml:space="preserve">IIELM </w:t>
      </w:r>
      <w:r w:rsidR="00EF3BC5">
        <w:rPr>
          <w:bCs/>
        </w:rPr>
        <w:t xml:space="preserve">and </w:t>
      </w:r>
      <w:proofErr w:type="spellStart"/>
      <w:r w:rsidR="00EF3BC5">
        <w:rPr>
          <w:bCs/>
        </w:rPr>
        <w:t>RuFiGE</w:t>
      </w:r>
      <w:proofErr w:type="spellEnd"/>
      <w:r w:rsidR="00EF3BC5">
        <w:rPr>
          <w:bCs/>
        </w:rPr>
        <w:t xml:space="preserve"> are </w:t>
      </w:r>
      <w:r w:rsidR="00EF3BC5" w:rsidRPr="00EF3BC5">
        <w:rPr>
          <w:bCs/>
        </w:rPr>
        <w:t>firm-level surveys</w:t>
      </w:r>
      <w:r w:rsidR="00EF3BC5">
        <w:rPr>
          <w:bCs/>
        </w:rPr>
        <w:t xml:space="preserve"> that are used for </w:t>
      </w:r>
      <w:r w:rsidR="00EF3BC5" w:rsidRPr="00EF3BC5">
        <w:rPr>
          <w:bCs/>
        </w:rPr>
        <w:t>capturing firm-level characteristics of interest such as management practices, overall employment, wage bill, state support, and skill shortages, which cannot be elicited from worker surveys.</w:t>
      </w:r>
      <w:r w:rsidR="00EF3BC5">
        <w:rPr>
          <w:bCs/>
        </w:rPr>
        <w:t xml:space="preserve"> </w:t>
      </w:r>
      <w:r w:rsidR="00EF3BC5" w:rsidRPr="00BF06EE">
        <w:rPr>
          <w:bCs/>
        </w:rPr>
        <w:t xml:space="preserve">Finally, the Ruslana is </w:t>
      </w:r>
      <w:r w:rsidR="00EF3BC5" w:rsidRPr="00D02A21">
        <w:rPr>
          <w:bCs/>
        </w:rPr>
        <w:t>a firm registry containing administrative financial and tax data for almost 10 million Russian firms</w:t>
      </w:r>
      <w:r w:rsidR="00EF3BC5" w:rsidRPr="00BF06EE">
        <w:t xml:space="preserve">. The advantage of this dataset is its precise measures of firm performance and detail on firm ownership, including indirect state ownership. We exploit this dataset for descriptive comparisons of SOE and non-SOE firm performance. We also connect it (using unique firm tax ID) to one of the firm surveys to refine that survey’s measures of firm ownership and performance. </w:t>
      </w:r>
      <w:r w:rsidR="003D3142" w:rsidRPr="00BF06EE">
        <w:t>A more detailed description of the data is provided in Annex A.</w:t>
      </w:r>
    </w:p>
    <w:tbl>
      <w:tblPr>
        <w:tblStyle w:val="TableGrid0"/>
        <w:tblW w:w="0" w:type="auto"/>
        <w:shd w:val="clear" w:color="auto" w:fill="FFFFCC"/>
        <w:tblLook w:val="04A0" w:firstRow="1" w:lastRow="0" w:firstColumn="1" w:lastColumn="0" w:noHBand="0" w:noVBand="1"/>
      </w:tblPr>
      <w:tblGrid>
        <w:gridCol w:w="9389"/>
      </w:tblGrid>
      <w:tr w:rsidR="009E553E" w14:paraId="14AB85B5" w14:textId="77777777" w:rsidTr="00DE6A06">
        <w:tc>
          <w:tcPr>
            <w:tcW w:w="9389" w:type="dxa"/>
            <w:shd w:val="clear" w:color="auto" w:fill="538135" w:themeFill="accent6" w:themeFillShade="BF"/>
          </w:tcPr>
          <w:p w14:paraId="7FA91585" w14:textId="49D2275E" w:rsidR="009E553E" w:rsidRPr="005E0B72" w:rsidRDefault="0055066F" w:rsidP="001F2ADF">
            <w:pPr>
              <w:pStyle w:val="Box"/>
            </w:pPr>
            <w:bookmarkStart w:id="27" w:name="_Ref9378231"/>
            <w:bookmarkStart w:id="28" w:name="_Toc11259376"/>
            <w:bookmarkStart w:id="29" w:name="_Hlk9104965"/>
            <w:r>
              <w:t>Box</w:t>
            </w:r>
            <w:r w:rsidR="005E0B72" w:rsidRPr="005E0B72">
              <w:t xml:space="preserve"> 2. </w:t>
            </w:r>
            <w:r w:rsidR="003E2A9E">
              <w:rPr>
                <w:noProof/>
              </w:rPr>
              <w:fldChar w:fldCharType="begin"/>
            </w:r>
            <w:r w:rsidR="003E2A9E">
              <w:rPr>
                <w:noProof/>
              </w:rPr>
              <w:instrText xml:space="preserve"> SEQ Box_2. \* ARABIC </w:instrText>
            </w:r>
            <w:r w:rsidR="003E2A9E">
              <w:rPr>
                <w:noProof/>
              </w:rPr>
              <w:fldChar w:fldCharType="separate"/>
            </w:r>
            <w:r w:rsidR="0036740A">
              <w:rPr>
                <w:noProof/>
              </w:rPr>
              <w:t>1</w:t>
            </w:r>
            <w:r w:rsidR="003E2A9E">
              <w:rPr>
                <w:noProof/>
              </w:rPr>
              <w:fldChar w:fldCharType="end"/>
            </w:r>
            <w:bookmarkEnd w:id="27"/>
            <w:r w:rsidR="005E0B72" w:rsidRPr="005E0B72">
              <w:t xml:space="preserve"> </w:t>
            </w:r>
            <w:r w:rsidR="009E553E" w:rsidRPr="00062DE8">
              <w:t>Main microlevel data sources used in the study</w:t>
            </w:r>
            <w:bookmarkEnd w:id="28"/>
          </w:p>
        </w:tc>
      </w:tr>
      <w:tr w:rsidR="009E553E" w14:paraId="13F131E5" w14:textId="77777777" w:rsidTr="00DE6A06">
        <w:tc>
          <w:tcPr>
            <w:tcW w:w="9389" w:type="dxa"/>
            <w:shd w:val="clear" w:color="auto" w:fill="FFF8E5"/>
          </w:tcPr>
          <w:p w14:paraId="1874CE89" w14:textId="77777777" w:rsidR="00BB3046" w:rsidRPr="00052627" w:rsidRDefault="00BB3046" w:rsidP="00BB3046">
            <w:pPr>
              <w:spacing w:after="0" w:line="240" w:lineRule="auto"/>
              <w:rPr>
                <w:b/>
                <w:bCs/>
                <w:sz w:val="12"/>
                <w:szCs w:val="12"/>
              </w:rPr>
            </w:pPr>
          </w:p>
          <w:p w14:paraId="133523EF" w14:textId="722C756D" w:rsidR="009E553E" w:rsidRPr="00572825" w:rsidRDefault="009E553E" w:rsidP="00DE6A06">
            <w:pPr>
              <w:spacing w:after="120" w:line="240" w:lineRule="auto"/>
              <w:rPr>
                <w:sz w:val="20"/>
                <w:szCs w:val="20"/>
              </w:rPr>
            </w:pPr>
            <w:r w:rsidRPr="00572825">
              <w:rPr>
                <w:b/>
                <w:bCs/>
                <w:sz w:val="20"/>
                <w:szCs w:val="20"/>
              </w:rPr>
              <w:t>Russia Longitudinal Monitoring Survey / RLMS (Higher School of Economics)</w:t>
            </w:r>
            <w:r w:rsidRPr="00572825">
              <w:rPr>
                <w:sz w:val="20"/>
                <w:szCs w:val="20"/>
              </w:rPr>
              <w:t xml:space="preserve">, </w:t>
            </w:r>
            <w:r w:rsidR="00B25599">
              <w:rPr>
                <w:sz w:val="20"/>
                <w:szCs w:val="20"/>
              </w:rPr>
              <w:t xml:space="preserve">annual </w:t>
            </w:r>
            <w:r w:rsidRPr="00572825">
              <w:rPr>
                <w:sz w:val="20"/>
                <w:szCs w:val="20"/>
              </w:rPr>
              <w:t>panel 199</w:t>
            </w:r>
            <w:r w:rsidR="00B25599">
              <w:rPr>
                <w:sz w:val="20"/>
                <w:szCs w:val="20"/>
              </w:rPr>
              <w:t>4</w:t>
            </w:r>
            <w:r w:rsidRPr="00572825">
              <w:rPr>
                <w:sz w:val="20"/>
                <w:szCs w:val="20"/>
              </w:rPr>
              <w:t xml:space="preserve">-2017, sample of 10000 adults, nationally representative, may partially capture indirect state ownership, only formal sector workers included in analyses; </w:t>
            </w:r>
          </w:p>
          <w:p w14:paraId="78B03D9F" w14:textId="24EAC8B2" w:rsidR="009E553E" w:rsidRPr="00572825" w:rsidRDefault="009E553E" w:rsidP="00DE6A06">
            <w:pPr>
              <w:spacing w:after="120" w:line="240" w:lineRule="auto"/>
              <w:rPr>
                <w:sz w:val="20"/>
                <w:szCs w:val="20"/>
              </w:rPr>
            </w:pPr>
            <w:r w:rsidRPr="00572825">
              <w:rPr>
                <w:b/>
                <w:bCs/>
                <w:sz w:val="20"/>
                <w:szCs w:val="20"/>
              </w:rPr>
              <w:t>Survey of Occupational Wages / SOW (Rosstat)</w:t>
            </w:r>
            <w:r w:rsidRPr="00572825">
              <w:rPr>
                <w:sz w:val="20"/>
                <w:szCs w:val="20"/>
              </w:rPr>
              <w:t>, bi-annual cross-section 2005-2015, two-stage sample of firms and 700000 (formal sector) workers, all sectors excluding finance &amp; agriculture sectors, includes all size firms but representative for medium-large, only direct ownership captured, wage information from firms’ payroll</w:t>
            </w:r>
            <w:r w:rsidR="006C4B99">
              <w:rPr>
                <w:sz w:val="20"/>
                <w:szCs w:val="20"/>
              </w:rPr>
              <w:t xml:space="preserve">; </w:t>
            </w:r>
            <w:r w:rsidR="00C87B0C">
              <w:rPr>
                <w:sz w:val="20"/>
                <w:szCs w:val="20"/>
              </w:rPr>
              <w:t xml:space="preserve">SOE workers are </w:t>
            </w:r>
            <w:r w:rsidR="006C4B99">
              <w:rPr>
                <w:sz w:val="20"/>
                <w:szCs w:val="20"/>
              </w:rPr>
              <w:t xml:space="preserve">20 percent of </w:t>
            </w:r>
            <w:r w:rsidR="00EB0F39">
              <w:rPr>
                <w:sz w:val="20"/>
                <w:szCs w:val="20"/>
              </w:rPr>
              <w:t xml:space="preserve">2015 </w:t>
            </w:r>
            <w:r w:rsidR="00C87B0C">
              <w:rPr>
                <w:sz w:val="20"/>
                <w:szCs w:val="20"/>
              </w:rPr>
              <w:t xml:space="preserve">sample </w:t>
            </w:r>
            <w:r w:rsidR="00EB0F39">
              <w:rPr>
                <w:sz w:val="20"/>
                <w:szCs w:val="20"/>
              </w:rPr>
              <w:t xml:space="preserve">(30 percent of 2005 sample) </w:t>
            </w:r>
            <w:r w:rsidR="002E08EC">
              <w:rPr>
                <w:sz w:val="20"/>
                <w:szCs w:val="20"/>
              </w:rPr>
              <w:t xml:space="preserve">and of these </w:t>
            </w:r>
            <w:r w:rsidR="00EB0F39">
              <w:rPr>
                <w:sz w:val="20"/>
                <w:szCs w:val="20"/>
              </w:rPr>
              <w:t xml:space="preserve">36 </w:t>
            </w:r>
            <w:r w:rsidR="002E08EC">
              <w:rPr>
                <w:sz w:val="20"/>
                <w:szCs w:val="20"/>
              </w:rPr>
              <w:t xml:space="preserve">percent in mixed SOEs and 64 percent </w:t>
            </w:r>
            <w:r w:rsidR="00C77160">
              <w:rPr>
                <w:sz w:val="20"/>
                <w:szCs w:val="20"/>
              </w:rPr>
              <w:t xml:space="preserve">in </w:t>
            </w:r>
            <w:r w:rsidR="002E08EC">
              <w:rPr>
                <w:sz w:val="20"/>
                <w:szCs w:val="20"/>
              </w:rPr>
              <w:t xml:space="preserve">state </w:t>
            </w:r>
            <w:r w:rsidR="00C87B0C">
              <w:rPr>
                <w:sz w:val="20"/>
                <w:szCs w:val="20"/>
              </w:rPr>
              <w:t>SOEs</w:t>
            </w:r>
            <w:r w:rsidRPr="00572825">
              <w:rPr>
                <w:sz w:val="20"/>
                <w:szCs w:val="20"/>
              </w:rPr>
              <w:t xml:space="preserve">; </w:t>
            </w:r>
          </w:p>
          <w:p w14:paraId="1C38E6A3" w14:textId="2EA1D933" w:rsidR="009E553E" w:rsidRPr="00572825" w:rsidRDefault="009E553E" w:rsidP="00DE6A06">
            <w:pPr>
              <w:spacing w:after="120" w:line="240" w:lineRule="auto"/>
              <w:rPr>
                <w:sz w:val="20"/>
                <w:szCs w:val="20"/>
              </w:rPr>
            </w:pPr>
            <w:r w:rsidRPr="00572825">
              <w:rPr>
                <w:b/>
                <w:bCs/>
                <w:sz w:val="20"/>
                <w:szCs w:val="20"/>
              </w:rPr>
              <w:t xml:space="preserve">Survey of Interaction of Internal and External Labor Markets / </w:t>
            </w:r>
            <w:r w:rsidR="00D36A66">
              <w:rPr>
                <w:b/>
                <w:bCs/>
                <w:sz w:val="20"/>
                <w:szCs w:val="20"/>
              </w:rPr>
              <w:t>IIELM</w:t>
            </w:r>
            <w:r w:rsidRPr="00572825">
              <w:rPr>
                <w:b/>
                <w:bCs/>
                <w:sz w:val="20"/>
                <w:szCs w:val="20"/>
              </w:rPr>
              <w:t xml:space="preserve"> (HSE)</w:t>
            </w:r>
            <w:r w:rsidRPr="00572825">
              <w:rPr>
                <w:sz w:val="20"/>
                <w:szCs w:val="20"/>
              </w:rPr>
              <w:t>, cross-section 2017, 15</w:t>
            </w:r>
            <w:r w:rsidR="00521BB5" w:rsidRPr="00572825">
              <w:rPr>
                <w:sz w:val="20"/>
                <w:szCs w:val="20"/>
              </w:rPr>
              <w:t xml:space="preserve">40 </w:t>
            </w:r>
            <w:r w:rsidRPr="00572825">
              <w:rPr>
                <w:sz w:val="20"/>
                <w:szCs w:val="20"/>
              </w:rPr>
              <w:t>firms, direct &amp; indirect state ownership (from Ruslana, dataset connected using tax ID)</w:t>
            </w:r>
            <w:r w:rsidR="006C783F" w:rsidRPr="00572825">
              <w:rPr>
                <w:sz w:val="20"/>
                <w:szCs w:val="20"/>
              </w:rPr>
              <w:t>, 229</w:t>
            </w:r>
            <w:r w:rsidR="00635ED9" w:rsidRPr="00572825">
              <w:rPr>
                <w:sz w:val="20"/>
                <w:szCs w:val="20"/>
              </w:rPr>
              <w:t xml:space="preserve"> SOEs in sample</w:t>
            </w:r>
            <w:r w:rsidRPr="00572825">
              <w:rPr>
                <w:sz w:val="20"/>
                <w:szCs w:val="20"/>
              </w:rPr>
              <w:t xml:space="preserve">; </w:t>
            </w:r>
          </w:p>
          <w:p w14:paraId="4DF4C804" w14:textId="34E58432" w:rsidR="009E553E" w:rsidRPr="00572825" w:rsidRDefault="009E553E" w:rsidP="00DE6A06">
            <w:pPr>
              <w:spacing w:after="120" w:line="240" w:lineRule="auto"/>
              <w:rPr>
                <w:sz w:val="20"/>
                <w:szCs w:val="20"/>
              </w:rPr>
            </w:pPr>
            <w:r w:rsidRPr="00572825">
              <w:rPr>
                <w:b/>
                <w:bCs/>
                <w:sz w:val="20"/>
                <w:szCs w:val="20"/>
              </w:rPr>
              <w:t xml:space="preserve">Russian Firms in the Global Economy / </w:t>
            </w:r>
            <w:proofErr w:type="spellStart"/>
            <w:r w:rsidRPr="00572825">
              <w:rPr>
                <w:b/>
                <w:bCs/>
                <w:sz w:val="20"/>
                <w:szCs w:val="20"/>
              </w:rPr>
              <w:t>RuFiGE</w:t>
            </w:r>
            <w:proofErr w:type="spellEnd"/>
            <w:r w:rsidRPr="00572825">
              <w:rPr>
                <w:b/>
                <w:bCs/>
                <w:sz w:val="20"/>
                <w:szCs w:val="20"/>
              </w:rPr>
              <w:t xml:space="preserve"> (HSE)</w:t>
            </w:r>
            <w:r w:rsidRPr="00572825">
              <w:rPr>
                <w:sz w:val="20"/>
                <w:szCs w:val="20"/>
              </w:rPr>
              <w:t xml:space="preserve">, </w:t>
            </w:r>
            <w:r w:rsidR="00635ED9" w:rsidRPr="00572825">
              <w:rPr>
                <w:sz w:val="20"/>
                <w:szCs w:val="20"/>
              </w:rPr>
              <w:t xml:space="preserve">cross-section </w:t>
            </w:r>
            <w:r w:rsidR="0034420D" w:rsidRPr="00572825">
              <w:rPr>
                <w:sz w:val="20"/>
                <w:szCs w:val="20"/>
              </w:rPr>
              <w:t>2014,</w:t>
            </w:r>
            <w:r w:rsidR="0034420D" w:rsidRPr="00572825">
              <w:rPr>
                <w:rStyle w:val="FootnoteReference"/>
                <w:sz w:val="20"/>
                <w:szCs w:val="20"/>
              </w:rPr>
              <w:footnoteReference w:id="10"/>
            </w:r>
            <w:r w:rsidR="0034420D" w:rsidRPr="00572825">
              <w:rPr>
                <w:sz w:val="20"/>
                <w:szCs w:val="20"/>
              </w:rPr>
              <w:t xml:space="preserve"> </w:t>
            </w:r>
            <w:r w:rsidRPr="00572825">
              <w:rPr>
                <w:sz w:val="20"/>
                <w:szCs w:val="20"/>
              </w:rPr>
              <w:t>1</w:t>
            </w:r>
            <w:r w:rsidR="006F7844" w:rsidRPr="00572825">
              <w:rPr>
                <w:sz w:val="20"/>
                <w:szCs w:val="20"/>
              </w:rPr>
              <w:t xml:space="preserve">950 </w:t>
            </w:r>
            <w:r w:rsidRPr="00572825">
              <w:rPr>
                <w:sz w:val="20"/>
                <w:szCs w:val="20"/>
              </w:rPr>
              <w:t xml:space="preserve">firms, direct ownership only, </w:t>
            </w:r>
            <w:r w:rsidR="00635ED9" w:rsidRPr="00572825">
              <w:rPr>
                <w:sz w:val="20"/>
                <w:szCs w:val="20"/>
              </w:rPr>
              <w:t>78 SOEs in sample</w:t>
            </w:r>
            <w:r w:rsidRPr="00572825">
              <w:rPr>
                <w:sz w:val="20"/>
                <w:szCs w:val="20"/>
              </w:rPr>
              <w:t>;</w:t>
            </w:r>
          </w:p>
          <w:p w14:paraId="596460DA" w14:textId="42C3E0F6" w:rsidR="009E553E" w:rsidRDefault="009E553E" w:rsidP="00DE6A06">
            <w:pPr>
              <w:spacing w:after="120" w:line="240" w:lineRule="auto"/>
              <w:rPr>
                <w:sz w:val="20"/>
                <w:szCs w:val="20"/>
              </w:rPr>
            </w:pPr>
            <w:r w:rsidRPr="00572825">
              <w:rPr>
                <w:b/>
                <w:bCs/>
                <w:sz w:val="20"/>
                <w:szCs w:val="20"/>
              </w:rPr>
              <w:t>Ruslana</w:t>
            </w:r>
            <w:r w:rsidRPr="00572825">
              <w:rPr>
                <w:sz w:val="20"/>
                <w:szCs w:val="20"/>
              </w:rPr>
              <w:t>, administrative register (</w:t>
            </w:r>
            <w:r w:rsidRPr="00572825">
              <w:rPr>
                <w:b/>
                <w:bCs/>
                <w:sz w:val="20"/>
                <w:szCs w:val="20"/>
              </w:rPr>
              <w:t>Bureau Van Dyck, originally</w:t>
            </w:r>
            <w:r w:rsidRPr="00572825">
              <w:rPr>
                <w:sz w:val="20"/>
                <w:szCs w:val="20"/>
              </w:rPr>
              <w:t xml:space="preserve"> </w:t>
            </w:r>
            <w:r w:rsidRPr="00572825">
              <w:rPr>
                <w:b/>
                <w:bCs/>
                <w:sz w:val="20"/>
                <w:szCs w:val="20"/>
              </w:rPr>
              <w:t>Rosstat</w:t>
            </w:r>
            <w:r w:rsidRPr="00572825">
              <w:rPr>
                <w:sz w:val="20"/>
                <w:szCs w:val="20"/>
              </w:rPr>
              <w:t xml:space="preserve"> / financial-tax records)</w:t>
            </w:r>
            <w:r w:rsidR="0017113A" w:rsidRPr="00572825">
              <w:rPr>
                <w:sz w:val="20"/>
                <w:szCs w:val="20"/>
              </w:rPr>
              <w:t>, 2013-</w:t>
            </w:r>
            <w:r w:rsidR="00495A4B" w:rsidRPr="00572825">
              <w:rPr>
                <w:sz w:val="20"/>
                <w:szCs w:val="20"/>
              </w:rPr>
              <w:t>present</w:t>
            </w:r>
            <w:r w:rsidR="0017113A" w:rsidRPr="00572825">
              <w:rPr>
                <w:sz w:val="20"/>
                <w:szCs w:val="20"/>
              </w:rPr>
              <w:t xml:space="preserve">, updated </w:t>
            </w:r>
            <w:proofErr w:type="gramStart"/>
            <w:r w:rsidR="0017113A" w:rsidRPr="00572825">
              <w:rPr>
                <w:sz w:val="20"/>
                <w:szCs w:val="20"/>
              </w:rPr>
              <w:t>quarterly ,</w:t>
            </w:r>
            <w:proofErr w:type="gramEnd"/>
            <w:r w:rsidRPr="00572825">
              <w:rPr>
                <w:sz w:val="20"/>
                <w:szCs w:val="20"/>
              </w:rPr>
              <w:t xml:space="preserve"> ~ 10 million firms.</w:t>
            </w:r>
          </w:p>
          <w:p w14:paraId="6F9A11CF" w14:textId="70582A8E" w:rsidR="00945D18" w:rsidRPr="00486520" w:rsidRDefault="00945D18" w:rsidP="00DE6A06">
            <w:pPr>
              <w:spacing w:after="120" w:line="240" w:lineRule="auto"/>
              <w:rPr>
                <w:i/>
                <w:iCs/>
                <w:sz w:val="20"/>
                <w:szCs w:val="20"/>
              </w:rPr>
            </w:pPr>
            <w:r w:rsidRPr="00486520">
              <w:rPr>
                <w:i/>
                <w:iCs/>
                <w:sz w:val="20"/>
                <w:szCs w:val="20"/>
              </w:rPr>
              <w:t>See Annex A</w:t>
            </w:r>
            <w:r w:rsidR="003B3B68" w:rsidRPr="00486520">
              <w:rPr>
                <w:i/>
                <w:iCs/>
                <w:sz w:val="20"/>
                <w:szCs w:val="20"/>
              </w:rPr>
              <w:t xml:space="preserve"> for </w:t>
            </w:r>
            <w:r w:rsidR="003B3B68">
              <w:rPr>
                <w:i/>
                <w:iCs/>
                <w:sz w:val="20"/>
                <w:szCs w:val="20"/>
              </w:rPr>
              <w:t xml:space="preserve">further </w:t>
            </w:r>
            <w:r w:rsidR="003B3B68" w:rsidRPr="00486520">
              <w:rPr>
                <w:i/>
                <w:iCs/>
                <w:sz w:val="20"/>
                <w:szCs w:val="20"/>
              </w:rPr>
              <w:t>details</w:t>
            </w:r>
            <w:r w:rsidR="003B3B68">
              <w:rPr>
                <w:i/>
                <w:iCs/>
                <w:sz w:val="20"/>
                <w:szCs w:val="20"/>
              </w:rPr>
              <w:t xml:space="preserve"> on the sources</w:t>
            </w:r>
            <w:r w:rsidR="003B3B68" w:rsidRPr="00486520">
              <w:rPr>
                <w:i/>
                <w:iCs/>
                <w:sz w:val="20"/>
                <w:szCs w:val="20"/>
              </w:rPr>
              <w:t>.</w:t>
            </w:r>
          </w:p>
          <w:p w14:paraId="42AA2243" w14:textId="7AE47451" w:rsidR="00052627" w:rsidRPr="00052627" w:rsidRDefault="00052627" w:rsidP="00052627">
            <w:pPr>
              <w:spacing w:after="0" w:line="240" w:lineRule="auto"/>
              <w:rPr>
                <w:sz w:val="12"/>
                <w:szCs w:val="12"/>
              </w:rPr>
            </w:pPr>
            <w:r w:rsidRPr="00052627">
              <w:rPr>
                <w:sz w:val="12"/>
                <w:szCs w:val="12"/>
              </w:rPr>
              <w:t xml:space="preserve"> </w:t>
            </w:r>
          </w:p>
        </w:tc>
      </w:tr>
      <w:bookmarkEnd w:id="29"/>
    </w:tbl>
    <w:p w14:paraId="3E5C7EEC" w14:textId="77777777" w:rsidR="009E553E" w:rsidRDefault="009E553E" w:rsidP="00FE278B">
      <w:pPr>
        <w:tabs>
          <w:tab w:val="left" w:pos="1685"/>
        </w:tabs>
        <w:spacing w:after="0" w:line="240" w:lineRule="auto"/>
        <w:contextualSpacing/>
        <w:rPr>
          <w:b/>
          <w:bCs/>
        </w:rPr>
      </w:pPr>
    </w:p>
    <w:p w14:paraId="58CA1226" w14:textId="7F18E85A" w:rsidR="00574799" w:rsidRDefault="003A34B2" w:rsidP="00574799">
      <w:pPr>
        <w:pStyle w:val="Normal0"/>
        <w:numPr>
          <w:ilvl w:val="0"/>
          <w:numId w:val="21"/>
        </w:numPr>
        <w:spacing w:after="240" w:line="276" w:lineRule="auto"/>
        <w:ind w:left="0" w:firstLine="0"/>
        <w:jc w:val="both"/>
      </w:pPr>
      <w:r w:rsidRPr="00D02A21">
        <w:rPr>
          <w:b/>
        </w:rPr>
        <w:t>We also draw on the World Management Survey and Enterprise Surveys</w:t>
      </w:r>
      <w:r>
        <w:t xml:space="preserve"> t</w:t>
      </w:r>
      <w:r w:rsidR="00574799">
        <w:t xml:space="preserve">o show how Russian companies compare to peers in other countries on various dimensions, as well as </w:t>
      </w:r>
      <w:r>
        <w:t>other</w:t>
      </w:r>
      <w:r w:rsidR="00574799">
        <w:t xml:space="preserve"> aggregated cross-country datasets, including </w:t>
      </w:r>
      <w:r>
        <w:t xml:space="preserve">an </w:t>
      </w:r>
      <w:r w:rsidR="00574799">
        <w:t xml:space="preserve">OECD dataset on the size and sectoral composition of national state-owned enterprise sectors. </w:t>
      </w:r>
    </w:p>
    <w:p w14:paraId="5984A9BD" w14:textId="1836C713" w:rsidR="00EB2E17" w:rsidRDefault="00212E2A" w:rsidP="00C700E1">
      <w:pPr>
        <w:pStyle w:val="Heading2"/>
        <w:spacing w:after="0" w:line="240" w:lineRule="auto"/>
        <w:contextualSpacing/>
        <w:jc w:val="left"/>
      </w:pPr>
      <w:bookmarkStart w:id="30" w:name="_Toc11219072"/>
      <w:r>
        <w:t xml:space="preserve">Sizing the </w:t>
      </w:r>
      <w:r w:rsidR="0098600B">
        <w:t>Russian SOE sector</w:t>
      </w:r>
      <w:bookmarkEnd w:id="30"/>
    </w:p>
    <w:p w14:paraId="2386D590" w14:textId="34E7852A" w:rsidR="00EB2E17" w:rsidRDefault="00EB2E17" w:rsidP="00C700E1">
      <w:pPr>
        <w:spacing w:after="0" w:line="240" w:lineRule="auto"/>
        <w:contextualSpacing/>
        <w:rPr>
          <w:lang w:eastAsia="en-US"/>
        </w:rPr>
      </w:pPr>
    </w:p>
    <w:p w14:paraId="5FA8DAE4" w14:textId="099EE259" w:rsidR="00FF35A6" w:rsidRPr="00315138" w:rsidRDefault="00413673" w:rsidP="00D02A21">
      <w:pPr>
        <w:pStyle w:val="Normal0"/>
        <w:numPr>
          <w:ilvl w:val="0"/>
          <w:numId w:val="21"/>
        </w:numPr>
        <w:spacing w:after="240" w:line="276" w:lineRule="auto"/>
        <w:ind w:left="0" w:firstLine="0"/>
        <w:jc w:val="both"/>
        <w:rPr>
          <w:b/>
          <w:bCs/>
        </w:rPr>
      </w:pPr>
      <w:r>
        <w:rPr>
          <w:b/>
          <w:bCs/>
        </w:rPr>
        <w:t xml:space="preserve">How large is the Russian SOE sector? </w:t>
      </w:r>
      <w:r>
        <w:t>T</w:t>
      </w:r>
      <w:r w:rsidR="00315138" w:rsidRPr="00776020">
        <w:t>he sector</w:t>
      </w:r>
      <w:r w:rsidR="006C66D1" w:rsidRPr="00776020">
        <w:t xml:space="preserve">’s footprint was always </w:t>
      </w:r>
      <w:r>
        <w:t xml:space="preserve">substantial but </w:t>
      </w:r>
      <w:r w:rsidR="00026A60">
        <w:t xml:space="preserve">has </w:t>
      </w:r>
      <w:r w:rsidR="009277E0">
        <w:t>seen many fluctuations</w:t>
      </w:r>
      <w:r w:rsidR="00B77A63">
        <w:t xml:space="preserve"> over the last thirty years</w:t>
      </w:r>
      <w:r w:rsidR="009277E0">
        <w:t xml:space="preserve">. From the Soviet period, when it encompassed the country’s </w:t>
      </w:r>
      <w:r w:rsidR="009277E0" w:rsidRPr="008F527C">
        <w:rPr>
          <w:i/>
          <w:iCs/>
        </w:rPr>
        <w:t>entire</w:t>
      </w:r>
      <w:r w:rsidR="009277E0">
        <w:t xml:space="preserve"> economic activity and labor force</w:t>
      </w:r>
      <w:r w:rsidR="008F527C">
        <w:t>,</w:t>
      </w:r>
      <w:r w:rsidR="009277E0">
        <w:t xml:space="preserve"> </w:t>
      </w:r>
      <w:r w:rsidR="00B77A63">
        <w:t xml:space="preserve">the </w:t>
      </w:r>
      <w:r w:rsidR="008F527C">
        <w:t xml:space="preserve">sector shrunk rapidly </w:t>
      </w:r>
      <w:r w:rsidR="004249A6" w:rsidRPr="00776020">
        <w:t>under rapid privatization policies</w:t>
      </w:r>
      <w:r w:rsidR="008F527C">
        <w:t xml:space="preserve"> in the </w:t>
      </w:r>
      <w:proofErr w:type="gramStart"/>
      <w:r w:rsidR="008F527C">
        <w:t>1990s</w:t>
      </w:r>
      <w:r w:rsidR="004249A6" w:rsidRPr="00776020">
        <w:t xml:space="preserve">, </w:t>
      </w:r>
      <w:r w:rsidR="00B77A63">
        <w:t>and</w:t>
      </w:r>
      <w:proofErr w:type="gramEnd"/>
      <w:r w:rsidR="00B77A63">
        <w:t xml:space="preserve"> </w:t>
      </w:r>
      <w:r w:rsidR="008F527C">
        <w:t xml:space="preserve">expanded quickly again </w:t>
      </w:r>
      <w:r w:rsidR="00AD55BA" w:rsidRPr="00776020">
        <w:t xml:space="preserve">in the 2000s </w:t>
      </w:r>
      <w:r w:rsidR="00517EB4">
        <w:t xml:space="preserve">when the </w:t>
      </w:r>
      <w:r w:rsidR="005A7C5C" w:rsidRPr="00776020">
        <w:t xml:space="preserve">government </w:t>
      </w:r>
      <w:r w:rsidR="00517EB4">
        <w:t xml:space="preserve">decided to </w:t>
      </w:r>
      <w:r w:rsidR="005A7C5C" w:rsidRPr="00776020">
        <w:t xml:space="preserve">recover control </w:t>
      </w:r>
      <w:r w:rsidR="00FF35A6" w:rsidRPr="00776020">
        <w:t>(</w:t>
      </w:r>
      <w:proofErr w:type="spellStart"/>
      <w:r w:rsidR="00FF35A6" w:rsidRPr="00776020">
        <w:t>Chernykh</w:t>
      </w:r>
      <w:proofErr w:type="spellEnd"/>
      <w:r w:rsidR="00FF35A6" w:rsidRPr="00776020">
        <w:t xml:space="preserve">, 2011). </w:t>
      </w:r>
      <w:r w:rsidR="00AC3378" w:rsidRPr="00776020">
        <w:t>By the mid-2000s, t</w:t>
      </w:r>
      <w:r w:rsidR="00594C86" w:rsidRPr="00776020">
        <w:t xml:space="preserve">he state </w:t>
      </w:r>
      <w:r w:rsidR="00AC3378" w:rsidRPr="00776020">
        <w:t xml:space="preserve">had </w:t>
      </w:r>
      <w:r w:rsidR="00776020" w:rsidRPr="00776020">
        <w:t xml:space="preserve">re-assembled </w:t>
      </w:r>
      <w:r w:rsidR="00594C86" w:rsidRPr="00776020">
        <w:t xml:space="preserve">substantial stakes in formerly privatized companies </w:t>
      </w:r>
      <w:r w:rsidR="006A15B3" w:rsidRPr="00776020">
        <w:t xml:space="preserve">and </w:t>
      </w:r>
      <w:r w:rsidR="00071704" w:rsidRPr="00776020">
        <w:t xml:space="preserve">strategic </w:t>
      </w:r>
      <w:r w:rsidR="0003292C" w:rsidRPr="00776020">
        <w:t>sectors</w:t>
      </w:r>
      <w:r w:rsidR="00776020">
        <w:t xml:space="preserve"> </w:t>
      </w:r>
      <w:r w:rsidR="00FF35A6" w:rsidRPr="00776020">
        <w:t>(</w:t>
      </w:r>
      <w:proofErr w:type="spellStart"/>
      <w:r w:rsidR="00FF35A6" w:rsidRPr="00776020">
        <w:t>Grosman</w:t>
      </w:r>
      <w:proofErr w:type="spellEnd"/>
      <w:r w:rsidR="00367878" w:rsidRPr="00776020">
        <w:t xml:space="preserve"> et al </w:t>
      </w:r>
      <w:r w:rsidR="00FF35A6" w:rsidRPr="00776020">
        <w:t>2016).</w:t>
      </w:r>
      <w:r w:rsidR="00FF35A6" w:rsidRPr="00885336">
        <w:t xml:space="preserve"> </w:t>
      </w:r>
      <w:r w:rsidR="007571F0">
        <w:t xml:space="preserve">Today the state is not </w:t>
      </w:r>
      <w:r w:rsidR="00C731C1">
        <w:t xml:space="preserve">only </w:t>
      </w:r>
      <w:r w:rsidR="007571F0">
        <w:t xml:space="preserve">holding on to </w:t>
      </w:r>
      <w:r w:rsidR="0043541A">
        <w:t xml:space="preserve">old companies but </w:t>
      </w:r>
      <w:r w:rsidR="00C731C1">
        <w:t xml:space="preserve">also establishing </w:t>
      </w:r>
      <w:r w:rsidR="00867404">
        <w:t>new SOEs</w:t>
      </w:r>
      <w:r w:rsidR="0059474F">
        <w:t xml:space="preserve">, including, by some estimates, around 600 unitary enterprises per </w:t>
      </w:r>
      <w:r w:rsidR="00867404">
        <w:t xml:space="preserve">year </w:t>
      </w:r>
      <w:r w:rsidR="00A16C25">
        <w:t>(</w:t>
      </w:r>
      <w:proofErr w:type="spellStart"/>
      <w:r w:rsidR="00A16C25">
        <w:t>Kovaleva</w:t>
      </w:r>
      <w:proofErr w:type="spellEnd"/>
      <w:r w:rsidR="00A16C25">
        <w:t xml:space="preserve"> et al 2019). </w:t>
      </w:r>
    </w:p>
    <w:p w14:paraId="1554C565" w14:textId="6DF95470" w:rsidR="00D80F6A" w:rsidRDefault="00071704" w:rsidP="00490814">
      <w:pPr>
        <w:pStyle w:val="Normal0"/>
        <w:numPr>
          <w:ilvl w:val="0"/>
          <w:numId w:val="21"/>
        </w:numPr>
        <w:spacing w:after="240" w:line="276" w:lineRule="auto"/>
        <w:ind w:left="0" w:firstLine="0"/>
        <w:jc w:val="both"/>
      </w:pPr>
      <w:r>
        <w:rPr>
          <w:b/>
          <w:bCs/>
        </w:rPr>
        <w:t>A</w:t>
      </w:r>
      <w:r w:rsidR="00CF23AE">
        <w:rPr>
          <w:b/>
          <w:bCs/>
        </w:rPr>
        <w:t xml:space="preserve">ccurate </w:t>
      </w:r>
      <w:r w:rsidR="007955A6">
        <w:rPr>
          <w:b/>
          <w:bCs/>
        </w:rPr>
        <w:t>m</w:t>
      </w:r>
      <w:r w:rsidR="00FF1895">
        <w:rPr>
          <w:b/>
          <w:bCs/>
        </w:rPr>
        <w:t>easur</w:t>
      </w:r>
      <w:r w:rsidR="00CF23AE">
        <w:rPr>
          <w:b/>
          <w:bCs/>
        </w:rPr>
        <w:t>e</w:t>
      </w:r>
      <w:r>
        <w:rPr>
          <w:b/>
          <w:bCs/>
        </w:rPr>
        <w:t>s</w:t>
      </w:r>
      <w:r w:rsidR="00FF1895">
        <w:rPr>
          <w:b/>
          <w:bCs/>
        </w:rPr>
        <w:t xml:space="preserve"> </w:t>
      </w:r>
      <w:r w:rsidR="00CF23AE">
        <w:rPr>
          <w:b/>
          <w:bCs/>
        </w:rPr>
        <w:t xml:space="preserve">of </w:t>
      </w:r>
      <w:r w:rsidR="00FF1895">
        <w:rPr>
          <w:b/>
          <w:bCs/>
        </w:rPr>
        <w:t xml:space="preserve">the </w:t>
      </w:r>
      <w:r w:rsidR="00CD5AF5" w:rsidRPr="00CC2084">
        <w:rPr>
          <w:b/>
          <w:bCs/>
        </w:rPr>
        <w:t xml:space="preserve">SOE sector </w:t>
      </w:r>
      <w:r w:rsidR="0053496E">
        <w:rPr>
          <w:b/>
          <w:bCs/>
        </w:rPr>
        <w:t xml:space="preserve">footprint </w:t>
      </w:r>
      <w:r>
        <w:rPr>
          <w:b/>
          <w:bCs/>
        </w:rPr>
        <w:t xml:space="preserve">are </w:t>
      </w:r>
      <w:r w:rsidR="00A04A1C" w:rsidRPr="00C11BAC">
        <w:rPr>
          <w:b/>
          <w:bCs/>
        </w:rPr>
        <w:t>challeng</w:t>
      </w:r>
      <w:r w:rsidR="00CF23AE">
        <w:rPr>
          <w:b/>
          <w:bCs/>
        </w:rPr>
        <w:t>ing</w:t>
      </w:r>
      <w:r w:rsidR="003A1F74">
        <w:rPr>
          <w:b/>
          <w:bCs/>
        </w:rPr>
        <w:t xml:space="preserve">, </w:t>
      </w:r>
      <w:r w:rsidR="0053496E">
        <w:rPr>
          <w:b/>
          <w:bCs/>
        </w:rPr>
        <w:t xml:space="preserve">not least </w:t>
      </w:r>
      <w:r w:rsidR="003A1F74">
        <w:rPr>
          <w:b/>
          <w:bCs/>
        </w:rPr>
        <w:t xml:space="preserve">due to data </w:t>
      </w:r>
      <w:r w:rsidR="0053496E">
        <w:rPr>
          <w:b/>
          <w:bCs/>
        </w:rPr>
        <w:t>gaps</w:t>
      </w:r>
      <w:r w:rsidR="00A04A1C" w:rsidRPr="00A04A1C">
        <w:t>.</w:t>
      </w:r>
      <w:r w:rsidR="00A04A1C">
        <w:t xml:space="preserve"> </w:t>
      </w:r>
      <w:r w:rsidR="008460EC">
        <w:t>R</w:t>
      </w:r>
      <w:r w:rsidR="00870267">
        <w:t xml:space="preserve">ussia </w:t>
      </w:r>
      <w:r w:rsidR="00877762">
        <w:t xml:space="preserve">lacks a </w:t>
      </w:r>
      <w:r w:rsidR="00CD3030">
        <w:t>comprehensive</w:t>
      </w:r>
      <w:r w:rsidR="00BD7EC2">
        <w:t xml:space="preserve"> publicly available register of SOE</w:t>
      </w:r>
      <w:r w:rsidR="00403E0C">
        <w:t>s</w:t>
      </w:r>
      <w:r w:rsidR="00A4483E">
        <w:t>, as</w:t>
      </w:r>
      <w:r w:rsidR="003B1DF5">
        <w:t xml:space="preserve"> </w:t>
      </w:r>
      <w:r w:rsidR="00A4483E">
        <w:t xml:space="preserve">the </w:t>
      </w:r>
      <w:r w:rsidR="00FE1C32">
        <w:t xml:space="preserve">lists </w:t>
      </w:r>
      <w:r w:rsidR="001B41E7">
        <w:t xml:space="preserve">maintained </w:t>
      </w:r>
      <w:r w:rsidR="00E472B6">
        <w:t xml:space="preserve">by MED and line ministries are </w:t>
      </w:r>
      <w:r w:rsidR="00A6217C">
        <w:t xml:space="preserve">fragmented </w:t>
      </w:r>
      <w:r w:rsidR="00E472B6">
        <w:t xml:space="preserve">and </w:t>
      </w:r>
      <w:r w:rsidR="00403E0C">
        <w:t>incomplete,</w:t>
      </w:r>
      <w:r w:rsidR="004D768E" w:rsidRPr="004D768E">
        <w:t xml:space="preserve"> </w:t>
      </w:r>
      <w:r w:rsidR="00A4483E">
        <w:t xml:space="preserve">and </w:t>
      </w:r>
      <w:proofErr w:type="spellStart"/>
      <w:r w:rsidR="004D768E">
        <w:t>Rosstat’s</w:t>
      </w:r>
      <w:proofErr w:type="spellEnd"/>
      <w:r w:rsidR="004D768E">
        <w:t xml:space="preserve"> roster of </w:t>
      </w:r>
      <w:r w:rsidR="00A4483E">
        <w:t>establishments also has gaps</w:t>
      </w:r>
      <w:r w:rsidR="004D768E">
        <w:t>.</w:t>
      </w:r>
      <w:r w:rsidR="00E472B6">
        <w:rPr>
          <w:rStyle w:val="FootnoteReference"/>
        </w:rPr>
        <w:footnoteReference w:id="11"/>
      </w:r>
      <w:r w:rsidR="00BD7EC2">
        <w:t xml:space="preserve"> </w:t>
      </w:r>
      <w:r w:rsidR="009C7F82">
        <w:t>There is additional difficulty in e</w:t>
      </w:r>
      <w:r w:rsidR="00A4483E">
        <w:t xml:space="preserve">stimating the </w:t>
      </w:r>
      <w:r w:rsidR="009C7F82">
        <w:t xml:space="preserve">SOE </w:t>
      </w:r>
      <w:r w:rsidR="00A4483E">
        <w:t>foo</w:t>
      </w:r>
      <w:r w:rsidR="00C05188">
        <w:t>t</w:t>
      </w:r>
      <w:r w:rsidR="00A4483E">
        <w:t>print on the labor market</w:t>
      </w:r>
      <w:r w:rsidR="009C7F82">
        <w:t xml:space="preserve"> </w:t>
      </w:r>
      <w:r w:rsidR="00A4483E">
        <w:t xml:space="preserve">because </w:t>
      </w:r>
      <w:r w:rsidR="001B41E7">
        <w:t xml:space="preserve">the national labor force survey </w:t>
      </w:r>
      <w:r w:rsidR="003F26D0">
        <w:t xml:space="preserve">does not </w:t>
      </w:r>
      <w:r w:rsidR="001B41E7">
        <w:t xml:space="preserve">include </w:t>
      </w:r>
      <w:r w:rsidR="009C7F82">
        <w:t xml:space="preserve">data on </w:t>
      </w:r>
      <w:r w:rsidR="003F26D0">
        <w:t>sector</w:t>
      </w:r>
      <w:r w:rsidR="009C7F82">
        <w:t xml:space="preserve"> </w:t>
      </w:r>
      <w:r w:rsidR="003F26D0">
        <w:t>of</w:t>
      </w:r>
      <w:r w:rsidR="009C7F82">
        <w:t xml:space="preserve"> </w:t>
      </w:r>
      <w:r w:rsidR="00E548ED">
        <w:t xml:space="preserve">firm </w:t>
      </w:r>
      <w:r w:rsidR="003F26D0">
        <w:t xml:space="preserve">ownership. </w:t>
      </w:r>
      <w:r w:rsidR="00A16742">
        <w:t>Finally</w:t>
      </w:r>
      <w:r w:rsidR="003C3FFC">
        <w:t>, m</w:t>
      </w:r>
      <w:r w:rsidR="00805EAC">
        <w:t xml:space="preserve">ost </w:t>
      </w:r>
      <w:r w:rsidR="00420916">
        <w:t xml:space="preserve">existing data </w:t>
      </w:r>
      <w:r w:rsidR="00BC385B">
        <w:t xml:space="preserve">does not account for </w:t>
      </w:r>
      <w:r w:rsidR="00835D91">
        <w:t>SOE subsidiaries</w:t>
      </w:r>
      <w:r w:rsidR="00214D25">
        <w:t>—</w:t>
      </w:r>
      <w:r w:rsidR="00835D91">
        <w:t xml:space="preserve">companies that are fully or partially owned by </w:t>
      </w:r>
      <w:r w:rsidR="00283926">
        <w:t xml:space="preserve">other </w:t>
      </w:r>
      <w:r w:rsidR="00835D91">
        <w:t>SOEs</w:t>
      </w:r>
      <w:r w:rsidR="00283926">
        <w:t>,</w:t>
      </w:r>
      <w:r w:rsidR="00835D91">
        <w:t xml:space="preserve"> and therefore </w:t>
      </w:r>
      <w:r w:rsidR="0092327D">
        <w:t xml:space="preserve">indirectly </w:t>
      </w:r>
      <w:r w:rsidR="00FB293E">
        <w:t>under state control or influence</w:t>
      </w:r>
      <w:r w:rsidR="00A16742">
        <w:t xml:space="preserve"> (see </w:t>
      </w:r>
      <w:r w:rsidR="00267EF6">
        <w:fldChar w:fldCharType="begin"/>
      </w:r>
      <w:r w:rsidR="00267EF6">
        <w:instrText xml:space="preserve"> REF _Ref10989351 \h </w:instrText>
      </w:r>
      <w:r w:rsidR="00267EF6">
        <w:fldChar w:fldCharType="separate"/>
      </w:r>
      <w:r w:rsidR="00267EF6">
        <w:t xml:space="preserve">Box 2. </w:t>
      </w:r>
      <w:r w:rsidR="00267EF6">
        <w:rPr>
          <w:noProof/>
        </w:rPr>
        <w:t>2</w:t>
      </w:r>
      <w:r w:rsidR="00267EF6">
        <w:fldChar w:fldCharType="end"/>
      </w:r>
      <w:r w:rsidR="00A16742">
        <w:t>)</w:t>
      </w:r>
      <w:r w:rsidR="00835D91">
        <w:t xml:space="preserve">. </w:t>
      </w:r>
    </w:p>
    <w:p w14:paraId="7DEB655B" w14:textId="1F039997" w:rsidR="003D6F77" w:rsidRDefault="0014410C" w:rsidP="00D02A21">
      <w:pPr>
        <w:pStyle w:val="Normal0"/>
        <w:numPr>
          <w:ilvl w:val="0"/>
          <w:numId w:val="21"/>
        </w:numPr>
        <w:spacing w:after="240" w:line="276" w:lineRule="auto"/>
        <w:ind w:left="0" w:firstLine="0"/>
        <w:jc w:val="both"/>
      </w:pPr>
      <w:r>
        <w:rPr>
          <w:b/>
          <w:bCs/>
        </w:rPr>
        <w:t>The data sources used for this study get around some of these constraints, albeit imperfect</w:t>
      </w:r>
      <w:r w:rsidR="00E51E06">
        <w:rPr>
          <w:b/>
          <w:bCs/>
        </w:rPr>
        <w:t>ly</w:t>
      </w:r>
      <w:r>
        <w:rPr>
          <w:b/>
          <w:bCs/>
        </w:rPr>
        <w:t xml:space="preserve">. </w:t>
      </w:r>
      <w:r w:rsidR="004D1CBD" w:rsidRPr="00FE0684">
        <w:t xml:space="preserve">Ownership data is accurately captured in the </w:t>
      </w:r>
      <w:r w:rsidR="00E9149E" w:rsidRPr="00FE0684">
        <w:t>SOW</w:t>
      </w:r>
      <w:r w:rsidR="0070196A" w:rsidRPr="00FE0684">
        <w:t xml:space="preserve"> </w:t>
      </w:r>
      <w:r w:rsidR="00E9149E" w:rsidRPr="00FE0684">
        <w:t>dataset</w:t>
      </w:r>
      <w:r w:rsidR="004D1CBD" w:rsidRPr="00FE0684">
        <w:t>,</w:t>
      </w:r>
      <w:r w:rsidR="00E9149E" w:rsidRPr="00FE0684">
        <w:t xml:space="preserve"> </w:t>
      </w:r>
      <w:r w:rsidR="004D3E0E" w:rsidRPr="00FE0684">
        <w:t xml:space="preserve">which draws </w:t>
      </w:r>
      <w:r w:rsidR="00014338" w:rsidRPr="00FE0684">
        <w:t xml:space="preserve">on administrative firm records, and </w:t>
      </w:r>
      <w:r w:rsidR="004D3E0E" w:rsidRPr="00FE0684">
        <w:t xml:space="preserve">is closely </w:t>
      </w:r>
      <w:proofErr w:type="spellStart"/>
      <w:r w:rsidR="004D3E0E" w:rsidRPr="00FE0684">
        <w:t>traced</w:t>
      </w:r>
      <w:proofErr w:type="spellEnd"/>
      <w:r w:rsidR="004D3E0E" w:rsidRPr="00FE0684">
        <w:t xml:space="preserve"> by the </w:t>
      </w:r>
      <w:r w:rsidR="00014338" w:rsidRPr="00FE0684">
        <w:t>RLMS</w:t>
      </w:r>
      <w:r w:rsidR="000E7F03" w:rsidRPr="00FE0684">
        <w:t>.</w:t>
      </w:r>
      <w:r w:rsidR="000E7F03">
        <w:rPr>
          <w:b/>
          <w:bCs/>
        </w:rPr>
        <w:t xml:space="preserve"> </w:t>
      </w:r>
      <w:r w:rsidR="00AF2914" w:rsidRPr="00AF2914">
        <w:t xml:space="preserve">LIRT and </w:t>
      </w:r>
      <w:proofErr w:type="spellStart"/>
      <w:r w:rsidR="00AF2914" w:rsidRPr="00AF2914">
        <w:t>RuFiGE</w:t>
      </w:r>
      <w:proofErr w:type="spellEnd"/>
      <w:r w:rsidR="00AF2914" w:rsidRPr="00AF2914">
        <w:t xml:space="preserve"> also</w:t>
      </w:r>
      <w:r w:rsidR="00AF2914">
        <w:rPr>
          <w:b/>
          <w:bCs/>
        </w:rPr>
        <w:t xml:space="preserve"> </w:t>
      </w:r>
      <w:r w:rsidR="00AF2914">
        <w:t xml:space="preserve">provide reliable measures as the data comes from firm managers, who should be familiar with the firm’s </w:t>
      </w:r>
      <w:r w:rsidR="004D172C">
        <w:t>shareholders</w:t>
      </w:r>
      <w:r w:rsidR="00AF2914">
        <w:t xml:space="preserve">. </w:t>
      </w:r>
      <w:r w:rsidR="009D5BFC">
        <w:t xml:space="preserve">Indirect ownership is </w:t>
      </w:r>
      <w:r w:rsidR="00EC7A29">
        <w:t xml:space="preserve">measured </w:t>
      </w:r>
      <w:r w:rsidR="004D172C">
        <w:t>partially</w:t>
      </w:r>
      <w:r w:rsidR="00EC7A29">
        <w:t xml:space="preserve"> </w:t>
      </w:r>
      <w:r w:rsidR="00AC6597" w:rsidRPr="00AC6597">
        <w:t>Ruslana</w:t>
      </w:r>
      <w:r w:rsidR="00EC7A29">
        <w:t xml:space="preserve"> </w:t>
      </w:r>
      <w:r w:rsidR="00D86AEA">
        <w:t xml:space="preserve">and was also used to inform ownership measures in </w:t>
      </w:r>
      <w:r w:rsidR="00D36A66">
        <w:t>IIELM</w:t>
      </w:r>
      <w:r w:rsidR="00D86AEA">
        <w:t xml:space="preserve"> but not in the other datasets</w:t>
      </w:r>
      <w:r w:rsidR="00DE31C3">
        <w:t xml:space="preserve"> which lacked information on firm unique identifiers. </w:t>
      </w:r>
    </w:p>
    <w:tbl>
      <w:tblPr>
        <w:tblStyle w:val="TableGrid0"/>
        <w:tblW w:w="0" w:type="auto"/>
        <w:shd w:val="clear" w:color="auto" w:fill="FFFFCC"/>
        <w:tblLook w:val="04A0" w:firstRow="1" w:lastRow="0" w:firstColumn="1" w:lastColumn="0" w:noHBand="0" w:noVBand="1"/>
      </w:tblPr>
      <w:tblGrid>
        <w:gridCol w:w="9389"/>
      </w:tblGrid>
      <w:tr w:rsidR="00490814" w14:paraId="0913CBA7" w14:textId="77777777" w:rsidTr="00E7695F">
        <w:tc>
          <w:tcPr>
            <w:tcW w:w="9389" w:type="dxa"/>
            <w:shd w:val="clear" w:color="auto" w:fill="538135" w:themeFill="accent6" w:themeFillShade="BF"/>
          </w:tcPr>
          <w:p w14:paraId="43AAC351" w14:textId="77777777" w:rsidR="00490814" w:rsidRPr="005E0B72" w:rsidRDefault="00490814" w:rsidP="00E7695F">
            <w:pPr>
              <w:pStyle w:val="Box"/>
            </w:pPr>
            <w:bookmarkStart w:id="31" w:name="_Ref10989351"/>
            <w:bookmarkStart w:id="32" w:name="_Toc11259377"/>
            <w:r>
              <w:t xml:space="preserve">Box 2. </w:t>
            </w:r>
            <w:r w:rsidR="00D96C35">
              <w:rPr>
                <w:noProof/>
              </w:rPr>
              <w:fldChar w:fldCharType="begin"/>
            </w:r>
            <w:r w:rsidR="00D96C35">
              <w:rPr>
                <w:noProof/>
              </w:rPr>
              <w:instrText xml:space="preserve"> SEQ Box_2. \* ARABIC </w:instrText>
            </w:r>
            <w:r w:rsidR="00D96C35">
              <w:rPr>
                <w:noProof/>
              </w:rPr>
              <w:fldChar w:fldCharType="separate"/>
            </w:r>
            <w:r>
              <w:rPr>
                <w:noProof/>
              </w:rPr>
              <w:t>2</w:t>
            </w:r>
            <w:r w:rsidR="00D96C35">
              <w:rPr>
                <w:noProof/>
              </w:rPr>
              <w:fldChar w:fldCharType="end"/>
            </w:r>
            <w:bookmarkEnd w:id="31"/>
            <w:r>
              <w:t xml:space="preserve"> Indirect state ownership</w:t>
            </w:r>
            <w:bookmarkEnd w:id="32"/>
            <w:r>
              <w:t xml:space="preserve"> </w:t>
            </w:r>
          </w:p>
        </w:tc>
      </w:tr>
      <w:tr w:rsidR="00490814" w14:paraId="142B36C8" w14:textId="77777777" w:rsidTr="00E7695F">
        <w:tc>
          <w:tcPr>
            <w:tcW w:w="9389" w:type="dxa"/>
            <w:shd w:val="clear" w:color="auto" w:fill="FFF8E5"/>
          </w:tcPr>
          <w:p w14:paraId="5778753F" w14:textId="77777777" w:rsidR="00490814" w:rsidRPr="00052627" w:rsidRDefault="00490814" w:rsidP="00E7695F">
            <w:pPr>
              <w:spacing w:after="0" w:line="240" w:lineRule="auto"/>
              <w:rPr>
                <w:b/>
                <w:bCs/>
                <w:sz w:val="12"/>
                <w:szCs w:val="12"/>
              </w:rPr>
            </w:pPr>
          </w:p>
          <w:p w14:paraId="4336D8D7" w14:textId="77777777" w:rsidR="00490814" w:rsidRDefault="00490814" w:rsidP="00E7695F">
            <w:pPr>
              <w:spacing w:after="0" w:line="240" w:lineRule="auto"/>
            </w:pPr>
            <w:r>
              <w:t xml:space="preserve">Existing official and academic data sources do not fully account for SOE subsidiaries. A good example is Rosneft, one of the world’s largest energy companies. Although the government owns a “golden share” of Rosneft’s stock, Rosstat does not classify the company as an SOE because FASPM does not hold a direct stake in the company, only indirectly through </w:t>
            </w:r>
            <w:proofErr w:type="spellStart"/>
            <w:r>
              <w:t>Rosneftegaz</w:t>
            </w:r>
            <w:proofErr w:type="spellEnd"/>
            <w:r>
              <w:t>, an SOE owned by FASPM. By IMF’s conservative estimates in 2016, at least 21 % of all SOE employment, and more than 3 percent of Russia’s total employment and 5 percent of formal employment, was in subsidiary SOEs.</w:t>
            </w:r>
            <w:r>
              <w:rPr>
                <w:rStyle w:val="FootnoteReference"/>
              </w:rPr>
              <w:footnoteReference w:id="12"/>
            </w:r>
            <w:r>
              <w:t xml:space="preserve"> Misclassifying this segment as private both underestimates the sector’s true footprint and biases analyses of inter-sectoral gaps and differences.</w:t>
            </w:r>
          </w:p>
          <w:p w14:paraId="2A29799D" w14:textId="77777777" w:rsidR="00490814" w:rsidRPr="00052627" w:rsidRDefault="00490814" w:rsidP="00E7695F">
            <w:pPr>
              <w:spacing w:after="0" w:line="240" w:lineRule="auto"/>
              <w:rPr>
                <w:sz w:val="12"/>
                <w:szCs w:val="12"/>
              </w:rPr>
            </w:pPr>
          </w:p>
        </w:tc>
      </w:tr>
    </w:tbl>
    <w:p w14:paraId="20ED1E29" w14:textId="77777777" w:rsidR="00490814" w:rsidRPr="00490814" w:rsidRDefault="00490814" w:rsidP="00490814">
      <w:pPr>
        <w:pStyle w:val="Normal0"/>
        <w:spacing w:after="240" w:line="276" w:lineRule="auto"/>
        <w:jc w:val="both"/>
        <w:rPr>
          <w:sz w:val="12"/>
          <w:szCs w:val="12"/>
        </w:rPr>
      </w:pPr>
    </w:p>
    <w:p w14:paraId="1E214D1B" w14:textId="2D370693" w:rsidR="003D6F77" w:rsidRDefault="00E71515" w:rsidP="005A45D4">
      <w:pPr>
        <w:pStyle w:val="Normal0"/>
        <w:numPr>
          <w:ilvl w:val="0"/>
          <w:numId w:val="21"/>
        </w:numPr>
        <w:spacing w:after="240" w:line="276" w:lineRule="auto"/>
        <w:ind w:left="0" w:firstLine="0"/>
        <w:jc w:val="both"/>
      </w:pPr>
      <w:r w:rsidRPr="00BF06EE">
        <w:rPr>
          <w:b/>
          <w:bCs/>
        </w:rPr>
        <w:t xml:space="preserve">We </w:t>
      </w:r>
      <w:r w:rsidR="004B66AF" w:rsidRPr="00BF06EE">
        <w:rPr>
          <w:b/>
          <w:bCs/>
        </w:rPr>
        <w:t>classify SOEs by a mix of industry</w:t>
      </w:r>
      <w:r>
        <w:rPr>
          <w:rStyle w:val="FootnoteReference"/>
          <w:b/>
          <w:bCs/>
        </w:rPr>
        <w:footnoteReference w:id="13"/>
      </w:r>
      <w:r w:rsidR="00DD1E36" w:rsidRPr="00BF06EE">
        <w:rPr>
          <w:b/>
          <w:bCs/>
        </w:rPr>
        <w:t xml:space="preserve"> </w:t>
      </w:r>
      <w:r w:rsidR="004B66AF" w:rsidRPr="00BF06EE">
        <w:rPr>
          <w:b/>
          <w:bCs/>
        </w:rPr>
        <w:t xml:space="preserve">and </w:t>
      </w:r>
      <w:r w:rsidR="00180668" w:rsidRPr="00BF06EE">
        <w:rPr>
          <w:b/>
          <w:bCs/>
        </w:rPr>
        <w:t xml:space="preserve">reported </w:t>
      </w:r>
      <w:r w:rsidR="004B66AF" w:rsidRPr="00BF06EE">
        <w:rPr>
          <w:b/>
          <w:bCs/>
        </w:rPr>
        <w:t>level of state ownership</w:t>
      </w:r>
      <w:r w:rsidR="0090548F" w:rsidRPr="00BF06EE">
        <w:rPr>
          <w:b/>
          <w:bCs/>
        </w:rPr>
        <w:t>.</w:t>
      </w:r>
      <w:r w:rsidR="002F008B" w:rsidRPr="00BF06EE">
        <w:rPr>
          <w:b/>
          <w:bCs/>
        </w:rPr>
        <w:t xml:space="preserve"> </w:t>
      </w:r>
      <w:r w:rsidR="002F0E77">
        <w:t>Since most</w:t>
      </w:r>
      <w:r w:rsidR="00BB1126">
        <w:t xml:space="preserve"> sources lack </w:t>
      </w:r>
      <w:r w:rsidR="0090548F">
        <w:t xml:space="preserve">accurate data on legal form, </w:t>
      </w:r>
      <w:r w:rsidR="000378FC">
        <w:t xml:space="preserve">we classify </w:t>
      </w:r>
      <w:r w:rsidR="00BB1126">
        <w:t xml:space="preserve">SOEs </w:t>
      </w:r>
      <w:r w:rsidR="000378FC">
        <w:t xml:space="preserve">by the </w:t>
      </w:r>
      <w:r w:rsidR="0090548F">
        <w:t>degree and nature of government ownership</w:t>
      </w:r>
      <w:r w:rsidR="00BB1126">
        <w:t>. This</w:t>
      </w:r>
      <w:r w:rsidR="00D2502A">
        <w:t xml:space="preserve"> yields three categories: </w:t>
      </w:r>
      <w:r w:rsidR="000378FC">
        <w:t>firms with 100 percent state ownership</w:t>
      </w:r>
      <w:r w:rsidR="00693916">
        <w:t>, which we call “state SOEs”; firms</w:t>
      </w:r>
      <w:r w:rsidR="006227FC">
        <w:t xml:space="preserve"> </w:t>
      </w:r>
      <w:r w:rsidR="00BB1126">
        <w:t xml:space="preserve">with less than 100 percent </w:t>
      </w:r>
      <w:r w:rsidR="006227FC">
        <w:t>direct state ownership</w:t>
      </w:r>
      <w:r w:rsidR="008E4C05">
        <w:t xml:space="preserve">, “direct mixed SOEs;” and firms </w:t>
      </w:r>
      <w:r w:rsidR="00BB1126">
        <w:t xml:space="preserve">with indirect </w:t>
      </w:r>
      <w:r w:rsidR="008E4C05">
        <w:t xml:space="preserve">state </w:t>
      </w:r>
      <w:r w:rsidR="00436900">
        <w:t>ownership</w:t>
      </w:r>
      <w:r w:rsidR="00BB1126">
        <w:t xml:space="preserve">, </w:t>
      </w:r>
      <w:r w:rsidR="00A76F2B">
        <w:t>“indirect mixed SOEs.”</w:t>
      </w:r>
      <w:r w:rsidR="008E4C05">
        <w:t xml:space="preserve"> </w:t>
      </w:r>
      <w:r w:rsidR="00436900">
        <w:t>In practice, s</w:t>
      </w:r>
      <w:r w:rsidR="00A76F2B">
        <w:t xml:space="preserve">tate SOEs </w:t>
      </w:r>
      <w:r w:rsidR="00436900">
        <w:t xml:space="preserve">capture </w:t>
      </w:r>
      <w:r w:rsidR="00AE3C66">
        <w:t>mostly unitary enterprises and state corporations, and some joint-stock companies</w:t>
      </w:r>
      <w:r w:rsidR="00AF47FD">
        <w:t xml:space="preserve">; </w:t>
      </w:r>
      <w:proofErr w:type="gramStart"/>
      <w:r w:rsidR="00976930">
        <w:t>the majority of</w:t>
      </w:r>
      <w:proofErr w:type="gramEnd"/>
      <w:r w:rsidR="00976930">
        <w:t xml:space="preserve"> mixed companies are </w:t>
      </w:r>
      <w:r w:rsidR="00AF47FD">
        <w:t xml:space="preserve">direct mixed SOEs; and indirect mixed </w:t>
      </w:r>
      <w:r w:rsidR="002957DC">
        <w:t xml:space="preserve">include mixed companies </w:t>
      </w:r>
      <w:r w:rsidR="008372C4">
        <w:t xml:space="preserve">usually </w:t>
      </w:r>
      <w:r w:rsidR="002957DC">
        <w:t>misclassifie</w:t>
      </w:r>
      <w:r w:rsidR="008372C4">
        <w:t>d</w:t>
      </w:r>
      <w:r w:rsidR="002957DC">
        <w:t xml:space="preserve"> as private. </w:t>
      </w:r>
      <w:r w:rsidR="00900FD0">
        <w:t xml:space="preserve">Due to the limited </w:t>
      </w:r>
      <w:r w:rsidR="00427A31">
        <w:t xml:space="preserve">number of </w:t>
      </w:r>
      <w:r w:rsidR="00A73A49">
        <w:t xml:space="preserve">mixed </w:t>
      </w:r>
      <w:r w:rsidR="00427A31">
        <w:t xml:space="preserve">SOEs in our </w:t>
      </w:r>
      <w:r w:rsidR="00CD3746">
        <w:t xml:space="preserve">data </w:t>
      </w:r>
      <w:r w:rsidR="0052631B">
        <w:t>sources</w:t>
      </w:r>
      <w:r w:rsidR="00427A31">
        <w:t xml:space="preserve">, we are not able to </w:t>
      </w:r>
      <w:r w:rsidR="00BF7137">
        <w:t xml:space="preserve">distinguish companies with </w:t>
      </w:r>
      <w:r w:rsidR="00835BE2">
        <w:t>majority and minority state ownership</w:t>
      </w:r>
      <w:r w:rsidR="00BF7137">
        <w:t xml:space="preserve"> in analyses</w:t>
      </w:r>
      <w:r w:rsidR="00A73A49">
        <w:t xml:space="preserve">, although this </w:t>
      </w:r>
      <w:r w:rsidR="00CD3746">
        <w:t xml:space="preserve">distinction </w:t>
      </w:r>
      <w:r w:rsidR="009239F9">
        <w:t xml:space="preserve">is </w:t>
      </w:r>
      <w:r w:rsidR="00A73A49">
        <w:t>important</w:t>
      </w:r>
      <w:r w:rsidR="009239F9">
        <w:t xml:space="preserve">. </w:t>
      </w:r>
      <w:r w:rsidR="006424AB">
        <w:t xml:space="preserve">A larger and more </w:t>
      </w:r>
      <w:r w:rsidR="009239F9">
        <w:t>granular data</w:t>
      </w:r>
      <w:r w:rsidR="006424AB">
        <w:t>set</w:t>
      </w:r>
      <w:r w:rsidR="009239F9">
        <w:t xml:space="preserve"> o</w:t>
      </w:r>
      <w:r w:rsidR="008845B0">
        <w:t>f</w:t>
      </w:r>
      <w:r w:rsidR="009239F9">
        <w:t xml:space="preserve"> </w:t>
      </w:r>
      <w:r w:rsidR="000F47B7">
        <w:t>companies with state par</w:t>
      </w:r>
      <w:r w:rsidR="00377F7A">
        <w:t xml:space="preserve">ticipation </w:t>
      </w:r>
      <w:r w:rsidR="006424AB">
        <w:t xml:space="preserve">would permit </w:t>
      </w:r>
      <w:r w:rsidR="00DD2D61">
        <w:t>more nuanc</w:t>
      </w:r>
      <w:r w:rsidR="005A45D4">
        <w:t xml:space="preserve">ed analyses in the </w:t>
      </w:r>
      <w:r w:rsidR="006424AB">
        <w:t>future</w:t>
      </w:r>
      <w:r w:rsidR="00A73A49">
        <w:t xml:space="preserve">. </w:t>
      </w:r>
    </w:p>
    <w:p w14:paraId="0BFA2984" w14:textId="2F07E198" w:rsidR="00952084" w:rsidRDefault="00B12337" w:rsidP="00900FD0">
      <w:pPr>
        <w:pStyle w:val="Normal0"/>
        <w:numPr>
          <w:ilvl w:val="0"/>
          <w:numId w:val="21"/>
        </w:numPr>
        <w:spacing w:after="240" w:line="276" w:lineRule="auto"/>
        <w:ind w:left="0" w:firstLine="0"/>
        <w:jc w:val="both"/>
      </w:pPr>
      <w:r>
        <w:rPr>
          <w:b/>
          <w:bCs/>
        </w:rPr>
        <w:t xml:space="preserve">Initial </w:t>
      </w:r>
      <w:r w:rsidR="00D01381">
        <w:rPr>
          <w:b/>
          <w:bCs/>
        </w:rPr>
        <w:t>estimates</w:t>
      </w:r>
      <w:r>
        <w:rPr>
          <w:b/>
          <w:bCs/>
        </w:rPr>
        <w:t xml:space="preserve"> </w:t>
      </w:r>
      <w:r w:rsidR="00AE3C66" w:rsidRPr="00DD1E36">
        <w:rPr>
          <w:b/>
          <w:bCs/>
        </w:rPr>
        <w:t>suggest that</w:t>
      </w:r>
      <w:r w:rsidR="00BC659F">
        <w:rPr>
          <w:b/>
          <w:bCs/>
        </w:rPr>
        <w:t>,</w:t>
      </w:r>
      <w:r w:rsidR="00AE3C66" w:rsidRPr="00DD1E36">
        <w:rPr>
          <w:b/>
          <w:bCs/>
        </w:rPr>
        <w:t xml:space="preserve"> despite gradual consolidation</w:t>
      </w:r>
      <w:r w:rsidR="00BC659F">
        <w:rPr>
          <w:b/>
          <w:bCs/>
        </w:rPr>
        <w:t>,</w:t>
      </w:r>
      <w:r w:rsidR="00AE3C66" w:rsidRPr="00DD1E36">
        <w:rPr>
          <w:b/>
          <w:bCs/>
        </w:rPr>
        <w:t xml:space="preserve"> the SOE sector remains large by international standards</w:t>
      </w:r>
      <w:r w:rsidR="00CB5491">
        <w:t>.</w:t>
      </w:r>
      <w:r w:rsidR="00D93B85">
        <w:t xml:space="preserve"> </w:t>
      </w:r>
      <w:r w:rsidR="007D1D8F">
        <w:t xml:space="preserve">According to the IMF, today Russia has approximately 32,500 SOEs with direct state ownership, which account for 33 percent of total output (revenues) (IMF 2018). </w:t>
      </w:r>
      <w:r w:rsidR="00FF4C73">
        <w:t xml:space="preserve">The number of </w:t>
      </w:r>
      <w:r w:rsidR="00D84CD6">
        <w:t xml:space="preserve">subsidiary or </w:t>
      </w:r>
      <w:r w:rsidR="00FF4C73">
        <w:t>indirect SOEs is not known but believed to be in the tens if not hundreds of</w:t>
      </w:r>
      <w:r w:rsidR="00A92502">
        <w:t xml:space="preserve"> thousands of</w:t>
      </w:r>
      <w:r w:rsidR="00FF4C73">
        <w:t xml:space="preserve"> companies</w:t>
      </w:r>
      <w:r w:rsidR="00952084">
        <w:t>. T</w:t>
      </w:r>
      <w:r w:rsidR="00FF4C73">
        <w:t xml:space="preserve">he SOE Russian Railroads alone is believed to have over 20,000 subsidiaries. </w:t>
      </w:r>
    </w:p>
    <w:p w14:paraId="6C4C160D" w14:textId="44030439" w:rsidR="00AC373E" w:rsidRDefault="007D1D8F" w:rsidP="00B9365F">
      <w:pPr>
        <w:pStyle w:val="Normal0"/>
        <w:numPr>
          <w:ilvl w:val="0"/>
          <w:numId w:val="21"/>
        </w:numPr>
        <w:spacing w:after="240" w:line="276" w:lineRule="auto"/>
        <w:ind w:left="0" w:firstLine="0"/>
        <w:jc w:val="both"/>
      </w:pPr>
      <w:r w:rsidRPr="0087638A">
        <w:rPr>
          <w:b/>
          <w:bCs/>
        </w:rPr>
        <w:t>In terms of employment, which is the focus of</w:t>
      </w:r>
      <w:r w:rsidR="003942F2" w:rsidRPr="0087638A">
        <w:rPr>
          <w:b/>
          <w:bCs/>
        </w:rPr>
        <w:t xml:space="preserve"> the present study, </w:t>
      </w:r>
      <w:r w:rsidR="00040F86" w:rsidRPr="0087638A">
        <w:rPr>
          <w:b/>
          <w:bCs/>
        </w:rPr>
        <w:t>RLMS</w:t>
      </w:r>
      <w:r w:rsidR="00ED4034" w:rsidRPr="0087638A">
        <w:rPr>
          <w:b/>
          <w:bCs/>
        </w:rPr>
        <w:t xml:space="preserve"> </w:t>
      </w:r>
      <w:r w:rsidR="00952084" w:rsidRPr="0087638A">
        <w:rPr>
          <w:b/>
          <w:bCs/>
        </w:rPr>
        <w:t xml:space="preserve">and SOW suggest the sector </w:t>
      </w:r>
      <w:r w:rsidR="0087638A" w:rsidRPr="0087638A">
        <w:rPr>
          <w:b/>
          <w:bCs/>
        </w:rPr>
        <w:t>has diminished over time but remains large</w:t>
      </w:r>
      <w:r w:rsidR="0087638A">
        <w:t xml:space="preserve">. RLMS </w:t>
      </w:r>
      <w:r w:rsidR="00ED4034">
        <w:t xml:space="preserve">suggests </w:t>
      </w:r>
      <w:r w:rsidR="00D84CD6">
        <w:t xml:space="preserve">that </w:t>
      </w:r>
      <w:r w:rsidR="009E1E35">
        <w:t xml:space="preserve">during </w:t>
      </w:r>
      <w:r w:rsidR="00ED4034">
        <w:t>1994</w:t>
      </w:r>
      <w:r w:rsidR="009E1E35">
        <w:t>-</w:t>
      </w:r>
      <w:r w:rsidR="00ED4034">
        <w:t xml:space="preserve">2017 </w:t>
      </w:r>
      <w:r w:rsidR="009E1E35">
        <w:t xml:space="preserve">the </w:t>
      </w:r>
      <w:r w:rsidR="00ED4034">
        <w:t xml:space="preserve">public sector and SOE share </w:t>
      </w:r>
      <w:r w:rsidR="009E1E35">
        <w:t xml:space="preserve">in </w:t>
      </w:r>
      <w:r w:rsidR="00ED4034">
        <w:t>formal employment</w:t>
      </w:r>
      <w:r w:rsidR="00D84CD6">
        <w:t xml:space="preserve"> diminished </w:t>
      </w:r>
      <w:r w:rsidR="00ED4034">
        <w:t xml:space="preserve">from </w:t>
      </w:r>
      <w:r w:rsidR="00F70986">
        <w:t xml:space="preserve">76 </w:t>
      </w:r>
      <w:r w:rsidR="00730146">
        <w:t xml:space="preserve">to 42 </w:t>
      </w:r>
      <w:r w:rsidR="00F70986">
        <w:t xml:space="preserve">percent </w:t>
      </w:r>
      <w:r w:rsidR="00730146">
        <w:t xml:space="preserve">and </w:t>
      </w:r>
      <w:r w:rsidR="00A60C35">
        <w:t xml:space="preserve">50 </w:t>
      </w:r>
      <w:r w:rsidR="00730146">
        <w:t xml:space="preserve">to 17 </w:t>
      </w:r>
      <w:r w:rsidR="00A60C35">
        <w:t xml:space="preserve">percent </w:t>
      </w:r>
      <w:r w:rsidR="009E1E35">
        <w:t xml:space="preserve">respectively </w:t>
      </w:r>
      <w:r w:rsidR="00F87CB9">
        <w:t>(</w:t>
      </w:r>
      <w:r w:rsidR="00F87CB9">
        <w:fldChar w:fldCharType="begin"/>
      </w:r>
      <w:r w:rsidR="00F87CB9">
        <w:instrText xml:space="preserve"> REF _Ref9378366 \h </w:instrText>
      </w:r>
      <w:r w:rsidR="00F87CB9">
        <w:fldChar w:fldCharType="separate"/>
      </w:r>
      <w:r w:rsidR="00384800" w:rsidRPr="007C3447">
        <w:t xml:space="preserve">Figure 2. </w:t>
      </w:r>
      <w:r w:rsidR="00384800">
        <w:rPr>
          <w:noProof/>
        </w:rPr>
        <w:t>2</w:t>
      </w:r>
      <w:r w:rsidR="00F87CB9">
        <w:fldChar w:fldCharType="end"/>
      </w:r>
      <w:r w:rsidR="004C6AE5">
        <w:t xml:space="preserve">). </w:t>
      </w:r>
      <w:r w:rsidR="00730146">
        <w:t xml:space="preserve">In the view of </w:t>
      </w:r>
      <w:r w:rsidR="00D607CF">
        <w:t xml:space="preserve">many </w:t>
      </w:r>
      <w:r w:rsidR="00730146">
        <w:t xml:space="preserve">economists, </w:t>
      </w:r>
      <w:r w:rsidR="00B755AA">
        <w:t xml:space="preserve">the </w:t>
      </w:r>
      <w:r w:rsidR="00730146">
        <w:t xml:space="preserve">drop </w:t>
      </w:r>
      <w:r w:rsidR="00B755AA">
        <w:t xml:space="preserve">did </w:t>
      </w:r>
      <w:r w:rsidR="00B54CBC">
        <w:t xml:space="preserve">not necessarily </w:t>
      </w:r>
      <w:r w:rsidR="00B755AA">
        <w:t xml:space="preserve">imply a reduction of </w:t>
      </w:r>
      <w:r w:rsidR="00730146">
        <w:t xml:space="preserve">state </w:t>
      </w:r>
      <w:r w:rsidR="00315565">
        <w:t xml:space="preserve">economic participation but a possible shift in </w:t>
      </w:r>
      <w:r w:rsidR="009520DC">
        <w:t>the locus of state control</w:t>
      </w:r>
      <w:r w:rsidR="00194676">
        <w:t xml:space="preserve"> </w:t>
      </w:r>
      <w:r w:rsidR="009520DC">
        <w:t xml:space="preserve">towards indirect channels (Lukyanova 2019), </w:t>
      </w:r>
      <w:r w:rsidR="00194676">
        <w:t xml:space="preserve">which are not (fully) captured by </w:t>
      </w:r>
      <w:r w:rsidR="00DD5AF7">
        <w:t>RLMS</w:t>
      </w:r>
      <w:r w:rsidR="009520DC">
        <w:t>.</w:t>
      </w:r>
      <w:r w:rsidR="00E80342">
        <w:t xml:space="preserve"> </w:t>
      </w:r>
      <w:r w:rsidR="00A60C35">
        <w:t xml:space="preserve">IMF calculations, which try to account for some indirect state ownership, </w:t>
      </w:r>
      <w:r w:rsidR="00B54CBC">
        <w:t xml:space="preserve">yield higher estimates of public sector </w:t>
      </w:r>
      <w:r w:rsidR="00D65DBA">
        <w:t xml:space="preserve">and SOE </w:t>
      </w:r>
      <w:r w:rsidR="00B54CBC">
        <w:t xml:space="preserve">share in </w:t>
      </w:r>
      <w:r w:rsidR="00E1242E">
        <w:t xml:space="preserve">2016-2017 </w:t>
      </w:r>
      <w:r w:rsidR="00B54CBC">
        <w:t>formal employment than RLMS</w:t>
      </w:r>
      <w:r w:rsidR="003B1391">
        <w:t xml:space="preserve">, </w:t>
      </w:r>
      <w:r w:rsidR="003318BD">
        <w:t xml:space="preserve">namely </w:t>
      </w:r>
      <w:r w:rsidR="00B54CBC">
        <w:t>50 percent</w:t>
      </w:r>
      <w:r w:rsidR="00D65DBA">
        <w:t xml:space="preserve"> and 25 percent respectively </w:t>
      </w:r>
      <w:r w:rsidR="00A60C35">
        <w:t>(IMF 2018).</w:t>
      </w:r>
      <w:r w:rsidR="00C00A26">
        <w:rPr>
          <w:rStyle w:val="FootnoteReference"/>
        </w:rPr>
        <w:footnoteReference w:id="14"/>
      </w:r>
      <w:r w:rsidR="0031204F">
        <w:t xml:space="preserve"> </w:t>
      </w:r>
    </w:p>
    <w:p w14:paraId="4327E04D" w14:textId="3EC1DB77" w:rsidR="00AC373E" w:rsidRPr="007C3447" w:rsidRDefault="00C81E03" w:rsidP="007C3447">
      <w:pPr>
        <w:pStyle w:val="Figure"/>
        <w:rPr>
          <w:rStyle w:val="IntenseEmphasis"/>
          <w:i w:val="0"/>
          <w:iCs/>
          <w:color w:val="0070C0"/>
        </w:rPr>
      </w:pPr>
      <w:bookmarkStart w:id="33" w:name="_Ref9378366"/>
      <w:bookmarkStart w:id="34" w:name="_Toc9327222"/>
      <w:bookmarkStart w:id="35" w:name="_Toc11259339"/>
      <w:r w:rsidRPr="007C3447">
        <w:t xml:space="preserve">Figure 2. </w:t>
      </w:r>
      <w:r w:rsidR="00320D6E">
        <w:rPr>
          <w:noProof/>
        </w:rPr>
        <w:fldChar w:fldCharType="begin"/>
      </w:r>
      <w:r w:rsidR="00320D6E">
        <w:rPr>
          <w:noProof/>
        </w:rPr>
        <w:instrText xml:space="preserve"> SEQ Figure_2. \* ARABIC </w:instrText>
      </w:r>
      <w:r w:rsidR="00320D6E">
        <w:rPr>
          <w:noProof/>
        </w:rPr>
        <w:fldChar w:fldCharType="separate"/>
      </w:r>
      <w:r w:rsidR="00384800">
        <w:rPr>
          <w:noProof/>
        </w:rPr>
        <w:t>2</w:t>
      </w:r>
      <w:r w:rsidR="00320D6E">
        <w:rPr>
          <w:noProof/>
        </w:rPr>
        <w:fldChar w:fldCharType="end"/>
      </w:r>
      <w:bookmarkEnd w:id="33"/>
      <w:r w:rsidR="00062DE8" w:rsidRPr="007C3447">
        <w:t xml:space="preserve"> </w:t>
      </w:r>
      <w:r w:rsidR="00AC373E" w:rsidRPr="007C3447">
        <w:t>Formal sector employment trends, by ownership sector, 1994-2017</w:t>
      </w:r>
      <w:bookmarkEnd w:id="34"/>
      <w:bookmarkEnd w:id="35"/>
    </w:p>
    <w:p w14:paraId="6BD4D378" w14:textId="77777777" w:rsidR="00AC373E" w:rsidRDefault="00AC373E" w:rsidP="0010653A">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EC19934" wp14:editId="7D338815">
            <wp:extent cx="5019675" cy="328690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4523" cy="3381754"/>
                    </a:xfrm>
                    <a:prstGeom prst="rect">
                      <a:avLst/>
                    </a:prstGeom>
                    <a:noFill/>
                  </pic:spPr>
                </pic:pic>
              </a:graphicData>
            </a:graphic>
          </wp:inline>
        </w:drawing>
      </w:r>
    </w:p>
    <w:p w14:paraId="43D93930" w14:textId="0E171603" w:rsidR="00AC373E" w:rsidRPr="00D02A21" w:rsidRDefault="00361C56" w:rsidP="001F00BE">
      <w:pPr>
        <w:spacing w:after="0" w:line="240" w:lineRule="auto"/>
        <w:ind w:left="720" w:firstLine="720"/>
        <w:contextualSpacing/>
        <w:rPr>
          <w:sz w:val="18"/>
          <w:szCs w:val="18"/>
        </w:rPr>
      </w:pPr>
      <w:r w:rsidRPr="00D02A21">
        <w:rPr>
          <w:i/>
          <w:sz w:val="18"/>
          <w:szCs w:val="18"/>
        </w:rPr>
        <w:t>Source</w:t>
      </w:r>
      <w:r w:rsidRPr="00D02A21">
        <w:rPr>
          <w:sz w:val="18"/>
          <w:szCs w:val="18"/>
        </w:rPr>
        <w:t>: RLMS</w:t>
      </w:r>
    </w:p>
    <w:p w14:paraId="3390911F" w14:textId="14812DC6" w:rsidR="00361C56" w:rsidRDefault="00361C56" w:rsidP="00E26CD4">
      <w:pPr>
        <w:spacing w:after="0" w:line="240" w:lineRule="auto"/>
        <w:contextualSpacing/>
      </w:pPr>
    </w:p>
    <w:p w14:paraId="3AC5BD20" w14:textId="77777777" w:rsidR="00B9365F" w:rsidRPr="00955838" w:rsidRDefault="00B9365F" w:rsidP="00E26CD4">
      <w:pPr>
        <w:spacing w:after="0" w:line="240" w:lineRule="auto"/>
        <w:contextualSpacing/>
        <w:rPr>
          <w:sz w:val="10"/>
          <w:szCs w:val="10"/>
        </w:rPr>
      </w:pPr>
    </w:p>
    <w:p w14:paraId="5042A938" w14:textId="3037B6BD" w:rsidR="00D05806" w:rsidRPr="00B9365F" w:rsidRDefault="00B9365F" w:rsidP="00B9365F">
      <w:pPr>
        <w:pStyle w:val="Normal0"/>
        <w:numPr>
          <w:ilvl w:val="0"/>
          <w:numId w:val="21"/>
        </w:numPr>
        <w:spacing w:after="240" w:line="276" w:lineRule="auto"/>
        <w:ind w:left="0" w:firstLine="0"/>
        <w:jc w:val="both"/>
      </w:pPr>
      <w:r w:rsidRPr="00D02A21">
        <w:rPr>
          <w:b/>
        </w:rPr>
        <w:t>Cross-nationally, Russia’s share exceeds even the most “SOE-heavy” Nordic states and France (</w:t>
      </w:r>
      <w:r w:rsidR="00F87CB9" w:rsidRPr="00F87CB9">
        <w:rPr>
          <w:b/>
        </w:rPr>
        <w:fldChar w:fldCharType="begin"/>
      </w:r>
      <w:r w:rsidR="00F87CB9" w:rsidRPr="00F87CB9">
        <w:rPr>
          <w:b/>
        </w:rPr>
        <w:instrText xml:space="preserve"> REF _Ref9378390 \h  \* MERGEFORMAT </w:instrText>
      </w:r>
      <w:r w:rsidR="00F87CB9" w:rsidRPr="00F87CB9">
        <w:rPr>
          <w:b/>
        </w:rPr>
      </w:r>
      <w:r w:rsidR="00F87CB9" w:rsidRPr="00F87CB9">
        <w:rPr>
          <w:b/>
        </w:rPr>
        <w:fldChar w:fldCharType="separate"/>
      </w:r>
      <w:r w:rsidR="00384800" w:rsidRPr="007E0C3D">
        <w:rPr>
          <w:b/>
        </w:rPr>
        <w:t xml:space="preserve">Figure 2. </w:t>
      </w:r>
      <w:r w:rsidR="00384800" w:rsidRPr="007E0C3D">
        <w:rPr>
          <w:b/>
          <w:noProof/>
        </w:rPr>
        <w:t>3</w:t>
      </w:r>
      <w:r w:rsidR="00F87CB9" w:rsidRPr="00F87CB9">
        <w:rPr>
          <w:b/>
        </w:rPr>
        <w:fldChar w:fldCharType="end"/>
      </w:r>
      <w:r w:rsidRPr="00D02A21">
        <w:rPr>
          <w:b/>
        </w:rPr>
        <w:t>).</w:t>
      </w:r>
      <w:r>
        <w:t xml:space="preserve"> We compare the Russian SOE share in non-agricultural employment with that of 15 top SOE-employing OECD countries. Differences in OECD and Russian definitions of SOEs</w:t>
      </w:r>
      <w:r>
        <w:rPr>
          <w:rStyle w:val="FootnoteReference"/>
        </w:rPr>
        <w:footnoteReference w:id="15"/>
      </w:r>
      <w:r>
        <w:t xml:space="preserve"> do not explain the stark difference in the shares. Even if we only include fully state-owned SOEs in the Russian sample, which is more restrictive than the measure used by OECD for the comparator countries, the share of Russian SOEs in total non-agricultural employment becomes 12.7 percent, which is on par with Norway, a country with the highest share of SOE employment in the OECD.</w:t>
      </w:r>
    </w:p>
    <w:p w14:paraId="2F58F4FC" w14:textId="0506E4D5" w:rsidR="000F6164" w:rsidRDefault="00EB74D3" w:rsidP="00E50B55">
      <w:pPr>
        <w:pStyle w:val="Normal0"/>
        <w:numPr>
          <w:ilvl w:val="0"/>
          <w:numId w:val="21"/>
        </w:numPr>
        <w:spacing w:after="240" w:line="276" w:lineRule="auto"/>
        <w:ind w:left="0" w:firstLine="0"/>
        <w:jc w:val="both"/>
      </w:pPr>
      <w:proofErr w:type="gramStart"/>
      <w:r w:rsidRPr="00E50B55">
        <w:rPr>
          <w:b/>
          <w:bCs/>
        </w:rPr>
        <w:t>Th</w:t>
      </w:r>
      <w:r w:rsidR="00FA7C10" w:rsidRPr="00E50B55">
        <w:rPr>
          <w:b/>
          <w:bCs/>
        </w:rPr>
        <w:t>is</w:t>
      </w:r>
      <w:r w:rsidRPr="00E50B55">
        <w:rPr>
          <w:b/>
          <w:bCs/>
        </w:rPr>
        <w:t xml:space="preserve"> </w:t>
      </w:r>
      <w:r w:rsidR="00A1092A" w:rsidRPr="00E50B55">
        <w:rPr>
          <w:b/>
          <w:bCs/>
        </w:rPr>
        <w:t xml:space="preserve">high </w:t>
      </w:r>
      <w:r w:rsidR="000F6164" w:rsidRPr="00E50B55">
        <w:rPr>
          <w:b/>
          <w:bCs/>
        </w:rPr>
        <w:t>average mask</w:t>
      </w:r>
      <w:r w:rsidR="00A1092A" w:rsidRPr="00E50B55">
        <w:rPr>
          <w:b/>
          <w:bCs/>
        </w:rPr>
        <w:t>s</w:t>
      </w:r>
      <w:proofErr w:type="gramEnd"/>
      <w:r w:rsidR="000F6164" w:rsidRPr="00E50B55">
        <w:rPr>
          <w:b/>
          <w:bCs/>
        </w:rPr>
        <w:t xml:space="preserve"> significant regional variation</w:t>
      </w:r>
      <w:r w:rsidR="00B27E20" w:rsidRPr="00E50B55">
        <w:rPr>
          <w:b/>
          <w:bCs/>
        </w:rPr>
        <w:t>.</w:t>
      </w:r>
      <w:r w:rsidR="00B27E20">
        <w:t xml:space="preserve"> </w:t>
      </w:r>
      <w:r w:rsidR="00B657CA">
        <w:fldChar w:fldCharType="begin"/>
      </w:r>
      <w:r w:rsidR="00B657CA">
        <w:instrText xml:space="preserve"> REF _Ref9378412 \h </w:instrText>
      </w:r>
      <w:r w:rsidR="00B657CA">
        <w:fldChar w:fldCharType="separate"/>
      </w:r>
      <w:r w:rsidR="00384800">
        <w:t xml:space="preserve">Figure 2. </w:t>
      </w:r>
      <w:r w:rsidR="00384800">
        <w:rPr>
          <w:noProof/>
        </w:rPr>
        <w:t>4</w:t>
      </w:r>
      <w:r w:rsidR="00B657CA">
        <w:fldChar w:fldCharType="end"/>
      </w:r>
      <w:r w:rsidR="00B657CA">
        <w:t xml:space="preserve"> </w:t>
      </w:r>
      <w:r w:rsidR="00590248">
        <w:t xml:space="preserve">shows </w:t>
      </w:r>
      <w:r w:rsidR="00B27E20">
        <w:t>SOE share in total employment</w:t>
      </w:r>
      <w:r w:rsidR="00313643">
        <w:t>,</w:t>
      </w:r>
      <w:r w:rsidR="0037319A">
        <w:rPr>
          <w:rStyle w:val="FootnoteReference"/>
        </w:rPr>
        <w:footnoteReference w:id="16"/>
      </w:r>
      <w:r w:rsidR="00313643">
        <w:t xml:space="preserve"> broken down by SOE type</w:t>
      </w:r>
      <w:r w:rsidR="00E4076F">
        <w:t xml:space="preserve"> and by region</w:t>
      </w:r>
      <w:r w:rsidR="00313643">
        <w:t>. It shows that the total SOE share</w:t>
      </w:r>
      <w:r w:rsidR="00B27E20">
        <w:t xml:space="preserve"> </w:t>
      </w:r>
      <w:r w:rsidR="00590248">
        <w:t xml:space="preserve">ranges from </w:t>
      </w:r>
      <w:r w:rsidR="000F6164">
        <w:t>5 to almost 50 percent</w:t>
      </w:r>
      <w:r w:rsidR="00590248">
        <w:t xml:space="preserve"> across regions</w:t>
      </w:r>
      <w:r w:rsidR="000F6164">
        <w:t>.</w:t>
      </w:r>
      <w:r w:rsidR="00494EB4">
        <w:rPr>
          <w:rStyle w:val="FootnoteReference"/>
        </w:rPr>
        <w:footnoteReference w:id="17"/>
      </w:r>
      <w:r w:rsidR="00E4076F">
        <w:t xml:space="preserve"> </w:t>
      </w:r>
      <w:r w:rsidR="007F5B85">
        <w:t>T</w:t>
      </w:r>
      <w:r w:rsidR="00DB23A9">
        <w:t>here does not appear to be a clear geographic pattern</w:t>
      </w:r>
      <w:r w:rsidR="00376CC9">
        <w:t>, as</w:t>
      </w:r>
      <w:r w:rsidR="00DB23A9">
        <w:t xml:space="preserve"> SOEs are concentrated in the most populous and wealthy regions of Western Russia </w:t>
      </w:r>
      <w:r w:rsidR="00245903">
        <w:t xml:space="preserve">as well as in </w:t>
      </w:r>
      <w:r w:rsidR="00DB23A9">
        <w:t xml:space="preserve">sparely </w:t>
      </w:r>
      <w:r w:rsidR="00245903">
        <w:t xml:space="preserve">populated </w:t>
      </w:r>
      <w:r w:rsidR="00DB23A9">
        <w:t xml:space="preserve">lagging </w:t>
      </w:r>
      <w:r w:rsidR="00245903">
        <w:t>regions of the Far East.</w:t>
      </w:r>
    </w:p>
    <w:p w14:paraId="3AA4FC51" w14:textId="0BA7F917" w:rsidR="00B9365F" w:rsidRPr="00317F8C" w:rsidRDefault="00B9365F" w:rsidP="009820DC">
      <w:pPr>
        <w:pStyle w:val="Figure"/>
      </w:pPr>
      <w:bookmarkStart w:id="36" w:name="_Ref9378390"/>
      <w:bookmarkStart w:id="37" w:name="_Toc9327223"/>
      <w:bookmarkStart w:id="38" w:name="_Toc11259340"/>
      <w:r w:rsidRPr="007C3447">
        <w:t xml:space="preserve">Figure 2. </w:t>
      </w:r>
      <w:r w:rsidR="00320D6E">
        <w:rPr>
          <w:noProof/>
        </w:rPr>
        <w:fldChar w:fldCharType="begin"/>
      </w:r>
      <w:r w:rsidR="00320D6E">
        <w:rPr>
          <w:noProof/>
        </w:rPr>
        <w:instrText xml:space="preserve"> SEQ Figure_2. \* ARABIC </w:instrText>
      </w:r>
      <w:r w:rsidR="00320D6E">
        <w:rPr>
          <w:noProof/>
        </w:rPr>
        <w:fldChar w:fldCharType="separate"/>
      </w:r>
      <w:r w:rsidR="00384800">
        <w:rPr>
          <w:noProof/>
        </w:rPr>
        <w:t>3</w:t>
      </w:r>
      <w:r w:rsidR="00320D6E">
        <w:rPr>
          <w:noProof/>
        </w:rPr>
        <w:fldChar w:fldCharType="end"/>
      </w:r>
      <w:bookmarkEnd w:id="36"/>
      <w:r>
        <w:t xml:space="preserve"> </w:t>
      </w:r>
      <w:r w:rsidRPr="000434BA">
        <w:t>Share of SOEs (majority and minority government stakes) in total non-agricultural employment, Russia compared 2015-2016.</w:t>
      </w:r>
      <w:bookmarkEnd w:id="37"/>
      <w:bookmarkEnd w:id="38"/>
      <w:r w:rsidRPr="000434BA">
        <w:t xml:space="preserve"> </w:t>
      </w:r>
    </w:p>
    <w:p w14:paraId="6670782E" w14:textId="77777777" w:rsidR="00B9365F" w:rsidRDefault="00B9365F" w:rsidP="00B528A5">
      <w:pPr>
        <w:spacing w:after="0" w:line="240" w:lineRule="auto"/>
        <w:ind w:left="360"/>
        <w:jc w:val="center"/>
      </w:pPr>
      <w:r>
        <w:rPr>
          <w:rStyle w:val="IntenseEmphasis"/>
          <w:i w:val="0"/>
          <w:noProof/>
          <w:color w:val="2E74B5" w:themeColor="accent1" w:themeShade="BF"/>
        </w:rPr>
        <w:drawing>
          <wp:inline distT="0" distB="0" distL="0" distR="0" wp14:anchorId="24B19BB3" wp14:editId="7E81FF17">
            <wp:extent cx="5287992" cy="2652707"/>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742" b="3185"/>
                    <a:stretch/>
                  </pic:blipFill>
                  <pic:spPr bwMode="auto">
                    <a:xfrm>
                      <a:off x="0" y="0"/>
                      <a:ext cx="5521179" cy="2769685"/>
                    </a:xfrm>
                    <a:prstGeom prst="rect">
                      <a:avLst/>
                    </a:prstGeom>
                    <a:noFill/>
                    <a:ln>
                      <a:noFill/>
                    </a:ln>
                    <a:extLst>
                      <a:ext uri="{53640926-AAD7-44D8-BBD7-CCE9431645EC}">
                        <a14:shadowObscured xmlns:a14="http://schemas.microsoft.com/office/drawing/2010/main"/>
                      </a:ext>
                    </a:extLst>
                  </pic:spPr>
                </pic:pic>
              </a:graphicData>
            </a:graphic>
          </wp:inline>
        </w:drawing>
      </w:r>
    </w:p>
    <w:p w14:paraId="03BF64DE" w14:textId="77777777" w:rsidR="00B9365F" w:rsidRPr="00B9365F" w:rsidRDefault="00B9365F" w:rsidP="00B528A5">
      <w:pPr>
        <w:pStyle w:val="ListParagraph"/>
        <w:spacing w:after="0" w:line="240" w:lineRule="auto"/>
        <w:rPr>
          <w:rStyle w:val="IntenseEmphasis"/>
          <w:bCs/>
          <w:i w:val="0"/>
          <w:iCs w:val="0"/>
          <w:color w:val="auto"/>
          <w:sz w:val="18"/>
          <w:szCs w:val="18"/>
        </w:rPr>
      </w:pPr>
      <w:r w:rsidRPr="00B9365F">
        <w:rPr>
          <w:bCs/>
          <w:i/>
          <w:sz w:val="18"/>
          <w:szCs w:val="18"/>
        </w:rPr>
        <w:t>Source</w:t>
      </w:r>
      <w:r w:rsidRPr="00B9365F">
        <w:rPr>
          <w:bCs/>
          <w:sz w:val="18"/>
          <w:szCs w:val="18"/>
        </w:rPr>
        <w:t>: RLMS 2015-6, OECD Labor Force Statistics (2015) in OECD 2017.</w:t>
      </w:r>
    </w:p>
    <w:p w14:paraId="608D3831" w14:textId="4102D631" w:rsidR="00B9365F" w:rsidRDefault="00B9365F" w:rsidP="00D054AF">
      <w:pPr>
        <w:spacing w:after="0" w:line="240" w:lineRule="auto"/>
        <w:rPr>
          <w:b/>
          <w:bCs/>
        </w:rPr>
      </w:pPr>
    </w:p>
    <w:p w14:paraId="21F3AC51" w14:textId="77777777" w:rsidR="00D054AF" w:rsidRDefault="00D054AF" w:rsidP="00D054AF">
      <w:pPr>
        <w:pStyle w:val="Normal0"/>
        <w:numPr>
          <w:ilvl w:val="0"/>
          <w:numId w:val="21"/>
        </w:numPr>
        <w:spacing w:after="240" w:line="276" w:lineRule="auto"/>
        <w:ind w:left="0" w:firstLine="0"/>
        <w:jc w:val="both"/>
      </w:pPr>
      <w:r w:rsidRPr="00A1092A">
        <w:rPr>
          <w:b/>
          <w:bCs/>
        </w:rPr>
        <w:t xml:space="preserve">Variation also </w:t>
      </w:r>
      <w:r>
        <w:rPr>
          <w:b/>
          <w:bCs/>
        </w:rPr>
        <w:t xml:space="preserve">emerges </w:t>
      </w:r>
      <w:r w:rsidRPr="00A1092A">
        <w:rPr>
          <w:b/>
          <w:bCs/>
        </w:rPr>
        <w:t>at the industry level</w:t>
      </w:r>
      <w:r>
        <w:t xml:space="preserve">. </w:t>
      </w:r>
      <w:r w:rsidRPr="00245903">
        <w:t>SOEs play a key role in several sectors deemed strategic by the government</w:t>
      </w:r>
      <w:r>
        <w:t xml:space="preserve"> (</w:t>
      </w:r>
      <w:r>
        <w:fldChar w:fldCharType="begin"/>
      </w:r>
      <w:r>
        <w:instrText xml:space="preserve"> REF _Ref9378437 \h </w:instrText>
      </w:r>
      <w:r>
        <w:fldChar w:fldCharType="separate"/>
      </w:r>
      <w:r>
        <w:t xml:space="preserve">Table 2. </w:t>
      </w:r>
      <w:r>
        <w:rPr>
          <w:noProof/>
        </w:rPr>
        <w:t>1</w:t>
      </w:r>
      <w:r>
        <w:fldChar w:fldCharType="end"/>
      </w:r>
      <w:r>
        <w:t>)</w:t>
      </w:r>
      <w:r w:rsidRPr="00245903">
        <w:t>. According to the SOW, four sectors</w:t>
      </w:r>
      <w:r>
        <w:t>—</w:t>
      </w:r>
      <w:r w:rsidRPr="00245903">
        <w:t xml:space="preserve">transport </w:t>
      </w:r>
      <w:r>
        <w:t xml:space="preserve">and </w:t>
      </w:r>
      <w:r w:rsidRPr="00245903">
        <w:t>communications, manufacturing, business services, and electricity, gas and water supply</w:t>
      </w:r>
      <w:r>
        <w:t>—</w:t>
      </w:r>
      <w:r w:rsidRPr="00245903">
        <w:t>account for over 85</w:t>
      </w:r>
      <w:r>
        <w:t xml:space="preserve"> percent</w:t>
      </w:r>
      <w:r w:rsidRPr="00245903">
        <w:t xml:space="preserve"> of all SOEs by employment. In 2015, over 60</w:t>
      </w:r>
      <w:r>
        <w:t xml:space="preserve"> percent</w:t>
      </w:r>
      <w:r w:rsidRPr="00245903">
        <w:t xml:space="preserve"> of all formal sector employees in these sectors were hired by SOEs (Lukyanova 2019)</w:t>
      </w:r>
      <w:r>
        <w:t xml:space="preserve">. </w:t>
      </w:r>
      <w:r w:rsidRPr="00245903">
        <w:t xml:space="preserve">The concentrated presence of SOEs in these </w:t>
      </w:r>
      <w:r>
        <w:t>important</w:t>
      </w:r>
      <w:r w:rsidRPr="00245903">
        <w:t xml:space="preserve"> sectors makes their performance </w:t>
      </w:r>
      <w:r>
        <w:t xml:space="preserve">and spillovers very </w:t>
      </w:r>
      <w:r w:rsidRPr="00245903">
        <w:t>relevant for the rest of the economy.</w:t>
      </w:r>
      <w:r>
        <w:t xml:space="preserve"> The concentration patterns are similar across measures of SOE footprint, as sectors with high shares of SOE employment generally mirror those with high share of SOE in value added.</w:t>
      </w:r>
    </w:p>
    <w:p w14:paraId="24DFE095" w14:textId="437B4905" w:rsidR="00D054AF" w:rsidRPr="008F79A1" w:rsidRDefault="008F79A1" w:rsidP="008F79A1">
      <w:pPr>
        <w:pStyle w:val="Normal0"/>
        <w:numPr>
          <w:ilvl w:val="0"/>
          <w:numId w:val="21"/>
        </w:numPr>
        <w:spacing w:after="240" w:line="276" w:lineRule="auto"/>
        <w:ind w:left="0" w:firstLine="0"/>
        <w:jc w:val="both"/>
        <w:rPr>
          <w:iCs/>
        </w:rPr>
      </w:pPr>
      <w:r w:rsidRPr="00406CCD">
        <w:rPr>
          <w:b/>
          <w:bCs/>
          <w:iCs/>
        </w:rPr>
        <w:t>Interesting patterns emerge when we look inside the SOE sector</w:t>
      </w:r>
      <w:r w:rsidRPr="00406CCD">
        <w:rPr>
          <w:iCs/>
        </w:rPr>
        <w:t>. First, the sector is still dominated by fully-owned State SOEs. Not counting indirect ownership, State SOEs employ two thirds of all SOE employees, while one third is employed by Mixed companies (RLMS 2017).</w:t>
      </w:r>
      <w:r>
        <w:rPr>
          <w:rStyle w:val="FootnoteReference"/>
          <w:iCs/>
        </w:rPr>
        <w:footnoteReference w:id="18"/>
      </w:r>
      <w:r w:rsidRPr="00406CCD">
        <w:rPr>
          <w:iCs/>
        </w:rPr>
        <w:t xml:space="preserve"> Second, </w:t>
      </w:r>
      <w:r>
        <w:rPr>
          <w:iCs/>
        </w:rPr>
        <w:fldChar w:fldCharType="begin"/>
      </w:r>
      <w:r>
        <w:rPr>
          <w:iCs/>
        </w:rPr>
        <w:instrText xml:space="preserve"> REF _Ref9378454 \h </w:instrText>
      </w:r>
      <w:r>
        <w:rPr>
          <w:iCs/>
        </w:rPr>
      </w:r>
      <w:r>
        <w:rPr>
          <w:iCs/>
        </w:rPr>
        <w:fldChar w:fldCharType="separate"/>
      </w:r>
      <w:r>
        <w:t xml:space="preserve">Table 2. </w:t>
      </w:r>
      <w:r>
        <w:rPr>
          <w:noProof/>
        </w:rPr>
        <w:t>2</w:t>
      </w:r>
      <w:r>
        <w:rPr>
          <w:iCs/>
        </w:rPr>
        <w:fldChar w:fldCharType="end"/>
      </w:r>
      <w:r>
        <w:rPr>
          <w:iCs/>
        </w:rPr>
        <w:t xml:space="preserve"> and  </w:t>
      </w:r>
      <w:r>
        <w:rPr>
          <w:iCs/>
        </w:rPr>
        <w:fldChar w:fldCharType="begin"/>
      </w:r>
      <w:r>
        <w:rPr>
          <w:iCs/>
        </w:rPr>
        <w:instrText xml:space="preserve"> REF _Ref9378460 \h </w:instrText>
      </w:r>
      <w:r>
        <w:rPr>
          <w:iCs/>
        </w:rPr>
      </w:r>
      <w:r>
        <w:rPr>
          <w:iCs/>
        </w:rPr>
        <w:fldChar w:fldCharType="separate"/>
      </w:r>
      <w:r>
        <w:t xml:space="preserve">Table 2. </w:t>
      </w:r>
      <w:r>
        <w:rPr>
          <w:noProof/>
        </w:rPr>
        <w:t>3</w:t>
      </w:r>
      <w:r>
        <w:rPr>
          <w:iCs/>
        </w:rPr>
        <w:fldChar w:fldCharType="end"/>
      </w:r>
      <w:r>
        <w:rPr>
          <w:iCs/>
        </w:rPr>
        <w:t xml:space="preserve">  </w:t>
      </w:r>
      <w:r w:rsidRPr="00406CCD">
        <w:rPr>
          <w:iCs/>
        </w:rPr>
        <w:t xml:space="preserve">show that SOEs are very large. The average SOE employs 3-4 times the number of workers than the average private sector firm, and that the largest firms are indirectly owned SOEs while the difference in average size between directly owned State and Mixed SOEs is negligible. </w:t>
      </w:r>
      <w:r>
        <w:rPr>
          <w:iCs/>
        </w:rPr>
        <w:t>The spread in average firm sizes is partly driven by outliers. The median size of private firms is 93 employees, state SOE 170 employees, direct mixed SOE 255, and indirect mixed SOE 309 employees.</w:t>
      </w:r>
    </w:p>
    <w:p w14:paraId="73BA21A4" w14:textId="05E79577" w:rsidR="00191221" w:rsidRDefault="00317F8C" w:rsidP="007B1A48">
      <w:pPr>
        <w:pStyle w:val="Figure"/>
      </w:pPr>
      <w:bookmarkStart w:id="39" w:name="_Ref9378412"/>
      <w:bookmarkStart w:id="40" w:name="_Toc9327224"/>
      <w:bookmarkStart w:id="41" w:name="_Toc11259341"/>
      <w:r>
        <w:t xml:space="preserve">Figure 2. </w:t>
      </w:r>
      <w:r w:rsidR="00320D6E">
        <w:rPr>
          <w:noProof/>
        </w:rPr>
        <w:fldChar w:fldCharType="begin"/>
      </w:r>
      <w:r w:rsidR="00320D6E">
        <w:rPr>
          <w:noProof/>
        </w:rPr>
        <w:instrText xml:space="preserve"> SEQ Figure_2. \* ARABIC </w:instrText>
      </w:r>
      <w:r w:rsidR="00320D6E">
        <w:rPr>
          <w:noProof/>
        </w:rPr>
        <w:fldChar w:fldCharType="separate"/>
      </w:r>
      <w:r w:rsidR="00384800">
        <w:rPr>
          <w:noProof/>
        </w:rPr>
        <w:t>4</w:t>
      </w:r>
      <w:r w:rsidR="00320D6E">
        <w:rPr>
          <w:noProof/>
        </w:rPr>
        <w:fldChar w:fldCharType="end"/>
      </w:r>
      <w:bookmarkEnd w:id="39"/>
      <w:r>
        <w:t xml:space="preserve"> </w:t>
      </w:r>
      <w:r w:rsidR="00A6733B" w:rsidRPr="00317F8C">
        <w:t xml:space="preserve">SOE </w:t>
      </w:r>
      <w:r w:rsidR="00590248" w:rsidRPr="00317F8C">
        <w:t xml:space="preserve">share in total employment, </w:t>
      </w:r>
      <w:r w:rsidR="00E51500" w:rsidRPr="00317F8C">
        <w:t>by type of SOE and by region.</w:t>
      </w:r>
      <w:bookmarkEnd w:id="40"/>
      <w:bookmarkEnd w:id="41"/>
      <w:r w:rsidR="00E51500" w:rsidRPr="00317F8C">
        <w:t xml:space="preserve"> </w:t>
      </w:r>
    </w:p>
    <w:p w14:paraId="161BE377" w14:textId="7D28EAEE" w:rsidR="007B1A48" w:rsidRDefault="007B1A48" w:rsidP="007B1A48">
      <w:pPr>
        <w:pStyle w:val="Figure"/>
      </w:pPr>
      <w:r w:rsidRPr="00FB0DAD">
        <w:rPr>
          <w:rFonts w:ascii="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4FAEB49C" wp14:editId="79CB22FE">
            <wp:simplePos x="0" y="0"/>
            <wp:positionH relativeFrom="page">
              <wp:posOffset>2122098</wp:posOffset>
            </wp:positionH>
            <wp:positionV relativeFrom="paragraph">
              <wp:posOffset>7992</wp:posOffset>
            </wp:positionV>
            <wp:extent cx="4391025" cy="2373369"/>
            <wp:effectExtent l="0" t="0" r="0" b="8255"/>
            <wp:wrapNone/>
            <wp:docPr id="21" name="Picture 4">
              <a:extLst xmlns:a="http://schemas.openxmlformats.org/drawingml/2006/main">
                <a:ext uri="{FF2B5EF4-FFF2-40B4-BE49-F238E27FC236}">
                  <a16:creationId xmlns:a16="http://schemas.microsoft.com/office/drawing/2014/main" id="{C1C6652C-0AE3-4877-BA31-35F468C8B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C6652C-0AE3-4877-BA31-35F468C8B8F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025" cy="2373369"/>
                    </a:xfrm>
                    <a:prstGeom prst="rect">
                      <a:avLst/>
                    </a:prstGeom>
                  </pic:spPr>
                </pic:pic>
              </a:graphicData>
            </a:graphic>
            <wp14:sizeRelH relativeFrom="page">
              <wp14:pctWidth>0</wp14:pctWidth>
            </wp14:sizeRelH>
            <wp14:sizeRelV relativeFrom="page">
              <wp14:pctHeight>0</wp14:pctHeight>
            </wp14:sizeRelV>
          </wp:anchor>
        </w:drawing>
      </w:r>
    </w:p>
    <w:p w14:paraId="71AE3FC7" w14:textId="2FD1CD7D" w:rsidR="00191221" w:rsidRDefault="00191221" w:rsidP="00A6733B">
      <w:pPr>
        <w:spacing w:after="0" w:line="240" w:lineRule="auto"/>
      </w:pPr>
    </w:p>
    <w:p w14:paraId="1EC50376" w14:textId="0722918C" w:rsidR="008F79A1" w:rsidRDefault="008F79A1" w:rsidP="00A6733B">
      <w:pPr>
        <w:spacing w:after="0" w:line="240" w:lineRule="auto"/>
      </w:pPr>
    </w:p>
    <w:p w14:paraId="54366CDE" w14:textId="46FB65A7" w:rsidR="008F79A1" w:rsidRDefault="008F79A1" w:rsidP="00A6733B">
      <w:pPr>
        <w:spacing w:after="0" w:line="240" w:lineRule="auto"/>
      </w:pPr>
    </w:p>
    <w:p w14:paraId="35778BD0" w14:textId="463B83BA" w:rsidR="008F79A1" w:rsidRDefault="008F79A1" w:rsidP="00A6733B">
      <w:pPr>
        <w:spacing w:after="0" w:line="240" w:lineRule="auto"/>
      </w:pPr>
    </w:p>
    <w:p w14:paraId="74395640" w14:textId="56AED3BA" w:rsidR="008F79A1" w:rsidRDefault="008F79A1" w:rsidP="00A6733B">
      <w:pPr>
        <w:spacing w:after="0" w:line="240" w:lineRule="auto"/>
      </w:pPr>
    </w:p>
    <w:p w14:paraId="0BFD77CA" w14:textId="15E94578" w:rsidR="008F79A1" w:rsidRDefault="008F79A1" w:rsidP="00A6733B">
      <w:pPr>
        <w:spacing w:after="0" w:line="240" w:lineRule="auto"/>
      </w:pPr>
    </w:p>
    <w:p w14:paraId="311AD234" w14:textId="77777777" w:rsidR="008F79A1" w:rsidRDefault="008F79A1" w:rsidP="00A6733B">
      <w:pPr>
        <w:spacing w:after="0" w:line="240" w:lineRule="auto"/>
      </w:pPr>
    </w:p>
    <w:p w14:paraId="365C8D45" w14:textId="6BAD1909" w:rsidR="00FB0DAD" w:rsidRDefault="007B1A48" w:rsidP="008F79A1">
      <w:pPr>
        <w:spacing w:after="0" w:line="240" w:lineRule="auto"/>
      </w:pPr>
      <w:r w:rsidRPr="00FB0DAD">
        <w:rPr>
          <w:noProof/>
        </w:rPr>
        <w:drawing>
          <wp:inline distT="0" distB="0" distL="0" distR="0" wp14:anchorId="5BAAC5B4" wp14:editId="0EFD8B33">
            <wp:extent cx="6137196" cy="3148642"/>
            <wp:effectExtent l="0" t="0" r="0" b="0"/>
            <wp:docPr id="7" name="Рисунок 9">
              <a:extLst xmlns:a="http://schemas.openxmlformats.org/drawingml/2006/main">
                <a:ext uri="{FF2B5EF4-FFF2-40B4-BE49-F238E27FC236}">
                  <a16:creationId xmlns:a16="http://schemas.microsoft.com/office/drawing/2014/main" id="{79B2D00F-7FCB-4598-A2C7-52CD77B32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a:extLst>
                        <a:ext uri="{FF2B5EF4-FFF2-40B4-BE49-F238E27FC236}">
                          <a16:creationId xmlns:a16="http://schemas.microsoft.com/office/drawing/2014/main" id="{79B2D00F-7FCB-4598-A2C7-52CD77B32C6E}"/>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0175"/>
                    <a:stretch/>
                  </pic:blipFill>
                  <pic:spPr bwMode="auto">
                    <a:xfrm>
                      <a:off x="0" y="0"/>
                      <a:ext cx="6208203" cy="3185072"/>
                    </a:xfrm>
                    <a:prstGeom prst="rect">
                      <a:avLst/>
                    </a:prstGeom>
                    <a:noFill/>
                    <a:ln>
                      <a:noFill/>
                    </a:ln>
                    <a:extLst>
                      <a:ext uri="{53640926-AAD7-44D8-BBD7-CCE9431645EC}">
                        <a14:shadowObscured xmlns:a14="http://schemas.microsoft.com/office/drawing/2010/main"/>
                      </a:ext>
                    </a:extLst>
                  </pic:spPr>
                </pic:pic>
              </a:graphicData>
            </a:graphic>
          </wp:inline>
        </w:drawing>
      </w:r>
    </w:p>
    <w:p w14:paraId="6EE9177E" w14:textId="77777777" w:rsidR="001C0224" w:rsidRDefault="00FA7C10" w:rsidP="001C0224">
      <w:pPr>
        <w:spacing w:after="0" w:line="240" w:lineRule="auto"/>
        <w:contextualSpacing/>
        <w:jc w:val="left"/>
        <w:rPr>
          <w:bCs/>
          <w:sz w:val="18"/>
          <w:szCs w:val="18"/>
        </w:rPr>
      </w:pPr>
      <w:r w:rsidRPr="00D02A21">
        <w:rPr>
          <w:bCs/>
          <w:i/>
          <w:sz w:val="18"/>
          <w:szCs w:val="18"/>
        </w:rPr>
        <w:t>Source</w:t>
      </w:r>
      <w:r w:rsidRPr="00D02A21">
        <w:rPr>
          <w:bCs/>
          <w:sz w:val="18"/>
          <w:szCs w:val="18"/>
        </w:rPr>
        <w:t>: SOW 2015.</w:t>
      </w:r>
      <w:bookmarkStart w:id="42" w:name="_Ref9378437"/>
      <w:bookmarkStart w:id="43" w:name="_Toc9327225"/>
    </w:p>
    <w:p w14:paraId="02DDCF28" w14:textId="77777777" w:rsidR="001C0224" w:rsidRDefault="001C0224" w:rsidP="001C0224">
      <w:pPr>
        <w:spacing w:after="0" w:line="240" w:lineRule="auto"/>
        <w:contextualSpacing/>
        <w:jc w:val="left"/>
      </w:pPr>
    </w:p>
    <w:p w14:paraId="55DC3E48" w14:textId="7F372D9D" w:rsidR="008235F1" w:rsidRPr="001C0224" w:rsidRDefault="009820DC" w:rsidP="001C0224">
      <w:pPr>
        <w:pStyle w:val="Figure"/>
        <w:rPr>
          <w:rStyle w:val="IntenseEmphasis"/>
          <w:i w:val="0"/>
          <w:iCs/>
          <w:color w:val="2E74B5" w:themeColor="accent1" w:themeShade="BF"/>
          <w:sz w:val="18"/>
          <w:szCs w:val="18"/>
        </w:rPr>
      </w:pPr>
      <w:bookmarkStart w:id="44" w:name="_Toc11259370"/>
      <w:r>
        <w:t xml:space="preserve">Table 2. </w:t>
      </w:r>
      <w:r w:rsidR="00320D6E">
        <w:rPr>
          <w:noProof/>
        </w:rPr>
        <w:fldChar w:fldCharType="begin"/>
      </w:r>
      <w:r w:rsidR="00320D6E">
        <w:rPr>
          <w:noProof/>
        </w:rPr>
        <w:instrText xml:space="preserve"> SEQ Table_2. \* ARABIC </w:instrText>
      </w:r>
      <w:r w:rsidR="00320D6E">
        <w:rPr>
          <w:noProof/>
        </w:rPr>
        <w:fldChar w:fldCharType="separate"/>
      </w:r>
      <w:r w:rsidR="00384800">
        <w:rPr>
          <w:noProof/>
        </w:rPr>
        <w:t>1</w:t>
      </w:r>
      <w:r w:rsidR="00320D6E">
        <w:rPr>
          <w:noProof/>
        </w:rPr>
        <w:fldChar w:fldCharType="end"/>
      </w:r>
      <w:bookmarkEnd w:id="42"/>
      <w:r>
        <w:t xml:space="preserve"> </w:t>
      </w:r>
      <w:r w:rsidR="008235F1" w:rsidRPr="000434BA">
        <w:t>SOE share in formal employment</w:t>
      </w:r>
      <w:r w:rsidR="00016025" w:rsidRPr="000434BA">
        <w:t xml:space="preserve"> and value added (sales), by industry</w:t>
      </w:r>
      <w:r w:rsidR="008235F1" w:rsidRPr="000434BA">
        <w:t>.</w:t>
      </w:r>
      <w:bookmarkEnd w:id="43"/>
      <w:bookmarkEnd w:id="44"/>
      <w:r w:rsidR="008235F1" w:rsidRPr="000434BA">
        <w:t xml:space="preserve"> </w:t>
      </w:r>
    </w:p>
    <w:tbl>
      <w:tblPr>
        <w:tblStyle w:val="TableGrid0"/>
        <w:tblW w:w="10553"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
        <w:gridCol w:w="6103"/>
        <w:gridCol w:w="82"/>
        <w:gridCol w:w="222"/>
        <w:gridCol w:w="4065"/>
        <w:gridCol w:w="37"/>
      </w:tblGrid>
      <w:tr w:rsidR="005767F8" w14:paraId="062C378D" w14:textId="77777777" w:rsidTr="001C658D">
        <w:trPr>
          <w:gridBefore w:val="1"/>
          <w:gridAfter w:val="1"/>
          <w:wBefore w:w="90" w:type="dxa"/>
          <w:wAfter w:w="128" w:type="dxa"/>
        </w:trPr>
        <w:tc>
          <w:tcPr>
            <w:tcW w:w="5760" w:type="dxa"/>
            <w:shd w:val="clear" w:color="auto" w:fill="auto"/>
          </w:tcPr>
          <w:p w14:paraId="44E42611" w14:textId="2455DFEF" w:rsidR="005767F8" w:rsidRDefault="005767F8" w:rsidP="001D6589">
            <w:pPr>
              <w:spacing w:after="0" w:line="240" w:lineRule="auto"/>
              <w:ind w:right="523"/>
              <w:contextualSpacing/>
              <w:jc w:val="right"/>
              <w:rPr>
                <w:rStyle w:val="IntenseEmphasis"/>
                <w:i w:val="0"/>
                <w:noProof/>
                <w:color w:val="2E74B5" w:themeColor="accent1" w:themeShade="BF"/>
              </w:rPr>
            </w:pPr>
            <w:r w:rsidRPr="007F6DAB">
              <w:rPr>
                <w:rStyle w:val="IntenseEmphasis"/>
                <w:b/>
                <w:bCs/>
                <w:i w:val="0"/>
                <w:noProof/>
                <w:color w:val="auto"/>
              </w:rPr>
              <w:t>Share in Employment</w:t>
            </w:r>
          </w:p>
        </w:tc>
        <w:tc>
          <w:tcPr>
            <w:tcW w:w="334" w:type="dxa"/>
            <w:gridSpan w:val="2"/>
            <w:shd w:val="clear" w:color="auto" w:fill="auto"/>
          </w:tcPr>
          <w:p w14:paraId="7F953F66" w14:textId="64561C79" w:rsidR="005767F8" w:rsidRDefault="005767F8" w:rsidP="005767F8">
            <w:pPr>
              <w:spacing w:after="0" w:line="240" w:lineRule="auto"/>
              <w:ind w:left="59"/>
              <w:contextualSpacing/>
              <w:jc w:val="left"/>
              <w:rPr>
                <w:rStyle w:val="IntenseEmphasis"/>
                <w:i w:val="0"/>
                <w:noProof/>
                <w:color w:val="2E74B5" w:themeColor="accent1" w:themeShade="BF"/>
              </w:rPr>
            </w:pPr>
          </w:p>
        </w:tc>
        <w:tc>
          <w:tcPr>
            <w:tcW w:w="4241" w:type="dxa"/>
            <w:shd w:val="clear" w:color="auto" w:fill="auto"/>
          </w:tcPr>
          <w:p w14:paraId="1BAE3B78" w14:textId="51853E43" w:rsidR="005767F8" w:rsidRDefault="005767F8" w:rsidP="000434BA">
            <w:pPr>
              <w:tabs>
                <w:tab w:val="left" w:pos="3177"/>
              </w:tabs>
              <w:spacing w:after="0" w:line="240" w:lineRule="auto"/>
              <w:ind w:left="212" w:right="420"/>
              <w:contextualSpacing/>
              <w:jc w:val="right"/>
              <w:rPr>
                <w:rStyle w:val="IntenseEmphasis"/>
                <w:i w:val="0"/>
                <w:noProof/>
                <w:color w:val="2E74B5" w:themeColor="accent1" w:themeShade="BF"/>
              </w:rPr>
            </w:pPr>
            <w:r w:rsidRPr="007F6DAB">
              <w:rPr>
                <w:rStyle w:val="IntenseEmphasis"/>
                <w:b/>
                <w:bCs/>
                <w:i w:val="0"/>
                <w:noProof/>
                <w:color w:val="auto"/>
              </w:rPr>
              <w:t>Share in Value added</w:t>
            </w:r>
          </w:p>
        </w:tc>
      </w:tr>
      <w:tr w:rsidR="005767F8" w14:paraId="50ACADB8" w14:textId="77777777" w:rsidTr="00D30908">
        <w:tc>
          <w:tcPr>
            <w:tcW w:w="5948" w:type="dxa"/>
            <w:gridSpan w:val="3"/>
          </w:tcPr>
          <w:p w14:paraId="7CDEDB85" w14:textId="645509B4" w:rsidR="005767F8" w:rsidRDefault="00BD30EC" w:rsidP="00CE1189">
            <w:pPr>
              <w:spacing w:after="0" w:line="240" w:lineRule="auto"/>
              <w:ind w:left="435"/>
              <w:contextualSpacing/>
              <w:jc w:val="left"/>
              <w:rPr>
                <w:rStyle w:val="IntenseEmphasis"/>
                <w:i w:val="0"/>
                <w:color w:val="2E74B5" w:themeColor="accent1" w:themeShade="BF"/>
              </w:rPr>
            </w:pPr>
            <w:r w:rsidRPr="00BD30EC">
              <w:rPr>
                <w:noProof/>
              </w:rPr>
              <w:drawing>
                <wp:inline distT="0" distB="0" distL="0" distR="0" wp14:anchorId="2D621BE7" wp14:editId="4E5D2A4A">
                  <wp:extent cx="3562350" cy="1916501"/>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3264" cy="1933133"/>
                          </a:xfrm>
                          <a:prstGeom prst="rect">
                            <a:avLst/>
                          </a:prstGeom>
                          <a:noFill/>
                          <a:ln>
                            <a:noFill/>
                          </a:ln>
                        </pic:spPr>
                      </pic:pic>
                    </a:graphicData>
                  </a:graphic>
                </wp:inline>
              </w:drawing>
            </w:r>
          </w:p>
        </w:tc>
        <w:tc>
          <w:tcPr>
            <w:tcW w:w="236" w:type="dxa"/>
          </w:tcPr>
          <w:p w14:paraId="606A35A9" w14:textId="77777777" w:rsidR="005767F8" w:rsidRDefault="005767F8" w:rsidP="005767F8">
            <w:pPr>
              <w:spacing w:after="0" w:line="240" w:lineRule="auto"/>
              <w:ind w:left="59"/>
              <w:contextualSpacing/>
              <w:jc w:val="left"/>
              <w:rPr>
                <w:rStyle w:val="IntenseEmphasis"/>
                <w:i w:val="0"/>
                <w:noProof/>
                <w:color w:val="2E74B5" w:themeColor="accent1" w:themeShade="BF"/>
              </w:rPr>
            </w:pPr>
          </w:p>
        </w:tc>
        <w:tc>
          <w:tcPr>
            <w:tcW w:w="4369" w:type="dxa"/>
            <w:gridSpan w:val="2"/>
          </w:tcPr>
          <w:p w14:paraId="0C987AD3" w14:textId="1F9123CF" w:rsidR="005767F8" w:rsidRDefault="00BD30EC" w:rsidP="000434BA">
            <w:pPr>
              <w:tabs>
                <w:tab w:val="left" w:pos="3705"/>
              </w:tabs>
              <w:spacing w:after="0" w:line="240" w:lineRule="auto"/>
              <w:ind w:left="-77" w:right="-75"/>
              <w:contextualSpacing/>
              <w:jc w:val="left"/>
              <w:rPr>
                <w:rStyle w:val="IntenseEmphasis"/>
                <w:i w:val="0"/>
                <w:color w:val="2E74B5" w:themeColor="accent1" w:themeShade="BF"/>
              </w:rPr>
            </w:pPr>
            <w:r w:rsidRPr="00BD30EC">
              <w:rPr>
                <w:noProof/>
              </w:rPr>
              <w:drawing>
                <wp:inline distT="0" distB="0" distL="0" distR="0" wp14:anchorId="1E177393" wp14:editId="17159A26">
                  <wp:extent cx="2516488" cy="1638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396" cy="1642797"/>
                          </a:xfrm>
                          <a:prstGeom prst="rect">
                            <a:avLst/>
                          </a:prstGeom>
                          <a:noFill/>
                          <a:ln>
                            <a:noFill/>
                          </a:ln>
                        </pic:spPr>
                      </pic:pic>
                    </a:graphicData>
                  </a:graphic>
                </wp:inline>
              </w:drawing>
            </w:r>
          </w:p>
        </w:tc>
      </w:tr>
    </w:tbl>
    <w:p w14:paraId="059C276E" w14:textId="2C1386ED" w:rsidR="00DB2B25" w:rsidRPr="00D02A21" w:rsidRDefault="00406CCD" w:rsidP="00CE1189">
      <w:pPr>
        <w:spacing w:after="0" w:line="240" w:lineRule="auto"/>
        <w:contextualSpacing/>
        <w:jc w:val="left"/>
        <w:rPr>
          <w:rStyle w:val="IntenseEmphasis"/>
          <w:i w:val="0"/>
          <w:color w:val="2E74B5" w:themeColor="accent1" w:themeShade="BF"/>
          <w:sz w:val="18"/>
          <w:szCs w:val="18"/>
        </w:rPr>
      </w:pPr>
      <w:r w:rsidRPr="00D02A21">
        <w:rPr>
          <w:bCs/>
          <w:i/>
          <w:sz w:val="18"/>
          <w:szCs w:val="18"/>
        </w:rPr>
        <w:t>Sources</w:t>
      </w:r>
      <w:r w:rsidRPr="00D02A21">
        <w:rPr>
          <w:bCs/>
          <w:sz w:val="18"/>
          <w:szCs w:val="18"/>
        </w:rPr>
        <w:t>: RLMS 2017, SOW 2015, OECD 2015, IMF 2018.</w:t>
      </w:r>
    </w:p>
    <w:p w14:paraId="64A5337D" w14:textId="685407AF" w:rsidR="00637F3D" w:rsidRPr="00C84E0D" w:rsidRDefault="00C84E0D" w:rsidP="00C84E0D">
      <w:pPr>
        <w:pStyle w:val="Figure"/>
        <w:rPr>
          <w:rStyle w:val="IntenseEmphasis"/>
          <w:i w:val="0"/>
          <w:iCs/>
          <w:color w:val="0070C0"/>
        </w:rPr>
      </w:pPr>
      <w:bookmarkStart w:id="45" w:name="_Ref9378454"/>
      <w:bookmarkStart w:id="46" w:name="_Toc9327226"/>
      <w:bookmarkStart w:id="47" w:name="_Toc11259371"/>
      <w:r>
        <w:t xml:space="preserve">Table 2. </w:t>
      </w:r>
      <w:r w:rsidR="00320D6E">
        <w:rPr>
          <w:noProof/>
        </w:rPr>
        <w:fldChar w:fldCharType="begin"/>
      </w:r>
      <w:r w:rsidR="00320D6E">
        <w:rPr>
          <w:noProof/>
        </w:rPr>
        <w:instrText xml:space="preserve"> SEQ Table_2. \* ARABIC </w:instrText>
      </w:r>
      <w:r w:rsidR="00320D6E">
        <w:rPr>
          <w:noProof/>
        </w:rPr>
        <w:fldChar w:fldCharType="separate"/>
      </w:r>
      <w:r w:rsidR="00384800">
        <w:rPr>
          <w:noProof/>
        </w:rPr>
        <w:t>2</w:t>
      </w:r>
      <w:r w:rsidR="00320D6E">
        <w:rPr>
          <w:noProof/>
        </w:rPr>
        <w:fldChar w:fldCharType="end"/>
      </w:r>
      <w:bookmarkEnd w:id="45"/>
      <w:r>
        <w:t xml:space="preserve"> </w:t>
      </w:r>
      <w:r w:rsidR="00D76324" w:rsidRPr="000434BA">
        <w:t>Average firm size (number of employees), by firm type</w:t>
      </w:r>
      <w:bookmarkEnd w:id="46"/>
      <w:bookmarkEnd w:id="47"/>
      <w:r w:rsidR="00637F3D" w:rsidRPr="000434BA">
        <w:t xml:space="preserve"> </w:t>
      </w:r>
    </w:p>
    <w:p w14:paraId="0842CE80" w14:textId="647B9F34" w:rsidR="00406CCD" w:rsidRPr="00D755DB" w:rsidRDefault="00CF04A0" w:rsidP="004065E1">
      <w:pPr>
        <w:spacing w:after="0" w:line="240" w:lineRule="auto"/>
        <w:contextualSpacing/>
        <w:jc w:val="center"/>
        <w:rPr>
          <w:iCs/>
          <w:color w:val="2E74B5" w:themeColor="accent1" w:themeShade="BF"/>
        </w:rPr>
      </w:pPr>
      <w:r>
        <w:rPr>
          <w:rStyle w:val="IntenseEmphasis"/>
          <w:i w:val="0"/>
          <w:noProof/>
          <w:color w:val="2E74B5" w:themeColor="accent1" w:themeShade="BF"/>
        </w:rPr>
        <w:drawing>
          <wp:inline distT="0" distB="0" distL="0" distR="0" wp14:anchorId="02981611" wp14:editId="26041CB7">
            <wp:extent cx="5156734" cy="13430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3371" cy="1365589"/>
                    </a:xfrm>
                    <a:prstGeom prst="rect">
                      <a:avLst/>
                    </a:prstGeom>
                    <a:noFill/>
                  </pic:spPr>
                </pic:pic>
              </a:graphicData>
            </a:graphic>
          </wp:inline>
        </w:drawing>
      </w:r>
    </w:p>
    <w:p w14:paraId="3662DF3E" w14:textId="33040D72" w:rsidR="00714083" w:rsidRDefault="00406CCD" w:rsidP="00714083">
      <w:pPr>
        <w:spacing w:after="0" w:line="240" w:lineRule="auto"/>
        <w:contextualSpacing/>
        <w:rPr>
          <w:bCs/>
          <w:sz w:val="18"/>
          <w:szCs w:val="18"/>
        </w:rPr>
      </w:pPr>
      <w:r w:rsidRPr="00D02A21">
        <w:rPr>
          <w:bCs/>
          <w:i/>
          <w:sz w:val="18"/>
          <w:szCs w:val="18"/>
        </w:rPr>
        <w:t>Sources</w:t>
      </w:r>
      <w:r w:rsidRPr="00D02A21">
        <w:rPr>
          <w:bCs/>
          <w:sz w:val="18"/>
          <w:szCs w:val="18"/>
        </w:rPr>
        <w:t xml:space="preserve">: </w:t>
      </w:r>
      <w:r w:rsidR="00D36A66">
        <w:rPr>
          <w:bCs/>
          <w:sz w:val="18"/>
          <w:szCs w:val="18"/>
        </w:rPr>
        <w:t>IIELM</w:t>
      </w:r>
      <w:r w:rsidRPr="00D02A21">
        <w:rPr>
          <w:bCs/>
          <w:sz w:val="18"/>
          <w:szCs w:val="18"/>
        </w:rPr>
        <w:t xml:space="preserve"> 2017, </w:t>
      </w:r>
      <w:proofErr w:type="spellStart"/>
      <w:r w:rsidRPr="00D02A21">
        <w:rPr>
          <w:bCs/>
          <w:sz w:val="18"/>
          <w:szCs w:val="18"/>
        </w:rPr>
        <w:t>RuFiGE</w:t>
      </w:r>
      <w:proofErr w:type="spellEnd"/>
      <w:r w:rsidRPr="00D02A21">
        <w:rPr>
          <w:bCs/>
          <w:sz w:val="18"/>
          <w:szCs w:val="18"/>
        </w:rPr>
        <w:t xml:space="preserve"> 2014.</w:t>
      </w:r>
      <w:bookmarkStart w:id="48" w:name="_Ref9378460"/>
      <w:bookmarkStart w:id="49" w:name="_Toc9327227"/>
    </w:p>
    <w:p w14:paraId="13A5FC7D" w14:textId="1D69F101" w:rsidR="00FA1655" w:rsidRDefault="00FA1655" w:rsidP="00714083">
      <w:pPr>
        <w:spacing w:after="0" w:line="240" w:lineRule="auto"/>
        <w:contextualSpacing/>
        <w:rPr>
          <w:bCs/>
          <w:color w:val="0070C0"/>
          <w:sz w:val="18"/>
          <w:szCs w:val="18"/>
        </w:rPr>
      </w:pPr>
    </w:p>
    <w:p w14:paraId="044F62B9" w14:textId="77777777" w:rsidR="00FA1655" w:rsidRPr="00714083" w:rsidRDefault="00FA1655" w:rsidP="00714083">
      <w:pPr>
        <w:spacing w:after="0" w:line="240" w:lineRule="auto"/>
        <w:contextualSpacing/>
        <w:rPr>
          <w:bCs/>
          <w:color w:val="0070C0"/>
          <w:sz w:val="18"/>
          <w:szCs w:val="18"/>
        </w:rPr>
      </w:pPr>
    </w:p>
    <w:p w14:paraId="5118ADD3" w14:textId="14220E03" w:rsidR="00D956F9" w:rsidRPr="000902DA" w:rsidRDefault="00C84E0D" w:rsidP="00C84E0D">
      <w:pPr>
        <w:pStyle w:val="Figure"/>
      </w:pPr>
      <w:bookmarkStart w:id="50" w:name="_Toc11259372"/>
      <w:r>
        <w:t xml:space="preserve">Table 2. </w:t>
      </w:r>
      <w:r w:rsidR="00320D6E">
        <w:rPr>
          <w:noProof/>
        </w:rPr>
        <w:fldChar w:fldCharType="begin"/>
      </w:r>
      <w:r w:rsidR="00320D6E">
        <w:rPr>
          <w:noProof/>
        </w:rPr>
        <w:instrText xml:space="preserve"> SEQ Table_2. \* ARABIC </w:instrText>
      </w:r>
      <w:r w:rsidR="00320D6E">
        <w:rPr>
          <w:noProof/>
        </w:rPr>
        <w:fldChar w:fldCharType="separate"/>
      </w:r>
      <w:r w:rsidR="00384800">
        <w:rPr>
          <w:noProof/>
        </w:rPr>
        <w:t>3</w:t>
      </w:r>
      <w:r w:rsidR="00320D6E">
        <w:rPr>
          <w:noProof/>
        </w:rPr>
        <w:fldChar w:fldCharType="end"/>
      </w:r>
      <w:bookmarkEnd w:id="48"/>
      <w:r>
        <w:t xml:space="preserve"> </w:t>
      </w:r>
      <w:r w:rsidR="0080236F" w:rsidRPr="000434BA">
        <w:t>Share of SOE</w:t>
      </w:r>
      <w:r w:rsidR="00EB06BC" w:rsidRPr="000434BA">
        <w:t xml:space="preserve"> </w:t>
      </w:r>
      <w:r w:rsidR="0080236F" w:rsidRPr="000434BA">
        <w:t>firms</w:t>
      </w:r>
      <w:r w:rsidR="00EB06BC" w:rsidRPr="000434BA">
        <w:t>, by size</w:t>
      </w:r>
      <w:r w:rsidR="00067F45" w:rsidRPr="000434BA">
        <w:t xml:space="preserve"> (number of employees)</w:t>
      </w:r>
      <w:bookmarkEnd w:id="49"/>
      <w:bookmarkEnd w:id="50"/>
      <w:r w:rsidR="00637F3D" w:rsidRPr="000434BA">
        <w:t xml:space="preserve"> </w:t>
      </w:r>
    </w:p>
    <w:tbl>
      <w:tblPr>
        <w:tblW w:w="6530" w:type="dxa"/>
        <w:jc w:val="center"/>
        <w:tblLook w:val="04A0" w:firstRow="1" w:lastRow="0" w:firstColumn="1" w:lastColumn="0" w:noHBand="0" w:noVBand="1"/>
      </w:tblPr>
      <w:tblGrid>
        <w:gridCol w:w="3142"/>
        <w:gridCol w:w="1630"/>
        <w:gridCol w:w="1758"/>
      </w:tblGrid>
      <w:tr w:rsidR="00481360" w:rsidRPr="00481360" w14:paraId="2BD9CD02" w14:textId="77777777" w:rsidTr="00335641">
        <w:trPr>
          <w:trHeight w:val="103"/>
          <w:jc w:val="center"/>
        </w:trPr>
        <w:tc>
          <w:tcPr>
            <w:tcW w:w="3142" w:type="dxa"/>
            <w:tcBorders>
              <w:top w:val="nil"/>
              <w:left w:val="nil"/>
              <w:bottom w:val="nil"/>
              <w:right w:val="single" w:sz="4" w:space="0" w:color="auto"/>
            </w:tcBorders>
            <w:shd w:val="clear" w:color="auto" w:fill="auto"/>
            <w:noWrap/>
            <w:vAlign w:val="bottom"/>
            <w:hideMark/>
          </w:tcPr>
          <w:p w14:paraId="0A9C706E" w14:textId="77777777" w:rsidR="00481360" w:rsidRPr="00335641" w:rsidRDefault="00481360" w:rsidP="00237B0D">
            <w:pPr>
              <w:spacing w:after="0" w:line="240" w:lineRule="auto"/>
              <w:jc w:val="left"/>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 </w:t>
            </w:r>
          </w:p>
        </w:tc>
        <w:tc>
          <w:tcPr>
            <w:tcW w:w="3388" w:type="dxa"/>
            <w:gridSpan w:val="2"/>
            <w:tcBorders>
              <w:top w:val="nil"/>
              <w:left w:val="nil"/>
              <w:bottom w:val="nil"/>
              <w:right w:val="nil"/>
            </w:tcBorders>
            <w:shd w:val="clear" w:color="auto" w:fill="auto"/>
            <w:noWrap/>
            <w:vAlign w:val="bottom"/>
            <w:hideMark/>
          </w:tcPr>
          <w:p w14:paraId="2E91D65F" w14:textId="77777777" w:rsidR="00481360" w:rsidRPr="00335641" w:rsidRDefault="00481360" w:rsidP="00237B0D">
            <w:pPr>
              <w:spacing w:after="0" w:line="240" w:lineRule="auto"/>
              <w:jc w:val="center"/>
              <w:rPr>
                <w:rFonts w:ascii="Calibri" w:eastAsia="Times New Roman" w:hAnsi="Calibri" w:cs="Calibri"/>
                <w:b/>
                <w:bCs/>
                <w:color w:val="000000"/>
                <w:sz w:val="20"/>
                <w:szCs w:val="20"/>
                <w:lang w:eastAsia="en-US"/>
              </w:rPr>
            </w:pPr>
            <w:r w:rsidRPr="00335641">
              <w:rPr>
                <w:rFonts w:ascii="Calibri" w:eastAsia="Times New Roman" w:hAnsi="Calibri" w:cs="Calibri"/>
                <w:b/>
                <w:bCs/>
                <w:color w:val="000000"/>
                <w:sz w:val="20"/>
                <w:szCs w:val="20"/>
                <w:lang w:eastAsia="en-US"/>
              </w:rPr>
              <w:t>Number of firms, by source</w:t>
            </w:r>
          </w:p>
        </w:tc>
      </w:tr>
      <w:tr w:rsidR="00481360" w:rsidRPr="00481360" w14:paraId="30487004" w14:textId="77777777" w:rsidTr="00335641">
        <w:trPr>
          <w:trHeight w:val="351"/>
          <w:jc w:val="center"/>
        </w:trPr>
        <w:tc>
          <w:tcPr>
            <w:tcW w:w="3142" w:type="dxa"/>
            <w:tcBorders>
              <w:top w:val="nil"/>
              <w:left w:val="nil"/>
              <w:bottom w:val="single" w:sz="4" w:space="0" w:color="auto"/>
              <w:right w:val="single" w:sz="4" w:space="0" w:color="auto"/>
            </w:tcBorders>
            <w:shd w:val="clear" w:color="auto" w:fill="auto"/>
            <w:noWrap/>
            <w:vAlign w:val="bottom"/>
            <w:hideMark/>
          </w:tcPr>
          <w:p w14:paraId="5D9A9F0A" w14:textId="77777777" w:rsidR="00481360" w:rsidRPr="00335641" w:rsidRDefault="00481360" w:rsidP="00237B0D">
            <w:pPr>
              <w:spacing w:after="0" w:line="240" w:lineRule="auto"/>
              <w:jc w:val="left"/>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 </w:t>
            </w:r>
          </w:p>
        </w:tc>
        <w:tc>
          <w:tcPr>
            <w:tcW w:w="1630" w:type="dxa"/>
            <w:tcBorders>
              <w:top w:val="nil"/>
              <w:left w:val="nil"/>
              <w:bottom w:val="single" w:sz="4" w:space="0" w:color="auto"/>
              <w:right w:val="nil"/>
            </w:tcBorders>
            <w:shd w:val="clear" w:color="auto" w:fill="auto"/>
            <w:noWrap/>
            <w:vAlign w:val="bottom"/>
            <w:hideMark/>
          </w:tcPr>
          <w:p w14:paraId="0FD43042"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SOW 2015</w:t>
            </w:r>
          </w:p>
        </w:tc>
        <w:tc>
          <w:tcPr>
            <w:tcW w:w="1758" w:type="dxa"/>
            <w:tcBorders>
              <w:top w:val="nil"/>
              <w:left w:val="nil"/>
              <w:bottom w:val="single" w:sz="4" w:space="0" w:color="auto"/>
              <w:right w:val="nil"/>
            </w:tcBorders>
            <w:shd w:val="clear" w:color="auto" w:fill="auto"/>
            <w:noWrap/>
            <w:vAlign w:val="bottom"/>
            <w:hideMark/>
          </w:tcPr>
          <w:p w14:paraId="5A4BFD7C" w14:textId="3D84924D" w:rsidR="00481360" w:rsidRPr="00335641" w:rsidRDefault="00D36A66" w:rsidP="00237B0D">
            <w:pPr>
              <w:spacing w:after="0" w:line="240" w:lineRule="auto"/>
              <w:jc w:val="cente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IIELM</w:t>
            </w:r>
            <w:r w:rsidR="00481360" w:rsidRPr="00335641">
              <w:rPr>
                <w:rFonts w:ascii="Calibri" w:eastAsia="Times New Roman" w:hAnsi="Calibri" w:cs="Calibri"/>
                <w:color w:val="000000"/>
                <w:sz w:val="20"/>
                <w:szCs w:val="20"/>
                <w:lang w:eastAsia="en-US"/>
              </w:rPr>
              <w:t xml:space="preserve"> 2017</w:t>
            </w:r>
          </w:p>
        </w:tc>
      </w:tr>
      <w:tr w:rsidR="00481360" w:rsidRPr="00481360" w14:paraId="32EF48D7" w14:textId="77777777" w:rsidTr="00335641">
        <w:trPr>
          <w:trHeight w:val="351"/>
          <w:jc w:val="center"/>
        </w:trPr>
        <w:tc>
          <w:tcPr>
            <w:tcW w:w="3142" w:type="dxa"/>
            <w:tcBorders>
              <w:top w:val="nil"/>
              <w:left w:val="nil"/>
              <w:bottom w:val="nil"/>
              <w:right w:val="single" w:sz="4" w:space="0" w:color="auto"/>
            </w:tcBorders>
            <w:shd w:val="clear" w:color="auto" w:fill="auto"/>
            <w:noWrap/>
            <w:vAlign w:val="bottom"/>
            <w:hideMark/>
          </w:tcPr>
          <w:p w14:paraId="65FE077E" w14:textId="21ED5D2E" w:rsidR="00481360" w:rsidRPr="00335641" w:rsidRDefault="00481360" w:rsidP="00237B0D">
            <w:pPr>
              <w:spacing w:after="0" w:line="240" w:lineRule="auto"/>
              <w:jc w:val="left"/>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Large (5</w:t>
            </w:r>
            <w:r w:rsidR="00B92885">
              <w:rPr>
                <w:rFonts w:ascii="Calibri" w:eastAsia="Times New Roman" w:hAnsi="Calibri" w:cs="Calibri"/>
                <w:color w:val="000000"/>
                <w:sz w:val="20"/>
                <w:szCs w:val="20"/>
                <w:lang w:eastAsia="en-US"/>
              </w:rPr>
              <w:t>00</w:t>
            </w:r>
            <w:r w:rsidRPr="00335641">
              <w:rPr>
                <w:rFonts w:ascii="Calibri" w:eastAsia="Times New Roman" w:hAnsi="Calibri" w:cs="Calibri"/>
                <w:color w:val="000000"/>
                <w:sz w:val="20"/>
                <w:szCs w:val="20"/>
                <w:lang w:eastAsia="en-US"/>
              </w:rPr>
              <w:t>+)</w:t>
            </w:r>
          </w:p>
        </w:tc>
        <w:tc>
          <w:tcPr>
            <w:tcW w:w="1630" w:type="dxa"/>
            <w:tcBorders>
              <w:top w:val="nil"/>
              <w:left w:val="nil"/>
              <w:bottom w:val="nil"/>
              <w:right w:val="nil"/>
            </w:tcBorders>
            <w:shd w:val="clear" w:color="auto" w:fill="auto"/>
            <w:noWrap/>
            <w:vAlign w:val="bottom"/>
            <w:hideMark/>
          </w:tcPr>
          <w:p w14:paraId="5D7255E5"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41.4%</w:t>
            </w:r>
          </w:p>
        </w:tc>
        <w:tc>
          <w:tcPr>
            <w:tcW w:w="1758" w:type="dxa"/>
            <w:tcBorders>
              <w:top w:val="nil"/>
              <w:left w:val="nil"/>
              <w:bottom w:val="nil"/>
              <w:right w:val="nil"/>
            </w:tcBorders>
            <w:shd w:val="clear" w:color="auto" w:fill="auto"/>
            <w:noWrap/>
            <w:vAlign w:val="bottom"/>
            <w:hideMark/>
          </w:tcPr>
          <w:p w14:paraId="06562C54"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24.5%</w:t>
            </w:r>
          </w:p>
        </w:tc>
      </w:tr>
      <w:tr w:rsidR="00481360" w:rsidRPr="00481360" w14:paraId="05759D17" w14:textId="77777777" w:rsidTr="00335641">
        <w:trPr>
          <w:trHeight w:val="351"/>
          <w:jc w:val="center"/>
        </w:trPr>
        <w:tc>
          <w:tcPr>
            <w:tcW w:w="3142" w:type="dxa"/>
            <w:tcBorders>
              <w:top w:val="nil"/>
              <w:left w:val="nil"/>
              <w:bottom w:val="nil"/>
              <w:right w:val="single" w:sz="4" w:space="0" w:color="auto"/>
            </w:tcBorders>
            <w:shd w:val="clear" w:color="auto" w:fill="auto"/>
            <w:noWrap/>
            <w:vAlign w:val="bottom"/>
            <w:hideMark/>
          </w:tcPr>
          <w:p w14:paraId="20CA2E08" w14:textId="77777777" w:rsidR="00481360" w:rsidRPr="00335641" w:rsidRDefault="00481360" w:rsidP="00237B0D">
            <w:pPr>
              <w:spacing w:after="0" w:line="240" w:lineRule="auto"/>
              <w:jc w:val="left"/>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Medium-large (250-499)</w:t>
            </w:r>
          </w:p>
        </w:tc>
        <w:tc>
          <w:tcPr>
            <w:tcW w:w="1630" w:type="dxa"/>
            <w:tcBorders>
              <w:top w:val="nil"/>
              <w:left w:val="nil"/>
              <w:bottom w:val="nil"/>
              <w:right w:val="nil"/>
            </w:tcBorders>
            <w:shd w:val="clear" w:color="auto" w:fill="auto"/>
            <w:noWrap/>
            <w:vAlign w:val="bottom"/>
            <w:hideMark/>
          </w:tcPr>
          <w:p w14:paraId="0754BF27"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17.4%</w:t>
            </w:r>
          </w:p>
        </w:tc>
        <w:tc>
          <w:tcPr>
            <w:tcW w:w="1758" w:type="dxa"/>
            <w:tcBorders>
              <w:top w:val="nil"/>
              <w:left w:val="nil"/>
              <w:bottom w:val="nil"/>
              <w:right w:val="nil"/>
            </w:tcBorders>
            <w:shd w:val="clear" w:color="auto" w:fill="auto"/>
            <w:noWrap/>
            <w:vAlign w:val="bottom"/>
            <w:hideMark/>
          </w:tcPr>
          <w:p w14:paraId="5935F144"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25.8%</w:t>
            </w:r>
          </w:p>
        </w:tc>
      </w:tr>
      <w:tr w:rsidR="00481360" w:rsidRPr="00481360" w14:paraId="0EAC357D" w14:textId="77777777" w:rsidTr="00335641">
        <w:trPr>
          <w:trHeight w:val="351"/>
          <w:jc w:val="center"/>
        </w:trPr>
        <w:tc>
          <w:tcPr>
            <w:tcW w:w="3142" w:type="dxa"/>
            <w:tcBorders>
              <w:top w:val="nil"/>
              <w:left w:val="nil"/>
              <w:bottom w:val="nil"/>
              <w:right w:val="single" w:sz="4" w:space="0" w:color="auto"/>
            </w:tcBorders>
            <w:shd w:val="clear" w:color="auto" w:fill="auto"/>
            <w:noWrap/>
            <w:vAlign w:val="bottom"/>
            <w:hideMark/>
          </w:tcPr>
          <w:p w14:paraId="0C18379A" w14:textId="77777777" w:rsidR="00481360" w:rsidRPr="00335641" w:rsidRDefault="00481360" w:rsidP="00237B0D">
            <w:pPr>
              <w:spacing w:after="0" w:line="240" w:lineRule="auto"/>
              <w:jc w:val="left"/>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Medium (100-249)</w:t>
            </w:r>
          </w:p>
        </w:tc>
        <w:tc>
          <w:tcPr>
            <w:tcW w:w="1630" w:type="dxa"/>
            <w:tcBorders>
              <w:top w:val="nil"/>
              <w:left w:val="nil"/>
              <w:bottom w:val="nil"/>
              <w:right w:val="nil"/>
            </w:tcBorders>
            <w:shd w:val="clear" w:color="auto" w:fill="auto"/>
            <w:noWrap/>
            <w:vAlign w:val="bottom"/>
            <w:hideMark/>
          </w:tcPr>
          <w:p w14:paraId="1819C3EC"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19.1%</w:t>
            </w:r>
          </w:p>
        </w:tc>
        <w:tc>
          <w:tcPr>
            <w:tcW w:w="1758" w:type="dxa"/>
            <w:tcBorders>
              <w:top w:val="nil"/>
              <w:left w:val="nil"/>
              <w:bottom w:val="nil"/>
              <w:right w:val="nil"/>
            </w:tcBorders>
            <w:shd w:val="clear" w:color="auto" w:fill="auto"/>
            <w:noWrap/>
            <w:vAlign w:val="bottom"/>
            <w:hideMark/>
          </w:tcPr>
          <w:p w14:paraId="2F7DF852"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23.1%</w:t>
            </w:r>
          </w:p>
        </w:tc>
      </w:tr>
      <w:tr w:rsidR="00481360" w:rsidRPr="00481360" w14:paraId="240CA7C1" w14:textId="77777777" w:rsidTr="00335641">
        <w:trPr>
          <w:trHeight w:val="351"/>
          <w:jc w:val="center"/>
        </w:trPr>
        <w:tc>
          <w:tcPr>
            <w:tcW w:w="3142" w:type="dxa"/>
            <w:tcBorders>
              <w:top w:val="nil"/>
              <w:left w:val="nil"/>
              <w:bottom w:val="nil"/>
              <w:right w:val="single" w:sz="4" w:space="0" w:color="auto"/>
            </w:tcBorders>
            <w:shd w:val="clear" w:color="auto" w:fill="auto"/>
            <w:noWrap/>
            <w:vAlign w:val="bottom"/>
            <w:hideMark/>
          </w:tcPr>
          <w:p w14:paraId="7F8CABC3" w14:textId="77777777" w:rsidR="00481360" w:rsidRPr="00335641" w:rsidRDefault="00481360" w:rsidP="00237B0D">
            <w:pPr>
              <w:spacing w:after="0" w:line="240" w:lineRule="auto"/>
              <w:jc w:val="left"/>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Small-micro (1-99)</w:t>
            </w:r>
          </w:p>
        </w:tc>
        <w:tc>
          <w:tcPr>
            <w:tcW w:w="1630" w:type="dxa"/>
            <w:tcBorders>
              <w:top w:val="nil"/>
              <w:left w:val="nil"/>
              <w:bottom w:val="nil"/>
              <w:right w:val="nil"/>
            </w:tcBorders>
            <w:shd w:val="clear" w:color="auto" w:fill="auto"/>
            <w:noWrap/>
            <w:vAlign w:val="bottom"/>
            <w:hideMark/>
          </w:tcPr>
          <w:p w14:paraId="52A65040"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22.2%</w:t>
            </w:r>
          </w:p>
        </w:tc>
        <w:tc>
          <w:tcPr>
            <w:tcW w:w="1758" w:type="dxa"/>
            <w:tcBorders>
              <w:top w:val="nil"/>
              <w:left w:val="nil"/>
              <w:bottom w:val="nil"/>
              <w:right w:val="nil"/>
            </w:tcBorders>
            <w:shd w:val="clear" w:color="auto" w:fill="auto"/>
            <w:noWrap/>
            <w:vAlign w:val="bottom"/>
            <w:hideMark/>
          </w:tcPr>
          <w:p w14:paraId="51617D31" w14:textId="77777777" w:rsidR="00481360" w:rsidRPr="00335641" w:rsidRDefault="00481360" w:rsidP="00237B0D">
            <w:pPr>
              <w:spacing w:after="0" w:line="240" w:lineRule="auto"/>
              <w:jc w:val="center"/>
              <w:rPr>
                <w:rFonts w:ascii="Calibri" w:eastAsia="Times New Roman" w:hAnsi="Calibri" w:cs="Calibri"/>
                <w:color w:val="000000"/>
                <w:sz w:val="20"/>
                <w:szCs w:val="20"/>
                <w:lang w:eastAsia="en-US"/>
              </w:rPr>
            </w:pPr>
            <w:r w:rsidRPr="00335641">
              <w:rPr>
                <w:rFonts w:ascii="Calibri" w:eastAsia="Times New Roman" w:hAnsi="Calibri" w:cs="Calibri"/>
                <w:color w:val="000000"/>
                <w:sz w:val="20"/>
                <w:szCs w:val="20"/>
                <w:lang w:eastAsia="en-US"/>
              </w:rPr>
              <w:t>26.6%</w:t>
            </w:r>
          </w:p>
        </w:tc>
      </w:tr>
    </w:tbl>
    <w:p w14:paraId="13005C44" w14:textId="77777777" w:rsidR="00CF04A0" w:rsidRPr="00CF04A0" w:rsidRDefault="00CF04A0" w:rsidP="00CE1189">
      <w:pPr>
        <w:spacing w:after="0" w:line="240" w:lineRule="auto"/>
        <w:contextualSpacing/>
      </w:pPr>
    </w:p>
    <w:p w14:paraId="0CC261E6" w14:textId="2A1C72F2" w:rsidR="00440517" w:rsidRPr="00440517" w:rsidRDefault="00406CCD" w:rsidP="000902DA">
      <w:pPr>
        <w:pStyle w:val="Normal00"/>
        <w:rPr>
          <w:rStyle w:val="IntenseEmphasis"/>
          <w:i w:val="0"/>
          <w:iCs w:val="0"/>
          <w:color w:val="auto"/>
          <w:sz w:val="18"/>
          <w:szCs w:val="18"/>
        </w:rPr>
      </w:pPr>
      <w:r w:rsidRPr="00D02A21">
        <w:rPr>
          <w:i/>
          <w:sz w:val="18"/>
          <w:szCs w:val="18"/>
        </w:rPr>
        <w:t>Sources</w:t>
      </w:r>
      <w:r w:rsidRPr="00D02A21">
        <w:rPr>
          <w:sz w:val="18"/>
          <w:szCs w:val="18"/>
        </w:rPr>
        <w:t xml:space="preserve">: SOW 2015, </w:t>
      </w:r>
      <w:r w:rsidR="00D36A66">
        <w:rPr>
          <w:sz w:val="18"/>
          <w:szCs w:val="18"/>
        </w:rPr>
        <w:t>IIELM</w:t>
      </w:r>
      <w:r w:rsidRPr="00D02A21">
        <w:rPr>
          <w:sz w:val="18"/>
          <w:szCs w:val="18"/>
        </w:rPr>
        <w:t xml:space="preserve"> 2017</w:t>
      </w:r>
      <w:r w:rsidR="00440517">
        <w:rPr>
          <w:rStyle w:val="IntenseEmphasis"/>
          <w:i w:val="0"/>
          <w:color w:val="2E74B5" w:themeColor="accent1" w:themeShade="BF"/>
        </w:rPr>
        <w:br w:type="page"/>
      </w:r>
    </w:p>
    <w:bookmarkStart w:id="51" w:name="_Toc11219073"/>
    <w:p w14:paraId="64237C45" w14:textId="7FE4EF6F" w:rsidR="00371C36" w:rsidRPr="000F3DCC" w:rsidRDefault="00371C36" w:rsidP="00CE1189">
      <w:pPr>
        <w:pStyle w:val="Heading1"/>
        <w:spacing w:after="0" w:line="240" w:lineRule="auto"/>
        <w:contextualSpacing/>
        <w:rPr>
          <w:rStyle w:val="IntenseEmphasis"/>
          <w:i w:val="0"/>
          <w:color w:val="2E74B5" w:themeColor="accent1" w:themeShade="BF"/>
        </w:rPr>
      </w:pPr>
      <w:r w:rsidRPr="000F3DCC">
        <mc:AlternateContent>
          <mc:Choice Requires="wps">
            <w:drawing>
              <wp:anchor distT="0" distB="0" distL="114300" distR="114300" simplePos="0" relativeHeight="251662336" behindDoc="0" locked="0" layoutInCell="1" allowOverlap="1" wp14:anchorId="3F12492E" wp14:editId="107CDA6B">
                <wp:simplePos x="0" y="0"/>
                <wp:positionH relativeFrom="margin">
                  <wp:posOffset>4362449</wp:posOffset>
                </wp:positionH>
                <wp:positionV relativeFrom="paragraph">
                  <wp:posOffset>69215</wp:posOffset>
                </wp:positionV>
                <wp:extent cx="1590675" cy="171450"/>
                <wp:effectExtent l="0" t="0" r="9525" b="0"/>
                <wp:wrapNone/>
                <wp:docPr id="1" name="Rectangle 1"/>
                <wp:cNvGraphicFramePr/>
                <a:graphic xmlns:a="http://schemas.openxmlformats.org/drawingml/2006/main">
                  <a:graphicData uri="http://schemas.microsoft.com/office/word/2010/wordprocessingShape">
                    <wps:wsp>
                      <wps:cNvSpPr/>
                      <wps:spPr>
                        <a:xfrm>
                          <a:off x="0" y="0"/>
                          <a:ext cx="1590675" cy="171450"/>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83C07" id="Rectangle 1" o:spid="_x0000_s1026" style="position:absolute;margin-left:343.5pt;margin-top:5.45pt;width:125.25pt;height: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" fillcolor="#00aeef" stroked="f" strokeweight="1pt">
                <w10:wrap anchorx="margin"/>
              </v:rect>
            </w:pict>
          </mc:Fallback>
        </mc:AlternateContent>
      </w:r>
      <w:r w:rsidR="00EB2E17">
        <w:rPr>
          <w:rStyle w:val="IntenseEmphasis"/>
          <w:i w:val="0"/>
          <w:color w:val="2E74B5" w:themeColor="accent1" w:themeShade="BF"/>
        </w:rPr>
        <w:t>3</w:t>
      </w:r>
      <w:r w:rsidRPr="000F3DCC">
        <w:rPr>
          <w:rStyle w:val="IntenseEmphasis"/>
          <w:i w:val="0"/>
          <w:color w:val="2E74B5" w:themeColor="accent1" w:themeShade="BF"/>
        </w:rPr>
        <w:t xml:space="preserve">. </w:t>
      </w:r>
      <w:r>
        <w:t xml:space="preserve">SOE COMPENSATION AND LABOR </w:t>
      </w:r>
      <w:r w:rsidR="00880FD3">
        <w:t>MARKET</w:t>
      </w:r>
      <w:bookmarkEnd w:id="51"/>
    </w:p>
    <w:p w14:paraId="571BD918" w14:textId="77777777" w:rsidR="00880FD3" w:rsidRDefault="00880FD3" w:rsidP="00CE1189">
      <w:pPr>
        <w:spacing w:after="0" w:line="240" w:lineRule="auto"/>
        <w:contextualSpacing/>
        <w:jc w:val="left"/>
      </w:pPr>
    </w:p>
    <w:tbl>
      <w:tblPr>
        <w:tblStyle w:val="TableGrid0"/>
        <w:tblW w:w="0" w:type="auto"/>
        <w:tblLook w:val="04A0" w:firstRow="1" w:lastRow="0" w:firstColumn="1" w:lastColumn="0" w:noHBand="0" w:noVBand="1"/>
      </w:tblPr>
      <w:tblGrid>
        <w:gridCol w:w="9350"/>
      </w:tblGrid>
      <w:tr w:rsidR="0073278F" w14:paraId="06FFDC07" w14:textId="77777777" w:rsidTr="00397389">
        <w:tc>
          <w:tcPr>
            <w:tcW w:w="9350" w:type="dxa"/>
          </w:tcPr>
          <w:p w14:paraId="7EE40D6E" w14:textId="77777777" w:rsidR="0073278F" w:rsidRDefault="0073278F" w:rsidP="00397389">
            <w:pPr>
              <w:spacing w:after="0" w:line="240" w:lineRule="auto"/>
              <w:contextualSpacing/>
            </w:pPr>
            <w:bookmarkStart w:id="52" w:name="_Hlk8978066"/>
            <w:r>
              <w:t>Main findings:</w:t>
            </w:r>
          </w:p>
          <w:p w14:paraId="19648262" w14:textId="768F2919" w:rsidR="00DC0DEC" w:rsidRPr="001C0224" w:rsidRDefault="00C237A3" w:rsidP="00A91BF3">
            <w:pPr>
              <w:pStyle w:val="ListParagraph"/>
              <w:numPr>
                <w:ilvl w:val="0"/>
                <w:numId w:val="10"/>
              </w:numPr>
              <w:spacing w:after="0" w:line="240" w:lineRule="auto"/>
              <w:contextualSpacing w:val="0"/>
              <w:rPr>
                <w:b/>
                <w:bCs/>
                <w:szCs w:val="20"/>
              </w:rPr>
            </w:pPr>
            <w:r w:rsidRPr="001C0224">
              <w:rPr>
                <w:b/>
                <w:bCs/>
                <w:szCs w:val="20"/>
              </w:rPr>
              <w:t xml:space="preserve">On average, </w:t>
            </w:r>
            <w:r w:rsidR="00DC0DEC" w:rsidRPr="001C0224">
              <w:rPr>
                <w:b/>
                <w:bCs/>
                <w:szCs w:val="20"/>
              </w:rPr>
              <w:t xml:space="preserve">SOEs </w:t>
            </w:r>
            <w:r w:rsidRPr="001C0224">
              <w:rPr>
                <w:b/>
                <w:bCs/>
                <w:szCs w:val="20"/>
              </w:rPr>
              <w:t xml:space="preserve">provide </w:t>
            </w:r>
            <w:r w:rsidR="00D61EAF" w:rsidRPr="001C0224">
              <w:rPr>
                <w:b/>
                <w:bCs/>
                <w:szCs w:val="20"/>
              </w:rPr>
              <w:t xml:space="preserve">higher total </w:t>
            </w:r>
            <w:r w:rsidR="00DC0DEC" w:rsidRPr="001C0224">
              <w:rPr>
                <w:b/>
                <w:bCs/>
                <w:szCs w:val="20"/>
              </w:rPr>
              <w:t xml:space="preserve">compensation </w:t>
            </w:r>
            <w:r w:rsidR="00D61EAF" w:rsidRPr="001C0224">
              <w:rPr>
                <w:b/>
                <w:bCs/>
                <w:szCs w:val="20"/>
              </w:rPr>
              <w:t xml:space="preserve">than </w:t>
            </w:r>
            <w:r w:rsidR="00DC0DEC" w:rsidRPr="001C0224">
              <w:rPr>
                <w:b/>
                <w:bCs/>
                <w:szCs w:val="20"/>
              </w:rPr>
              <w:t xml:space="preserve">private firms. </w:t>
            </w:r>
          </w:p>
          <w:p w14:paraId="0DE43BC3" w14:textId="058F7F20" w:rsidR="0073278F" w:rsidRDefault="0073278F" w:rsidP="00DC0DEC">
            <w:pPr>
              <w:pStyle w:val="ListParagraph"/>
              <w:numPr>
                <w:ilvl w:val="0"/>
                <w:numId w:val="10"/>
              </w:numPr>
              <w:spacing w:after="0" w:line="240" w:lineRule="auto"/>
            </w:pPr>
            <w:r>
              <w:rPr>
                <w:b/>
                <w:bCs/>
              </w:rPr>
              <w:t>M</w:t>
            </w:r>
            <w:r w:rsidRPr="00702C8C">
              <w:rPr>
                <w:b/>
                <w:bCs/>
              </w:rPr>
              <w:t xml:space="preserve">ixed SOEs pay a </w:t>
            </w:r>
            <w:r>
              <w:rPr>
                <w:b/>
                <w:bCs/>
              </w:rPr>
              <w:t xml:space="preserve">small </w:t>
            </w:r>
            <w:r w:rsidRPr="00702C8C">
              <w:rPr>
                <w:b/>
                <w:bCs/>
              </w:rPr>
              <w:t>wage premium over private sector</w:t>
            </w:r>
            <w:r w:rsidR="00E7706C">
              <w:rPr>
                <w:b/>
                <w:bCs/>
              </w:rPr>
              <w:t xml:space="preserve"> and state SOEs have a small wage penalty. </w:t>
            </w:r>
            <w:r w:rsidRPr="00702C8C">
              <w:t xml:space="preserve"> </w:t>
            </w:r>
            <w:r w:rsidR="00E7706C">
              <w:t>The magnitude of the premium (penalty) varies</w:t>
            </w:r>
            <w:r w:rsidR="00102DCD">
              <w:t>, particularly</w:t>
            </w:r>
            <w:r w:rsidR="00E7706C">
              <w:t xml:space="preserve"> by</w:t>
            </w:r>
            <w:r w:rsidRPr="00702C8C">
              <w:t xml:space="preserve"> </w:t>
            </w:r>
            <w:r w:rsidR="00284D5F">
              <w:t xml:space="preserve">firm </w:t>
            </w:r>
            <w:r w:rsidRPr="00702C8C">
              <w:t xml:space="preserve">size, region, </w:t>
            </w:r>
            <w:r w:rsidR="00102DCD">
              <w:t xml:space="preserve">and </w:t>
            </w:r>
            <w:r w:rsidRPr="00702C8C">
              <w:t>industry</w:t>
            </w:r>
          </w:p>
          <w:p w14:paraId="07D552A1" w14:textId="516BF3A7" w:rsidR="0073278F" w:rsidRPr="00702C8C" w:rsidRDefault="004E0CA1" w:rsidP="00C237A3">
            <w:pPr>
              <w:pStyle w:val="ListParagraph"/>
              <w:numPr>
                <w:ilvl w:val="0"/>
                <w:numId w:val="10"/>
              </w:numPr>
              <w:spacing w:after="0" w:line="240" w:lineRule="auto"/>
            </w:pPr>
            <w:r>
              <w:rPr>
                <w:b/>
                <w:bCs/>
              </w:rPr>
              <w:t xml:space="preserve">All </w:t>
            </w:r>
            <w:r w:rsidR="00C237A3">
              <w:rPr>
                <w:b/>
                <w:bCs/>
              </w:rPr>
              <w:t xml:space="preserve">types of </w:t>
            </w:r>
            <w:r w:rsidR="0073278F" w:rsidRPr="00702C8C">
              <w:rPr>
                <w:b/>
                <w:bCs/>
              </w:rPr>
              <w:t xml:space="preserve">SOEs pay </w:t>
            </w:r>
            <w:r w:rsidR="00E7706C">
              <w:rPr>
                <w:b/>
                <w:bCs/>
              </w:rPr>
              <w:t xml:space="preserve">a </w:t>
            </w:r>
            <w:r w:rsidR="0073278F" w:rsidRPr="00702C8C">
              <w:rPr>
                <w:b/>
                <w:bCs/>
              </w:rPr>
              <w:t xml:space="preserve">wage premium in competitive settings </w:t>
            </w:r>
          </w:p>
          <w:p w14:paraId="1DCF931A" w14:textId="20728176" w:rsidR="0073278F" w:rsidRDefault="004E0CA1" w:rsidP="00C237A3">
            <w:pPr>
              <w:pStyle w:val="ListParagraph"/>
              <w:numPr>
                <w:ilvl w:val="0"/>
                <w:numId w:val="10"/>
              </w:numPr>
              <w:spacing w:after="0" w:line="240" w:lineRule="auto"/>
            </w:pPr>
            <w:r>
              <w:rPr>
                <w:b/>
                <w:bCs/>
              </w:rPr>
              <w:t xml:space="preserve">All </w:t>
            </w:r>
            <w:r w:rsidR="00C237A3">
              <w:rPr>
                <w:b/>
                <w:bCs/>
              </w:rPr>
              <w:t xml:space="preserve">types of </w:t>
            </w:r>
            <w:r w:rsidR="0073278F" w:rsidRPr="00702C8C">
              <w:rPr>
                <w:b/>
                <w:bCs/>
              </w:rPr>
              <w:t xml:space="preserve">SOEs provide more generous benefits </w:t>
            </w:r>
            <w:r w:rsidR="0073278F" w:rsidRPr="00702C8C">
              <w:t>than private sector firms</w:t>
            </w:r>
            <w:r w:rsidR="00D22399">
              <w:t xml:space="preserve"> </w:t>
            </w:r>
          </w:p>
          <w:p w14:paraId="3DDDF4A9" w14:textId="67C76991" w:rsidR="0073278F" w:rsidRDefault="0073278F" w:rsidP="00DC0DEC">
            <w:pPr>
              <w:pStyle w:val="ListParagraph"/>
              <w:numPr>
                <w:ilvl w:val="0"/>
                <w:numId w:val="10"/>
              </w:numPr>
              <w:spacing w:after="0" w:line="240" w:lineRule="auto"/>
            </w:pPr>
            <w:r w:rsidRPr="00702C8C">
              <w:rPr>
                <w:b/>
                <w:bCs/>
              </w:rPr>
              <w:t>SOEs’ generous compensation affects labor supply</w:t>
            </w:r>
            <w:r w:rsidR="003944B3">
              <w:rPr>
                <w:b/>
                <w:bCs/>
              </w:rPr>
              <w:t xml:space="preserve">. </w:t>
            </w:r>
            <w:r w:rsidR="003944B3">
              <w:rPr>
                <w:bCs/>
              </w:rPr>
              <w:t>SOEs have</w:t>
            </w:r>
            <w:r w:rsidR="003944B3" w:rsidRPr="003944B3">
              <w:rPr>
                <w:bCs/>
              </w:rPr>
              <w:t xml:space="preserve"> </w:t>
            </w:r>
            <w:r w:rsidR="00721C11">
              <w:rPr>
                <w:bCs/>
              </w:rPr>
              <w:t xml:space="preserve">a </w:t>
            </w:r>
            <w:r w:rsidR="003944B3" w:rsidRPr="003944B3">
              <w:rPr>
                <w:bCs/>
              </w:rPr>
              <w:t>higher ability to attract new skilled labor</w:t>
            </w:r>
            <w:r w:rsidR="00D22399">
              <w:rPr>
                <w:bCs/>
              </w:rPr>
              <w:t>,</w:t>
            </w:r>
            <w:r w:rsidRPr="00702C8C">
              <w:rPr>
                <w:b/>
                <w:bCs/>
              </w:rPr>
              <w:t xml:space="preserve"> </w:t>
            </w:r>
            <w:r w:rsidR="00D22399">
              <w:t xml:space="preserve">which </w:t>
            </w:r>
            <w:r w:rsidR="00721C11">
              <w:t xml:space="preserve">in the context of a tight labor market contributes to </w:t>
            </w:r>
            <w:r w:rsidR="003944B3">
              <w:t>skill shortages in the private sector</w:t>
            </w:r>
          </w:p>
        </w:tc>
      </w:tr>
    </w:tbl>
    <w:p w14:paraId="20A8A9D9" w14:textId="77777777" w:rsidR="0073278F" w:rsidRDefault="0073278F" w:rsidP="003276D4">
      <w:pPr>
        <w:spacing w:after="0" w:line="240" w:lineRule="auto"/>
      </w:pPr>
    </w:p>
    <w:bookmarkEnd w:id="52"/>
    <w:p w14:paraId="1AB871B5" w14:textId="34C7052D" w:rsidR="00734703" w:rsidRPr="00734703" w:rsidRDefault="00734703" w:rsidP="00734703">
      <w:pPr>
        <w:pStyle w:val="Normal0"/>
        <w:numPr>
          <w:ilvl w:val="0"/>
          <w:numId w:val="21"/>
        </w:numPr>
        <w:spacing w:after="240" w:line="276" w:lineRule="auto"/>
        <w:ind w:left="0" w:firstLine="0"/>
        <w:jc w:val="both"/>
      </w:pPr>
      <w:r w:rsidRPr="00734703">
        <w:rPr>
          <w:b/>
          <w:bCs/>
        </w:rPr>
        <w:t>Very little research exists on compensation practices in Russian SOEs,</w:t>
      </w:r>
      <w:r w:rsidRPr="00675527">
        <w:rPr>
          <w:rStyle w:val="FootnoteReference"/>
          <w:b/>
          <w:bCs/>
        </w:rPr>
        <w:footnoteReference w:id="19"/>
      </w:r>
      <w:r w:rsidRPr="00734703">
        <w:rPr>
          <w:b/>
          <w:bCs/>
        </w:rPr>
        <w:t xml:space="preserve"> but several lessons are relevant from studies of compensation in the country’s broader public sector</w:t>
      </w:r>
      <w:r>
        <w:t>. One lesson is that Russia’s overall public sector wage gap may hide significant heterogeneity at the sub-sector level, and that it is important to disaggregate. In past studies, adjusted wage regressions showed little to no statistical difference between the wages of civil servants and private sector comparators, but up to 40 percent wage penalties for public health workers relative to private equivalent (</w:t>
      </w:r>
      <w:r w:rsidR="00FE15EC">
        <w:t>we reproduce these results with standard controls</w:t>
      </w:r>
      <w:r w:rsidR="00AD79C0">
        <w:rPr>
          <w:rStyle w:val="FootnoteReference"/>
        </w:rPr>
        <w:footnoteReference w:id="20"/>
      </w:r>
      <w:r w:rsidR="00FE15EC">
        <w:t xml:space="preserve">, in </w:t>
      </w:r>
      <w:r w:rsidR="00B26F7F">
        <w:fldChar w:fldCharType="begin"/>
      </w:r>
      <w:r w:rsidR="00B26F7F">
        <w:instrText xml:space="preserve"> REF _Ref11191676 \h </w:instrText>
      </w:r>
      <w:r w:rsidR="00B26F7F">
        <w:fldChar w:fldCharType="separate"/>
      </w:r>
      <w:r w:rsidR="00B26F7F">
        <w:t xml:space="preserve">Figure 3. </w:t>
      </w:r>
      <w:r w:rsidR="00B26F7F">
        <w:rPr>
          <w:noProof/>
        </w:rPr>
        <w:t>1</w:t>
      </w:r>
      <w:r w:rsidR="00B26F7F">
        <w:fldChar w:fldCharType="end"/>
      </w:r>
      <w:r>
        <w:t xml:space="preserve">). The second lesson is that wages do not tell the full story and that a comprehensive analysis should look at total compensation, including non-wage benefits. Globally, the public sector pays a wage premium of approximately 16 percent compared to private wage jobs, and it pays an even higher total compensation premium due to a variety of </w:t>
      </w:r>
      <w:proofErr w:type="gramStart"/>
      <w:r>
        <w:t>benefits .</w:t>
      </w:r>
      <w:proofErr w:type="gramEnd"/>
      <w:r>
        <w:rPr>
          <w:rStyle w:val="FootnoteReference"/>
        </w:rPr>
        <w:footnoteReference w:id="21"/>
      </w:r>
      <w:r>
        <w:t xml:space="preserve"> Russia stands out cross-nationally in having a large public sector wage penalty (</w:t>
      </w:r>
      <w:r w:rsidR="00B26F7F">
        <w:fldChar w:fldCharType="begin"/>
      </w:r>
      <w:r w:rsidR="00B26F7F">
        <w:instrText xml:space="preserve"> REF _Ref11116369 \h </w:instrText>
      </w:r>
      <w:r w:rsidR="00B26F7F">
        <w:fldChar w:fldCharType="separate"/>
      </w:r>
      <w:r w:rsidR="00B26F7F" w:rsidRPr="00B26F7F">
        <w:rPr>
          <w:rStyle w:val="FigureChar"/>
          <w:rFonts w:eastAsia="Calibri"/>
          <w:b w:val="0"/>
          <w:iCs w:val="0"/>
          <w:caps w:val="0"/>
          <w:color w:val="auto"/>
          <w:sz w:val="22"/>
          <w:szCs w:val="22"/>
          <w:lang w:eastAsia="en-US"/>
        </w:rPr>
        <w:t>Figure 3. 2</w:t>
      </w:r>
      <w:r w:rsidR="00B26F7F">
        <w:fldChar w:fldCharType="end"/>
      </w:r>
      <w:r w:rsidR="00B26F7F">
        <w:t>)</w:t>
      </w:r>
      <w:r>
        <w:t xml:space="preserve">, but past research has shown that this penalty is more than compensated by generous benefits. Even for the budgetary sector, which has seen the widest wage penalties since the 1990s, researchers found that wages together with (monetized) benefits </w:t>
      </w:r>
      <w:r w:rsidR="004F152D">
        <w:t xml:space="preserve">essentially </w:t>
      </w:r>
      <w:r>
        <w:t>match the private sector (</w:t>
      </w:r>
      <w:proofErr w:type="spellStart"/>
      <w:r>
        <w:t>Zhuravleva</w:t>
      </w:r>
      <w:proofErr w:type="spellEnd"/>
      <w:r>
        <w:t xml:space="preserve"> 2016, </w:t>
      </w:r>
      <w:proofErr w:type="spellStart"/>
      <w:r>
        <w:t>Gimpelson</w:t>
      </w:r>
      <w:proofErr w:type="spellEnd"/>
      <w:r>
        <w:t xml:space="preserve"> et al 2009, 2015). For these reasons, </w:t>
      </w:r>
      <w:r w:rsidR="006D646F">
        <w:t>present analyses</w:t>
      </w:r>
      <w:r w:rsidR="00566F05">
        <w:t xml:space="preserve"> will explicitly </w:t>
      </w:r>
      <w:r w:rsidR="006D646F">
        <w:t>explore</w:t>
      </w:r>
      <w:r w:rsidR="00566F05">
        <w:t xml:space="preserve"> </w:t>
      </w:r>
      <w:r>
        <w:t xml:space="preserve">heterogeneity in </w:t>
      </w:r>
      <w:r w:rsidR="00566F05">
        <w:t xml:space="preserve">SOE </w:t>
      </w:r>
      <w:r>
        <w:t xml:space="preserve">wage-setting behavior and </w:t>
      </w:r>
      <w:r w:rsidR="00566F05">
        <w:t xml:space="preserve">attempt </w:t>
      </w:r>
      <w:r>
        <w:t xml:space="preserve">to capture total compensation </w:t>
      </w:r>
      <w:r w:rsidR="00566F05">
        <w:t xml:space="preserve">and not only </w:t>
      </w:r>
      <w:r>
        <w:t>wages.</w:t>
      </w:r>
    </w:p>
    <w:p w14:paraId="480CCFDA" w14:textId="049D4EE1" w:rsidR="00734703" w:rsidRDefault="00734703" w:rsidP="00734703">
      <w:pPr>
        <w:pStyle w:val="Normal0"/>
        <w:numPr>
          <w:ilvl w:val="0"/>
          <w:numId w:val="21"/>
        </w:numPr>
        <w:spacing w:after="240" w:line="276" w:lineRule="auto"/>
        <w:ind w:left="0" w:firstLine="0"/>
        <w:jc w:val="both"/>
      </w:pPr>
      <w:r w:rsidRPr="00734703">
        <w:rPr>
          <w:b/>
          <w:bCs/>
        </w:rPr>
        <w:t xml:space="preserve">Our analyses </w:t>
      </w:r>
      <w:r w:rsidR="00566F05">
        <w:rPr>
          <w:b/>
          <w:bCs/>
        </w:rPr>
        <w:t xml:space="preserve">in this section </w:t>
      </w:r>
      <w:r w:rsidRPr="00734703">
        <w:rPr>
          <w:b/>
          <w:bCs/>
        </w:rPr>
        <w:t xml:space="preserve">draw </w:t>
      </w:r>
      <w:r w:rsidR="00566F05">
        <w:rPr>
          <w:b/>
          <w:bCs/>
        </w:rPr>
        <w:t xml:space="preserve">primarily </w:t>
      </w:r>
      <w:r w:rsidRPr="00734703">
        <w:rPr>
          <w:b/>
          <w:bCs/>
        </w:rPr>
        <w:t xml:space="preserve">on data from SOW and RLMS, and on </w:t>
      </w:r>
      <w:r w:rsidR="00144E9C">
        <w:rPr>
          <w:b/>
          <w:bCs/>
        </w:rPr>
        <w:t xml:space="preserve">a background paper </w:t>
      </w:r>
      <w:r w:rsidR="00AE587D">
        <w:rPr>
          <w:b/>
          <w:bCs/>
        </w:rPr>
        <w:t xml:space="preserve">by </w:t>
      </w:r>
      <w:r w:rsidRPr="00734703">
        <w:rPr>
          <w:b/>
          <w:bCs/>
        </w:rPr>
        <w:t xml:space="preserve">Lukyanova </w:t>
      </w:r>
      <w:r w:rsidR="00AE587D">
        <w:rPr>
          <w:b/>
          <w:bCs/>
        </w:rPr>
        <w:t>(</w:t>
      </w:r>
      <w:r w:rsidRPr="00734703">
        <w:rPr>
          <w:b/>
          <w:bCs/>
        </w:rPr>
        <w:t>2019</w:t>
      </w:r>
      <w:r w:rsidR="00AE587D">
        <w:rPr>
          <w:b/>
          <w:bCs/>
        </w:rPr>
        <w:t>)</w:t>
      </w:r>
      <w:r w:rsidRPr="00734703">
        <w:rPr>
          <w:b/>
          <w:bCs/>
        </w:rPr>
        <w:t xml:space="preserve">. </w:t>
      </w:r>
      <w:r>
        <w:t>SOW is the most reliable source on worker wages in Russia as the information comes from payrolls of surveyed establishments, and because the dataset is large, with over 700</w:t>
      </w:r>
      <w:r w:rsidR="00F10211">
        <w:t>,</w:t>
      </w:r>
      <w:r>
        <w:t xml:space="preserve">000 workers in each survey wave. RLMS data is less reliable on wages because it is self-reported by workers, however we use the dataset for its unique data on (self-reported) benefits which are missing from SOW. Lukyanova estimates average hourly wage premia over the last decade using several models shown in Annex 3, which are variations of the Mincer wage regression. The preferred basic wage model (specification 3) </w:t>
      </w:r>
      <w:r w:rsidRPr="00BD74CC">
        <w:t>includes gender, education, age, age squared, occupation, firm size, and year and region fixed effects as controls; industry controls are excluded because they are judged to have no significant effect on wages or wage gaps in SOEs</w:t>
      </w:r>
      <w:r>
        <w:t>.</w:t>
      </w:r>
      <w:r>
        <w:rPr>
          <w:rStyle w:val="FootnoteReference"/>
        </w:rPr>
        <w:footnoteReference w:id="22"/>
      </w:r>
      <w:r>
        <w:t xml:space="preserve"> </w:t>
      </w:r>
      <w:r w:rsidRPr="00BD74CC">
        <w:t>The same basic controls are used for wage regressions throughout the chapter</w:t>
      </w:r>
      <w:r>
        <w:t>, with minor variations</w:t>
      </w:r>
      <w:r w:rsidRPr="00BD74CC">
        <w:t>.</w:t>
      </w:r>
    </w:p>
    <w:p w14:paraId="418E03FF" w14:textId="65FD10A2" w:rsidR="00A87B9B" w:rsidRDefault="005C4B9C" w:rsidP="005C4B9C">
      <w:pPr>
        <w:pStyle w:val="Figure"/>
      </w:pPr>
      <w:bookmarkStart w:id="53" w:name="_Ref11191676"/>
      <w:bookmarkStart w:id="54" w:name="_Toc11259342"/>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Pr>
          <w:noProof/>
        </w:rPr>
        <w:t>1</w:t>
      </w:r>
      <w:r w:rsidR="00D96C35">
        <w:rPr>
          <w:noProof/>
        </w:rPr>
        <w:fldChar w:fldCharType="end"/>
      </w:r>
      <w:bookmarkEnd w:id="53"/>
      <w:r>
        <w:t xml:space="preserve"> </w:t>
      </w:r>
      <w:r w:rsidR="00895FBA">
        <w:t>A</w:t>
      </w:r>
      <w:r w:rsidR="00110064">
        <w:t xml:space="preserve">djusted wage gaps (private sector=0), by </w:t>
      </w:r>
      <w:r w:rsidR="00895FBA">
        <w:t xml:space="preserve">categories of </w:t>
      </w:r>
      <w:r w:rsidR="00110064">
        <w:t xml:space="preserve">public sector </w:t>
      </w:r>
      <w:r w:rsidR="00895FBA">
        <w:t>workers</w:t>
      </w:r>
      <w:bookmarkEnd w:id="54"/>
    </w:p>
    <w:p w14:paraId="6F5F7AC9" w14:textId="1E6C28FA" w:rsidR="008E075E" w:rsidRDefault="00262560" w:rsidP="00C044BC">
      <w:pPr>
        <w:pStyle w:val="Normal0"/>
        <w:spacing w:after="0" w:line="276" w:lineRule="auto"/>
        <w:jc w:val="center"/>
      </w:pPr>
      <w:r>
        <w:rPr>
          <w:noProof/>
        </w:rPr>
        <w:drawing>
          <wp:inline distT="0" distB="0" distL="0" distR="0" wp14:anchorId="2B4B92D3" wp14:editId="43E73184">
            <wp:extent cx="4760714" cy="2907101"/>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8156" b="2685"/>
                    <a:stretch/>
                  </pic:blipFill>
                  <pic:spPr bwMode="auto">
                    <a:xfrm>
                      <a:off x="0" y="0"/>
                      <a:ext cx="4782528" cy="2920422"/>
                    </a:xfrm>
                    <a:prstGeom prst="rect">
                      <a:avLst/>
                    </a:prstGeom>
                    <a:noFill/>
                    <a:ln>
                      <a:noFill/>
                    </a:ln>
                    <a:extLst>
                      <a:ext uri="{53640926-AAD7-44D8-BBD7-CCE9431645EC}">
                        <a14:shadowObscured xmlns:a14="http://schemas.microsoft.com/office/drawing/2010/main"/>
                      </a:ext>
                    </a:extLst>
                  </pic:spPr>
                </pic:pic>
              </a:graphicData>
            </a:graphic>
          </wp:inline>
        </w:drawing>
      </w:r>
    </w:p>
    <w:p w14:paraId="366CB418" w14:textId="2F8FED02" w:rsidR="00895FBA" w:rsidRPr="0043767F" w:rsidRDefault="00895FBA" w:rsidP="00C044BC">
      <w:pPr>
        <w:pStyle w:val="Normal0"/>
        <w:spacing w:after="240" w:line="276" w:lineRule="auto"/>
        <w:jc w:val="both"/>
        <w:rPr>
          <w:sz w:val="18"/>
          <w:szCs w:val="18"/>
        </w:rPr>
      </w:pPr>
      <w:r w:rsidRPr="0043767F">
        <w:rPr>
          <w:sz w:val="18"/>
          <w:szCs w:val="18"/>
        </w:rPr>
        <w:t xml:space="preserve">Source: </w:t>
      </w:r>
      <w:r w:rsidR="000C1FC7" w:rsidRPr="0043767F">
        <w:rPr>
          <w:sz w:val="18"/>
          <w:szCs w:val="18"/>
        </w:rPr>
        <w:t>SOW 2005-2015, RLMS 2005-2015</w:t>
      </w:r>
    </w:p>
    <w:p w14:paraId="1196129C" w14:textId="4DCE468D" w:rsidR="005C4B9C" w:rsidRPr="00B26F7F" w:rsidRDefault="005C4B9C" w:rsidP="00B26F7F">
      <w:pPr>
        <w:pStyle w:val="Figure"/>
        <w:rPr>
          <w:rStyle w:val="FigureChar"/>
          <w:b/>
          <w:iCs/>
          <w:caps/>
        </w:rPr>
      </w:pPr>
      <w:bookmarkStart w:id="55" w:name="_Ref11116369"/>
      <w:bookmarkStart w:id="56" w:name="_Toc11259343"/>
      <w:r w:rsidRPr="00B26F7F">
        <w:rPr>
          <w:rStyle w:val="FigureChar"/>
          <w:b/>
          <w:iCs/>
          <w:caps/>
        </w:rPr>
        <w:t xml:space="preserve">Figure 3. </w:t>
      </w:r>
      <w:r w:rsidRPr="00B26F7F">
        <w:rPr>
          <w:rStyle w:val="FigureChar"/>
          <w:b/>
          <w:iCs/>
          <w:caps/>
        </w:rPr>
        <w:fldChar w:fldCharType="begin"/>
      </w:r>
      <w:r w:rsidRPr="00B26F7F">
        <w:rPr>
          <w:rStyle w:val="FigureChar"/>
          <w:b/>
          <w:iCs/>
          <w:caps/>
        </w:rPr>
        <w:instrText xml:space="preserve"> SEQ Figure_3. \* ARABIC </w:instrText>
      </w:r>
      <w:r w:rsidRPr="00B26F7F">
        <w:rPr>
          <w:rStyle w:val="FigureChar"/>
          <w:b/>
          <w:iCs/>
          <w:caps/>
        </w:rPr>
        <w:fldChar w:fldCharType="separate"/>
      </w:r>
      <w:r w:rsidRPr="00B26F7F">
        <w:rPr>
          <w:rStyle w:val="FigureChar"/>
          <w:b/>
          <w:iCs/>
          <w:caps/>
        </w:rPr>
        <w:t>2</w:t>
      </w:r>
      <w:r w:rsidRPr="00B26F7F">
        <w:rPr>
          <w:rStyle w:val="FigureChar"/>
          <w:b/>
          <w:iCs/>
          <w:caps/>
        </w:rPr>
        <w:fldChar w:fldCharType="end"/>
      </w:r>
      <w:bookmarkEnd w:id="55"/>
      <w:r w:rsidRPr="00B26F7F">
        <w:rPr>
          <w:rStyle w:val="FigureChar"/>
          <w:b/>
          <w:iCs/>
          <w:caps/>
        </w:rPr>
        <w:t xml:space="preserve"> Distribution of public sector wage premia by country income.</w:t>
      </w:r>
      <w:bookmarkEnd w:id="56"/>
    </w:p>
    <w:p w14:paraId="4554B1EE" w14:textId="77777777" w:rsidR="005C4B9C" w:rsidRPr="00C91DAB" w:rsidRDefault="005C4B9C" w:rsidP="005C4B9C">
      <w:pPr>
        <w:pStyle w:val="Normal0"/>
        <w:spacing w:after="0" w:line="240" w:lineRule="auto"/>
        <w:jc w:val="center"/>
      </w:pPr>
      <w:r>
        <w:rPr>
          <w:noProof/>
        </w:rPr>
        <w:drawing>
          <wp:inline distT="0" distB="0" distL="0" distR="0" wp14:anchorId="03A8CF24" wp14:editId="7E1F457B">
            <wp:extent cx="3463259" cy="259655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78" t="1933" r="1855" b="2236"/>
                    <a:stretch/>
                  </pic:blipFill>
                  <pic:spPr bwMode="auto">
                    <a:xfrm>
                      <a:off x="0" y="0"/>
                      <a:ext cx="3521011" cy="2639850"/>
                    </a:xfrm>
                    <a:prstGeom prst="rect">
                      <a:avLst/>
                    </a:prstGeom>
                    <a:noFill/>
                    <a:ln>
                      <a:noFill/>
                    </a:ln>
                    <a:extLst>
                      <a:ext uri="{53640926-AAD7-44D8-BBD7-CCE9431645EC}">
                        <a14:shadowObscured xmlns:a14="http://schemas.microsoft.com/office/drawing/2010/main"/>
                      </a:ext>
                    </a:extLst>
                  </pic:spPr>
                </pic:pic>
              </a:graphicData>
            </a:graphic>
          </wp:inline>
        </w:drawing>
      </w:r>
    </w:p>
    <w:p w14:paraId="5D3AC755" w14:textId="77777777" w:rsidR="005C4B9C" w:rsidRPr="00C91DAB" w:rsidRDefault="005C4B9C" w:rsidP="005C4B9C">
      <w:pPr>
        <w:pStyle w:val="Normal0"/>
        <w:spacing w:after="0" w:line="240" w:lineRule="auto"/>
        <w:jc w:val="center"/>
        <w:rPr>
          <w:i/>
          <w:iCs/>
          <w:sz w:val="12"/>
          <w:szCs w:val="12"/>
        </w:rPr>
      </w:pPr>
    </w:p>
    <w:p w14:paraId="32FDF9D9" w14:textId="77777777" w:rsidR="005C4B9C" w:rsidRPr="00C91DAB" w:rsidRDefault="005C4B9C" w:rsidP="005C4B9C">
      <w:pPr>
        <w:pStyle w:val="Normal0"/>
        <w:spacing w:after="0" w:line="240" w:lineRule="auto"/>
        <w:rPr>
          <w:sz w:val="18"/>
          <w:szCs w:val="18"/>
        </w:rPr>
      </w:pPr>
      <w:r w:rsidRPr="00C91DAB">
        <w:rPr>
          <w:i/>
          <w:iCs/>
          <w:sz w:val="18"/>
          <w:szCs w:val="18"/>
        </w:rPr>
        <w:t>Source</w:t>
      </w:r>
      <w:r w:rsidRPr="00C91DAB">
        <w:rPr>
          <w:sz w:val="18"/>
          <w:szCs w:val="18"/>
        </w:rPr>
        <w:t>: Worldwide Bureaucracy Indicators (2017 Russia, 2010-2017 comparators)</w:t>
      </w:r>
    </w:p>
    <w:p w14:paraId="692DA879" w14:textId="645E2590" w:rsidR="00466769" w:rsidRPr="00466769" w:rsidRDefault="0073278F" w:rsidP="00AA2FE1">
      <w:pPr>
        <w:pStyle w:val="Heading2"/>
      </w:pPr>
      <w:bookmarkStart w:id="57" w:name="_Toc11219074"/>
      <w:r w:rsidRPr="00466769">
        <w:t>SOE compensation</w:t>
      </w:r>
      <w:bookmarkEnd w:id="57"/>
    </w:p>
    <w:p w14:paraId="2108EBF2" w14:textId="21E7D23A" w:rsidR="00ED01AC" w:rsidRPr="00EE0BE0" w:rsidRDefault="00553ABB" w:rsidP="00E3004B">
      <w:pPr>
        <w:pStyle w:val="Normal0"/>
        <w:numPr>
          <w:ilvl w:val="0"/>
          <w:numId w:val="21"/>
        </w:numPr>
        <w:spacing w:after="240" w:line="276" w:lineRule="auto"/>
        <w:ind w:left="0" w:firstLine="0"/>
        <w:jc w:val="both"/>
      </w:pPr>
      <w:r>
        <w:rPr>
          <w:b/>
        </w:rPr>
        <w:t xml:space="preserve">Our analyses </w:t>
      </w:r>
      <w:r w:rsidR="0000305A">
        <w:rPr>
          <w:b/>
        </w:rPr>
        <w:t xml:space="preserve">show </w:t>
      </w:r>
      <w:r w:rsidR="008F6C96">
        <w:rPr>
          <w:b/>
        </w:rPr>
        <w:t xml:space="preserve">heterogeneity in </w:t>
      </w:r>
      <w:r w:rsidR="00E81C73">
        <w:rPr>
          <w:b/>
        </w:rPr>
        <w:t xml:space="preserve">wage </w:t>
      </w:r>
      <w:r w:rsidR="008F6C96">
        <w:rPr>
          <w:b/>
        </w:rPr>
        <w:t>premia relative to the private sector</w:t>
      </w:r>
      <w:r w:rsidR="00E81C73">
        <w:rPr>
          <w:b/>
        </w:rPr>
        <w:t xml:space="preserve"> across different types of SOEs</w:t>
      </w:r>
      <w:r w:rsidR="008F6C96">
        <w:rPr>
          <w:b/>
        </w:rPr>
        <w:t xml:space="preserve">. </w:t>
      </w:r>
      <w:r w:rsidR="009646DD">
        <w:rPr>
          <w:bCs/>
        </w:rPr>
        <w:t>W</w:t>
      </w:r>
      <w:r w:rsidR="0000305A" w:rsidRPr="00BD74CC">
        <w:rPr>
          <w:bCs/>
        </w:rPr>
        <w:t xml:space="preserve">hile </w:t>
      </w:r>
      <w:r w:rsidR="009646DD">
        <w:rPr>
          <w:bCs/>
        </w:rPr>
        <w:t xml:space="preserve">overall </w:t>
      </w:r>
      <w:r w:rsidR="005D7F04">
        <w:rPr>
          <w:bCs/>
        </w:rPr>
        <w:t xml:space="preserve">the </w:t>
      </w:r>
      <w:r w:rsidR="0000305A" w:rsidRPr="00BD74CC">
        <w:rPr>
          <w:bCs/>
        </w:rPr>
        <w:t>SOE</w:t>
      </w:r>
      <w:r w:rsidR="009646DD">
        <w:rPr>
          <w:bCs/>
        </w:rPr>
        <w:t xml:space="preserve"> sector</w:t>
      </w:r>
      <w:r w:rsidR="005D7F04">
        <w:rPr>
          <w:bCs/>
        </w:rPr>
        <w:t xml:space="preserve"> demonstrates </w:t>
      </w:r>
      <w:r w:rsidR="004E7F1F" w:rsidRPr="00D00A9F">
        <w:rPr>
          <w:bCs/>
        </w:rPr>
        <w:t xml:space="preserve">a </w:t>
      </w:r>
      <w:r w:rsidR="005D7F04">
        <w:rPr>
          <w:bCs/>
        </w:rPr>
        <w:t xml:space="preserve">small and stable </w:t>
      </w:r>
      <w:r w:rsidR="006608BF" w:rsidRPr="00BD74CC">
        <w:rPr>
          <w:bCs/>
        </w:rPr>
        <w:t>wage penalty</w:t>
      </w:r>
      <w:r w:rsidR="004E7F1F" w:rsidRPr="00BD74CC">
        <w:rPr>
          <w:bCs/>
        </w:rPr>
        <w:t xml:space="preserve"> since 2006</w:t>
      </w:r>
      <w:r w:rsidR="00AA0692">
        <w:rPr>
          <w:bCs/>
        </w:rPr>
        <w:t xml:space="preserve"> (</w:t>
      </w:r>
      <w:r w:rsidR="00AA0692">
        <w:fldChar w:fldCharType="begin"/>
      </w:r>
      <w:r w:rsidR="00AA0692">
        <w:instrText xml:space="preserve"> REF _Ref11191676 \h </w:instrText>
      </w:r>
      <w:r w:rsidR="00AA0692">
        <w:fldChar w:fldCharType="separate"/>
      </w:r>
      <w:r w:rsidR="00AA0692">
        <w:t xml:space="preserve">Figure 3. </w:t>
      </w:r>
      <w:r w:rsidR="00AA0692">
        <w:rPr>
          <w:noProof/>
        </w:rPr>
        <w:t>1</w:t>
      </w:r>
      <w:r w:rsidR="00AA0692">
        <w:fldChar w:fldCharType="end"/>
      </w:r>
      <w:r w:rsidR="00AA0692">
        <w:t>)</w:t>
      </w:r>
      <w:r w:rsidR="006608BF" w:rsidRPr="00BD74CC">
        <w:rPr>
          <w:bCs/>
        </w:rPr>
        <w:t>, a more nuanced picture emerges when we disaggregate by company type</w:t>
      </w:r>
      <w:r w:rsidR="00E95023" w:rsidRPr="00BD74CC">
        <w:rPr>
          <w:bCs/>
        </w:rPr>
        <w:t>.</w:t>
      </w:r>
      <w:r w:rsidR="006608BF" w:rsidRPr="00BD74CC">
        <w:rPr>
          <w:bCs/>
        </w:rPr>
        <w:t xml:space="preserve"> </w:t>
      </w:r>
      <w:r w:rsidR="00382DA7">
        <w:rPr>
          <w:bCs/>
        </w:rPr>
        <w:t xml:space="preserve">Our adjusted wage regressions show that mixed </w:t>
      </w:r>
      <w:r w:rsidR="0073278F" w:rsidRPr="002E0563">
        <w:rPr>
          <w:bCs/>
        </w:rPr>
        <w:t xml:space="preserve">state-owned enterprises in the Russian Federation pay 6 percent higher hourly wages compared to the formal private sector for similar workers in similar jobs, while fully state-owned enterprises pay </w:t>
      </w:r>
      <w:r w:rsidR="003B2BE1">
        <w:rPr>
          <w:bCs/>
        </w:rPr>
        <w:t xml:space="preserve">4.7 percent </w:t>
      </w:r>
      <w:r w:rsidR="0073278F" w:rsidRPr="002E0563">
        <w:rPr>
          <w:bCs/>
        </w:rPr>
        <w:t>lower wages</w:t>
      </w:r>
      <w:r w:rsidR="002F034B">
        <w:rPr>
          <w:bCs/>
        </w:rPr>
        <w:t xml:space="preserve"> </w:t>
      </w:r>
      <w:r w:rsidR="0073278F" w:rsidRPr="004873C7">
        <w:rPr>
          <w:bCs/>
        </w:rPr>
        <w:t>(</w:t>
      </w:r>
      <w:r w:rsidR="00322BE1" w:rsidRPr="00382DA7">
        <w:rPr>
          <w:b/>
        </w:rPr>
        <w:fldChar w:fldCharType="begin"/>
      </w:r>
      <w:r w:rsidR="00322BE1" w:rsidRPr="00382DA7">
        <w:rPr>
          <w:b/>
        </w:rPr>
        <w:instrText xml:space="preserve"> REF _Ref9378506 \h </w:instrText>
      </w:r>
      <w:r w:rsidR="00322BE1" w:rsidRPr="00382DA7">
        <w:rPr>
          <w:b/>
        </w:rPr>
      </w:r>
      <w:r w:rsidR="00322BE1" w:rsidRPr="00382DA7">
        <w:rPr>
          <w:b/>
        </w:rPr>
        <w:fldChar w:fldCharType="separate"/>
      </w:r>
      <w:r w:rsidR="00AA0692" w:rsidRPr="00C35CDA">
        <w:t xml:space="preserve">Table 3. </w:t>
      </w:r>
      <w:r w:rsidR="00AA0692">
        <w:rPr>
          <w:noProof/>
        </w:rPr>
        <w:t>1</w:t>
      </w:r>
      <w:r w:rsidR="00322BE1" w:rsidRPr="00382DA7">
        <w:rPr>
          <w:b/>
        </w:rPr>
        <w:fldChar w:fldCharType="end"/>
      </w:r>
      <w:r w:rsidR="00FD6BF7">
        <w:rPr>
          <w:b/>
        </w:rPr>
        <w:t xml:space="preserve">, </w:t>
      </w:r>
      <w:r w:rsidR="00FD6BF7" w:rsidRPr="00FD6BF7">
        <w:rPr>
          <w:bCs/>
        </w:rPr>
        <w:t xml:space="preserve">see Annex B for regression </w:t>
      </w:r>
      <w:r w:rsidR="002F034B">
        <w:rPr>
          <w:bCs/>
        </w:rPr>
        <w:t>results</w:t>
      </w:r>
      <w:r w:rsidR="0073278F" w:rsidRPr="004873C7">
        <w:rPr>
          <w:bCs/>
        </w:rPr>
        <w:t>)</w:t>
      </w:r>
      <w:r w:rsidR="002F034B">
        <w:rPr>
          <w:bCs/>
        </w:rPr>
        <w:t>. These differences are statistically significant</w:t>
      </w:r>
      <w:r w:rsidR="002F034B">
        <w:rPr>
          <w:b/>
        </w:rPr>
        <w:t xml:space="preserve"> </w:t>
      </w:r>
      <w:r w:rsidR="002F034B" w:rsidRPr="002F034B">
        <w:rPr>
          <w:bCs/>
        </w:rPr>
        <w:t>and</w:t>
      </w:r>
      <w:r w:rsidR="002F034B">
        <w:rPr>
          <w:b/>
        </w:rPr>
        <w:t xml:space="preserve"> </w:t>
      </w:r>
      <w:r w:rsidR="00FD6BF7" w:rsidRPr="00FD6BF7">
        <w:rPr>
          <w:bCs/>
        </w:rPr>
        <w:t xml:space="preserve">have been </w:t>
      </w:r>
      <w:r w:rsidR="002F034B">
        <w:rPr>
          <w:bCs/>
        </w:rPr>
        <w:t xml:space="preserve">generally </w:t>
      </w:r>
      <w:r w:rsidR="00FD6BF7" w:rsidRPr="00FD6BF7">
        <w:rPr>
          <w:bCs/>
        </w:rPr>
        <w:t>stable over the past decade</w:t>
      </w:r>
      <w:r w:rsidR="008805E2">
        <w:rPr>
          <w:bCs/>
        </w:rPr>
        <w:t xml:space="preserve"> (</w:t>
      </w:r>
      <w:r w:rsidR="00E26812">
        <w:rPr>
          <w:bCs/>
        </w:rPr>
        <w:fldChar w:fldCharType="begin"/>
      </w:r>
      <w:r w:rsidR="00E26812">
        <w:rPr>
          <w:bCs/>
        </w:rPr>
        <w:instrText xml:space="preserve"> REF _Ref11191676 \h </w:instrText>
      </w:r>
      <w:r w:rsidR="00E26812">
        <w:rPr>
          <w:bCs/>
        </w:rPr>
      </w:r>
      <w:r w:rsidR="00E26812">
        <w:rPr>
          <w:bCs/>
        </w:rPr>
        <w:fldChar w:fldCharType="separate"/>
      </w:r>
      <w:r w:rsidR="00E26812">
        <w:t xml:space="preserve">Figure 3. </w:t>
      </w:r>
      <w:r w:rsidR="00E26812">
        <w:rPr>
          <w:noProof/>
        </w:rPr>
        <w:t>1</w:t>
      </w:r>
      <w:r w:rsidR="00E26812">
        <w:rPr>
          <w:bCs/>
        </w:rPr>
        <w:fldChar w:fldCharType="end"/>
      </w:r>
      <w:r w:rsidR="008805E2">
        <w:rPr>
          <w:bCs/>
        </w:rPr>
        <w:t>)</w:t>
      </w:r>
      <w:r w:rsidR="00FD6BF7" w:rsidRPr="00FD6BF7">
        <w:rPr>
          <w:bCs/>
        </w:rPr>
        <w:t>.</w:t>
      </w:r>
      <w:r w:rsidR="00FD6BF7">
        <w:rPr>
          <w:b/>
        </w:rPr>
        <w:t xml:space="preserve"> </w:t>
      </w:r>
      <w:r w:rsidR="00E3004B" w:rsidRPr="00E3004B">
        <w:rPr>
          <w:bCs/>
        </w:rPr>
        <w:t>Mixed SOEs pay higher wages compared to the private sector across all major occupations, although the gaps are highest in mid-skill occupations.</w:t>
      </w:r>
      <w:r w:rsidR="00E3004B">
        <w:t xml:space="preserve"> This pattern is different from that found cross-nationally where public sector wage premiums are declining in skill levels. For mixed SOEs the wage gaps are largest for services and sales occupations, and for technicians and associate professionals. Both blue-collar workers and managers have lower, though still positive, premiums. </w:t>
      </w:r>
      <w:r w:rsidR="00466769" w:rsidRPr="00F56439">
        <w:rPr>
          <w:bCs/>
        </w:rPr>
        <w:t>Women receive a significant wage penalty in both SOEs and the private sector, and there is no significant difference in female wages across the two sectors.</w:t>
      </w:r>
      <w:r w:rsidR="00466769">
        <w:t xml:space="preserve"> </w:t>
      </w:r>
      <w:r w:rsidR="0073278F">
        <w:t xml:space="preserve">  </w:t>
      </w:r>
    </w:p>
    <w:p w14:paraId="5F8E2E52" w14:textId="63C97312" w:rsidR="0073278F" w:rsidRPr="00316DF8" w:rsidRDefault="00C35CDA" w:rsidP="00316DF8">
      <w:pPr>
        <w:pStyle w:val="Figure"/>
      </w:pPr>
      <w:bookmarkStart w:id="58" w:name="_Ref9378506"/>
      <w:bookmarkStart w:id="59" w:name="_Toc11259373"/>
      <w:r w:rsidRPr="00C35CDA">
        <w:t xml:space="preserve">Table 3. </w:t>
      </w:r>
      <w:r w:rsidR="00320D6E">
        <w:rPr>
          <w:noProof/>
        </w:rPr>
        <w:fldChar w:fldCharType="begin"/>
      </w:r>
      <w:r w:rsidR="00320D6E">
        <w:rPr>
          <w:noProof/>
        </w:rPr>
        <w:instrText xml:space="preserve"> SEQ Table_3. \* ARABIC </w:instrText>
      </w:r>
      <w:r w:rsidR="00320D6E">
        <w:rPr>
          <w:noProof/>
        </w:rPr>
        <w:fldChar w:fldCharType="separate"/>
      </w:r>
      <w:r w:rsidR="00384800">
        <w:rPr>
          <w:noProof/>
        </w:rPr>
        <w:t>1</w:t>
      </w:r>
      <w:r w:rsidR="00320D6E">
        <w:rPr>
          <w:noProof/>
        </w:rPr>
        <w:fldChar w:fldCharType="end"/>
      </w:r>
      <w:bookmarkEnd w:id="58"/>
      <w:r w:rsidRPr="00C35CDA">
        <w:t xml:space="preserve"> </w:t>
      </w:r>
      <w:r w:rsidR="004F7628">
        <w:t>SOE-private Adjusted gaps in mean hourly wages, in percent (private=0)</w:t>
      </w:r>
      <w:bookmarkEnd w:id="59"/>
      <w:r w:rsidR="004F7628">
        <w:t xml:space="preserve"> </w:t>
      </w:r>
    </w:p>
    <w:tbl>
      <w:tblPr>
        <w:tblStyle w:val="TableGrid0"/>
        <w:tblW w:w="0" w:type="auto"/>
        <w:tblInd w:w="-5" w:type="dxa"/>
        <w:tblLook w:val="04A0" w:firstRow="1" w:lastRow="0" w:firstColumn="1" w:lastColumn="0" w:noHBand="0" w:noVBand="1"/>
      </w:tblPr>
      <w:tblGrid>
        <w:gridCol w:w="3129"/>
        <w:gridCol w:w="3130"/>
      </w:tblGrid>
      <w:tr w:rsidR="00316DF8" w:rsidRPr="0092419E" w14:paraId="11B8D6CC" w14:textId="77777777" w:rsidTr="00D57958">
        <w:tc>
          <w:tcPr>
            <w:tcW w:w="3129" w:type="dxa"/>
            <w:tcBorders>
              <w:top w:val="single" w:sz="4" w:space="0" w:color="auto"/>
            </w:tcBorders>
          </w:tcPr>
          <w:p w14:paraId="16BED051" w14:textId="77777777" w:rsidR="00316DF8" w:rsidRPr="0092419E" w:rsidRDefault="00316DF8" w:rsidP="00D57958">
            <w:pPr>
              <w:spacing w:after="0" w:line="240" w:lineRule="auto"/>
              <w:rPr>
                <w:sz w:val="20"/>
                <w:szCs w:val="20"/>
              </w:rPr>
            </w:pPr>
          </w:p>
        </w:tc>
        <w:tc>
          <w:tcPr>
            <w:tcW w:w="3130" w:type="dxa"/>
            <w:tcBorders>
              <w:top w:val="single" w:sz="4" w:space="0" w:color="auto"/>
            </w:tcBorders>
          </w:tcPr>
          <w:p w14:paraId="314A7D62" w14:textId="77777777" w:rsidR="00316DF8" w:rsidRPr="0092419E" w:rsidRDefault="00316DF8" w:rsidP="00D57958">
            <w:pPr>
              <w:spacing w:after="0" w:line="240" w:lineRule="auto"/>
              <w:jc w:val="center"/>
              <w:rPr>
                <w:i/>
                <w:sz w:val="20"/>
                <w:szCs w:val="20"/>
              </w:rPr>
            </w:pPr>
            <w:r>
              <w:rPr>
                <w:i/>
                <w:sz w:val="20"/>
                <w:szCs w:val="20"/>
              </w:rPr>
              <w:t xml:space="preserve">Wage gap, in percent (private =0) </w:t>
            </w:r>
          </w:p>
        </w:tc>
      </w:tr>
      <w:tr w:rsidR="00316DF8" w:rsidRPr="0092419E" w14:paraId="0A55A4FD" w14:textId="77777777" w:rsidTr="00D57958">
        <w:tc>
          <w:tcPr>
            <w:tcW w:w="3129" w:type="dxa"/>
          </w:tcPr>
          <w:p w14:paraId="7B14FA71" w14:textId="77777777" w:rsidR="00316DF8" w:rsidRPr="0092419E" w:rsidRDefault="00316DF8" w:rsidP="00D57958">
            <w:pPr>
              <w:spacing w:after="0" w:line="240" w:lineRule="auto"/>
              <w:rPr>
                <w:b/>
                <w:sz w:val="20"/>
                <w:szCs w:val="20"/>
              </w:rPr>
            </w:pPr>
            <w:r w:rsidRPr="0092419E">
              <w:rPr>
                <w:b/>
                <w:sz w:val="20"/>
                <w:szCs w:val="20"/>
              </w:rPr>
              <w:t>Mixed SOEs</w:t>
            </w:r>
          </w:p>
        </w:tc>
        <w:tc>
          <w:tcPr>
            <w:tcW w:w="3130" w:type="dxa"/>
          </w:tcPr>
          <w:p w14:paraId="6ED8B2F0" w14:textId="77777777" w:rsidR="00316DF8" w:rsidRPr="0092419E" w:rsidRDefault="00316DF8" w:rsidP="00D57958">
            <w:pPr>
              <w:spacing w:after="0" w:line="240" w:lineRule="auto"/>
              <w:jc w:val="center"/>
              <w:rPr>
                <w:sz w:val="20"/>
                <w:szCs w:val="20"/>
              </w:rPr>
            </w:pPr>
            <w:r w:rsidRPr="0092419E">
              <w:rPr>
                <w:sz w:val="20"/>
                <w:szCs w:val="20"/>
              </w:rPr>
              <w:t>6.3%</w:t>
            </w:r>
          </w:p>
        </w:tc>
      </w:tr>
      <w:tr w:rsidR="00316DF8" w:rsidRPr="0092419E" w14:paraId="31F0F62E" w14:textId="77777777" w:rsidTr="00D57958">
        <w:tc>
          <w:tcPr>
            <w:tcW w:w="3129" w:type="dxa"/>
          </w:tcPr>
          <w:p w14:paraId="12A744DF" w14:textId="77777777" w:rsidR="00316DF8" w:rsidRPr="0092419E" w:rsidRDefault="00316DF8" w:rsidP="00D57958">
            <w:pPr>
              <w:spacing w:after="0" w:line="240" w:lineRule="auto"/>
              <w:rPr>
                <w:b/>
                <w:sz w:val="20"/>
                <w:szCs w:val="20"/>
              </w:rPr>
            </w:pPr>
            <w:r w:rsidRPr="0092419E">
              <w:rPr>
                <w:b/>
                <w:sz w:val="20"/>
                <w:szCs w:val="20"/>
              </w:rPr>
              <w:t>Fully state-owned SOEs</w:t>
            </w:r>
          </w:p>
        </w:tc>
        <w:tc>
          <w:tcPr>
            <w:tcW w:w="3130" w:type="dxa"/>
          </w:tcPr>
          <w:p w14:paraId="3609D303" w14:textId="77777777" w:rsidR="00316DF8" w:rsidRPr="0092419E" w:rsidRDefault="00316DF8" w:rsidP="00D57958">
            <w:pPr>
              <w:spacing w:after="0" w:line="240" w:lineRule="auto"/>
              <w:jc w:val="center"/>
              <w:rPr>
                <w:sz w:val="20"/>
                <w:szCs w:val="20"/>
              </w:rPr>
            </w:pPr>
            <w:r w:rsidRPr="0092419E">
              <w:rPr>
                <w:sz w:val="20"/>
                <w:szCs w:val="20"/>
              </w:rPr>
              <w:t>-4.7%</w:t>
            </w:r>
          </w:p>
        </w:tc>
      </w:tr>
    </w:tbl>
    <w:p w14:paraId="0C72449C" w14:textId="268F5555" w:rsidR="00316DF8" w:rsidRDefault="00316DF8" w:rsidP="00B0152E">
      <w:pPr>
        <w:pStyle w:val="Normal0"/>
        <w:spacing w:after="0" w:line="276" w:lineRule="auto"/>
        <w:jc w:val="both"/>
        <w:rPr>
          <w:b/>
        </w:rPr>
      </w:pPr>
      <w:r>
        <w:rPr>
          <w:i/>
          <w:sz w:val="20"/>
          <w:szCs w:val="20"/>
        </w:rPr>
        <w:t xml:space="preserve">Source: </w:t>
      </w:r>
      <w:r w:rsidRPr="00144E9C">
        <w:rPr>
          <w:iCs/>
          <w:sz w:val="20"/>
          <w:szCs w:val="20"/>
        </w:rPr>
        <w:t>SOW 2005-2015</w:t>
      </w:r>
    </w:p>
    <w:p w14:paraId="62941D51" w14:textId="77777777" w:rsidR="00316DF8" w:rsidRDefault="00316DF8" w:rsidP="00B0152E">
      <w:pPr>
        <w:pStyle w:val="Normal0"/>
        <w:spacing w:after="0" w:line="276" w:lineRule="auto"/>
        <w:jc w:val="both"/>
        <w:rPr>
          <w:b/>
        </w:rPr>
      </w:pPr>
    </w:p>
    <w:p w14:paraId="244F97E4" w14:textId="20479C61" w:rsidR="001010EF" w:rsidRDefault="00B0152E" w:rsidP="001010EF">
      <w:pPr>
        <w:pStyle w:val="Normal0"/>
        <w:numPr>
          <w:ilvl w:val="0"/>
          <w:numId w:val="21"/>
        </w:numPr>
        <w:spacing w:after="240" w:line="276" w:lineRule="auto"/>
        <w:ind w:left="0" w:firstLine="0"/>
        <w:jc w:val="both"/>
      </w:pPr>
      <w:r>
        <w:rPr>
          <w:b/>
        </w:rPr>
        <w:t>T</w:t>
      </w:r>
      <w:r w:rsidR="008072AA">
        <w:rPr>
          <w:b/>
        </w:rPr>
        <w:t xml:space="preserve">he </w:t>
      </w:r>
      <w:r>
        <w:rPr>
          <w:b/>
        </w:rPr>
        <w:t xml:space="preserve">wage </w:t>
      </w:r>
      <w:r w:rsidR="0073278F" w:rsidRPr="00E81ADC">
        <w:rPr>
          <w:b/>
        </w:rPr>
        <w:t xml:space="preserve">premium for </w:t>
      </w:r>
      <w:r w:rsidR="008072AA">
        <w:rPr>
          <w:b/>
        </w:rPr>
        <w:t xml:space="preserve">mixed </w:t>
      </w:r>
      <w:r w:rsidR="0073278F" w:rsidRPr="00E81ADC">
        <w:rPr>
          <w:b/>
        </w:rPr>
        <w:t xml:space="preserve">SOEs varies by firm size and is larger in small and medium-sized </w:t>
      </w:r>
      <w:r w:rsidR="008072AA">
        <w:rPr>
          <w:b/>
        </w:rPr>
        <w:t>companies</w:t>
      </w:r>
      <w:r w:rsidR="008072AA" w:rsidRPr="006B7118">
        <w:rPr>
          <w:b/>
        </w:rPr>
        <w:t xml:space="preserve"> </w:t>
      </w:r>
      <w:r w:rsidR="0073278F" w:rsidRPr="006B7118">
        <w:rPr>
          <w:b/>
        </w:rPr>
        <w:t>(</w:t>
      </w:r>
      <w:r w:rsidR="006B7118" w:rsidRPr="006B7118">
        <w:rPr>
          <w:b/>
        </w:rPr>
        <w:fldChar w:fldCharType="begin"/>
      </w:r>
      <w:r w:rsidR="006B7118" w:rsidRPr="006B7118">
        <w:rPr>
          <w:b/>
        </w:rPr>
        <w:instrText xml:space="preserve"> REF _Ref7596489 \h  \* MERGEFORMAT </w:instrText>
      </w:r>
      <w:r w:rsidR="006B7118" w:rsidRPr="006B7118">
        <w:rPr>
          <w:b/>
        </w:rPr>
      </w:r>
      <w:r w:rsidR="006B7118" w:rsidRPr="006B7118">
        <w:rPr>
          <w:b/>
        </w:rPr>
        <w:fldChar w:fldCharType="separate"/>
      </w:r>
      <w:r w:rsidR="006B7118" w:rsidRPr="006B7118">
        <w:rPr>
          <w:b/>
        </w:rPr>
        <w:t xml:space="preserve">Figure 3. </w:t>
      </w:r>
      <w:r w:rsidR="006B7118" w:rsidRPr="006B7118">
        <w:rPr>
          <w:b/>
          <w:noProof/>
        </w:rPr>
        <w:t>3</w:t>
      </w:r>
      <w:r w:rsidR="006B7118" w:rsidRPr="006B7118">
        <w:rPr>
          <w:b/>
        </w:rPr>
        <w:fldChar w:fldCharType="end"/>
      </w:r>
      <w:r w:rsidR="0073278F" w:rsidRPr="006B7118">
        <w:rPr>
          <w:b/>
        </w:rPr>
        <w:t>).</w:t>
      </w:r>
      <w:r w:rsidR="0073278F">
        <w:t xml:space="preserve"> Using the Rosstat definition of firm size—small firms </w:t>
      </w:r>
      <w:r w:rsidR="001A0D91">
        <w:t xml:space="preserve">have </w:t>
      </w:r>
      <w:r w:rsidR="0073278F">
        <w:t>15</w:t>
      </w:r>
      <w:r w:rsidR="00043CC4">
        <w:t>-</w:t>
      </w:r>
      <w:r w:rsidR="0073278F">
        <w:t>100 employees, medium have 100</w:t>
      </w:r>
      <w:r w:rsidR="001A0D91">
        <w:t>-</w:t>
      </w:r>
      <w:r w:rsidR="0073278F">
        <w:t xml:space="preserve">250 employees, and large have more than 250 employees—we </w:t>
      </w:r>
      <w:r w:rsidR="004873C7">
        <w:t xml:space="preserve">replicate </w:t>
      </w:r>
      <w:r w:rsidR="00DE5908">
        <w:t xml:space="preserve">the </w:t>
      </w:r>
      <w:r w:rsidR="00B248D9">
        <w:t xml:space="preserve">wage </w:t>
      </w:r>
      <w:r w:rsidR="00DE5908">
        <w:t xml:space="preserve">regression </w:t>
      </w:r>
      <w:r w:rsidR="004873C7">
        <w:t xml:space="preserve">from </w:t>
      </w:r>
      <w:r w:rsidR="00B248D9">
        <w:t>Table 3.1</w:t>
      </w:r>
      <w:r w:rsidR="00783CC3">
        <w:t>.</w:t>
      </w:r>
      <w:r w:rsidR="00EE67BA">
        <w:t xml:space="preserve">, </w:t>
      </w:r>
      <w:r w:rsidR="00674A48">
        <w:t xml:space="preserve">for each </w:t>
      </w:r>
      <w:r w:rsidR="00EE67BA">
        <w:t>size category</w:t>
      </w:r>
      <w:r w:rsidR="004873C7">
        <w:t>.</w:t>
      </w:r>
      <w:r w:rsidR="00DE5908">
        <w:t xml:space="preserve"> </w:t>
      </w:r>
      <w:r w:rsidR="00783CC3">
        <w:t>W</w:t>
      </w:r>
      <w:r w:rsidR="00DE5908">
        <w:t xml:space="preserve">e </w:t>
      </w:r>
      <w:r w:rsidR="0073278F">
        <w:t xml:space="preserve">find that </w:t>
      </w:r>
      <w:r w:rsidR="00BC0002">
        <w:t xml:space="preserve">the observed premium in mixed SOEs is driven by </w:t>
      </w:r>
      <w:r w:rsidR="0073278F">
        <w:t xml:space="preserve">small and medium </w:t>
      </w:r>
      <w:r w:rsidR="00BC0002">
        <w:t xml:space="preserve">sized companies. Controlling for worker and job characteristics, these firms </w:t>
      </w:r>
      <w:r w:rsidR="0073278F">
        <w:t xml:space="preserve">pay a wage premium of </w:t>
      </w:r>
      <w:r w:rsidR="0089254A">
        <w:t>4</w:t>
      </w:r>
      <w:r>
        <w:t xml:space="preserve"> to </w:t>
      </w:r>
      <w:r w:rsidR="0089254A">
        <w:t xml:space="preserve">9 </w:t>
      </w:r>
      <w:r w:rsidR="0073278F">
        <w:t xml:space="preserve">percent compared to the private sector. The wage penalty for fully state-owned SOEs is also smaller for these firms. </w:t>
      </w:r>
      <w:r w:rsidR="00D736C5">
        <w:t xml:space="preserve">(See </w:t>
      </w:r>
      <w:r w:rsidR="0089254A">
        <w:t xml:space="preserve">Annex B </w:t>
      </w:r>
      <w:r w:rsidR="00D736C5">
        <w:t xml:space="preserve">for regression </w:t>
      </w:r>
      <w:r w:rsidR="00043CC4">
        <w:t>results.</w:t>
      </w:r>
      <w:r w:rsidR="00D736C5">
        <w:t>)</w:t>
      </w:r>
      <w:r w:rsidR="0073278F">
        <w:t xml:space="preserve"> </w:t>
      </w:r>
      <w:r w:rsidR="0089254A">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9"/>
      </w:tblGrid>
      <w:tr w:rsidR="0073278F" w14:paraId="68D4ECC3" w14:textId="77777777" w:rsidTr="00397389">
        <w:tc>
          <w:tcPr>
            <w:tcW w:w="9389" w:type="dxa"/>
          </w:tcPr>
          <w:p w14:paraId="5361C525" w14:textId="3543FD60" w:rsidR="0073278F" w:rsidRDefault="001010EF" w:rsidP="001010EF">
            <w:pPr>
              <w:pStyle w:val="Figure"/>
            </w:pPr>
            <w:bookmarkStart w:id="60" w:name="_Ref7596489"/>
            <w:bookmarkStart w:id="61" w:name="_Toc11259344"/>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3</w:t>
            </w:r>
            <w:r w:rsidR="00D96C35">
              <w:rPr>
                <w:noProof/>
              </w:rPr>
              <w:fldChar w:fldCharType="end"/>
            </w:r>
            <w:bookmarkEnd w:id="60"/>
            <w:r>
              <w:t xml:space="preserve"> </w:t>
            </w:r>
            <w:r w:rsidR="0073278F">
              <w:t>The wage premium for SOEs varies by firm size</w:t>
            </w:r>
            <w:bookmarkEnd w:id="61"/>
          </w:p>
        </w:tc>
      </w:tr>
      <w:tr w:rsidR="0073278F" w14:paraId="51A68B4A" w14:textId="77777777" w:rsidTr="00397389">
        <w:tc>
          <w:tcPr>
            <w:tcW w:w="9389" w:type="dxa"/>
          </w:tcPr>
          <w:p w14:paraId="4B8BEA41" w14:textId="77777777" w:rsidR="0073278F" w:rsidRDefault="0073278F" w:rsidP="00DA1D13">
            <w:pPr>
              <w:spacing w:after="0" w:line="240" w:lineRule="auto"/>
              <w:jc w:val="center"/>
            </w:pPr>
            <w:r w:rsidRPr="00E81ADC">
              <w:rPr>
                <w:noProof/>
              </w:rPr>
              <w:drawing>
                <wp:inline distT="0" distB="0" distL="0" distR="0" wp14:anchorId="247253B8" wp14:editId="4986C319">
                  <wp:extent cx="5303111"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1762" cy="1835232"/>
                          </a:xfrm>
                          <a:prstGeom prst="rect">
                            <a:avLst/>
                          </a:prstGeom>
                          <a:noFill/>
                          <a:ln>
                            <a:noFill/>
                          </a:ln>
                        </pic:spPr>
                      </pic:pic>
                    </a:graphicData>
                  </a:graphic>
                </wp:inline>
              </w:drawing>
            </w:r>
          </w:p>
        </w:tc>
      </w:tr>
      <w:tr w:rsidR="0073278F" w14:paraId="487D7F9E" w14:textId="77777777" w:rsidTr="00397389">
        <w:tc>
          <w:tcPr>
            <w:tcW w:w="9389" w:type="dxa"/>
          </w:tcPr>
          <w:p w14:paraId="7D3A8140" w14:textId="77777777" w:rsidR="0073278F" w:rsidRPr="00E81ADC" w:rsidRDefault="0073278F" w:rsidP="00397389">
            <w:pPr>
              <w:keepNext/>
              <w:spacing w:after="0" w:line="240" w:lineRule="auto"/>
              <w:jc w:val="left"/>
              <w:rPr>
                <w:sz w:val="20"/>
                <w:szCs w:val="20"/>
              </w:rPr>
            </w:pPr>
            <w:r w:rsidRPr="00E81ADC">
              <w:rPr>
                <w:i/>
                <w:sz w:val="20"/>
                <w:szCs w:val="20"/>
              </w:rPr>
              <w:t>Source</w:t>
            </w:r>
            <w:r w:rsidRPr="00E81ADC">
              <w:rPr>
                <w:sz w:val="20"/>
                <w:szCs w:val="20"/>
              </w:rPr>
              <w:t>: SOW</w:t>
            </w:r>
          </w:p>
        </w:tc>
      </w:tr>
    </w:tbl>
    <w:p w14:paraId="1195A48C" w14:textId="77777777" w:rsidR="0073278F" w:rsidRDefault="0073278F" w:rsidP="0073278F">
      <w:pPr>
        <w:spacing w:after="160" w:line="259" w:lineRule="auto"/>
        <w:jc w:val="left"/>
      </w:pPr>
    </w:p>
    <w:p w14:paraId="1C249DED" w14:textId="4A505C3C" w:rsidR="00617D3C" w:rsidRPr="003F0BD0" w:rsidRDefault="0073278F" w:rsidP="0010520E">
      <w:pPr>
        <w:pStyle w:val="Normal0"/>
        <w:numPr>
          <w:ilvl w:val="0"/>
          <w:numId w:val="21"/>
        </w:numPr>
        <w:spacing w:after="240" w:line="276" w:lineRule="auto"/>
        <w:ind w:left="0" w:firstLine="0"/>
        <w:jc w:val="both"/>
      </w:pPr>
      <w:r>
        <w:rPr>
          <w:b/>
        </w:rPr>
        <w:t xml:space="preserve">SOE wage premiums are higher in more competitive industries. </w:t>
      </w:r>
      <w:r w:rsidR="003E55D7" w:rsidRPr="00F31FE4">
        <w:rPr>
          <w:rFonts w:cstheme="minorHAnsi"/>
          <w:color w:val="000000" w:themeColor="text1"/>
        </w:rPr>
        <w:t xml:space="preserve">We regressed log hourly wage on job ownership sector interacted with </w:t>
      </w:r>
      <w:r w:rsidR="003E55D7">
        <w:rPr>
          <w:rFonts w:cstheme="minorHAnsi"/>
          <w:color w:val="000000" w:themeColor="text1"/>
        </w:rPr>
        <w:t xml:space="preserve">a </w:t>
      </w:r>
      <w:r w:rsidR="00E42550">
        <w:rPr>
          <w:rFonts w:cstheme="minorHAnsi"/>
          <w:color w:val="000000" w:themeColor="text1"/>
        </w:rPr>
        <w:t xml:space="preserve">continuous </w:t>
      </w:r>
      <w:r w:rsidR="003E55D7">
        <w:rPr>
          <w:rFonts w:cstheme="minorHAnsi"/>
          <w:color w:val="000000" w:themeColor="text1"/>
        </w:rPr>
        <w:t xml:space="preserve">measure of </w:t>
      </w:r>
      <w:r w:rsidR="003E55D7" w:rsidRPr="00F31FE4">
        <w:rPr>
          <w:rFonts w:cstheme="minorHAnsi"/>
          <w:color w:val="000000" w:themeColor="text1"/>
        </w:rPr>
        <w:t>market concentration</w:t>
      </w:r>
      <w:r w:rsidR="003E55D7">
        <w:rPr>
          <w:rFonts w:cstheme="minorHAnsi"/>
          <w:color w:val="000000" w:themeColor="text1"/>
        </w:rPr>
        <w:t xml:space="preserve"> (sales share of the top four firms in an industry),</w:t>
      </w:r>
      <w:r w:rsidR="003E55D7">
        <w:rPr>
          <w:rStyle w:val="FootnoteReference"/>
          <w:rFonts w:cstheme="minorHAnsi"/>
          <w:color w:val="000000" w:themeColor="text1"/>
        </w:rPr>
        <w:footnoteReference w:id="23"/>
      </w:r>
      <w:r w:rsidR="003E55D7">
        <w:rPr>
          <w:rFonts w:cstheme="minorHAnsi"/>
          <w:color w:val="000000" w:themeColor="text1"/>
        </w:rPr>
        <w:t xml:space="preserve"> controlling for </w:t>
      </w:r>
      <w:r w:rsidR="003E55D7" w:rsidRPr="00F31FE4">
        <w:rPr>
          <w:rFonts w:cstheme="minorHAnsi"/>
          <w:color w:val="000000" w:themeColor="text1"/>
        </w:rPr>
        <w:t xml:space="preserve">worker </w:t>
      </w:r>
      <w:r w:rsidR="003E55D7">
        <w:rPr>
          <w:rFonts w:cstheme="minorHAnsi"/>
          <w:color w:val="000000" w:themeColor="text1"/>
        </w:rPr>
        <w:t xml:space="preserve">demographics, </w:t>
      </w:r>
      <w:r w:rsidR="003E55D7" w:rsidRPr="00F31FE4">
        <w:rPr>
          <w:rFonts w:cstheme="minorHAnsi"/>
          <w:color w:val="000000" w:themeColor="text1"/>
        </w:rPr>
        <w:t>occupation, firm size and region fixed effects.</w:t>
      </w:r>
      <w:r w:rsidR="000F5539">
        <w:rPr>
          <w:rFonts w:cstheme="minorHAnsi"/>
          <w:color w:val="000000" w:themeColor="text1"/>
        </w:rPr>
        <w:t xml:space="preserve"> The market concentration measure was derived from </w:t>
      </w:r>
      <w:r w:rsidR="007E47DD">
        <w:rPr>
          <w:rFonts w:cstheme="minorHAnsi"/>
          <w:color w:val="000000" w:themeColor="text1"/>
        </w:rPr>
        <w:t>the Ruslana</w:t>
      </w:r>
      <w:r w:rsidR="003E55D7" w:rsidRPr="00F31FE4">
        <w:rPr>
          <w:rFonts w:cstheme="minorHAnsi"/>
          <w:color w:val="000000" w:themeColor="text1"/>
        </w:rPr>
        <w:t xml:space="preserve"> </w:t>
      </w:r>
      <w:r w:rsidR="007E47DD">
        <w:rPr>
          <w:rFonts w:cstheme="minorHAnsi"/>
          <w:color w:val="000000" w:themeColor="text1"/>
        </w:rPr>
        <w:t xml:space="preserve">dataset, </w:t>
      </w:r>
      <w:r w:rsidR="00AF6629">
        <w:rPr>
          <w:rFonts w:cstheme="minorHAnsi"/>
          <w:color w:val="000000" w:themeColor="text1"/>
        </w:rPr>
        <w:t xml:space="preserve">based on </w:t>
      </w:r>
      <w:r w:rsidR="004A2B13">
        <w:rPr>
          <w:rFonts w:cstheme="minorHAnsi"/>
          <w:color w:val="000000" w:themeColor="text1"/>
        </w:rPr>
        <w:t>all firms (</w:t>
      </w:r>
      <w:r w:rsidR="007E47DD">
        <w:rPr>
          <w:rFonts w:cstheme="minorHAnsi"/>
          <w:color w:val="000000" w:themeColor="text1"/>
        </w:rPr>
        <w:t>almost 2 million</w:t>
      </w:r>
      <w:r w:rsidR="004A2B13">
        <w:rPr>
          <w:rFonts w:cstheme="minorHAnsi"/>
          <w:color w:val="000000" w:themeColor="text1"/>
        </w:rPr>
        <w:t>)</w:t>
      </w:r>
      <w:r w:rsidR="007E47DD">
        <w:rPr>
          <w:rFonts w:cstheme="minorHAnsi"/>
          <w:color w:val="000000" w:themeColor="text1"/>
        </w:rPr>
        <w:t xml:space="preserve"> </w:t>
      </w:r>
      <w:r w:rsidR="00AF6629">
        <w:rPr>
          <w:rFonts w:cstheme="minorHAnsi"/>
          <w:color w:val="000000" w:themeColor="text1"/>
        </w:rPr>
        <w:t xml:space="preserve">for which industry and </w:t>
      </w:r>
      <w:r w:rsidR="00B76B96">
        <w:rPr>
          <w:rFonts w:cstheme="minorHAnsi"/>
          <w:color w:val="000000" w:themeColor="text1"/>
        </w:rPr>
        <w:t>sales data was available for 2018</w:t>
      </w:r>
      <w:r w:rsidR="00930227">
        <w:rPr>
          <w:rFonts w:cstheme="minorHAnsi"/>
          <w:color w:val="000000" w:themeColor="text1"/>
        </w:rPr>
        <w:t xml:space="preserve"> or latest year. </w:t>
      </w:r>
      <w:r w:rsidR="007E47DD">
        <w:rPr>
          <w:rFonts w:cstheme="minorHAnsi"/>
          <w:color w:val="000000" w:themeColor="text1"/>
        </w:rPr>
        <w:t>(</w:t>
      </w:r>
      <w:r w:rsidR="00690424">
        <w:rPr>
          <w:rFonts w:cstheme="minorHAnsi"/>
          <w:color w:val="000000" w:themeColor="text1"/>
        </w:rPr>
        <w:t xml:space="preserve">See Annex B for </w:t>
      </w:r>
      <w:r w:rsidR="007E47DD">
        <w:rPr>
          <w:rFonts w:cstheme="minorHAnsi"/>
          <w:color w:val="000000" w:themeColor="text1"/>
        </w:rPr>
        <w:t xml:space="preserve">table with estimated top-four market shares </w:t>
      </w:r>
      <w:r w:rsidR="00690424">
        <w:rPr>
          <w:rFonts w:cstheme="minorHAnsi"/>
          <w:color w:val="000000" w:themeColor="text1"/>
        </w:rPr>
        <w:t>by industry</w:t>
      </w:r>
      <w:r w:rsidR="007E47DD">
        <w:rPr>
          <w:rFonts w:cstheme="minorHAnsi"/>
          <w:color w:val="000000" w:themeColor="text1"/>
        </w:rPr>
        <w:t xml:space="preserve">.) </w:t>
      </w:r>
      <w:r w:rsidR="006B7118">
        <w:rPr>
          <w:b/>
        </w:rPr>
        <w:fldChar w:fldCharType="begin"/>
      </w:r>
      <w:r w:rsidR="006B7118">
        <w:rPr>
          <w:rFonts w:cstheme="minorHAnsi"/>
          <w:color w:val="000000" w:themeColor="text1"/>
        </w:rPr>
        <w:instrText xml:space="preserve"> REF _Ref9378587 \h </w:instrText>
      </w:r>
      <w:r w:rsidR="006B7118">
        <w:rPr>
          <w:b/>
        </w:rPr>
      </w:r>
      <w:r w:rsidR="006B7118">
        <w:rPr>
          <w:b/>
        </w:rPr>
        <w:fldChar w:fldCharType="separate"/>
      </w:r>
      <w:r w:rsidR="006B7118">
        <w:t xml:space="preserve">Figure 3. </w:t>
      </w:r>
      <w:r w:rsidR="006B7118">
        <w:rPr>
          <w:noProof/>
        </w:rPr>
        <w:t>4</w:t>
      </w:r>
      <w:r w:rsidR="006B7118">
        <w:rPr>
          <w:b/>
        </w:rPr>
        <w:fldChar w:fldCharType="end"/>
      </w:r>
      <w:r w:rsidR="006B7118">
        <w:rPr>
          <w:b/>
        </w:rPr>
        <w:t xml:space="preserve"> </w:t>
      </w:r>
      <w:r>
        <w:t xml:space="preserve">shows how the wage premium varies by market concentration. While fully state-owned SOEs have an overall wage penalty, they pay a wage premium </w:t>
      </w:r>
      <w:r w:rsidR="005B7F6D">
        <w:t xml:space="preserve">in competitive </w:t>
      </w:r>
      <w:r w:rsidR="004916E1">
        <w:t>industries</w:t>
      </w:r>
      <w:r w:rsidR="00907631">
        <w:t xml:space="preserve">, </w:t>
      </w:r>
      <w:r w:rsidR="004916E1">
        <w:t xml:space="preserve">with </w:t>
      </w:r>
      <w:r>
        <w:t xml:space="preserve">up to 9 percent market concentration; and mixed SOEs pay a premium </w:t>
      </w:r>
      <w:r w:rsidR="006D23F0">
        <w:t xml:space="preserve">in markets with up </w:t>
      </w:r>
      <w:r>
        <w:t xml:space="preserve">to 33 percent market concentration. </w:t>
      </w:r>
      <w:r w:rsidR="00EA0F67">
        <w:t xml:space="preserve">This finding is </w:t>
      </w:r>
      <w:r w:rsidR="008D376A">
        <w:t xml:space="preserve">in line with </w:t>
      </w:r>
      <w:r w:rsidR="006E5367">
        <w:t xml:space="preserve">standard </w:t>
      </w:r>
      <w:r w:rsidR="008D376A">
        <w:t>prediction</w:t>
      </w:r>
      <w:r w:rsidR="00AC5FED">
        <w:t>s</w:t>
      </w:r>
      <w:r w:rsidR="008D376A">
        <w:t xml:space="preserve"> of economics theory</w:t>
      </w:r>
      <w:r w:rsidR="00512880">
        <w:t xml:space="preserve">, </w:t>
      </w:r>
      <w:r w:rsidR="00EA0F67">
        <w:t xml:space="preserve">that in competitive settings </w:t>
      </w:r>
      <w:r w:rsidR="00512880">
        <w:t xml:space="preserve">firms </w:t>
      </w:r>
      <w:r w:rsidR="00EA0F67">
        <w:t xml:space="preserve">raise wages to attract </w:t>
      </w:r>
      <w:r w:rsidR="00AC5FED">
        <w:t>good workers</w:t>
      </w:r>
      <w:r w:rsidR="00A517B7">
        <w:t xml:space="preserve">. It also </w:t>
      </w:r>
      <w:r w:rsidR="00DD1AC3">
        <w:t xml:space="preserve">shows that SOE compensation practices are most </w:t>
      </w:r>
      <w:r w:rsidR="00A517B7">
        <w:t>distortion</w:t>
      </w:r>
      <w:r w:rsidR="00DD1AC3">
        <w:t xml:space="preserve">ary in settings where </w:t>
      </w:r>
      <w:r w:rsidR="0085692E">
        <w:t xml:space="preserve">other firms are competing on the lowest profit margins and therefore </w:t>
      </w:r>
      <w:r w:rsidR="00C576F1">
        <w:t xml:space="preserve">least able to </w:t>
      </w:r>
      <w:r w:rsidR="00990CEE">
        <w:t xml:space="preserve">counter </w:t>
      </w:r>
      <w:r w:rsidR="00C576F1">
        <w:t>SOEs’ above-market wage rates</w:t>
      </w:r>
      <w:r w:rsidR="00DD1AC3">
        <w:t>.</w:t>
      </w:r>
      <w:r w:rsidR="00A517B7">
        <w:t xml:space="preserve"> </w:t>
      </w:r>
      <w:r w:rsidR="00617D3C">
        <w:rPr>
          <w:rFonts w:cstheme="minorHAnsi"/>
          <w:color w:val="000000" w:themeColor="text1"/>
        </w:rPr>
        <w:t>S</w:t>
      </w:r>
      <w:r w:rsidR="00617D3C" w:rsidRPr="00F31FE4">
        <w:rPr>
          <w:rFonts w:cstheme="minorHAnsi"/>
          <w:color w:val="000000" w:themeColor="text1"/>
        </w:rPr>
        <w:t xml:space="preserve">ee Annex 2 for </w:t>
      </w:r>
      <w:r w:rsidR="00617D3C">
        <w:rPr>
          <w:rFonts w:cstheme="minorHAnsi"/>
          <w:color w:val="000000" w:themeColor="text1"/>
        </w:rPr>
        <w:t xml:space="preserve">detailed </w:t>
      </w:r>
      <w:r w:rsidR="00617D3C" w:rsidRPr="00F31FE4">
        <w:rPr>
          <w:rFonts w:cstheme="minorHAnsi"/>
          <w:color w:val="000000" w:themeColor="text1"/>
        </w:rPr>
        <w:t xml:space="preserve">regression </w:t>
      </w:r>
      <w:r w:rsidR="00617D3C">
        <w:rPr>
          <w:rFonts w:cstheme="minorHAnsi"/>
          <w:color w:val="000000" w:themeColor="text1"/>
        </w:rPr>
        <w:t xml:space="preserve">results. </w:t>
      </w:r>
    </w:p>
    <w:p w14:paraId="6C43CBFF" w14:textId="44B5E18A" w:rsidR="003F0BD0" w:rsidRPr="008D1D47" w:rsidRDefault="003F0BD0" w:rsidP="00A20698">
      <w:pPr>
        <w:pStyle w:val="Figure"/>
        <w:rPr>
          <w:bCs/>
        </w:rPr>
      </w:pPr>
      <w:bookmarkStart w:id="62" w:name="_Ref9378587"/>
      <w:bookmarkStart w:id="63" w:name="_Toc11259345"/>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4</w:t>
      </w:r>
      <w:r w:rsidR="00D96C35">
        <w:rPr>
          <w:noProof/>
        </w:rPr>
        <w:fldChar w:fldCharType="end"/>
      </w:r>
      <w:bookmarkEnd w:id="62"/>
      <w:r>
        <w:t xml:space="preserve"> </w:t>
      </w:r>
      <w:r w:rsidRPr="008D1D47">
        <w:rPr>
          <w:bCs/>
          <w:noProof/>
        </w:rPr>
        <w:t>SOEs pay a higher wage premium in more competitive industries</w:t>
      </w:r>
      <w:r>
        <w:rPr>
          <w:rStyle w:val="FootnoteReference"/>
          <w:bCs/>
          <w:noProof/>
        </w:rPr>
        <w:footnoteReference w:id="24"/>
      </w:r>
      <w:bookmarkEnd w:id="63"/>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tblGrid>
      <w:tr w:rsidR="003F0BD0" w14:paraId="18022095" w14:textId="77777777" w:rsidTr="00E7695F">
        <w:trPr>
          <w:trHeight w:val="5447"/>
          <w:jc w:val="center"/>
        </w:trPr>
        <w:tc>
          <w:tcPr>
            <w:tcW w:w="6696" w:type="dxa"/>
          </w:tcPr>
          <w:p w14:paraId="7FF5E93F" w14:textId="77777777" w:rsidR="003F0BD0" w:rsidRDefault="003F0BD0" w:rsidP="00E7695F">
            <w:pPr>
              <w:spacing w:after="0" w:line="240" w:lineRule="auto"/>
            </w:pPr>
            <w:r>
              <w:rPr>
                <w:noProof/>
              </w:rPr>
              <w:drawing>
                <wp:inline distT="0" distB="0" distL="0" distR="0" wp14:anchorId="7470E853" wp14:editId="50980DDC">
                  <wp:extent cx="4798378" cy="39909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7770" cy="4007104"/>
                          </a:xfrm>
                          <a:prstGeom prst="rect">
                            <a:avLst/>
                          </a:prstGeom>
                          <a:noFill/>
                        </pic:spPr>
                      </pic:pic>
                    </a:graphicData>
                  </a:graphic>
                </wp:inline>
              </w:drawing>
            </w:r>
          </w:p>
        </w:tc>
      </w:tr>
      <w:tr w:rsidR="003F0BD0" w14:paraId="7674A87E" w14:textId="77777777" w:rsidTr="00E7695F">
        <w:trPr>
          <w:trHeight w:val="184"/>
          <w:jc w:val="center"/>
        </w:trPr>
        <w:tc>
          <w:tcPr>
            <w:tcW w:w="6696" w:type="dxa"/>
          </w:tcPr>
          <w:p w14:paraId="24A8B000" w14:textId="0454ED59" w:rsidR="003F0BD0" w:rsidRDefault="003F0BD0" w:rsidP="00E7695F">
            <w:pPr>
              <w:spacing w:after="0" w:line="240" w:lineRule="auto"/>
              <w:contextualSpacing/>
              <w:jc w:val="left"/>
            </w:pPr>
            <w:r w:rsidRPr="009225D4">
              <w:rPr>
                <w:b/>
                <w:bCs/>
                <w:i/>
                <w:sz w:val="18"/>
                <w:szCs w:val="18"/>
              </w:rPr>
              <w:t>Source</w:t>
            </w:r>
            <w:r w:rsidRPr="005E4182">
              <w:rPr>
                <w:b/>
                <w:bCs/>
              </w:rPr>
              <w:t xml:space="preserve">: </w:t>
            </w:r>
            <w:r w:rsidRPr="009225D4">
              <w:rPr>
                <w:sz w:val="18"/>
                <w:szCs w:val="18"/>
              </w:rPr>
              <w:t>SOW 2015 (wage gaps), Ruslana 2018 (market concentration)</w:t>
            </w:r>
          </w:p>
        </w:tc>
      </w:tr>
    </w:tbl>
    <w:p w14:paraId="31EE0F63" w14:textId="62D6E64D" w:rsidR="003F0BD0" w:rsidRDefault="0010520E" w:rsidP="004C4A82">
      <w:pPr>
        <w:pStyle w:val="Normal0"/>
        <w:numPr>
          <w:ilvl w:val="0"/>
          <w:numId w:val="21"/>
        </w:numPr>
        <w:spacing w:after="240" w:line="276" w:lineRule="auto"/>
        <w:ind w:left="0" w:firstLine="0"/>
        <w:jc w:val="both"/>
      </w:pPr>
      <w:r w:rsidRPr="003F0BD0">
        <w:rPr>
          <w:b/>
          <w:bCs/>
        </w:rPr>
        <w:t>We find a similar pattern when analyzing the premiums across industries</w:t>
      </w:r>
      <w:r w:rsidR="00252B0B">
        <w:t xml:space="preserve">. Mixed SOEs </w:t>
      </w:r>
      <w:r w:rsidR="000309E1">
        <w:t>pay a positive wage premium in almost all industry sectors</w:t>
      </w:r>
      <w:r w:rsidR="00F32B89">
        <w:t xml:space="preserve">, </w:t>
      </w:r>
      <w:r w:rsidR="00B72B4A">
        <w:t>and</w:t>
      </w:r>
      <w:r w:rsidR="00F32B89">
        <w:t xml:space="preserve"> especially in competitive industries </w:t>
      </w:r>
      <w:r w:rsidRPr="00FF7A67">
        <w:t xml:space="preserve">like trade, hospitality, </w:t>
      </w:r>
      <w:r w:rsidR="000121D3">
        <w:t>real estate</w:t>
      </w:r>
      <w:r w:rsidRPr="00FF7A67">
        <w:t>, and construction</w:t>
      </w:r>
      <w:r w:rsidR="00F32B89">
        <w:t>.</w:t>
      </w:r>
      <w:r w:rsidR="00851E59">
        <w:t xml:space="preserve"> </w:t>
      </w:r>
      <w:r w:rsidR="00F32B89">
        <w:t xml:space="preserve">They pay </w:t>
      </w:r>
      <w:r w:rsidR="00385FA9">
        <w:t>a</w:t>
      </w:r>
      <w:r w:rsidR="00851E59">
        <w:t xml:space="preserve"> more modest premiums in manufacturing and public utilities</w:t>
      </w:r>
      <w:r w:rsidR="00385FA9">
        <w:t>, and a small wage penalty in mining and transport and communications</w:t>
      </w:r>
      <w:r>
        <w:t xml:space="preserve"> (</w:t>
      </w:r>
      <w:r w:rsidR="0061528E">
        <w:fldChar w:fldCharType="begin"/>
      </w:r>
      <w:r w:rsidR="0061528E">
        <w:instrText xml:space="preserve"> REF _Ref7598943 \h </w:instrText>
      </w:r>
      <w:r w:rsidR="0061528E">
        <w:fldChar w:fldCharType="separate"/>
      </w:r>
      <w:r w:rsidR="0061528E">
        <w:t xml:space="preserve">Figure 3. </w:t>
      </w:r>
      <w:r w:rsidR="0061528E">
        <w:rPr>
          <w:noProof/>
        </w:rPr>
        <w:t>5</w:t>
      </w:r>
      <w:r w:rsidR="0061528E">
        <w:fldChar w:fldCharType="end"/>
      </w:r>
      <w:r>
        <w:t xml:space="preserve">). For fully state-owned SOEs, the wage gaps are </w:t>
      </w:r>
      <w:r w:rsidR="00F32B89">
        <w:t xml:space="preserve">also </w:t>
      </w:r>
      <w:r w:rsidR="00B72181">
        <w:t>positive in competitive industries like</w:t>
      </w:r>
      <w:r w:rsidR="000604E9">
        <w:t xml:space="preserve"> trade and construction, </w:t>
      </w:r>
      <w:r w:rsidR="00B72181">
        <w:t xml:space="preserve">but negative in the rest, and </w:t>
      </w:r>
      <w:r>
        <w:t xml:space="preserve">significantly negative in electricity and </w:t>
      </w:r>
      <w:r w:rsidR="000604E9">
        <w:t>real estate</w:t>
      </w:r>
      <w: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9"/>
      </w:tblGrid>
      <w:tr w:rsidR="0073278F" w14:paraId="04F67F47" w14:textId="77777777" w:rsidTr="00397389">
        <w:tc>
          <w:tcPr>
            <w:tcW w:w="9389" w:type="dxa"/>
          </w:tcPr>
          <w:p w14:paraId="3150D48A" w14:textId="078D621C" w:rsidR="0073278F" w:rsidRDefault="005E3171" w:rsidP="005E3171">
            <w:pPr>
              <w:pStyle w:val="Figure"/>
            </w:pPr>
            <w:bookmarkStart w:id="64" w:name="_Ref7598943"/>
            <w:bookmarkStart w:id="65" w:name="_Toc11259346"/>
            <w:bookmarkStart w:id="66" w:name="_Hlk7695918"/>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5</w:t>
            </w:r>
            <w:r w:rsidR="00D96C35">
              <w:rPr>
                <w:noProof/>
              </w:rPr>
              <w:fldChar w:fldCharType="end"/>
            </w:r>
            <w:bookmarkEnd w:id="64"/>
            <w:r>
              <w:t xml:space="preserve"> </w:t>
            </w:r>
            <w:r w:rsidR="0073278F">
              <w:t>The wage premium for SOEs varies across industries</w:t>
            </w:r>
            <w:bookmarkEnd w:id="65"/>
          </w:p>
        </w:tc>
      </w:tr>
      <w:tr w:rsidR="0073278F" w14:paraId="08E72BEA" w14:textId="77777777" w:rsidTr="00397389">
        <w:tc>
          <w:tcPr>
            <w:tcW w:w="9389" w:type="dxa"/>
          </w:tcPr>
          <w:p w14:paraId="7F7D670C" w14:textId="77777777" w:rsidR="0073278F" w:rsidRDefault="0073278F" w:rsidP="002B2761">
            <w:pPr>
              <w:spacing w:after="0" w:line="240" w:lineRule="auto"/>
              <w:jc w:val="center"/>
            </w:pPr>
            <w:r w:rsidRPr="00576F42">
              <w:rPr>
                <w:rFonts w:ascii="Times New Roman" w:hAnsi="Times New Roman" w:cs="Times New Roman"/>
                <w:b/>
                <w:noProof/>
                <w:color w:val="000000" w:themeColor="text1"/>
                <w:sz w:val="24"/>
                <w:szCs w:val="24"/>
              </w:rPr>
              <w:drawing>
                <wp:inline distT="0" distB="0" distL="0" distR="0" wp14:anchorId="6130069B" wp14:editId="04CEED3E">
                  <wp:extent cx="4562475" cy="335938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589" t="4073" r="2571" b="3513"/>
                          <a:stretch/>
                        </pic:blipFill>
                        <pic:spPr bwMode="auto">
                          <a:xfrm>
                            <a:off x="0" y="0"/>
                            <a:ext cx="4568425" cy="33637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278F" w14:paraId="50109ADF" w14:textId="77777777" w:rsidTr="00397389">
        <w:tc>
          <w:tcPr>
            <w:tcW w:w="9389" w:type="dxa"/>
          </w:tcPr>
          <w:p w14:paraId="278C6522" w14:textId="77777777" w:rsidR="0073278F" w:rsidRPr="00E81ADC" w:rsidRDefault="0073278F" w:rsidP="002B2761">
            <w:pPr>
              <w:keepNext/>
              <w:spacing w:after="0" w:line="240" w:lineRule="auto"/>
              <w:ind w:left="525"/>
              <w:jc w:val="left"/>
              <w:rPr>
                <w:sz w:val="20"/>
                <w:szCs w:val="20"/>
              </w:rPr>
            </w:pPr>
            <w:r w:rsidRPr="00E81ADC">
              <w:rPr>
                <w:i/>
                <w:sz w:val="20"/>
                <w:szCs w:val="20"/>
              </w:rPr>
              <w:t>Source</w:t>
            </w:r>
            <w:r w:rsidRPr="00E81ADC">
              <w:rPr>
                <w:sz w:val="20"/>
                <w:szCs w:val="20"/>
              </w:rPr>
              <w:t>: SOW</w:t>
            </w:r>
          </w:p>
        </w:tc>
      </w:tr>
      <w:bookmarkEnd w:id="66"/>
    </w:tbl>
    <w:p w14:paraId="28124ED4" w14:textId="77777777" w:rsidR="0073278F" w:rsidRDefault="0073278F" w:rsidP="0073278F">
      <w:pPr>
        <w:spacing w:after="160" w:line="259" w:lineRule="auto"/>
        <w:jc w:val="left"/>
      </w:pPr>
    </w:p>
    <w:p w14:paraId="694E0837" w14:textId="03972B64" w:rsidR="004C4A82" w:rsidRDefault="004C4A82" w:rsidP="004C4A82">
      <w:pPr>
        <w:pStyle w:val="Normal0"/>
        <w:numPr>
          <w:ilvl w:val="0"/>
          <w:numId w:val="21"/>
        </w:numPr>
        <w:spacing w:after="240" w:line="276" w:lineRule="auto"/>
        <w:ind w:left="0" w:firstLine="0"/>
        <w:jc w:val="both"/>
      </w:pPr>
      <w:r w:rsidRPr="002D41EB">
        <w:rPr>
          <w:b/>
          <w:bCs/>
        </w:rPr>
        <w:t>A more nuanced picture emerges when we disaggregate the industry</w:t>
      </w:r>
      <w:r>
        <w:rPr>
          <w:b/>
          <w:bCs/>
        </w:rPr>
        <w:t>-level analyses</w:t>
      </w:r>
      <w:r w:rsidRPr="002D41EB">
        <w:rPr>
          <w:b/>
          <w:bCs/>
        </w:rPr>
        <w:t xml:space="preserve"> by firm size</w:t>
      </w:r>
      <w:r>
        <w:t>.  Medium sized SOEs—both mixed and state—have larger wage premia</w:t>
      </w:r>
      <w:r w:rsidR="00357EA4">
        <w:t xml:space="preserve">, including </w:t>
      </w:r>
      <w:r w:rsidR="00641562">
        <w:t xml:space="preserve">in some industries </w:t>
      </w:r>
      <w:r w:rsidR="00357EA4">
        <w:t xml:space="preserve">where the mixed and state SOEs overall have </w:t>
      </w:r>
      <w:r w:rsidR="00641562">
        <w:t>wage penalties</w:t>
      </w:r>
      <w:r>
        <w:t xml:space="preserve">. For example, for fully state-owned companies, the overall negative wage gaps in mining and manufacturing sectors </w:t>
      </w:r>
      <w:r w:rsidR="00412FBC">
        <w:t xml:space="preserve">reported in </w:t>
      </w:r>
      <w:r w:rsidR="00412FBC">
        <w:fldChar w:fldCharType="begin"/>
      </w:r>
      <w:r w:rsidR="00412FBC">
        <w:instrText xml:space="preserve"> REF _Ref7598943 \h </w:instrText>
      </w:r>
      <w:r w:rsidR="00412FBC">
        <w:fldChar w:fldCharType="separate"/>
      </w:r>
      <w:r w:rsidR="00412FBC">
        <w:t xml:space="preserve">Figure 3. </w:t>
      </w:r>
      <w:r w:rsidR="00412FBC">
        <w:rPr>
          <w:noProof/>
        </w:rPr>
        <w:t>5</w:t>
      </w:r>
      <w:r w:rsidR="00412FBC">
        <w:fldChar w:fldCharType="end"/>
      </w:r>
      <w:r w:rsidR="00412FBC">
        <w:t xml:space="preserve"> </w:t>
      </w:r>
      <w:r>
        <w:t xml:space="preserve">turn positive and the small </w:t>
      </w:r>
      <w:r w:rsidR="009E3047">
        <w:t>premium</w:t>
      </w:r>
      <w:r>
        <w:t xml:space="preserve"> in the construction sector </w:t>
      </w:r>
      <w:r w:rsidR="007F540F">
        <w:t xml:space="preserve">grows </w:t>
      </w:r>
      <w:r w:rsidR="000E42B8">
        <w:t xml:space="preserve">six-fold </w:t>
      </w:r>
      <w:r>
        <w:t xml:space="preserve">when we limit our analysis to medium sized firms. Similarly, for mixed SOEs, the overall negative wage gap in the mining and transport sectors reported earlier turns positive when we focus on medium-sized firms. Overall, these analyses support our previous finding about a strong correlation between size and wage premia independent of industry or SOE type, and it would be important for future research to unpack and explain this result. For detailed regression results see Annex B. </w:t>
      </w:r>
    </w:p>
    <w:p w14:paraId="7009B7BD" w14:textId="11E9C13E" w:rsidR="00F311E6" w:rsidRDefault="007226AA" w:rsidP="00440517">
      <w:pPr>
        <w:pStyle w:val="Normal0"/>
        <w:numPr>
          <w:ilvl w:val="0"/>
          <w:numId w:val="21"/>
        </w:numPr>
        <w:spacing w:after="240" w:line="276" w:lineRule="auto"/>
        <w:ind w:left="0" w:firstLine="0"/>
        <w:jc w:val="both"/>
      </w:pPr>
      <w:r>
        <w:rPr>
          <w:b/>
        </w:rPr>
        <w:t xml:space="preserve">Finally, there </w:t>
      </w:r>
      <w:r w:rsidR="0073278F" w:rsidRPr="00153C9E">
        <w:rPr>
          <w:b/>
        </w:rPr>
        <w:t>is significant regional heterogeneity in the wage premium, with the premia higher in regions with more concentrated labor markets.</w:t>
      </w:r>
      <w:r w:rsidR="0073278F">
        <w:t xml:space="preserve"> Russia has high regional variation in the structure of its labor markets, and it’s not surprising that the size of the wage premium also differs across the regions. Approximately two-thirds of the regions have a positive wage premium for mixed SOEs, ranging from a high of 30 percent to a low of -20 percent (</w:t>
      </w:r>
      <w:r w:rsidR="0061528E">
        <w:fldChar w:fldCharType="begin"/>
      </w:r>
      <w:r w:rsidR="0061528E">
        <w:instrText xml:space="preserve"> REF _Ref9378638 \h </w:instrText>
      </w:r>
      <w:r w:rsidR="0061528E">
        <w:fldChar w:fldCharType="separate"/>
      </w:r>
      <w:r w:rsidR="00BC12EB">
        <w:t xml:space="preserve">Figure 3. </w:t>
      </w:r>
      <w:r w:rsidR="00BC12EB">
        <w:rPr>
          <w:noProof/>
        </w:rPr>
        <w:t>6</w:t>
      </w:r>
      <w:r w:rsidR="0061528E">
        <w:fldChar w:fldCharType="end"/>
      </w:r>
      <w:r w:rsidR="0073278F">
        <w:t xml:space="preserve">). There is no association between a region’s level of economic development (per capita gross regional product (GRP) or GRP growth rate) and the wage premium, or any clear regional patterns except that the premium is higher in the Far East and more negative in the southern regions. There is a correlation between the size of the SOE sector and the wage premium, with the premia higher in regions with a higher share of SOE employment.   </w:t>
      </w:r>
    </w:p>
    <w:p w14:paraId="6CB1CC28" w14:textId="0462AC25" w:rsidR="000C078A" w:rsidRDefault="000C078A" w:rsidP="000C078A">
      <w:pPr>
        <w:pStyle w:val="Figure"/>
      </w:pPr>
      <w:bookmarkStart w:id="67" w:name="_Ref9378638"/>
      <w:bookmarkStart w:id="68" w:name="_Toc11259347"/>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6</w:t>
      </w:r>
      <w:r w:rsidR="00D96C35">
        <w:rPr>
          <w:noProof/>
        </w:rPr>
        <w:fldChar w:fldCharType="end"/>
      </w:r>
      <w:bookmarkEnd w:id="67"/>
      <w:r>
        <w:t xml:space="preserve"> The wage premium for mixed SOEs varies across regions</w:t>
      </w:r>
      <w:bookmarkEnd w:id="68"/>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9"/>
      </w:tblGrid>
      <w:tr w:rsidR="0073278F" w14:paraId="735DB4F5" w14:textId="77777777" w:rsidTr="000C078A">
        <w:tc>
          <w:tcPr>
            <w:tcW w:w="9399" w:type="dxa"/>
          </w:tcPr>
          <w:p w14:paraId="788076E2" w14:textId="77777777" w:rsidR="0073278F" w:rsidRDefault="0073278F" w:rsidP="00397389">
            <w:pPr>
              <w:spacing w:after="0" w:line="240" w:lineRule="auto"/>
              <w:jc w:val="left"/>
            </w:pPr>
            <w:r w:rsidRPr="007C1390">
              <w:rPr>
                <w:noProof/>
              </w:rPr>
              <w:drawing>
                <wp:inline distT="0" distB="0" distL="0" distR="0" wp14:anchorId="12C95521" wp14:editId="50D39899">
                  <wp:extent cx="5852160" cy="3459402"/>
                  <wp:effectExtent l="0" t="0" r="0" b="8255"/>
                  <wp:docPr id="235" name="Picture 6">
                    <a:extLst xmlns:a="http://schemas.openxmlformats.org/drawingml/2006/main">
                      <a:ext uri="{FF2B5EF4-FFF2-40B4-BE49-F238E27FC236}">
                        <a16:creationId xmlns:a16="http://schemas.microsoft.com/office/drawing/2014/main" id="{0771E64C-8434-4A1D-BE40-2EB36001C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771E64C-8434-4A1D-BE40-2EB36001C7C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852160" cy="3459402"/>
                          </a:xfrm>
                          <a:prstGeom prst="rect">
                            <a:avLst/>
                          </a:prstGeom>
                        </pic:spPr>
                      </pic:pic>
                    </a:graphicData>
                  </a:graphic>
                </wp:inline>
              </w:drawing>
            </w:r>
          </w:p>
        </w:tc>
      </w:tr>
      <w:tr w:rsidR="0073278F" w14:paraId="6BB352C6" w14:textId="77777777" w:rsidTr="000C078A">
        <w:tc>
          <w:tcPr>
            <w:tcW w:w="9399" w:type="dxa"/>
          </w:tcPr>
          <w:p w14:paraId="6CF41AC1" w14:textId="77777777" w:rsidR="0073278F" w:rsidRPr="00E81ADC" w:rsidRDefault="0073278F" w:rsidP="00397389">
            <w:pPr>
              <w:keepNext/>
              <w:spacing w:after="0" w:line="240" w:lineRule="auto"/>
              <w:jc w:val="left"/>
              <w:rPr>
                <w:sz w:val="20"/>
                <w:szCs w:val="20"/>
              </w:rPr>
            </w:pPr>
            <w:r w:rsidRPr="00E81ADC">
              <w:rPr>
                <w:i/>
                <w:sz w:val="20"/>
                <w:szCs w:val="20"/>
              </w:rPr>
              <w:t>Source</w:t>
            </w:r>
            <w:r w:rsidRPr="00E81ADC">
              <w:rPr>
                <w:sz w:val="20"/>
                <w:szCs w:val="20"/>
              </w:rPr>
              <w:t>: SOW</w:t>
            </w:r>
            <w:r>
              <w:rPr>
                <w:sz w:val="20"/>
                <w:szCs w:val="20"/>
              </w:rPr>
              <w:t xml:space="preserve"> (2005-2015)</w:t>
            </w:r>
          </w:p>
        </w:tc>
      </w:tr>
    </w:tbl>
    <w:p w14:paraId="597B6F16" w14:textId="77777777" w:rsidR="0073278F" w:rsidRDefault="0073278F" w:rsidP="0073278F">
      <w:pPr>
        <w:spacing w:after="160" w:line="259" w:lineRule="auto"/>
        <w:jc w:val="left"/>
      </w:pPr>
    </w:p>
    <w:p w14:paraId="778877D5" w14:textId="49732A2A" w:rsidR="0052310C" w:rsidRDefault="004D5C91" w:rsidP="0052310C">
      <w:pPr>
        <w:pStyle w:val="Normal0"/>
        <w:numPr>
          <w:ilvl w:val="0"/>
          <w:numId w:val="21"/>
        </w:numPr>
        <w:spacing w:after="240" w:line="276" w:lineRule="auto"/>
        <w:ind w:left="0" w:firstLine="0"/>
        <w:jc w:val="both"/>
      </w:pPr>
      <w:r>
        <w:rPr>
          <w:b/>
        </w:rPr>
        <w:t>Turning to benefits, we find that a</w:t>
      </w:r>
      <w:r w:rsidR="00BC12EB">
        <w:rPr>
          <w:b/>
        </w:rPr>
        <w:t>ll types of</w:t>
      </w:r>
      <w:r w:rsidR="00654A9E">
        <w:rPr>
          <w:b/>
        </w:rPr>
        <w:t xml:space="preserve"> SOEs provide more</w:t>
      </w:r>
      <w:r w:rsidR="00C14A9C">
        <w:rPr>
          <w:b/>
        </w:rPr>
        <w:t xml:space="preserve"> </w:t>
      </w:r>
      <w:r w:rsidR="00BC12EB">
        <w:rPr>
          <w:b/>
        </w:rPr>
        <w:t xml:space="preserve">generous </w:t>
      </w:r>
      <w:r>
        <w:rPr>
          <w:b/>
        </w:rPr>
        <w:t xml:space="preserve">packages </w:t>
      </w:r>
      <w:r w:rsidR="00C14A9C">
        <w:rPr>
          <w:b/>
        </w:rPr>
        <w:t>than private firms</w:t>
      </w:r>
      <w:r w:rsidR="00654A9E">
        <w:rPr>
          <w:b/>
        </w:rPr>
        <w:t xml:space="preserve">. </w:t>
      </w:r>
      <w:r w:rsidR="00BC12EB">
        <w:t>Figure 3.7</w:t>
      </w:r>
      <w:r w:rsidR="005A5D9E">
        <w:t xml:space="preserve"> presents the raw percent of workers in SOE and formal private sectors with access to benefits </w:t>
      </w:r>
      <w:r w:rsidR="00DC3167">
        <w:t xml:space="preserve">measured </w:t>
      </w:r>
      <w:r w:rsidR="005A5D9E">
        <w:t xml:space="preserve">by RLMS. It shows </w:t>
      </w:r>
      <w:r w:rsidR="00421D48">
        <w:t xml:space="preserve">that </w:t>
      </w:r>
      <w:r w:rsidR="0073278F">
        <w:t xml:space="preserve">SOEs are significantly more likely to provide a </w:t>
      </w:r>
      <w:r w:rsidR="000567AB">
        <w:t xml:space="preserve">formal contract and a </w:t>
      </w:r>
      <w:r w:rsidR="0073278F">
        <w:t xml:space="preserve">variety of mandatory benefits like paid vacations, sick leave, and maternity leave; and non-mandatory benefits like </w:t>
      </w:r>
      <w:r w:rsidR="000567AB">
        <w:t xml:space="preserve">free or </w:t>
      </w:r>
      <w:r w:rsidR="0073278F">
        <w:t xml:space="preserve">subsidized health care and childcare, </w:t>
      </w:r>
      <w:r w:rsidR="00323701">
        <w:t xml:space="preserve">early pension, paid training, </w:t>
      </w:r>
      <w:r w:rsidR="0073278F">
        <w:t xml:space="preserve">subsidized transportation and meals, and </w:t>
      </w:r>
      <w:r w:rsidR="00323701">
        <w:t xml:space="preserve">vacation </w:t>
      </w:r>
      <w:r w:rsidR="00984506">
        <w:t>subsidies in addition to the paid annual leave</w:t>
      </w:r>
      <w:r w:rsidR="0089313E">
        <w:t>.</w:t>
      </w:r>
      <w:r w:rsidR="00984506">
        <w:t xml:space="preserve"> </w:t>
      </w:r>
      <w:r w:rsidR="0073278F">
        <w:t xml:space="preserve">For example, nearly 100 percent of workers in SOEs reported that their employer provided paid annual leave compared to 81 percent of workers in private formal sector firms. </w:t>
      </w:r>
      <w:r w:rsidR="00BB05AA">
        <w:t>SOE w</w:t>
      </w:r>
      <w:r w:rsidR="0073278F">
        <w:t xml:space="preserve">orkers </w:t>
      </w:r>
      <w:r w:rsidR="00BB05AA">
        <w:t xml:space="preserve">take longer vacations (on </w:t>
      </w:r>
      <w:r w:rsidR="0073278F">
        <w:t>average 4 days</w:t>
      </w:r>
      <w:r w:rsidR="00BB05AA">
        <w:t xml:space="preserve"> longer per year)</w:t>
      </w:r>
      <w:r w:rsidR="0073278F">
        <w:t xml:space="preserve">. Differences in the availability of maternity leave are even more striking, with 85 percent of females in SOEs reporting that their employers adhere to providing maternity leave as compared to 65 percent in the private sector. SOEs are </w:t>
      </w:r>
      <w:r w:rsidR="00190DF7">
        <w:t xml:space="preserve">also </w:t>
      </w:r>
      <w:r w:rsidR="0073278F">
        <w:t xml:space="preserve">more generous than the private sector in the provision of non-mandatory benefits. </w:t>
      </w:r>
      <w:proofErr w:type="gramStart"/>
      <w:r w:rsidR="00FE027B">
        <w:t>Last but not least</w:t>
      </w:r>
      <w:proofErr w:type="gramEnd"/>
      <w:r w:rsidR="00FE027B">
        <w:t xml:space="preserve">, SOE </w:t>
      </w:r>
      <w:r w:rsidR="0019342E">
        <w:t>employment</w:t>
      </w:r>
      <w:r w:rsidR="00FE027B">
        <w:t xml:space="preserve"> come</w:t>
      </w:r>
      <w:r w:rsidR="0019342E">
        <w:t>s</w:t>
      </w:r>
      <w:r w:rsidR="00FE027B">
        <w:t xml:space="preserve"> with </w:t>
      </w:r>
      <w:r w:rsidR="0019342E">
        <w:t xml:space="preserve">the implicit benefit of higher </w:t>
      </w:r>
      <w:r w:rsidR="00FE027B">
        <w:t>job security</w:t>
      </w:r>
      <w:r w:rsidR="00EB4B92">
        <w:t xml:space="preserve">: both mixed and state SOEs are 12-14 percent more likely to offer a formal contract than </w:t>
      </w:r>
      <w:r w:rsidR="0019342E">
        <w:t xml:space="preserve">private </w:t>
      </w:r>
      <w:r w:rsidR="00EB4B92">
        <w:t xml:space="preserve">firms and tenure </w:t>
      </w:r>
      <w:r w:rsidR="0019342E">
        <w:t xml:space="preserve">in a given position </w:t>
      </w:r>
      <w:r w:rsidR="00EB4B92">
        <w:t xml:space="preserve">is 3 years longer </w:t>
      </w:r>
      <w:r w:rsidR="0019342E">
        <w:t xml:space="preserve">on average. </w:t>
      </w:r>
      <w:r w:rsidR="00237B28">
        <w:t xml:space="preserve">Overall, </w:t>
      </w:r>
      <w:r w:rsidR="007657E6">
        <w:t xml:space="preserve">of the observed benefits in our dataset, </w:t>
      </w:r>
      <w:r w:rsidR="00237B28">
        <w:t xml:space="preserve">mixed SOEs </w:t>
      </w:r>
      <w:r w:rsidR="007657E6">
        <w:t xml:space="preserve">provide the best package, followed closely by state SOEs, and, </w:t>
      </w:r>
      <w:r w:rsidR="009F6982">
        <w:t xml:space="preserve">with a big gap, formal private firms. </w:t>
      </w:r>
    </w:p>
    <w:p w14:paraId="6EA346ED" w14:textId="324DE85E" w:rsidR="00DA5D5C" w:rsidRDefault="00DA5D5C" w:rsidP="00C86B88">
      <w:pPr>
        <w:pStyle w:val="Figure"/>
      </w:pPr>
      <w:bookmarkStart w:id="69" w:name="_Toc11259348"/>
      <w:r>
        <w:t xml:space="preserve">Figure 3. </w:t>
      </w:r>
      <w:r w:rsidR="00DA1D13">
        <w:rPr>
          <w:noProof/>
        </w:rPr>
        <w:fldChar w:fldCharType="begin"/>
      </w:r>
      <w:r w:rsidR="00DA1D13">
        <w:rPr>
          <w:noProof/>
        </w:rPr>
        <w:instrText xml:space="preserve"> SEQ Figure_3. \* ARABIC </w:instrText>
      </w:r>
      <w:r w:rsidR="00DA1D13">
        <w:rPr>
          <w:noProof/>
        </w:rPr>
        <w:fldChar w:fldCharType="separate"/>
      </w:r>
      <w:r>
        <w:rPr>
          <w:noProof/>
        </w:rPr>
        <w:t>7</w:t>
      </w:r>
      <w:r w:rsidR="00DA1D13">
        <w:rPr>
          <w:noProof/>
        </w:rPr>
        <w:fldChar w:fldCharType="end"/>
      </w:r>
      <w:r>
        <w:t xml:space="preserve"> SOES offer more generous benefits</w:t>
      </w:r>
      <w:bookmarkEnd w:id="69"/>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9"/>
      </w:tblGrid>
      <w:tr w:rsidR="0073278F" w14:paraId="3D9990A5" w14:textId="77777777" w:rsidTr="00C86B88">
        <w:tc>
          <w:tcPr>
            <w:tcW w:w="9399" w:type="dxa"/>
          </w:tcPr>
          <w:p w14:paraId="7A7A7A39" w14:textId="76719B97" w:rsidR="0073278F" w:rsidRDefault="00174617" w:rsidP="00174617">
            <w:pPr>
              <w:spacing w:after="0" w:line="240" w:lineRule="auto"/>
              <w:jc w:val="center"/>
            </w:pPr>
            <w:r w:rsidRPr="00174617">
              <w:rPr>
                <w:noProof/>
              </w:rPr>
              <w:drawing>
                <wp:inline distT="0" distB="0" distL="0" distR="0" wp14:anchorId="5ACAEC2B" wp14:editId="061621E0">
                  <wp:extent cx="3267075" cy="1550031"/>
                  <wp:effectExtent l="0" t="0" r="0" b="0"/>
                  <wp:docPr id="39" name="Picture 7">
                    <a:extLst xmlns:a="http://schemas.openxmlformats.org/drawingml/2006/main">
                      <a:ext uri="{FF2B5EF4-FFF2-40B4-BE49-F238E27FC236}">
                        <a16:creationId xmlns:a16="http://schemas.microsoft.com/office/drawing/2014/main" id="{F602E8C9-3C1E-46F8-9061-D17EA19A0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02E8C9-3C1E-46F8-9061-D17EA19A0611}"/>
                              </a:ext>
                            </a:extLst>
                          </pic:cNvPr>
                          <pic:cNvPicPr>
                            <a:picLocks noChangeAspect="1"/>
                          </pic:cNvPicPr>
                        </pic:nvPicPr>
                        <pic:blipFill rotWithShape="1">
                          <a:blip r:embed="rId30"/>
                          <a:srcRect t="3520" b="3442"/>
                          <a:stretch/>
                        </pic:blipFill>
                        <pic:spPr bwMode="auto">
                          <a:xfrm>
                            <a:off x="0" y="0"/>
                            <a:ext cx="3309810" cy="1570306"/>
                          </a:xfrm>
                          <a:prstGeom prst="rect">
                            <a:avLst/>
                          </a:prstGeom>
                          <a:ln>
                            <a:noFill/>
                          </a:ln>
                          <a:extLst>
                            <a:ext uri="{53640926-AAD7-44D8-BBD7-CCE9431645EC}">
                              <a14:shadowObscured xmlns:a14="http://schemas.microsoft.com/office/drawing/2010/main"/>
                            </a:ext>
                          </a:extLst>
                        </pic:spPr>
                      </pic:pic>
                    </a:graphicData>
                  </a:graphic>
                </wp:inline>
              </w:drawing>
            </w:r>
            <w:r w:rsidR="00237B28">
              <w:rPr>
                <w:noProof/>
              </w:rPr>
              <w:drawing>
                <wp:anchor distT="0" distB="0" distL="114300" distR="114300" simplePos="0" relativeHeight="251680768" behindDoc="1" locked="0" layoutInCell="1" allowOverlap="1" wp14:anchorId="7D4BADE1" wp14:editId="48505120">
                  <wp:simplePos x="0" y="0"/>
                  <wp:positionH relativeFrom="column">
                    <wp:posOffset>3493770</wp:posOffset>
                  </wp:positionH>
                  <wp:positionV relativeFrom="paragraph">
                    <wp:posOffset>1374775</wp:posOffset>
                  </wp:positionV>
                  <wp:extent cx="2110105" cy="174625"/>
                  <wp:effectExtent l="0" t="0" r="4445" b="0"/>
                  <wp:wrapTight wrapText="bothSides">
                    <wp:wrapPolygon edited="0">
                      <wp:start x="0" y="0"/>
                      <wp:lineTo x="0" y="18851"/>
                      <wp:lineTo x="21450" y="18851"/>
                      <wp:lineTo x="2145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0105" cy="174625"/>
                          </a:xfrm>
                          <a:prstGeom prst="rect">
                            <a:avLst/>
                          </a:prstGeom>
                          <a:noFill/>
                        </pic:spPr>
                      </pic:pic>
                    </a:graphicData>
                  </a:graphic>
                  <wp14:sizeRelH relativeFrom="page">
                    <wp14:pctWidth>0</wp14:pctWidth>
                  </wp14:sizeRelH>
                  <wp14:sizeRelV relativeFrom="page">
                    <wp14:pctHeight>0</wp14:pctHeight>
                  </wp14:sizeRelV>
                </wp:anchor>
              </w:drawing>
            </w:r>
          </w:p>
          <w:p w14:paraId="7424A9F8" w14:textId="424B43E2" w:rsidR="00174617" w:rsidRDefault="00174617" w:rsidP="00EB5FA5">
            <w:pPr>
              <w:spacing w:after="0" w:line="240" w:lineRule="auto"/>
              <w:jc w:val="center"/>
            </w:pPr>
            <w:r w:rsidRPr="00174617">
              <w:rPr>
                <w:noProof/>
              </w:rPr>
              <w:drawing>
                <wp:inline distT="0" distB="0" distL="0" distR="0" wp14:anchorId="5C78123C" wp14:editId="65501E94">
                  <wp:extent cx="5901690" cy="1581134"/>
                  <wp:effectExtent l="0" t="0" r="3810" b="635"/>
                  <wp:docPr id="42" name="Picture 8">
                    <a:extLst xmlns:a="http://schemas.openxmlformats.org/drawingml/2006/main">
                      <a:ext uri="{FF2B5EF4-FFF2-40B4-BE49-F238E27FC236}">
                        <a16:creationId xmlns:a16="http://schemas.microsoft.com/office/drawing/2014/main" id="{7D50B603-F72A-49AF-9305-922CCF92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D50B603-F72A-49AF-9305-922CCF924B19}"/>
                              </a:ext>
                            </a:extLst>
                          </pic:cNvPr>
                          <pic:cNvPicPr>
                            <a:picLocks noChangeAspect="1"/>
                          </pic:cNvPicPr>
                        </pic:nvPicPr>
                        <pic:blipFill rotWithShape="1">
                          <a:blip r:embed="rId32"/>
                          <a:srcRect l="1614" t="9342" r="1662"/>
                          <a:stretch/>
                        </pic:blipFill>
                        <pic:spPr bwMode="auto">
                          <a:xfrm>
                            <a:off x="0" y="0"/>
                            <a:ext cx="6000545" cy="1607618"/>
                          </a:xfrm>
                          <a:prstGeom prst="rect">
                            <a:avLst/>
                          </a:prstGeom>
                          <a:ln>
                            <a:noFill/>
                          </a:ln>
                          <a:extLst>
                            <a:ext uri="{53640926-AAD7-44D8-BBD7-CCE9431645EC}">
                              <a14:shadowObscured xmlns:a14="http://schemas.microsoft.com/office/drawing/2010/main"/>
                            </a:ext>
                          </a:extLst>
                        </pic:spPr>
                      </pic:pic>
                    </a:graphicData>
                  </a:graphic>
                </wp:inline>
              </w:drawing>
            </w:r>
          </w:p>
        </w:tc>
      </w:tr>
      <w:tr w:rsidR="0073278F" w14:paraId="38DB7D73" w14:textId="77777777" w:rsidTr="00C86B88">
        <w:tc>
          <w:tcPr>
            <w:tcW w:w="9399" w:type="dxa"/>
          </w:tcPr>
          <w:p w14:paraId="474EE607" w14:textId="77777777" w:rsidR="0073278F" w:rsidRPr="00E81ADC" w:rsidRDefault="0073278F" w:rsidP="00397389">
            <w:pPr>
              <w:keepNext/>
              <w:spacing w:after="0" w:line="240" w:lineRule="auto"/>
              <w:jc w:val="left"/>
              <w:rPr>
                <w:sz w:val="20"/>
                <w:szCs w:val="20"/>
              </w:rPr>
            </w:pPr>
            <w:r w:rsidRPr="00E81ADC">
              <w:rPr>
                <w:i/>
                <w:sz w:val="20"/>
                <w:szCs w:val="20"/>
              </w:rPr>
              <w:t>Source</w:t>
            </w:r>
            <w:r w:rsidRPr="00E81ADC">
              <w:rPr>
                <w:sz w:val="20"/>
                <w:szCs w:val="20"/>
              </w:rPr>
              <w:t xml:space="preserve">: </w:t>
            </w:r>
            <w:r>
              <w:rPr>
                <w:sz w:val="20"/>
                <w:szCs w:val="20"/>
              </w:rPr>
              <w:t>WB staff calculations based on RLMS data, latest available</w:t>
            </w:r>
          </w:p>
        </w:tc>
      </w:tr>
    </w:tbl>
    <w:p w14:paraId="576875A0" w14:textId="5AF089B0" w:rsidR="0073278F" w:rsidRDefault="0073278F" w:rsidP="0073278F">
      <w:pPr>
        <w:spacing w:after="160" w:line="259" w:lineRule="auto"/>
        <w:jc w:val="left"/>
      </w:pPr>
    </w:p>
    <w:p w14:paraId="58DF0B4A" w14:textId="1597BF7C" w:rsidR="001A18E9" w:rsidRDefault="001A18E9" w:rsidP="001A18E9">
      <w:pPr>
        <w:pStyle w:val="Normal0"/>
        <w:numPr>
          <w:ilvl w:val="0"/>
          <w:numId w:val="21"/>
        </w:numPr>
        <w:spacing w:after="240" w:line="276" w:lineRule="auto"/>
        <w:ind w:left="0" w:firstLine="0"/>
        <w:jc w:val="both"/>
      </w:pPr>
      <w:r>
        <w:rPr>
          <w:b/>
        </w:rPr>
        <w:t>These</w:t>
      </w:r>
      <w:r w:rsidRPr="0052310C">
        <w:rPr>
          <w:b/>
        </w:rPr>
        <w:t xml:space="preserve"> findings suggest that SOEs may provide higher total compensation </w:t>
      </w:r>
      <w:r>
        <w:rPr>
          <w:b/>
        </w:rPr>
        <w:t xml:space="preserve">than the </w:t>
      </w:r>
      <w:r w:rsidRPr="0052310C">
        <w:rPr>
          <w:b/>
        </w:rPr>
        <w:t>private sector</w:t>
      </w:r>
      <w:r w:rsidRPr="0052310C">
        <w:t xml:space="preserve">. Comparing total compensation, a sum of all monetary and non-monetary benefits from a job, requires monetizing benefits. We build on the work of </w:t>
      </w:r>
      <w:proofErr w:type="spellStart"/>
      <w:r w:rsidRPr="0052310C">
        <w:t>Zhuravleva</w:t>
      </w:r>
      <w:proofErr w:type="spellEnd"/>
      <w:r w:rsidRPr="0052310C">
        <w:t xml:space="preserve"> (2016), who carefully monetized some of the benefits mentioned in this paper, including paid vacations, paid sick leave, paid maternity leave, free health care, free childcare, subsidized meals, free or transport subsidies, and paid training. Since she does not monetize </w:t>
      </w:r>
      <w:r>
        <w:t xml:space="preserve">access to </w:t>
      </w:r>
      <w:r w:rsidRPr="0052310C">
        <w:t xml:space="preserve">a formal contract, job security, and right to early pension, as well as a host of other benefits such as housing and vacation subsidies, her results could </w:t>
      </w:r>
      <w:proofErr w:type="gramStart"/>
      <w:r w:rsidRPr="0052310C">
        <w:t>be seen as</w:t>
      </w:r>
      <w:proofErr w:type="gramEnd"/>
      <w:r w:rsidRPr="0052310C">
        <w:t xml:space="preserve"> a lower bound for our purposes. </w:t>
      </w:r>
      <w:proofErr w:type="spellStart"/>
      <w:r w:rsidRPr="0052310C">
        <w:t>Zhuravleva</w:t>
      </w:r>
      <w:proofErr w:type="spellEnd"/>
      <w:r w:rsidRPr="0052310C">
        <w:t xml:space="preserve"> runs a series of modified Mincer wage regressions</w:t>
      </w:r>
      <w:r w:rsidRPr="00DA5D5C">
        <w:rPr>
          <w:rStyle w:val="FootnoteReference"/>
        </w:rPr>
        <w:footnoteReference w:id="25"/>
      </w:r>
      <w:r w:rsidRPr="0052310C">
        <w:t xml:space="preserve"> with total compensation (wages and monetized benefits) as her dependent variable. She finds that by including even a limited </w:t>
      </w:r>
      <w:r>
        <w:t>s</w:t>
      </w:r>
      <w:r w:rsidRPr="0052310C">
        <w:t>ample of benefits in her wage model</w:t>
      </w:r>
      <w:r>
        <w:t>,</w:t>
      </w:r>
      <w:r w:rsidRPr="0052310C">
        <w:t xml:space="preserve"> the wage gap for the budgetary sector </w:t>
      </w:r>
      <w:r>
        <w:t xml:space="preserve">falls </w:t>
      </w:r>
      <w:r w:rsidRPr="0052310C">
        <w:t>by two thirds and for SOEs by one third and almost below statistical significance. Further measurement is needed</w:t>
      </w:r>
      <w:r>
        <w:t>,</w:t>
      </w:r>
      <w:r w:rsidRPr="0052310C">
        <w:t xml:space="preserve"> but </w:t>
      </w:r>
      <w:proofErr w:type="spellStart"/>
      <w:r w:rsidRPr="0052310C">
        <w:t>Zhuravleva’s</w:t>
      </w:r>
      <w:proofErr w:type="spellEnd"/>
      <w:r w:rsidRPr="0052310C">
        <w:t xml:space="preserve"> results suggest a strong possibility that the inclusion of additional benefits</w:t>
      </w:r>
      <w:r>
        <w:t>—</w:t>
      </w:r>
      <w:r w:rsidRPr="0052310C">
        <w:t>particularly job security and access to a formal contract and pension</w:t>
      </w:r>
      <w:r>
        <w:t>—</w:t>
      </w:r>
      <w:r w:rsidRPr="0052310C">
        <w:t xml:space="preserve">would drive the SOE-private wage gap to zero or render it positive for all types of SOEs. </w:t>
      </w:r>
    </w:p>
    <w:p w14:paraId="5D09BDF3" w14:textId="396D4846" w:rsidR="0073278F" w:rsidRDefault="0073278F" w:rsidP="0073278F">
      <w:pPr>
        <w:pStyle w:val="Heading2"/>
        <w:jc w:val="left"/>
      </w:pPr>
      <w:bookmarkStart w:id="70" w:name="_Toc11219075"/>
      <w:r>
        <w:t>Effects on</w:t>
      </w:r>
      <w:r w:rsidR="00CF3D63">
        <w:t xml:space="preserve"> </w:t>
      </w:r>
      <w:r>
        <w:t>labor supply</w:t>
      </w:r>
      <w:r w:rsidR="00826C1A">
        <w:t xml:space="preserve"> </w:t>
      </w:r>
      <w:r w:rsidR="00826C1A" w:rsidRPr="008C0F78">
        <w:t>and allocati</w:t>
      </w:r>
      <w:r w:rsidR="00346FF8" w:rsidRPr="008C0F78">
        <w:t>on</w:t>
      </w:r>
      <w:bookmarkEnd w:id="70"/>
    </w:p>
    <w:p w14:paraId="59C907A4" w14:textId="1D771346" w:rsidR="0073278F" w:rsidRPr="007F3ADF" w:rsidRDefault="0073278F" w:rsidP="00855E62">
      <w:pPr>
        <w:pStyle w:val="Normal0"/>
        <w:numPr>
          <w:ilvl w:val="0"/>
          <w:numId w:val="21"/>
        </w:numPr>
        <w:spacing w:after="240" w:line="276" w:lineRule="auto"/>
        <w:ind w:left="0" w:firstLine="0"/>
        <w:jc w:val="both"/>
      </w:pPr>
      <w:r>
        <w:rPr>
          <w:b/>
        </w:rPr>
        <w:t>We expect these compensation differentials to impact workers</w:t>
      </w:r>
      <w:r w:rsidR="00894FCE">
        <w:rPr>
          <w:b/>
        </w:rPr>
        <w:t>’</w:t>
      </w:r>
      <w:r>
        <w:rPr>
          <w:b/>
        </w:rPr>
        <w:t xml:space="preserve"> </w:t>
      </w:r>
      <w:r w:rsidR="00894FCE">
        <w:rPr>
          <w:b/>
        </w:rPr>
        <w:t xml:space="preserve">job </w:t>
      </w:r>
      <w:r>
        <w:rPr>
          <w:b/>
        </w:rPr>
        <w:t>preferences</w:t>
      </w:r>
      <w:r w:rsidR="00176691">
        <w:rPr>
          <w:b/>
        </w:rPr>
        <w:t xml:space="preserve"> and relative ability of </w:t>
      </w:r>
      <w:r>
        <w:rPr>
          <w:b/>
        </w:rPr>
        <w:t>public and private sector</w:t>
      </w:r>
      <w:r w:rsidR="00660BD7">
        <w:rPr>
          <w:b/>
        </w:rPr>
        <w:t xml:space="preserve"> firm</w:t>
      </w:r>
      <w:r>
        <w:rPr>
          <w:b/>
        </w:rPr>
        <w:t>s</w:t>
      </w:r>
      <w:r w:rsidR="00176691">
        <w:rPr>
          <w:b/>
        </w:rPr>
        <w:t xml:space="preserve"> to recruit skilled workers</w:t>
      </w:r>
      <w:r>
        <w:rPr>
          <w:b/>
        </w:rPr>
        <w:t xml:space="preserve">, and </w:t>
      </w:r>
      <w:r w:rsidR="00176691">
        <w:rPr>
          <w:b/>
        </w:rPr>
        <w:t xml:space="preserve">hence </w:t>
      </w:r>
      <w:r w:rsidR="00660BD7">
        <w:rPr>
          <w:b/>
        </w:rPr>
        <w:t xml:space="preserve">the efficiency of labor </w:t>
      </w:r>
      <w:r w:rsidR="00176691">
        <w:rPr>
          <w:b/>
        </w:rPr>
        <w:t>allocati</w:t>
      </w:r>
      <w:r w:rsidR="00660BD7">
        <w:rPr>
          <w:b/>
        </w:rPr>
        <w:t>on in the economy</w:t>
      </w:r>
      <w:r>
        <w:rPr>
          <w:b/>
        </w:rPr>
        <w:t xml:space="preserve">. </w:t>
      </w:r>
      <w:r>
        <w:t xml:space="preserve">Establishing a causal relationship is difficult given an absence of direct questions in the data sources on workers’ sectoral employment preferences or on reservation wages, and the relative dearth of new job openings in SOEs. We instead provide evidence on worker satisfaction and self-assessed social standing in the two sectors, </w:t>
      </w:r>
      <w:r w:rsidR="001D39C8">
        <w:t xml:space="preserve">which we </w:t>
      </w:r>
      <w:r w:rsidR="0033544B">
        <w:t xml:space="preserve">take to be </w:t>
      </w:r>
      <w:r w:rsidR="00741D01">
        <w:t xml:space="preserve">indicative </w:t>
      </w:r>
      <w:r w:rsidR="001D39C8">
        <w:t xml:space="preserve">proxies for job preferences, </w:t>
      </w:r>
      <w:r>
        <w:t xml:space="preserve">and descriptive statistics on </w:t>
      </w:r>
      <w:r w:rsidR="00855E62">
        <w:t xml:space="preserve">the relative growth in skilled worker </w:t>
      </w:r>
      <w:r w:rsidR="007B5DBC">
        <w:t xml:space="preserve">shares </w:t>
      </w:r>
      <w:r>
        <w:t xml:space="preserve">and </w:t>
      </w:r>
      <w:r w:rsidR="00F55C3B">
        <w:t xml:space="preserve">relative </w:t>
      </w:r>
      <w:r>
        <w:t>skill shortages</w:t>
      </w:r>
      <w:r w:rsidR="007B5DBC">
        <w:t xml:space="preserve"> in the two sectors</w:t>
      </w:r>
      <w:r>
        <w:t>.</w:t>
      </w:r>
    </w:p>
    <w:p w14:paraId="72269DDA" w14:textId="3941F9C7" w:rsidR="00FE6D37" w:rsidRDefault="0073278F" w:rsidP="004D0D81">
      <w:pPr>
        <w:pStyle w:val="Normal0"/>
        <w:numPr>
          <w:ilvl w:val="0"/>
          <w:numId w:val="21"/>
        </w:numPr>
        <w:spacing w:after="240" w:line="276" w:lineRule="auto"/>
        <w:ind w:left="0" w:firstLine="0"/>
        <w:jc w:val="both"/>
      </w:pPr>
      <w:r w:rsidRPr="00785337">
        <w:rPr>
          <w:b/>
        </w:rPr>
        <w:t>Workers in SOEs are more satisfied with their jobs than workers in the private sector</w:t>
      </w:r>
      <w:r>
        <w:t>. Employee job satisfaction has been used in numerous studies as a summary measure of all job attributes that is correlated with worker turnover</w:t>
      </w:r>
      <w:r w:rsidR="007C1773">
        <w:t xml:space="preserve">, and </w:t>
      </w:r>
      <w:r w:rsidR="00EF4B4D">
        <w:t>that indirectly could be indicative of job preferences</w:t>
      </w:r>
      <w:r>
        <w:t xml:space="preserve">. Workers that are more satisfied with their jobs are less likely to quit. The RLMS measures job satisfaction on a 5-point scale, and </w:t>
      </w:r>
      <w:r w:rsidR="005E3B34">
        <w:fldChar w:fldCharType="begin"/>
      </w:r>
      <w:r w:rsidR="005E3B34">
        <w:instrText xml:space="preserve"> REF _Ref9378674 \h </w:instrText>
      </w:r>
      <w:r w:rsidR="005E3B34">
        <w:fldChar w:fldCharType="separate"/>
      </w:r>
      <w:r w:rsidR="005E3B34">
        <w:t xml:space="preserve">Figure 3. </w:t>
      </w:r>
      <w:r w:rsidR="005E3B34">
        <w:rPr>
          <w:noProof/>
        </w:rPr>
        <w:t>8</w:t>
      </w:r>
      <w:r w:rsidR="005E3B34">
        <w:fldChar w:fldCharType="end"/>
      </w:r>
      <w:r w:rsidR="005E3B34">
        <w:t xml:space="preserve"> </w:t>
      </w:r>
      <w:r>
        <w:t xml:space="preserve">presents the differences in worker satisfaction for the public sector compared to the private sector controlling for worker and job characteristics. </w:t>
      </w:r>
      <w:r w:rsidRPr="00783449">
        <w:t xml:space="preserve">Controlling </w:t>
      </w:r>
      <w:r w:rsidR="006B2829">
        <w:t xml:space="preserve">only </w:t>
      </w:r>
      <w:r w:rsidRPr="00783449">
        <w:t xml:space="preserve">for gender, age, education, occupation, tenure, firm size, region, </w:t>
      </w:r>
      <w:r>
        <w:t xml:space="preserve">and </w:t>
      </w:r>
      <w:r w:rsidRPr="00783449">
        <w:t xml:space="preserve">year effects </w:t>
      </w:r>
      <w:r>
        <w:t xml:space="preserve">(specification 1), </w:t>
      </w:r>
      <w:r w:rsidRPr="00783449">
        <w:t>workers in mixed SOEs have the highest level of job satisfaction, followed by budgetary sector workers</w:t>
      </w:r>
      <w:r>
        <w:t>.</w:t>
      </w:r>
      <w:r w:rsidRPr="00783449">
        <w:t xml:space="preserve"> Workers in the private and sector and state SOEs are the least happy with their jobs.</w:t>
      </w:r>
      <w:r>
        <w:t xml:space="preserve"> When also controlling for wages and working hours (specification 2), workers across the public sector are more satisfied than their private sector counterparts, and these results hold when additional controls such as occupational safety and presence of a formal labor contract (specification 3) are added. These findings suggest that </w:t>
      </w:r>
      <w:r w:rsidRPr="00AC7EC9">
        <w:t>the disadvantages of lower wages in state SOEs and the budgetary sector are offset by generous benefits, sector selection, and other unobservable personal and job characteristics.</w:t>
      </w:r>
      <w: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406"/>
      </w:tblGrid>
      <w:tr w:rsidR="00A14B5F" w14:paraId="44289A80" w14:textId="77777777" w:rsidTr="00A6792F">
        <w:tc>
          <w:tcPr>
            <w:tcW w:w="4694" w:type="dxa"/>
          </w:tcPr>
          <w:p w14:paraId="66DE6669" w14:textId="365133E9" w:rsidR="00A14B5F" w:rsidRDefault="00681C7D" w:rsidP="00E62D64">
            <w:pPr>
              <w:pStyle w:val="Figure"/>
              <w:spacing w:after="0"/>
              <w:jc w:val="left"/>
            </w:pPr>
            <w:bookmarkStart w:id="71" w:name="_Ref9378674"/>
            <w:bookmarkStart w:id="72" w:name="_Ref11184731"/>
            <w:bookmarkStart w:id="73" w:name="_Toc11259349"/>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8</w:t>
            </w:r>
            <w:r w:rsidR="00D96C35">
              <w:rPr>
                <w:noProof/>
              </w:rPr>
              <w:fldChar w:fldCharType="end"/>
            </w:r>
            <w:bookmarkEnd w:id="71"/>
            <w:bookmarkEnd w:id="72"/>
            <w:r>
              <w:t xml:space="preserve"> </w:t>
            </w:r>
            <w:r w:rsidR="00A46067">
              <w:t xml:space="preserve">Difference in </w:t>
            </w:r>
            <w:r w:rsidR="00315CAF">
              <w:t xml:space="preserve">percent of </w:t>
            </w:r>
            <w:r w:rsidR="009F6E0B">
              <w:t xml:space="preserve">public-private workers </w:t>
            </w:r>
            <w:r w:rsidR="00315CAF">
              <w:t>satisfied with their job</w:t>
            </w:r>
            <w:bookmarkEnd w:id="73"/>
          </w:p>
        </w:tc>
        <w:tc>
          <w:tcPr>
            <w:tcW w:w="4695" w:type="dxa"/>
          </w:tcPr>
          <w:p w14:paraId="7D0BAE3F" w14:textId="5DA4DDE8" w:rsidR="00A14B5F" w:rsidRDefault="00681C7D" w:rsidP="00E62D64">
            <w:pPr>
              <w:pStyle w:val="Figure"/>
              <w:spacing w:after="0"/>
              <w:jc w:val="left"/>
            </w:pPr>
            <w:bookmarkStart w:id="74" w:name="_Ref9378692"/>
            <w:bookmarkStart w:id="75" w:name="_Toc11259350"/>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9</w:t>
            </w:r>
            <w:r w:rsidR="00D96C35">
              <w:rPr>
                <w:noProof/>
              </w:rPr>
              <w:fldChar w:fldCharType="end"/>
            </w:r>
            <w:bookmarkEnd w:id="74"/>
            <w:r>
              <w:t xml:space="preserve"> </w:t>
            </w:r>
            <w:r w:rsidR="00DA67A9">
              <w:t>Public sector workers’ have higher self-reported social status</w:t>
            </w:r>
            <w:bookmarkEnd w:id="75"/>
          </w:p>
        </w:tc>
      </w:tr>
      <w:tr w:rsidR="00A14B5F" w14:paraId="7DA93EDF" w14:textId="77777777" w:rsidTr="008A574D">
        <w:trPr>
          <w:trHeight w:val="3762"/>
        </w:trPr>
        <w:tc>
          <w:tcPr>
            <w:tcW w:w="4694" w:type="dxa"/>
          </w:tcPr>
          <w:p w14:paraId="64BC04D4" w14:textId="089667FE" w:rsidR="00A14B5F" w:rsidRDefault="00A14B5F" w:rsidP="008A574D">
            <w:pPr>
              <w:pStyle w:val="Normal0"/>
              <w:spacing w:line="240" w:lineRule="auto"/>
              <w:jc w:val="both"/>
            </w:pPr>
            <w:r w:rsidRPr="00FF65E0">
              <w:rPr>
                <w:rFonts w:ascii="Times New Roman" w:hAnsi="Times New Roman" w:cs="Times New Roman"/>
                <w:b/>
                <w:noProof/>
                <w:color w:val="000000" w:themeColor="text1"/>
                <w:sz w:val="24"/>
                <w:szCs w:val="24"/>
              </w:rPr>
              <w:drawing>
                <wp:inline distT="0" distB="0" distL="0" distR="0" wp14:anchorId="0D2022B0" wp14:editId="388907A5">
                  <wp:extent cx="3151505" cy="2295525"/>
                  <wp:effectExtent l="0" t="0" r="0" b="9525"/>
                  <wp:docPr id="2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780" t="1" b="4220"/>
                          <a:stretch/>
                        </pic:blipFill>
                        <pic:spPr bwMode="auto">
                          <a:xfrm>
                            <a:off x="0" y="0"/>
                            <a:ext cx="3183018" cy="2318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5" w:type="dxa"/>
          </w:tcPr>
          <w:p w14:paraId="1C121B2D" w14:textId="2014BA52" w:rsidR="00A14B5F" w:rsidRDefault="00DA67A9" w:rsidP="008A574D">
            <w:pPr>
              <w:pStyle w:val="Normal0"/>
              <w:spacing w:line="240" w:lineRule="auto"/>
              <w:jc w:val="both"/>
            </w:pPr>
            <w:r>
              <w:rPr>
                <w:noProof/>
              </w:rPr>
              <w:drawing>
                <wp:inline distT="0" distB="0" distL="0" distR="0" wp14:anchorId="563C940F" wp14:editId="4276AD01">
                  <wp:extent cx="2764417"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6443" cy="2092995"/>
                          </a:xfrm>
                          <a:prstGeom prst="rect">
                            <a:avLst/>
                          </a:prstGeom>
                          <a:noFill/>
                        </pic:spPr>
                      </pic:pic>
                    </a:graphicData>
                  </a:graphic>
                </wp:inline>
              </w:drawing>
            </w:r>
          </w:p>
        </w:tc>
      </w:tr>
      <w:tr w:rsidR="00A14B5F" w14:paraId="01493274" w14:textId="77777777" w:rsidTr="00A6792F">
        <w:tc>
          <w:tcPr>
            <w:tcW w:w="4694" w:type="dxa"/>
          </w:tcPr>
          <w:p w14:paraId="60DDF3AF" w14:textId="5C23CF82" w:rsidR="00A14B5F" w:rsidRPr="00DB6A32" w:rsidRDefault="00A14B5F" w:rsidP="008A574D">
            <w:pPr>
              <w:pStyle w:val="Normal0"/>
              <w:spacing w:line="240" w:lineRule="auto"/>
              <w:jc w:val="both"/>
              <w:rPr>
                <w:i/>
                <w:iCs/>
                <w:sz w:val="20"/>
                <w:szCs w:val="20"/>
              </w:rPr>
            </w:pPr>
            <w:r w:rsidRPr="00DB6A32">
              <w:rPr>
                <w:i/>
                <w:iCs/>
                <w:sz w:val="20"/>
                <w:szCs w:val="20"/>
              </w:rPr>
              <w:t xml:space="preserve">Source: </w:t>
            </w:r>
            <w:r w:rsidRPr="00DB6A32">
              <w:rPr>
                <w:sz w:val="20"/>
                <w:szCs w:val="20"/>
              </w:rPr>
              <w:t>RLMS</w:t>
            </w:r>
          </w:p>
        </w:tc>
        <w:tc>
          <w:tcPr>
            <w:tcW w:w="4695" w:type="dxa"/>
          </w:tcPr>
          <w:p w14:paraId="3DDA7863" w14:textId="5F707D0D" w:rsidR="00A14B5F" w:rsidRPr="00DB6A32" w:rsidRDefault="00DA67A9" w:rsidP="008A574D">
            <w:pPr>
              <w:pStyle w:val="Normal0"/>
              <w:spacing w:line="240" w:lineRule="auto"/>
              <w:jc w:val="both"/>
              <w:rPr>
                <w:sz w:val="20"/>
                <w:szCs w:val="20"/>
              </w:rPr>
            </w:pPr>
            <w:r w:rsidRPr="00DB6A32">
              <w:rPr>
                <w:i/>
                <w:sz w:val="20"/>
                <w:szCs w:val="20"/>
              </w:rPr>
              <w:t>Source</w:t>
            </w:r>
            <w:r w:rsidRPr="00DB6A32">
              <w:rPr>
                <w:sz w:val="20"/>
                <w:szCs w:val="20"/>
              </w:rPr>
              <w:t>: RLMS</w:t>
            </w:r>
          </w:p>
        </w:tc>
      </w:tr>
    </w:tbl>
    <w:p w14:paraId="6A2D3AFF" w14:textId="77777777" w:rsidR="004C18F9" w:rsidRPr="004C18F9" w:rsidRDefault="004C18F9" w:rsidP="004C18F9">
      <w:pPr>
        <w:pStyle w:val="Normal0"/>
        <w:spacing w:after="240" w:line="276" w:lineRule="auto"/>
        <w:jc w:val="both"/>
        <w:rPr>
          <w:sz w:val="10"/>
          <w:szCs w:val="10"/>
        </w:rPr>
      </w:pPr>
    </w:p>
    <w:p w14:paraId="592E127B" w14:textId="36929EBF" w:rsidR="001A18E9" w:rsidRDefault="001A18E9" w:rsidP="001A18E9">
      <w:pPr>
        <w:pStyle w:val="Normal0"/>
        <w:numPr>
          <w:ilvl w:val="0"/>
          <w:numId w:val="21"/>
        </w:numPr>
        <w:spacing w:after="240" w:line="276" w:lineRule="auto"/>
        <w:ind w:left="0" w:firstLine="0"/>
        <w:jc w:val="both"/>
      </w:pPr>
      <w:r w:rsidRPr="00C162CB">
        <w:rPr>
          <w:b/>
        </w:rPr>
        <w:t>Workers in the public sector also have a higher assessment of their social and economic status in society</w:t>
      </w:r>
      <w:r>
        <w:rPr>
          <w:b/>
        </w:rPr>
        <w:t xml:space="preserve">. </w:t>
      </w:r>
      <w:r w:rsidR="005E3B34">
        <w:rPr>
          <w:bCs/>
        </w:rPr>
        <w:fldChar w:fldCharType="begin"/>
      </w:r>
      <w:r w:rsidR="005E3B34">
        <w:rPr>
          <w:b/>
        </w:rPr>
        <w:instrText xml:space="preserve"> REF _Ref9378692 \h </w:instrText>
      </w:r>
      <w:r w:rsidR="005E3B34">
        <w:rPr>
          <w:bCs/>
        </w:rPr>
      </w:r>
      <w:r w:rsidR="005E3B34">
        <w:rPr>
          <w:bCs/>
        </w:rPr>
        <w:fldChar w:fldCharType="separate"/>
      </w:r>
      <w:r w:rsidR="005E3B34">
        <w:t xml:space="preserve">Figure 3. </w:t>
      </w:r>
      <w:r w:rsidR="005E3B34">
        <w:rPr>
          <w:noProof/>
        </w:rPr>
        <w:t>9</w:t>
      </w:r>
      <w:r w:rsidR="005E3B34">
        <w:rPr>
          <w:bCs/>
        </w:rPr>
        <w:fldChar w:fldCharType="end"/>
      </w:r>
      <w:r w:rsidR="005E3B34">
        <w:rPr>
          <w:bCs/>
        </w:rPr>
        <w:t xml:space="preserve"> </w:t>
      </w:r>
      <w:r w:rsidRPr="00794A19">
        <w:rPr>
          <w:bCs/>
        </w:rPr>
        <w:t>presents the results</w:t>
      </w:r>
      <w:r>
        <w:rPr>
          <w:bCs/>
        </w:rPr>
        <w:t xml:space="preserve"> of analyses using RLMS 2005-2017</w:t>
      </w:r>
      <w:r w:rsidRPr="00794A19">
        <w:rPr>
          <w:bCs/>
        </w:rPr>
        <w:t xml:space="preserve">, controlling for worker and job characteristics (regression results are in Annex B).  </w:t>
      </w:r>
      <w:r>
        <w:t xml:space="preserve">The RLMS asks respondents to rank themselves from 1 to 9 on wealth and power. </w:t>
      </w:r>
      <w:r w:rsidRPr="00C162CB">
        <w:t>Since these are general questions and may not be related to main job directly, the results should be interpreted with caution.</w:t>
      </w:r>
      <w:r>
        <w:t xml:space="preserve"> C</w:t>
      </w:r>
      <w:r w:rsidRPr="00C162CB">
        <w:t>onditional on personal</w:t>
      </w:r>
      <w:r>
        <w:t xml:space="preserve"> and</w:t>
      </w:r>
      <w:r w:rsidRPr="00C162CB">
        <w:t xml:space="preserve"> job characteristics, wages, hours worked</w:t>
      </w:r>
      <w:r>
        <w:t>, occupation, firm size, year and region fixed effects, workers in state and mixed SOEs assess themselves as having significantly more economic status and power compared to their private sector counterparts. The power rankings are higher than economic rankings, which is suggestive of the greater benefits and non-pecuniary aspects of public sector jobs that compensate for the wage penalty for state SOEs.</w:t>
      </w:r>
    </w:p>
    <w:p w14:paraId="1DF4F9CF" w14:textId="1E6CBE66" w:rsidR="0073278F" w:rsidRDefault="0093712A" w:rsidP="008B6084">
      <w:pPr>
        <w:pStyle w:val="Normal0"/>
        <w:numPr>
          <w:ilvl w:val="0"/>
          <w:numId w:val="21"/>
        </w:numPr>
        <w:spacing w:after="240" w:line="276" w:lineRule="auto"/>
        <w:ind w:left="0" w:firstLine="0"/>
        <w:jc w:val="both"/>
      </w:pPr>
      <w:r>
        <w:rPr>
          <w:b/>
        </w:rPr>
        <w:t xml:space="preserve">Consistent with our expectations, </w:t>
      </w:r>
      <w:r w:rsidR="00BB08AC">
        <w:rPr>
          <w:b/>
        </w:rPr>
        <w:t xml:space="preserve">the SOE workers’ higher </w:t>
      </w:r>
      <w:r w:rsidR="008345F2">
        <w:rPr>
          <w:b/>
        </w:rPr>
        <w:t xml:space="preserve">job </w:t>
      </w:r>
      <w:r w:rsidR="00BB08AC">
        <w:rPr>
          <w:b/>
        </w:rPr>
        <w:t xml:space="preserve">satisfaction </w:t>
      </w:r>
      <w:r w:rsidR="00BE0F83">
        <w:rPr>
          <w:b/>
        </w:rPr>
        <w:t xml:space="preserve">and </w:t>
      </w:r>
      <w:r w:rsidR="008345F2">
        <w:rPr>
          <w:b/>
        </w:rPr>
        <w:t xml:space="preserve">perceived </w:t>
      </w:r>
      <w:r w:rsidR="00BE0F83">
        <w:rPr>
          <w:b/>
        </w:rPr>
        <w:t xml:space="preserve">prestige is correlated with the sector’s better retention of </w:t>
      </w:r>
      <w:r w:rsidR="003170CF">
        <w:rPr>
          <w:b/>
        </w:rPr>
        <w:t xml:space="preserve">existing </w:t>
      </w:r>
      <w:r w:rsidR="00BE0F83">
        <w:rPr>
          <w:b/>
        </w:rPr>
        <w:t xml:space="preserve">workers. </w:t>
      </w:r>
      <w:r w:rsidR="0073278F" w:rsidRPr="004F5B26">
        <w:rPr>
          <w:bCs/>
        </w:rPr>
        <w:t xml:space="preserve">Workers in SOEs are </w:t>
      </w:r>
      <w:r w:rsidR="00012F04">
        <w:rPr>
          <w:bCs/>
        </w:rPr>
        <w:t xml:space="preserve">both </w:t>
      </w:r>
      <w:proofErr w:type="gramStart"/>
      <w:r w:rsidR="00012F04">
        <w:rPr>
          <w:bCs/>
        </w:rPr>
        <w:t>25 percent</w:t>
      </w:r>
      <w:proofErr w:type="gramEnd"/>
      <w:r w:rsidR="00012F04">
        <w:rPr>
          <w:bCs/>
        </w:rPr>
        <w:t xml:space="preserve"> less likely to </w:t>
      </w:r>
      <w:r w:rsidR="00012F04" w:rsidRPr="00B06A13">
        <w:rPr>
          <w:bCs/>
          <w:iCs/>
        </w:rPr>
        <w:t>desire</w:t>
      </w:r>
      <w:r w:rsidR="00012F04">
        <w:rPr>
          <w:bCs/>
        </w:rPr>
        <w:t xml:space="preserve"> to change jobs (Lukyanova 2019) and </w:t>
      </w:r>
      <w:r w:rsidR="0073278F" w:rsidRPr="004F5B26">
        <w:rPr>
          <w:bCs/>
        </w:rPr>
        <w:t xml:space="preserve">less likely to </w:t>
      </w:r>
      <w:r w:rsidR="00012F04" w:rsidRPr="00B06A13">
        <w:rPr>
          <w:bCs/>
          <w:iCs/>
        </w:rPr>
        <w:t>actually</w:t>
      </w:r>
      <w:r w:rsidR="00012F04">
        <w:rPr>
          <w:bCs/>
        </w:rPr>
        <w:t xml:space="preserve"> </w:t>
      </w:r>
      <w:r w:rsidR="0073278F" w:rsidRPr="004F5B26">
        <w:rPr>
          <w:bCs/>
        </w:rPr>
        <w:t>quit their jobs compared to private sector workers.</w:t>
      </w:r>
      <w:r w:rsidR="0073278F">
        <w:t xml:space="preserve"> The panel structure of the RLMS enables the tracking of workers over time to analyze job separations, defined as a worker either having a different job compared to the previous period or having no job. These separations could be either voluntary or involuntary (the data does not allow one to distinguish). </w:t>
      </w:r>
      <w:r w:rsidR="00B726E1">
        <w:fldChar w:fldCharType="begin"/>
      </w:r>
      <w:r w:rsidR="00B726E1">
        <w:instrText xml:space="preserve"> REF _Ref9378719 \h </w:instrText>
      </w:r>
      <w:r w:rsidR="00B726E1">
        <w:fldChar w:fldCharType="separate"/>
      </w:r>
      <w:r w:rsidR="00B726E1">
        <w:t xml:space="preserve">Figure 3. </w:t>
      </w:r>
      <w:r w:rsidR="00B726E1">
        <w:rPr>
          <w:noProof/>
        </w:rPr>
        <w:t>10</w:t>
      </w:r>
      <w:r w:rsidR="00B726E1">
        <w:fldChar w:fldCharType="end"/>
      </w:r>
      <w:r w:rsidR="00B726E1">
        <w:t xml:space="preserve"> </w:t>
      </w:r>
      <w:r w:rsidR="0073278F">
        <w:t>shows that while separations have been declining over time, approximately 15 percent of public sector workers are likely to quit their jobs in a year compared to 22 percent of private sector workers.</w:t>
      </w:r>
      <w:r w:rsidR="0073278F" w:rsidRPr="00F9255D">
        <w:t xml:space="preserve"> </w:t>
      </w:r>
      <w:r w:rsidR="00073C3F">
        <w:t xml:space="preserve">Although we cannot </w:t>
      </w:r>
      <w:r w:rsidR="00E03553">
        <w:t xml:space="preserve">draw </w:t>
      </w:r>
      <w:r w:rsidR="00073C3F">
        <w:t xml:space="preserve">causal </w:t>
      </w:r>
      <w:r w:rsidR="00E03553">
        <w:t>conclusions</w:t>
      </w:r>
      <w:r w:rsidR="00073C3F">
        <w:t>,</w:t>
      </w:r>
      <w:r w:rsidR="00DD2B99">
        <w:t xml:space="preserve"> </w:t>
      </w:r>
      <w:r w:rsidR="00E03553">
        <w:t xml:space="preserve">the </w:t>
      </w:r>
      <w:r w:rsidR="0073278F">
        <w:t xml:space="preserve">higher quit rates of private sector workers are in line with their lower job satisfaction and lower self-reported </w:t>
      </w:r>
      <w:r w:rsidR="008345F2">
        <w:t xml:space="preserve">economic and power </w:t>
      </w:r>
      <w:r w:rsidR="0073278F">
        <w:t xml:space="preserve">prestige. </w:t>
      </w:r>
      <w:r w:rsidR="0073278F" w:rsidRPr="00F9255D">
        <w:t xml:space="preserve"> </w:t>
      </w:r>
    </w:p>
    <w:p w14:paraId="06A5A935" w14:textId="669BA158" w:rsidR="008D4027" w:rsidRPr="008D4027" w:rsidRDefault="008D4027" w:rsidP="009D71E1">
      <w:pPr>
        <w:pStyle w:val="Figure"/>
        <w:jc w:val="left"/>
        <w:rPr>
          <w:bCs/>
        </w:rPr>
      </w:pPr>
      <w:bookmarkStart w:id="76" w:name="_Ref9378719"/>
      <w:bookmarkStart w:id="77" w:name="_Ref8047686"/>
      <w:bookmarkStart w:id="78" w:name="_Toc11259351"/>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10</w:t>
      </w:r>
      <w:r w:rsidR="00D96C35">
        <w:rPr>
          <w:noProof/>
        </w:rPr>
        <w:fldChar w:fldCharType="end"/>
      </w:r>
      <w:bookmarkEnd w:id="76"/>
      <w:r>
        <w:t xml:space="preserve"> </w:t>
      </w:r>
      <w:bookmarkEnd w:id="77"/>
      <w:r>
        <w:t xml:space="preserve"> </w:t>
      </w:r>
      <w:r w:rsidRPr="008D4027">
        <w:rPr>
          <w:bCs/>
        </w:rPr>
        <w:t>Percentage of workers quitting jobs between consecutive rounds of RLMS.</w:t>
      </w:r>
      <w:bookmarkEnd w:id="78"/>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tblGrid>
      <w:tr w:rsidR="0073278F" w14:paraId="3D08026A" w14:textId="77777777" w:rsidTr="008D4027">
        <w:trPr>
          <w:trHeight w:val="3266"/>
          <w:jc w:val="center"/>
        </w:trPr>
        <w:tc>
          <w:tcPr>
            <w:tcW w:w="6426" w:type="dxa"/>
          </w:tcPr>
          <w:p w14:paraId="6E909DF0" w14:textId="77777777" w:rsidR="0073278F" w:rsidRDefault="0073278F" w:rsidP="00B530A6">
            <w:pPr>
              <w:spacing w:after="0" w:line="240" w:lineRule="auto"/>
              <w:rPr>
                <w:b/>
              </w:rPr>
            </w:pPr>
            <w:r>
              <w:rPr>
                <w:rFonts w:ascii="Times New Roman" w:hAnsi="Times New Roman" w:cs="Times New Roman"/>
                <w:b/>
                <w:noProof/>
                <w:color w:val="000000" w:themeColor="text1"/>
                <w:sz w:val="24"/>
                <w:szCs w:val="24"/>
              </w:rPr>
              <w:drawing>
                <wp:anchor distT="0" distB="0" distL="114300" distR="114300" simplePos="0" relativeHeight="251670528" behindDoc="0" locked="0" layoutInCell="1" allowOverlap="1" wp14:anchorId="4267AF93" wp14:editId="2D30FAC1">
                  <wp:simplePos x="0" y="0"/>
                  <wp:positionH relativeFrom="column">
                    <wp:posOffset>-3175</wp:posOffset>
                  </wp:positionH>
                  <wp:positionV relativeFrom="paragraph">
                    <wp:posOffset>0</wp:posOffset>
                  </wp:positionV>
                  <wp:extent cx="3389630" cy="2659380"/>
                  <wp:effectExtent l="0" t="0" r="1270" b="762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9630" cy="2659380"/>
                          </a:xfrm>
                          <a:prstGeom prst="rect">
                            <a:avLst/>
                          </a:prstGeom>
                          <a:noFill/>
                        </pic:spPr>
                      </pic:pic>
                    </a:graphicData>
                  </a:graphic>
                  <wp14:sizeRelH relativeFrom="margin">
                    <wp14:pctWidth>0</wp14:pctWidth>
                  </wp14:sizeRelH>
                  <wp14:sizeRelV relativeFrom="margin">
                    <wp14:pctHeight>0</wp14:pctHeight>
                  </wp14:sizeRelV>
                </wp:anchor>
              </w:drawing>
            </w:r>
          </w:p>
        </w:tc>
      </w:tr>
      <w:tr w:rsidR="0073278F" w14:paraId="7FA8A6F5" w14:textId="77777777" w:rsidTr="008D4027">
        <w:trPr>
          <w:trHeight w:val="222"/>
          <w:jc w:val="center"/>
        </w:trPr>
        <w:tc>
          <w:tcPr>
            <w:tcW w:w="6426" w:type="dxa"/>
          </w:tcPr>
          <w:p w14:paraId="77516AA8" w14:textId="4405B0C8" w:rsidR="0073278F" w:rsidRPr="00CA2EB3" w:rsidRDefault="0073278F" w:rsidP="00B530A6">
            <w:pPr>
              <w:spacing w:after="0" w:line="240" w:lineRule="auto"/>
              <w:rPr>
                <w:sz w:val="20"/>
                <w:szCs w:val="20"/>
              </w:rPr>
            </w:pPr>
            <w:r>
              <w:rPr>
                <w:i/>
                <w:sz w:val="20"/>
                <w:szCs w:val="20"/>
              </w:rPr>
              <w:t xml:space="preserve">Note: </w:t>
            </w:r>
            <w:r>
              <w:rPr>
                <w:sz w:val="20"/>
                <w:szCs w:val="20"/>
              </w:rPr>
              <w:t>Workers could either get a new job or no job in the next round.</w:t>
            </w:r>
          </w:p>
          <w:p w14:paraId="09759A2F" w14:textId="77777777" w:rsidR="0073278F" w:rsidRDefault="0073278F" w:rsidP="00B530A6">
            <w:pPr>
              <w:spacing w:after="0" w:line="240" w:lineRule="auto"/>
              <w:rPr>
                <w:b/>
              </w:rPr>
            </w:pPr>
            <w:r w:rsidRPr="00E81ADC">
              <w:rPr>
                <w:i/>
                <w:sz w:val="20"/>
                <w:szCs w:val="20"/>
              </w:rPr>
              <w:t>Source</w:t>
            </w:r>
            <w:r w:rsidRPr="00E81ADC">
              <w:rPr>
                <w:sz w:val="20"/>
                <w:szCs w:val="20"/>
              </w:rPr>
              <w:t xml:space="preserve">: </w:t>
            </w:r>
            <w:r>
              <w:rPr>
                <w:sz w:val="20"/>
                <w:szCs w:val="20"/>
              </w:rPr>
              <w:t>RLMS-HSE</w:t>
            </w:r>
          </w:p>
        </w:tc>
      </w:tr>
    </w:tbl>
    <w:p w14:paraId="187B7C25" w14:textId="77777777" w:rsidR="0073278F" w:rsidRDefault="0073278F" w:rsidP="0073278F"/>
    <w:p w14:paraId="57FE9E34" w14:textId="6DCFC266" w:rsidR="006A3928" w:rsidRDefault="00353677" w:rsidP="008302B1">
      <w:pPr>
        <w:pStyle w:val="Normal0"/>
        <w:numPr>
          <w:ilvl w:val="0"/>
          <w:numId w:val="21"/>
        </w:numPr>
        <w:spacing w:after="240" w:line="276" w:lineRule="auto"/>
        <w:ind w:left="0" w:firstLine="0"/>
        <w:jc w:val="both"/>
      </w:pPr>
      <w:r>
        <w:rPr>
          <w:b/>
        </w:rPr>
        <w:t>SOE worker’s higher job satisfaction and prestige are also correlated with the sector’s higher ability to attract new skilled labor.</w:t>
      </w:r>
      <w:r w:rsidRPr="004860B0">
        <w:rPr>
          <w:b/>
        </w:rPr>
        <w:t xml:space="preserve"> </w:t>
      </w:r>
      <w:r w:rsidR="00404D62">
        <w:t>I</w:t>
      </w:r>
      <w:r w:rsidR="00404D62" w:rsidRPr="00DC5020">
        <w:t>ntersectoral transition matrices based on RLMS 2012-2016 data</w:t>
      </w:r>
      <w:r w:rsidR="00404D62" w:rsidRPr="00E95ADD">
        <w:rPr>
          <w:b/>
        </w:rPr>
        <w:t xml:space="preserve"> </w:t>
      </w:r>
      <w:r w:rsidR="00404D62">
        <w:rPr>
          <w:bCs/>
        </w:rPr>
        <w:t xml:space="preserve">show that the net flow of workers from the private sector to SOEs is </w:t>
      </w:r>
      <w:r w:rsidR="00AC5E35">
        <w:rPr>
          <w:bCs/>
        </w:rPr>
        <w:t>consistently higher--on average</w:t>
      </w:r>
      <w:r w:rsidR="00471AA3">
        <w:rPr>
          <w:bCs/>
        </w:rPr>
        <w:t>, by</w:t>
      </w:r>
      <w:r w:rsidR="00AC5E35">
        <w:rPr>
          <w:bCs/>
        </w:rPr>
        <w:t xml:space="preserve"> </w:t>
      </w:r>
      <w:r w:rsidR="00404D62">
        <w:rPr>
          <w:bCs/>
        </w:rPr>
        <w:t>20 percent</w:t>
      </w:r>
      <w:r w:rsidR="00AC5E35">
        <w:rPr>
          <w:bCs/>
        </w:rPr>
        <w:t>--</w:t>
      </w:r>
      <w:r w:rsidR="00404D62">
        <w:rPr>
          <w:bCs/>
        </w:rPr>
        <w:t xml:space="preserve">than the reverse. </w:t>
      </w:r>
      <w:r w:rsidR="00A82696">
        <w:rPr>
          <w:bCs/>
        </w:rPr>
        <w:t xml:space="preserve">This result </w:t>
      </w:r>
      <w:r w:rsidR="003F3B40">
        <w:rPr>
          <w:bCs/>
        </w:rPr>
        <w:t xml:space="preserve">is consistent with our expectations and </w:t>
      </w:r>
      <w:r w:rsidR="007232D0">
        <w:rPr>
          <w:bCs/>
        </w:rPr>
        <w:t xml:space="preserve">could </w:t>
      </w:r>
      <w:r w:rsidR="008302B1">
        <w:rPr>
          <w:bCs/>
        </w:rPr>
        <w:t xml:space="preserve">reflect </w:t>
      </w:r>
      <w:r w:rsidR="00A82696">
        <w:rPr>
          <w:bCs/>
        </w:rPr>
        <w:t xml:space="preserve">the SOE sector’s </w:t>
      </w:r>
      <w:r w:rsidR="00471AA3">
        <w:rPr>
          <w:bCs/>
        </w:rPr>
        <w:t xml:space="preserve">attractive </w:t>
      </w:r>
      <w:r w:rsidR="00686F7A">
        <w:rPr>
          <w:bCs/>
        </w:rPr>
        <w:t>compensation</w:t>
      </w:r>
      <w:r w:rsidR="00210378">
        <w:rPr>
          <w:bCs/>
        </w:rPr>
        <w:t xml:space="preserve"> and terms of employment</w:t>
      </w:r>
      <w:r w:rsidR="00686F7A">
        <w:rPr>
          <w:bCs/>
        </w:rPr>
        <w:t xml:space="preserve">. </w:t>
      </w:r>
      <w:r w:rsidR="002C48AC">
        <w:rPr>
          <w:bCs/>
        </w:rPr>
        <w:t xml:space="preserve">Although we cannot rule out the </w:t>
      </w:r>
      <w:r w:rsidR="00AB0B10">
        <w:rPr>
          <w:bCs/>
        </w:rPr>
        <w:t xml:space="preserve">possibility that </w:t>
      </w:r>
      <w:r w:rsidR="00447B93">
        <w:rPr>
          <w:bCs/>
        </w:rPr>
        <w:t xml:space="preserve">the </w:t>
      </w:r>
      <w:r w:rsidR="00AC5E35">
        <w:rPr>
          <w:bCs/>
        </w:rPr>
        <w:t xml:space="preserve">net positive flow of workers to SOEs is </w:t>
      </w:r>
      <w:r w:rsidR="00447B93">
        <w:rPr>
          <w:bCs/>
        </w:rPr>
        <w:t xml:space="preserve">driven by </w:t>
      </w:r>
      <w:r w:rsidR="009D656A">
        <w:rPr>
          <w:bCs/>
        </w:rPr>
        <w:t>job openings</w:t>
      </w:r>
      <w:r w:rsidR="00DC4089">
        <w:rPr>
          <w:bCs/>
        </w:rPr>
        <w:t>--a hypothesis we cannot test with available data--</w:t>
      </w:r>
      <w:r w:rsidR="00A53E9B">
        <w:rPr>
          <w:bCs/>
        </w:rPr>
        <w:t>we believe</w:t>
      </w:r>
      <w:r w:rsidR="006A3928">
        <w:rPr>
          <w:bCs/>
        </w:rPr>
        <w:t xml:space="preserve"> this explanation is</w:t>
      </w:r>
      <w:r w:rsidR="00A53E9B">
        <w:rPr>
          <w:bCs/>
        </w:rPr>
        <w:t xml:space="preserve"> </w:t>
      </w:r>
      <w:r w:rsidR="006A3928">
        <w:rPr>
          <w:bCs/>
        </w:rPr>
        <w:t xml:space="preserve">less persuasive </w:t>
      </w:r>
      <w:r w:rsidR="00A53E9B">
        <w:rPr>
          <w:bCs/>
        </w:rPr>
        <w:t xml:space="preserve">because </w:t>
      </w:r>
      <w:r w:rsidR="00826F6A">
        <w:rPr>
          <w:bCs/>
        </w:rPr>
        <w:t xml:space="preserve">most jobs </w:t>
      </w:r>
      <w:r w:rsidR="00A53E9B">
        <w:rPr>
          <w:bCs/>
        </w:rPr>
        <w:t xml:space="preserve">in Russia </w:t>
      </w:r>
      <w:r w:rsidR="00826F6A">
        <w:rPr>
          <w:bCs/>
        </w:rPr>
        <w:t xml:space="preserve">are created in the private sector. </w:t>
      </w:r>
    </w:p>
    <w:p w14:paraId="34C288EE" w14:textId="6F8AB9C6" w:rsidR="00E95528" w:rsidRPr="00AC748B" w:rsidRDefault="0086644D" w:rsidP="00E510DC">
      <w:pPr>
        <w:pStyle w:val="Normal0"/>
        <w:numPr>
          <w:ilvl w:val="0"/>
          <w:numId w:val="21"/>
        </w:numPr>
        <w:spacing w:after="240" w:line="276" w:lineRule="auto"/>
        <w:ind w:left="0" w:firstLine="0"/>
        <w:jc w:val="both"/>
      </w:pPr>
      <w:r w:rsidRPr="00E50F50">
        <w:rPr>
          <w:b/>
          <w:bCs/>
        </w:rPr>
        <w:t xml:space="preserve">The results from </w:t>
      </w:r>
      <w:r w:rsidR="00CC5F8A" w:rsidRPr="00E50F50">
        <w:rPr>
          <w:b/>
          <w:bCs/>
        </w:rPr>
        <w:t>transition matri</w:t>
      </w:r>
      <w:r w:rsidRPr="00E50F50">
        <w:rPr>
          <w:b/>
          <w:bCs/>
        </w:rPr>
        <w:t>ces</w:t>
      </w:r>
      <w:r w:rsidR="0059784A" w:rsidRPr="00E50F50">
        <w:rPr>
          <w:b/>
          <w:bCs/>
        </w:rPr>
        <w:t xml:space="preserve">, </w:t>
      </w:r>
      <w:r w:rsidRPr="00E50F50">
        <w:rPr>
          <w:b/>
          <w:bCs/>
        </w:rPr>
        <w:t>while</w:t>
      </w:r>
      <w:r w:rsidR="00CC5F8A" w:rsidRPr="00E50F50">
        <w:rPr>
          <w:b/>
          <w:bCs/>
        </w:rPr>
        <w:t xml:space="preserve"> consistent with </w:t>
      </w:r>
      <w:r w:rsidR="00E510DC" w:rsidRPr="00E50F50">
        <w:rPr>
          <w:b/>
          <w:bCs/>
        </w:rPr>
        <w:t xml:space="preserve">our expectations, </w:t>
      </w:r>
      <w:r w:rsidR="0059784A" w:rsidRPr="00E50F50">
        <w:rPr>
          <w:b/>
          <w:bCs/>
        </w:rPr>
        <w:t xml:space="preserve">only show the net flow of workers, </w:t>
      </w:r>
      <w:r w:rsidR="00D722FD" w:rsidRPr="00E50F50">
        <w:rPr>
          <w:b/>
          <w:bCs/>
        </w:rPr>
        <w:t>not</w:t>
      </w:r>
      <w:r w:rsidR="00B63759" w:rsidRPr="00E50F50">
        <w:rPr>
          <w:b/>
          <w:bCs/>
        </w:rPr>
        <w:t xml:space="preserve"> </w:t>
      </w:r>
      <w:r w:rsidR="00B92E69" w:rsidRPr="00E50F50">
        <w:rPr>
          <w:b/>
          <w:bCs/>
        </w:rPr>
        <w:t xml:space="preserve">of </w:t>
      </w:r>
      <w:r w:rsidR="0059784A" w:rsidRPr="00E50F50">
        <w:rPr>
          <w:b/>
          <w:bCs/>
          <w:iCs/>
        </w:rPr>
        <w:t>skills</w:t>
      </w:r>
      <w:r w:rsidR="0049532F" w:rsidRPr="00E50F50">
        <w:rPr>
          <w:b/>
          <w:bCs/>
          <w:i/>
          <w:iCs/>
        </w:rPr>
        <w:t>.</w:t>
      </w:r>
      <w:r w:rsidR="0059784A">
        <w:rPr>
          <w:bCs/>
        </w:rPr>
        <w:t xml:space="preserve"> </w:t>
      </w:r>
      <w:r w:rsidR="0049532F">
        <w:rPr>
          <w:bCs/>
        </w:rPr>
        <w:t xml:space="preserve">A </w:t>
      </w:r>
      <w:r w:rsidR="00D03340" w:rsidRPr="006A3928">
        <w:rPr>
          <w:bCs/>
        </w:rPr>
        <w:t>clear</w:t>
      </w:r>
      <w:r w:rsidR="006A3928" w:rsidRPr="006A3928">
        <w:rPr>
          <w:bCs/>
        </w:rPr>
        <w:t>er</w:t>
      </w:r>
      <w:r w:rsidR="00D03340">
        <w:t xml:space="preserve"> picture </w:t>
      </w:r>
      <w:r w:rsidR="00A36E8C">
        <w:t xml:space="preserve">emerges if we compare </w:t>
      </w:r>
      <w:r w:rsidR="001F3960">
        <w:t>growth in</w:t>
      </w:r>
      <w:r w:rsidR="00CC5F8A">
        <w:t xml:space="preserve"> the</w:t>
      </w:r>
      <w:r w:rsidR="001F3960">
        <w:t xml:space="preserve"> </w:t>
      </w:r>
      <w:r w:rsidR="00224A51">
        <w:t>share</w:t>
      </w:r>
      <w:r w:rsidR="00A36E8C">
        <w:t xml:space="preserve"> of </w:t>
      </w:r>
      <w:r w:rsidR="00A36E8C" w:rsidRPr="00B209D1">
        <w:t>skilled</w:t>
      </w:r>
      <w:r w:rsidR="00A36E8C">
        <w:t xml:space="preserve"> workers in the two sectors.</w:t>
      </w:r>
      <w:r w:rsidR="004965ED" w:rsidRPr="006A3928">
        <w:rPr>
          <w:b/>
        </w:rPr>
        <w:t xml:space="preserve"> </w:t>
      </w:r>
      <w:r w:rsidR="00B726E1">
        <w:rPr>
          <w:bCs/>
        </w:rPr>
        <w:fldChar w:fldCharType="begin"/>
      </w:r>
      <w:r w:rsidR="00B726E1">
        <w:rPr>
          <w:b/>
        </w:rPr>
        <w:instrText xml:space="preserve"> REF _Ref9378763 \h </w:instrText>
      </w:r>
      <w:r w:rsidR="00B726E1">
        <w:rPr>
          <w:bCs/>
        </w:rPr>
      </w:r>
      <w:r w:rsidR="00B726E1">
        <w:rPr>
          <w:bCs/>
        </w:rPr>
        <w:fldChar w:fldCharType="separate"/>
      </w:r>
      <w:r w:rsidR="00B726E1">
        <w:t xml:space="preserve">Figure 3. </w:t>
      </w:r>
      <w:r w:rsidR="00B726E1">
        <w:rPr>
          <w:noProof/>
        </w:rPr>
        <w:t>11</w:t>
      </w:r>
      <w:r w:rsidR="00B726E1">
        <w:rPr>
          <w:bCs/>
        </w:rPr>
        <w:fldChar w:fldCharType="end"/>
      </w:r>
      <w:r w:rsidR="00B726E1">
        <w:rPr>
          <w:bCs/>
        </w:rPr>
        <w:t xml:space="preserve"> </w:t>
      </w:r>
      <w:r w:rsidR="00C40251" w:rsidRPr="006A3928">
        <w:rPr>
          <w:bCs/>
        </w:rPr>
        <w:t>shows that SOEs have been more successful at attracting highly skilled workers than private sector firms over the past two decades</w:t>
      </w:r>
      <w:r w:rsidR="00924367" w:rsidRPr="006A3928">
        <w:rPr>
          <w:bCs/>
        </w:rPr>
        <w:t>.</w:t>
      </w:r>
      <w:r w:rsidR="00A824AC" w:rsidRPr="006A3928">
        <w:rPr>
          <w:bCs/>
        </w:rPr>
        <w:t xml:space="preserve"> </w:t>
      </w:r>
      <w:r w:rsidR="004965ED">
        <w:t>While the share of university graduates in formal sector employment has been growing steadily across all sectors, the growth has been much higher in SOEs than in the private sector—the share increased two-and-a-half fold in SOEs compared to one-and-a-half times in the private sector.</w:t>
      </w:r>
      <w:r w:rsidR="00E95ADD">
        <w:t xml:space="preserve"> These differences are observed </w:t>
      </w:r>
      <w:r w:rsidR="00E95ADD" w:rsidRPr="006A3928">
        <w:rPr>
          <w:bCs/>
        </w:rPr>
        <w:t xml:space="preserve">despite the two sectors’ similar </w:t>
      </w:r>
      <w:r w:rsidR="00E95ADD" w:rsidRPr="00E50F50">
        <w:rPr>
          <w:bCs/>
          <w:iCs/>
        </w:rPr>
        <w:t>demand</w:t>
      </w:r>
      <w:r w:rsidR="00E95ADD" w:rsidRPr="006A3928">
        <w:rPr>
          <w:bCs/>
        </w:rPr>
        <w:t xml:space="preserve"> for skills as observed from their similar occupation</w:t>
      </w:r>
      <w:r w:rsidR="008C5DCA" w:rsidRPr="006A3928">
        <w:rPr>
          <w:bCs/>
        </w:rPr>
        <w:t>al</w:t>
      </w:r>
      <w:r w:rsidR="00E95ADD" w:rsidRPr="006A3928">
        <w:rPr>
          <w:bCs/>
        </w:rPr>
        <w:t xml:space="preserve"> structures (Lukyanova 2019).</w:t>
      </w:r>
      <w:r w:rsidR="00E95ADD">
        <w:t xml:space="preserve"> </w:t>
      </w:r>
      <w:r w:rsidR="004965ED">
        <w:t xml:space="preserve"> </w:t>
      </w:r>
    </w:p>
    <w:p w14:paraId="750386FC" w14:textId="4A5A7A1B" w:rsidR="00DD6CDF" w:rsidRDefault="00DD6CDF" w:rsidP="009D71E1">
      <w:pPr>
        <w:pStyle w:val="Figure"/>
        <w:jc w:val="left"/>
      </w:pPr>
      <w:bookmarkStart w:id="79" w:name="_Ref9378763"/>
      <w:bookmarkStart w:id="80" w:name="_Toc11259352"/>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11</w:t>
      </w:r>
      <w:r w:rsidR="00D96C35">
        <w:rPr>
          <w:noProof/>
        </w:rPr>
        <w:fldChar w:fldCharType="end"/>
      </w:r>
      <w:bookmarkEnd w:id="79"/>
      <w:r>
        <w:t xml:space="preserve"> Growth in the share of university graduates, relative to base year (1994).</w:t>
      </w:r>
      <w:bookmarkEnd w:id="80"/>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tblGrid>
      <w:tr w:rsidR="0073278F" w14:paraId="085946F2" w14:textId="77777777" w:rsidTr="00B530A6">
        <w:trPr>
          <w:trHeight w:val="3884"/>
          <w:jc w:val="center"/>
        </w:trPr>
        <w:tc>
          <w:tcPr>
            <w:tcW w:w="5976" w:type="dxa"/>
          </w:tcPr>
          <w:p w14:paraId="5EC3607B" w14:textId="77777777" w:rsidR="0073278F" w:rsidRDefault="0073278F" w:rsidP="00B530A6">
            <w:pPr>
              <w:spacing w:after="0" w:line="240" w:lineRule="auto"/>
              <w:jc w:val="center"/>
            </w:pPr>
            <w:r w:rsidRPr="00467268">
              <w:rPr>
                <w:noProof/>
              </w:rPr>
              <w:drawing>
                <wp:inline distT="0" distB="0" distL="0" distR="0" wp14:anchorId="632552D1" wp14:editId="29E7074D">
                  <wp:extent cx="3657600" cy="2896047"/>
                  <wp:effectExtent l="0" t="0" r="0" b="0"/>
                  <wp:docPr id="46" name="Picture 6">
                    <a:extLst xmlns:a="http://schemas.openxmlformats.org/drawingml/2006/main">
                      <a:ext uri="{FF2B5EF4-FFF2-40B4-BE49-F238E27FC236}">
                        <a16:creationId xmlns:a16="http://schemas.microsoft.com/office/drawing/2014/main" id="{EBB6EF4A-E85F-4E08-979D-8CFEAC4B7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BB6EF4A-E85F-4E08-979D-8CFEAC4B7654}"/>
                              </a:ext>
                            </a:extLst>
                          </pic:cNvPr>
                          <pic:cNvPicPr>
                            <a:picLocks noChangeAspect="1"/>
                          </pic:cNvPicPr>
                        </pic:nvPicPr>
                        <pic:blipFill>
                          <a:blip r:embed="rId36"/>
                          <a:stretch>
                            <a:fillRect/>
                          </a:stretch>
                        </pic:blipFill>
                        <pic:spPr>
                          <a:xfrm>
                            <a:off x="0" y="0"/>
                            <a:ext cx="3657600" cy="2896047"/>
                          </a:xfrm>
                          <a:prstGeom prst="rect">
                            <a:avLst/>
                          </a:prstGeom>
                        </pic:spPr>
                      </pic:pic>
                    </a:graphicData>
                  </a:graphic>
                </wp:inline>
              </w:drawing>
            </w:r>
          </w:p>
        </w:tc>
      </w:tr>
      <w:tr w:rsidR="0073278F" w14:paraId="74663BB1" w14:textId="77777777" w:rsidTr="00B530A6">
        <w:trPr>
          <w:trHeight w:val="225"/>
          <w:jc w:val="center"/>
        </w:trPr>
        <w:tc>
          <w:tcPr>
            <w:tcW w:w="5976" w:type="dxa"/>
          </w:tcPr>
          <w:p w14:paraId="640379D8" w14:textId="77777777" w:rsidR="0073278F" w:rsidRPr="00AA7D70" w:rsidRDefault="0073278F" w:rsidP="00B530A6">
            <w:pPr>
              <w:keepNext/>
              <w:spacing w:after="0" w:line="240" w:lineRule="auto"/>
              <w:rPr>
                <w:sz w:val="20"/>
                <w:szCs w:val="20"/>
              </w:rPr>
            </w:pPr>
            <w:r w:rsidRPr="00AA7D70">
              <w:rPr>
                <w:i/>
                <w:sz w:val="20"/>
                <w:szCs w:val="20"/>
              </w:rPr>
              <w:t>Source</w:t>
            </w:r>
            <w:r w:rsidRPr="00AA7D70">
              <w:rPr>
                <w:sz w:val="20"/>
                <w:szCs w:val="20"/>
              </w:rPr>
              <w:t>: RSLM-HSE</w:t>
            </w:r>
          </w:p>
        </w:tc>
      </w:tr>
    </w:tbl>
    <w:p w14:paraId="110CE88B" w14:textId="77777777" w:rsidR="0073278F" w:rsidRDefault="0073278F" w:rsidP="0073278F">
      <w:pPr>
        <w:spacing w:after="160" w:line="259" w:lineRule="auto"/>
      </w:pPr>
    </w:p>
    <w:p w14:paraId="360B418A" w14:textId="669C6FA8" w:rsidR="00FD1AD8" w:rsidRDefault="00867AA8" w:rsidP="00AC69E0">
      <w:pPr>
        <w:pStyle w:val="Normal0"/>
        <w:numPr>
          <w:ilvl w:val="0"/>
          <w:numId w:val="21"/>
        </w:numPr>
        <w:spacing w:after="240" w:line="276" w:lineRule="auto"/>
        <w:ind w:left="0" w:firstLine="0"/>
        <w:jc w:val="both"/>
      </w:pPr>
      <w:r>
        <w:rPr>
          <w:b/>
        </w:rPr>
        <w:t xml:space="preserve">In the context of </w:t>
      </w:r>
      <w:r w:rsidR="006530EF">
        <w:rPr>
          <w:b/>
        </w:rPr>
        <w:t xml:space="preserve">Russia’s </w:t>
      </w:r>
      <w:r>
        <w:rPr>
          <w:b/>
        </w:rPr>
        <w:t>tight labor market</w:t>
      </w:r>
      <w:r w:rsidR="006530EF">
        <w:rPr>
          <w:b/>
        </w:rPr>
        <w:t xml:space="preserve">, the </w:t>
      </w:r>
      <w:r w:rsidR="0048255D">
        <w:rPr>
          <w:b/>
        </w:rPr>
        <w:t xml:space="preserve">relatively stronger pull of </w:t>
      </w:r>
      <w:r w:rsidR="007510DE">
        <w:rPr>
          <w:b/>
        </w:rPr>
        <w:t xml:space="preserve">skilled labor </w:t>
      </w:r>
      <w:r w:rsidR="0048255D">
        <w:rPr>
          <w:b/>
        </w:rPr>
        <w:t xml:space="preserve">towards </w:t>
      </w:r>
      <w:r w:rsidR="007510DE">
        <w:rPr>
          <w:b/>
        </w:rPr>
        <w:t xml:space="preserve">the SOE sector </w:t>
      </w:r>
      <w:r w:rsidR="005F4E62">
        <w:rPr>
          <w:b/>
        </w:rPr>
        <w:t>is expected to</w:t>
      </w:r>
      <w:r w:rsidR="007510DE">
        <w:rPr>
          <w:b/>
        </w:rPr>
        <w:t xml:space="preserve"> </w:t>
      </w:r>
      <w:r w:rsidR="00BD2BFC">
        <w:rPr>
          <w:b/>
        </w:rPr>
        <w:t xml:space="preserve">cause disproportionate </w:t>
      </w:r>
      <w:r w:rsidR="007510DE">
        <w:rPr>
          <w:b/>
        </w:rPr>
        <w:t>skill shortages in the private sector.</w:t>
      </w:r>
      <w:r w:rsidR="00B64FC0">
        <w:rPr>
          <w:b/>
        </w:rPr>
        <w:t xml:space="preserve"> </w:t>
      </w:r>
      <w:r w:rsidR="0000173F" w:rsidRPr="0008011D">
        <w:rPr>
          <w:bCs/>
        </w:rPr>
        <w:t xml:space="preserve">Russia’s </w:t>
      </w:r>
      <w:r w:rsidR="00A05AA7" w:rsidRPr="0008011D">
        <w:rPr>
          <w:bCs/>
        </w:rPr>
        <w:t xml:space="preserve">record-low </w:t>
      </w:r>
      <w:r w:rsidR="00B64FC0" w:rsidRPr="0008011D">
        <w:rPr>
          <w:bCs/>
        </w:rPr>
        <w:t>unemployment rate</w:t>
      </w:r>
      <w:r w:rsidR="00A05AA7" w:rsidRPr="0008011D">
        <w:rPr>
          <w:bCs/>
        </w:rPr>
        <w:t xml:space="preserve"> since 2012 </w:t>
      </w:r>
      <w:r w:rsidR="0000173F" w:rsidRPr="0008011D">
        <w:rPr>
          <w:bCs/>
        </w:rPr>
        <w:t>(</w:t>
      </w:r>
      <w:r w:rsidR="00AC69E0">
        <w:rPr>
          <w:bCs/>
        </w:rPr>
        <w:fldChar w:fldCharType="begin"/>
      </w:r>
      <w:r w:rsidR="00AC69E0">
        <w:rPr>
          <w:bCs/>
        </w:rPr>
        <w:instrText xml:space="preserve"> REF _Ref9378792 \h </w:instrText>
      </w:r>
      <w:r w:rsidR="00AC69E0">
        <w:rPr>
          <w:bCs/>
        </w:rPr>
      </w:r>
      <w:r w:rsidR="00AC69E0">
        <w:rPr>
          <w:bCs/>
        </w:rPr>
        <w:fldChar w:fldCharType="separate"/>
      </w:r>
      <w:r w:rsidR="00AC69E0">
        <w:t>Figure 3.</w:t>
      </w:r>
      <w:r w:rsidR="00AC69E0">
        <w:rPr>
          <w:noProof/>
        </w:rPr>
        <w:t>12</w:t>
      </w:r>
      <w:r w:rsidR="00AC69E0">
        <w:rPr>
          <w:bCs/>
        </w:rPr>
        <w:fldChar w:fldCharType="end"/>
      </w:r>
      <w:r w:rsidR="0000173F" w:rsidRPr="0008011D">
        <w:rPr>
          <w:bCs/>
        </w:rPr>
        <w:t>)</w:t>
      </w:r>
      <w:r w:rsidR="008A2546" w:rsidRPr="0008011D">
        <w:rPr>
          <w:bCs/>
        </w:rPr>
        <w:t xml:space="preserve"> </w:t>
      </w:r>
      <w:r w:rsidR="006B06BE" w:rsidRPr="0008011D">
        <w:rPr>
          <w:bCs/>
        </w:rPr>
        <w:t xml:space="preserve">has </w:t>
      </w:r>
      <w:r w:rsidR="008A2546" w:rsidRPr="0008011D">
        <w:rPr>
          <w:bCs/>
        </w:rPr>
        <w:t>tight</w:t>
      </w:r>
      <w:r w:rsidR="006B06BE" w:rsidRPr="0008011D">
        <w:rPr>
          <w:bCs/>
        </w:rPr>
        <w:t>ened</w:t>
      </w:r>
      <w:r w:rsidR="008A2546" w:rsidRPr="0008011D">
        <w:rPr>
          <w:bCs/>
        </w:rPr>
        <w:t xml:space="preserve"> labor market</w:t>
      </w:r>
      <w:r w:rsidR="006B06BE" w:rsidRPr="0008011D">
        <w:rPr>
          <w:bCs/>
        </w:rPr>
        <w:t>s</w:t>
      </w:r>
      <w:r w:rsidR="008A2546" w:rsidRPr="0008011D">
        <w:rPr>
          <w:bCs/>
        </w:rPr>
        <w:t xml:space="preserve"> </w:t>
      </w:r>
      <w:r w:rsidR="006B06BE" w:rsidRPr="0008011D">
        <w:rPr>
          <w:bCs/>
        </w:rPr>
        <w:t xml:space="preserve">and </w:t>
      </w:r>
      <w:r w:rsidR="00A05AA7" w:rsidRPr="0008011D">
        <w:rPr>
          <w:bCs/>
        </w:rPr>
        <w:t xml:space="preserve">contributed to </w:t>
      </w:r>
      <w:r w:rsidR="008A2546" w:rsidRPr="0008011D">
        <w:rPr>
          <w:bCs/>
        </w:rPr>
        <w:t>overall</w:t>
      </w:r>
      <w:r w:rsidR="006B06BE" w:rsidRPr="0008011D">
        <w:rPr>
          <w:bCs/>
        </w:rPr>
        <w:t xml:space="preserve"> skill shortages in the economy</w:t>
      </w:r>
      <w:r w:rsidR="009D0758" w:rsidRPr="0008011D">
        <w:rPr>
          <w:bCs/>
        </w:rPr>
        <w:t>.</w:t>
      </w:r>
      <w:r w:rsidR="009D0758">
        <w:rPr>
          <w:b/>
        </w:rPr>
        <w:t xml:space="preserve"> </w:t>
      </w:r>
      <w:r w:rsidR="006B06BE">
        <w:t>Cross-national data from the World Bank’s Enterprise Surveys reveal that 25 percent of Russian private sector firms state that skills shortages are a “major or severe constraint”, higher than all but three countries in the dataset</w:t>
      </w:r>
      <w:r w:rsidR="000F4425">
        <w:t xml:space="preserve"> (</w:t>
      </w:r>
      <w:r w:rsidR="00AC69E0">
        <w:fldChar w:fldCharType="begin"/>
      </w:r>
      <w:r w:rsidR="00AC69E0">
        <w:instrText xml:space="preserve"> REF _Ref9378798 \h </w:instrText>
      </w:r>
      <w:r w:rsidR="00AC69E0">
        <w:fldChar w:fldCharType="separate"/>
      </w:r>
      <w:r w:rsidR="00AC69E0">
        <w:t>Figure 3.</w:t>
      </w:r>
      <w:r w:rsidR="00AC69E0">
        <w:rPr>
          <w:noProof/>
        </w:rPr>
        <w:t>13</w:t>
      </w:r>
      <w:r w:rsidR="00AC69E0">
        <w:fldChar w:fldCharType="end"/>
      </w:r>
      <w:r w:rsidR="000F4425">
        <w:t>)</w:t>
      </w:r>
      <w:r w:rsidR="006B06BE">
        <w:t xml:space="preserve">. </w:t>
      </w:r>
      <w:r w:rsidR="00A05AA7">
        <w:t>A</w:t>
      </w:r>
      <w:r w:rsidR="000F4425">
        <w:t xml:space="preserve">s predicted, </w:t>
      </w:r>
      <w:r w:rsidR="001D4400">
        <w:t xml:space="preserve">we find that </w:t>
      </w:r>
      <w:r w:rsidR="000F4425">
        <w:t xml:space="preserve">these skill shortages disproportionately affect the private sector. Controlling for standard firm characteristics, </w:t>
      </w:r>
      <w:r w:rsidR="001D4400" w:rsidRPr="00A736BB">
        <w:t>p</w:t>
      </w:r>
      <w:r w:rsidR="0073278F" w:rsidRPr="00A736BB">
        <w:t xml:space="preserve">rivate sector firms in Russia are 17 percent more likely to report shortages of skilled workers than SOEs, and </w:t>
      </w:r>
      <w:r w:rsidR="00D862FD" w:rsidRPr="00A736BB">
        <w:t>the difference is statistically significant. T</w:t>
      </w:r>
      <w:r w:rsidR="0073278F" w:rsidRPr="00A736BB">
        <w:t>hese shortages are highest for smaller-sized private firms which face the widest wage gap with SOEs.</w:t>
      </w:r>
      <w:r w:rsidR="0073278F" w:rsidRPr="00A736BB">
        <w:rPr>
          <w:rStyle w:val="FootnoteReference"/>
        </w:rPr>
        <w:footnoteReference w:id="26"/>
      </w:r>
      <w:r w:rsidR="0073278F">
        <w:t xml:space="preserve"> </w:t>
      </w:r>
      <w:r w:rsidR="00194D82">
        <w:t xml:space="preserve">Although </w:t>
      </w:r>
      <w:r w:rsidR="0073278F">
        <w:t xml:space="preserve">skill shortages could be due to a variety of factors, </w:t>
      </w:r>
      <w:r w:rsidR="004B3F06">
        <w:t xml:space="preserve">sectoral </w:t>
      </w:r>
      <w:r w:rsidR="0073278F" w:rsidRPr="000F2112">
        <w:t>differences in total compensation</w:t>
      </w:r>
      <w:r w:rsidR="004B3F06">
        <w:t xml:space="preserve"> </w:t>
      </w:r>
      <w:r w:rsidR="005710EB">
        <w:t xml:space="preserve">likely play a </w:t>
      </w:r>
      <w:r w:rsidR="005F34DA">
        <w:t xml:space="preserve">major </w:t>
      </w:r>
      <w:r w:rsidR="005710EB">
        <w:t>role</w:t>
      </w:r>
      <w:r w:rsidR="004B3F06">
        <w:t>.</w:t>
      </w:r>
      <w:r w:rsidR="005F34DA">
        <w:t xml:space="preserve"> </w:t>
      </w:r>
      <w:proofErr w:type="spellStart"/>
      <w:r w:rsidR="005F34DA">
        <w:t>RuFiGE</w:t>
      </w:r>
      <w:proofErr w:type="spellEnd"/>
      <w:r w:rsidR="005F34DA">
        <w:t xml:space="preserve"> data suggests that</w:t>
      </w:r>
      <w:r w:rsidR="005710EB">
        <w:t xml:space="preserve">, controlling for firm size, </w:t>
      </w:r>
      <w:r w:rsidR="002C062D">
        <w:t xml:space="preserve">sector, share of educated workers, share of managerial-level staff, and other </w:t>
      </w:r>
      <w:r w:rsidR="005710EB">
        <w:t>characteristics</w:t>
      </w:r>
      <w:r w:rsidR="002C062D">
        <w:t>,</w:t>
      </w:r>
      <w:r w:rsidR="005710EB">
        <w:t xml:space="preserve"> </w:t>
      </w:r>
      <w:r w:rsidR="005F34DA">
        <w:t xml:space="preserve">a 1 percent lower average skilled-worker wage predicts a </w:t>
      </w:r>
      <w:r w:rsidR="003917BA">
        <w:t>9 percent higher probability that the firm will experience skilled worker shortages</w:t>
      </w:r>
      <w:r w:rsidR="00B451DA">
        <w:t>.</w:t>
      </w:r>
      <w:r w:rsidR="004B3F06">
        <w:t xml:space="preserve"> </w:t>
      </w:r>
    </w:p>
    <w:tbl>
      <w:tblPr>
        <w:tblStyle w:val="TableGrid0"/>
        <w:tblW w:w="95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829"/>
      </w:tblGrid>
      <w:tr w:rsidR="00B64FC0" w14:paraId="5682C36A" w14:textId="77777777" w:rsidTr="00693451">
        <w:tc>
          <w:tcPr>
            <w:tcW w:w="4713" w:type="dxa"/>
          </w:tcPr>
          <w:p w14:paraId="58853D5E" w14:textId="75439A19" w:rsidR="00B64FC0" w:rsidRPr="00A80AE9" w:rsidRDefault="00A80AE9" w:rsidP="00A80AE9">
            <w:pPr>
              <w:pStyle w:val="Figure"/>
            </w:pPr>
            <w:bookmarkStart w:id="81" w:name="_Ref9378792"/>
            <w:bookmarkStart w:id="82" w:name="_Ref11187637"/>
            <w:bookmarkStart w:id="83" w:name="_Toc11259353"/>
            <w:r>
              <w:t>Figure 3.</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12</w:t>
            </w:r>
            <w:r w:rsidR="00D96C35">
              <w:rPr>
                <w:noProof/>
              </w:rPr>
              <w:fldChar w:fldCharType="end"/>
            </w:r>
            <w:bookmarkEnd w:id="81"/>
            <w:bookmarkEnd w:id="82"/>
            <w:r>
              <w:t xml:space="preserve"> </w:t>
            </w:r>
            <w:r w:rsidR="00B64FC0" w:rsidRPr="00A80AE9">
              <w:rPr>
                <w:bCs/>
              </w:rPr>
              <w:t>Unemployment rates, Russia and comparators 2010-2018</w:t>
            </w:r>
            <w:bookmarkEnd w:id="83"/>
          </w:p>
        </w:tc>
        <w:tc>
          <w:tcPr>
            <w:tcW w:w="4832" w:type="dxa"/>
          </w:tcPr>
          <w:p w14:paraId="0A90225B" w14:textId="2C4DFCFD" w:rsidR="00B64FC0" w:rsidRPr="00693451" w:rsidRDefault="00693451" w:rsidP="00693451">
            <w:pPr>
              <w:pStyle w:val="Figure"/>
              <w:rPr>
                <w:bCs/>
              </w:rPr>
            </w:pPr>
            <w:bookmarkStart w:id="84" w:name="_Ref9378798"/>
            <w:bookmarkStart w:id="85" w:name="_Ref11187649"/>
            <w:bookmarkStart w:id="86" w:name="_Toc11259354"/>
            <w:r>
              <w:t>Figure 3.</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13</w:t>
            </w:r>
            <w:r w:rsidR="00D96C35">
              <w:rPr>
                <w:noProof/>
              </w:rPr>
              <w:fldChar w:fldCharType="end"/>
            </w:r>
            <w:bookmarkEnd w:id="84"/>
            <w:bookmarkEnd w:id="85"/>
            <w:r>
              <w:t xml:space="preserve"> </w:t>
            </w:r>
            <w:r w:rsidR="00B64FC0" w:rsidRPr="00A80AE9">
              <w:rPr>
                <w:bCs/>
              </w:rPr>
              <w:t>Share of firms reporting labor shortages to be a major or severe constraint.</w:t>
            </w:r>
            <w:bookmarkEnd w:id="86"/>
            <w:r w:rsidR="00B64FC0" w:rsidRPr="00A80AE9">
              <w:rPr>
                <w:bCs/>
              </w:rPr>
              <w:t xml:space="preserve"> </w:t>
            </w:r>
          </w:p>
        </w:tc>
      </w:tr>
      <w:tr w:rsidR="00B64FC0" w14:paraId="0A046E68" w14:textId="77777777" w:rsidTr="00693451">
        <w:tc>
          <w:tcPr>
            <w:tcW w:w="4713" w:type="dxa"/>
          </w:tcPr>
          <w:p w14:paraId="718FA8D9" w14:textId="77777777" w:rsidR="00B64FC0" w:rsidRDefault="00B64FC0" w:rsidP="00983ABC">
            <w:pPr>
              <w:spacing w:after="0" w:line="240" w:lineRule="auto"/>
              <w:jc w:val="left"/>
            </w:pPr>
            <w:r>
              <w:rPr>
                <w:noProof/>
              </w:rPr>
              <w:drawing>
                <wp:inline distT="0" distB="0" distL="0" distR="0" wp14:anchorId="670C4626" wp14:editId="506ADF2F">
                  <wp:extent cx="2857500" cy="257323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8735" cy="2592354"/>
                          </a:xfrm>
                          <a:prstGeom prst="rect">
                            <a:avLst/>
                          </a:prstGeom>
                          <a:noFill/>
                        </pic:spPr>
                      </pic:pic>
                    </a:graphicData>
                  </a:graphic>
                </wp:inline>
              </w:drawing>
            </w:r>
          </w:p>
        </w:tc>
        <w:tc>
          <w:tcPr>
            <w:tcW w:w="4832" w:type="dxa"/>
          </w:tcPr>
          <w:p w14:paraId="2F4D89E4" w14:textId="522B93EF" w:rsidR="00B64FC0" w:rsidRDefault="00B64FC0" w:rsidP="00983ABC">
            <w:pPr>
              <w:spacing w:after="0" w:line="240" w:lineRule="auto"/>
              <w:jc w:val="left"/>
              <w:rPr>
                <w:noProof/>
              </w:rPr>
            </w:pPr>
          </w:p>
          <w:p w14:paraId="6CD71ED9" w14:textId="77777777" w:rsidR="00E143D7" w:rsidRDefault="00E143D7" w:rsidP="00983ABC">
            <w:pPr>
              <w:spacing w:after="0" w:line="240" w:lineRule="auto"/>
              <w:jc w:val="left"/>
              <w:rPr>
                <w:noProof/>
              </w:rPr>
            </w:pPr>
          </w:p>
          <w:p w14:paraId="4CAFA973" w14:textId="77777777" w:rsidR="00B64FC0" w:rsidRDefault="00B64FC0" w:rsidP="00FA3652">
            <w:pPr>
              <w:spacing w:after="0" w:line="240" w:lineRule="auto"/>
              <w:ind w:right="-254"/>
              <w:jc w:val="left"/>
            </w:pPr>
            <w:r w:rsidRPr="00AA0352">
              <w:rPr>
                <w:noProof/>
              </w:rPr>
              <w:drawing>
                <wp:inline distT="0" distB="0" distL="0" distR="0" wp14:anchorId="66B1FFA2" wp14:editId="4CCFA4D0">
                  <wp:extent cx="2844095" cy="2133600"/>
                  <wp:effectExtent l="0" t="0" r="0" b="0"/>
                  <wp:docPr id="47" name="Picture 7">
                    <a:extLst xmlns:a="http://schemas.openxmlformats.org/drawingml/2006/main">
                      <a:ext uri="{FF2B5EF4-FFF2-40B4-BE49-F238E27FC236}">
                        <a16:creationId xmlns:a16="http://schemas.microsoft.com/office/drawing/2014/main" id="{1C74B4B4-4F33-4BD2-8FEF-68DB9C6EA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C74B4B4-4F33-4BD2-8FEF-68DB9C6EA888}"/>
                              </a:ext>
                            </a:extLst>
                          </pic:cNvPr>
                          <pic:cNvPicPr>
                            <a:picLocks noChangeAspect="1"/>
                          </pic:cNvPicPr>
                        </pic:nvPicPr>
                        <pic:blipFill>
                          <a:blip r:embed="rId38"/>
                          <a:stretch>
                            <a:fillRect/>
                          </a:stretch>
                        </pic:blipFill>
                        <pic:spPr>
                          <a:xfrm>
                            <a:off x="0" y="0"/>
                            <a:ext cx="2885274" cy="2164492"/>
                          </a:xfrm>
                          <a:prstGeom prst="rect">
                            <a:avLst/>
                          </a:prstGeom>
                        </pic:spPr>
                      </pic:pic>
                    </a:graphicData>
                  </a:graphic>
                </wp:inline>
              </w:drawing>
            </w:r>
          </w:p>
        </w:tc>
      </w:tr>
      <w:tr w:rsidR="00B64FC0" w:rsidRPr="00113858" w14:paraId="04F0AE1C" w14:textId="77777777" w:rsidTr="00693451">
        <w:tc>
          <w:tcPr>
            <w:tcW w:w="4713" w:type="dxa"/>
          </w:tcPr>
          <w:p w14:paraId="1458DF7A" w14:textId="77777777" w:rsidR="00B64FC0" w:rsidRPr="00A444CF" w:rsidRDefault="00B64FC0" w:rsidP="00983ABC">
            <w:pPr>
              <w:spacing w:after="0" w:line="240" w:lineRule="auto"/>
              <w:jc w:val="left"/>
              <w:rPr>
                <w:sz w:val="20"/>
                <w:szCs w:val="20"/>
              </w:rPr>
            </w:pPr>
            <w:r w:rsidRPr="00A444CF">
              <w:rPr>
                <w:i/>
                <w:iCs/>
                <w:sz w:val="20"/>
                <w:szCs w:val="20"/>
              </w:rPr>
              <w:t>Source:</w:t>
            </w:r>
            <w:r w:rsidRPr="00A444CF">
              <w:rPr>
                <w:sz w:val="20"/>
                <w:szCs w:val="20"/>
              </w:rPr>
              <w:t xml:space="preserve"> World Development Indicators, modeled ILO</w:t>
            </w:r>
          </w:p>
        </w:tc>
        <w:tc>
          <w:tcPr>
            <w:tcW w:w="4832" w:type="dxa"/>
          </w:tcPr>
          <w:p w14:paraId="3081F715" w14:textId="54A74D22" w:rsidR="00B64FC0" w:rsidRPr="00A444CF" w:rsidRDefault="00B64FC0" w:rsidP="00A444CF">
            <w:pPr>
              <w:spacing w:after="0" w:line="240" w:lineRule="auto"/>
              <w:ind w:right="-15"/>
              <w:jc w:val="left"/>
              <w:rPr>
                <w:sz w:val="20"/>
                <w:szCs w:val="20"/>
              </w:rPr>
            </w:pPr>
            <w:r w:rsidRPr="00A444CF">
              <w:rPr>
                <w:i/>
                <w:iCs/>
                <w:sz w:val="20"/>
                <w:szCs w:val="20"/>
              </w:rPr>
              <w:t>Source:</w:t>
            </w:r>
            <w:r w:rsidRPr="00A444CF">
              <w:rPr>
                <w:sz w:val="20"/>
                <w:szCs w:val="20"/>
              </w:rPr>
              <w:t xml:space="preserve"> Enterprise Surveys, Russia 2012-2013, other 2012-2017</w:t>
            </w:r>
          </w:p>
        </w:tc>
      </w:tr>
    </w:tbl>
    <w:p w14:paraId="3C05EB87" w14:textId="260EC6B4" w:rsidR="00880FD3" w:rsidRDefault="00880FD3" w:rsidP="00CE1189">
      <w:pPr>
        <w:spacing w:after="0" w:line="240" w:lineRule="auto"/>
        <w:contextualSpacing/>
        <w:jc w:val="left"/>
      </w:pPr>
    </w:p>
    <w:p w14:paraId="31E94DFF" w14:textId="153E90F6" w:rsidR="00AC69E0" w:rsidRDefault="00AC69E0" w:rsidP="00AC69E0">
      <w:pPr>
        <w:pStyle w:val="Normal0"/>
        <w:numPr>
          <w:ilvl w:val="0"/>
          <w:numId w:val="21"/>
        </w:numPr>
        <w:spacing w:after="240" w:line="276" w:lineRule="auto"/>
        <w:ind w:left="0" w:firstLine="0"/>
        <w:jc w:val="both"/>
      </w:pPr>
      <w:r w:rsidRPr="0074133E">
        <w:rPr>
          <w:b/>
          <w:bCs/>
        </w:rPr>
        <w:t xml:space="preserve">Indicative evidence suggests that SOEs’ attraction of the best workers creates allocative inefficiencies. </w:t>
      </w:r>
      <w:r w:rsidRPr="0008011D">
        <w:t xml:space="preserve">Allocative inefficiencies arise if the best workers stream to </w:t>
      </w:r>
      <w:r>
        <w:t xml:space="preserve">less </w:t>
      </w:r>
      <w:r w:rsidRPr="0008011D">
        <w:t xml:space="preserve">productive </w:t>
      </w:r>
      <w:r>
        <w:t>firms,</w:t>
      </w:r>
      <w:r w:rsidRPr="0008011D">
        <w:t xml:space="preserve"> while </w:t>
      </w:r>
      <w:r>
        <w:t xml:space="preserve">the most </w:t>
      </w:r>
      <w:r w:rsidRPr="0008011D">
        <w:t>productive firms are starved of skilled labor</w:t>
      </w:r>
      <w:r>
        <w:t>, and existing evidence suggests this dynamic is reflected in Russia</w:t>
      </w:r>
      <w:r w:rsidRPr="0008011D">
        <w:t xml:space="preserve">. </w:t>
      </w:r>
      <w:r>
        <w:t xml:space="preserve">Existing studies find a statistically significant negative difference between the average productivity of Russian SOEs and equivalent private firms. </w:t>
      </w:r>
      <w:proofErr w:type="spellStart"/>
      <w:r>
        <w:t>Bogetic</w:t>
      </w:r>
      <w:proofErr w:type="spellEnd"/>
      <w:r>
        <w:t xml:space="preserve"> and </w:t>
      </w:r>
      <w:proofErr w:type="spellStart"/>
      <w:r>
        <w:t>Olusi</w:t>
      </w:r>
      <w:proofErr w:type="spellEnd"/>
      <w:r>
        <w:t xml:space="preserve"> (2013) find in a large sample of Russian manufacturing firms that a strong and statistically significant negative relationship between state and municipal ownership and firm total factor productivity (TFP). In their meta-analysis of 29 studies, </w:t>
      </w:r>
      <w:r w:rsidRPr="0008011D">
        <w:t xml:space="preserve">Iwasaki, </w:t>
      </w:r>
      <w:proofErr w:type="spellStart"/>
      <w:r w:rsidRPr="0008011D">
        <w:t>Mizobata</w:t>
      </w:r>
      <w:proofErr w:type="spellEnd"/>
      <w:r w:rsidRPr="0008011D">
        <w:t xml:space="preserve">, </w:t>
      </w:r>
      <w:proofErr w:type="spellStart"/>
      <w:r w:rsidRPr="0008011D">
        <w:t>Muravyev</w:t>
      </w:r>
      <w:proofErr w:type="spellEnd"/>
      <w:r w:rsidRPr="0008011D">
        <w:t xml:space="preserve"> </w:t>
      </w:r>
      <w:r>
        <w:t>(2018) broadly confirm this result, finding a significant negative correlation between government ownership (all levels of government) and measures of output, for a broad array of industries.</w:t>
      </w:r>
      <w:r>
        <w:rPr>
          <w:rStyle w:val="FootnoteReference"/>
        </w:rPr>
        <w:footnoteReference w:id="27"/>
      </w:r>
      <w:r>
        <w:t xml:space="preserve"> Using labor productivity and efficiency measures from 2017-2018 Ruslana and IIELM survey data, we get a similar result, but unlike previous studies we go further by disaggregating the results by firm size. </w:t>
      </w:r>
      <w:r w:rsidR="002B34D4">
        <w:fldChar w:fldCharType="begin"/>
      </w:r>
      <w:r w:rsidR="002B34D4">
        <w:instrText xml:space="preserve"> REF _Ref9378808 \h </w:instrText>
      </w:r>
      <w:r w:rsidR="002B34D4">
        <w:fldChar w:fldCharType="separate"/>
      </w:r>
      <w:r w:rsidR="002B34D4">
        <w:t xml:space="preserve">Figure 3. </w:t>
      </w:r>
      <w:r w:rsidR="002B34D4">
        <w:rPr>
          <w:noProof/>
        </w:rPr>
        <w:t>14</w:t>
      </w:r>
      <w:r w:rsidR="002B34D4">
        <w:fldChar w:fldCharType="end"/>
      </w:r>
      <w:r w:rsidR="002B34D4">
        <w:t xml:space="preserve"> </w:t>
      </w:r>
      <w:r>
        <w:t xml:space="preserve">presents the results of regressions for each firm size group, with industry controls (see Annex B for detailed regression results). The data suggest that the SOE sector’s overall lagging performance could be mostly driven by small and medium sized companies. Small and medium sized SOEs have significantly lower labor productivity (revenue per worker) and efficiency (return on capital) than private firms of similar size, while the difference is not significant for larger SOEs. </w:t>
      </w:r>
    </w:p>
    <w:p w14:paraId="528F4944" w14:textId="18EA9E85" w:rsidR="006B672A" w:rsidRDefault="006B672A" w:rsidP="006B672A">
      <w:pPr>
        <w:pStyle w:val="Figure"/>
      </w:pPr>
      <w:bookmarkStart w:id="87" w:name="_Ref9378808"/>
      <w:bookmarkStart w:id="88" w:name="_Ref11187887"/>
      <w:bookmarkStart w:id="89" w:name="_Toc11259355"/>
      <w:r>
        <w:t xml:space="preserve">Figure 3. </w:t>
      </w:r>
      <w:r w:rsidR="00D96C35">
        <w:rPr>
          <w:noProof/>
        </w:rPr>
        <w:fldChar w:fldCharType="begin"/>
      </w:r>
      <w:r w:rsidR="00D96C35">
        <w:rPr>
          <w:noProof/>
        </w:rPr>
        <w:instrText xml:space="preserve"> SEQ Figure_3. \* ARABIC </w:instrText>
      </w:r>
      <w:r w:rsidR="00D96C35">
        <w:rPr>
          <w:noProof/>
        </w:rPr>
        <w:fldChar w:fldCharType="separate"/>
      </w:r>
      <w:r w:rsidR="005C4B9C">
        <w:rPr>
          <w:noProof/>
        </w:rPr>
        <w:t>14</w:t>
      </w:r>
      <w:r w:rsidR="00D96C35">
        <w:rPr>
          <w:noProof/>
        </w:rPr>
        <w:fldChar w:fldCharType="end"/>
      </w:r>
      <w:bookmarkEnd w:id="87"/>
      <w:bookmarkEnd w:id="88"/>
      <w:r>
        <w:t xml:space="preserve"> SOE performance relative to private sector equivalent, by firm size, 2017-2018.</w:t>
      </w:r>
      <w:bookmarkEnd w:id="89"/>
    </w:p>
    <w:tbl>
      <w:tblPr>
        <w:tblW w:w="5940" w:type="dxa"/>
        <w:jc w:val="center"/>
        <w:tblCellMar>
          <w:left w:w="0" w:type="dxa"/>
          <w:right w:w="0" w:type="dxa"/>
        </w:tblCellMar>
        <w:tblLook w:val="0600" w:firstRow="0" w:lastRow="0" w:firstColumn="0" w:lastColumn="0" w:noHBand="1" w:noVBand="1"/>
      </w:tblPr>
      <w:tblGrid>
        <w:gridCol w:w="2340"/>
        <w:gridCol w:w="1980"/>
        <w:gridCol w:w="1620"/>
      </w:tblGrid>
      <w:tr w:rsidR="0088300D" w:rsidRPr="000D64B8" w14:paraId="21D5EA5F" w14:textId="77777777" w:rsidTr="0088300D">
        <w:trPr>
          <w:trHeight w:val="802"/>
          <w:jc w:val="center"/>
        </w:trPr>
        <w:tc>
          <w:tcPr>
            <w:tcW w:w="234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5DFA9DC7" w14:textId="77777777" w:rsidR="0088300D" w:rsidRPr="000D64B8" w:rsidRDefault="0088300D" w:rsidP="003F2E90">
            <w:pPr>
              <w:spacing w:after="0" w:line="256" w:lineRule="auto"/>
              <w:jc w:val="left"/>
              <w:rPr>
                <w:rFonts w:ascii="Arial" w:eastAsia="Times New Roman" w:hAnsi="Arial"/>
                <w:sz w:val="18"/>
                <w:szCs w:val="18"/>
                <w:lang w:eastAsia="en-US"/>
              </w:rPr>
            </w:pPr>
            <w:r w:rsidRPr="000D64B8">
              <w:rPr>
                <w:rFonts w:ascii="Times New Roman" w:eastAsia="Times New Roman" w:hAnsi="Times New Roman"/>
                <w:b/>
                <w:bCs/>
                <w:color w:val="002345"/>
                <w:kern w:val="24"/>
                <w:sz w:val="18"/>
                <w:szCs w:val="18"/>
                <w:lang w:eastAsia="en-US"/>
              </w:rPr>
              <w:t>Firm size</w:t>
            </w:r>
          </w:p>
        </w:tc>
        <w:tc>
          <w:tcPr>
            <w:tcW w:w="198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7283C098" w14:textId="77777777" w:rsidR="0088300D" w:rsidRPr="000D64B8" w:rsidRDefault="0088300D" w:rsidP="003F2E90">
            <w:pPr>
              <w:spacing w:after="0" w:line="256" w:lineRule="auto"/>
              <w:jc w:val="center"/>
              <w:rPr>
                <w:rFonts w:ascii="Arial" w:eastAsia="Times New Roman" w:hAnsi="Arial"/>
                <w:sz w:val="18"/>
                <w:szCs w:val="18"/>
                <w:lang w:eastAsia="en-US"/>
              </w:rPr>
            </w:pPr>
            <w:r w:rsidRPr="000D64B8">
              <w:rPr>
                <w:rFonts w:ascii="Times New Roman" w:eastAsia="Times New Roman" w:hAnsi="Times New Roman"/>
                <w:b/>
                <w:bCs/>
                <w:color w:val="002345"/>
                <w:kern w:val="24"/>
                <w:sz w:val="18"/>
                <w:szCs w:val="18"/>
                <w:lang w:eastAsia="en-US"/>
              </w:rPr>
              <w:t>Labor productivity Revenue per employee</w:t>
            </w:r>
          </w:p>
        </w:tc>
        <w:tc>
          <w:tcPr>
            <w:tcW w:w="162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4380773D" w14:textId="77777777" w:rsidR="0088300D" w:rsidRPr="000D64B8" w:rsidRDefault="0088300D" w:rsidP="003F2E90">
            <w:pPr>
              <w:spacing w:after="0" w:line="256" w:lineRule="auto"/>
              <w:jc w:val="center"/>
              <w:rPr>
                <w:rFonts w:ascii="Arial" w:eastAsia="Times New Roman" w:hAnsi="Arial"/>
                <w:sz w:val="18"/>
                <w:szCs w:val="18"/>
                <w:lang w:eastAsia="en-US"/>
              </w:rPr>
            </w:pPr>
            <w:r w:rsidRPr="000D64B8">
              <w:rPr>
                <w:rFonts w:ascii="Times New Roman" w:eastAsia="Calibri" w:hAnsi="Times New Roman"/>
                <w:b/>
                <w:bCs/>
                <w:color w:val="002345"/>
                <w:kern w:val="24"/>
                <w:sz w:val="18"/>
                <w:szCs w:val="18"/>
                <w:lang w:eastAsia="en-US"/>
              </w:rPr>
              <w:t xml:space="preserve">Efficiency </w:t>
            </w:r>
          </w:p>
          <w:p w14:paraId="326B27EB" w14:textId="77777777" w:rsidR="0088300D" w:rsidRPr="000D64B8" w:rsidRDefault="0088300D" w:rsidP="003F2E90">
            <w:pPr>
              <w:spacing w:after="0" w:line="256" w:lineRule="auto"/>
              <w:jc w:val="center"/>
              <w:rPr>
                <w:rFonts w:ascii="Arial" w:eastAsia="Times New Roman" w:hAnsi="Arial"/>
                <w:sz w:val="18"/>
                <w:szCs w:val="18"/>
                <w:lang w:eastAsia="en-US"/>
              </w:rPr>
            </w:pPr>
            <w:r w:rsidRPr="000D64B8">
              <w:rPr>
                <w:rFonts w:ascii="Times New Roman" w:eastAsia="Calibri" w:hAnsi="Times New Roman"/>
                <w:b/>
                <w:bCs/>
                <w:color w:val="002345"/>
                <w:kern w:val="24"/>
                <w:sz w:val="18"/>
                <w:szCs w:val="18"/>
                <w:lang w:eastAsia="en-US"/>
              </w:rPr>
              <w:t>Return on Capital</w:t>
            </w:r>
          </w:p>
        </w:tc>
      </w:tr>
      <w:tr w:rsidR="0088300D" w:rsidRPr="000D64B8" w14:paraId="39D4F385" w14:textId="77777777" w:rsidTr="0088300D">
        <w:trPr>
          <w:trHeight w:val="262"/>
          <w:jc w:val="center"/>
        </w:trPr>
        <w:tc>
          <w:tcPr>
            <w:tcW w:w="234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268D0792" w14:textId="77777777" w:rsidR="0088300D" w:rsidRPr="002258D5" w:rsidRDefault="0088300D" w:rsidP="003F2E90">
            <w:pPr>
              <w:spacing w:after="0" w:line="240" w:lineRule="auto"/>
              <w:jc w:val="left"/>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Small/micro (1-100)</w:t>
            </w:r>
          </w:p>
        </w:tc>
        <w:tc>
          <w:tcPr>
            <w:tcW w:w="1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B682357"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Calibri" w:hAnsi="Times New Roman"/>
                <w:color w:val="002345"/>
                <w:kern w:val="24"/>
                <w:sz w:val="18"/>
                <w:szCs w:val="18"/>
                <w:lang w:eastAsia="en-US"/>
              </w:rPr>
              <w:t>-54%***</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5207608"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-136% ***</w:t>
            </w:r>
            <w:r>
              <w:rPr>
                <w:rFonts w:ascii="Times New Roman" w:eastAsia="Times New Roman" w:hAnsi="Times New Roman"/>
                <w:color w:val="002345"/>
                <w:kern w:val="24"/>
                <w:sz w:val="18"/>
                <w:szCs w:val="18"/>
                <w:lang w:eastAsia="en-US"/>
              </w:rPr>
              <w:t xml:space="preserve"> </w:t>
            </w:r>
          </w:p>
        </w:tc>
      </w:tr>
      <w:tr w:rsidR="0088300D" w:rsidRPr="000D64B8" w14:paraId="4083BE34" w14:textId="77777777" w:rsidTr="0088300D">
        <w:trPr>
          <w:trHeight w:val="208"/>
          <w:jc w:val="center"/>
        </w:trPr>
        <w:tc>
          <w:tcPr>
            <w:tcW w:w="234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398F0D48" w14:textId="77777777" w:rsidR="0088300D" w:rsidRPr="002258D5" w:rsidRDefault="0088300D" w:rsidP="003F2E90">
            <w:pPr>
              <w:spacing w:after="0" w:line="240" w:lineRule="auto"/>
              <w:jc w:val="left"/>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Medium (101-250)</w:t>
            </w:r>
          </w:p>
        </w:tc>
        <w:tc>
          <w:tcPr>
            <w:tcW w:w="1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FFD6670"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Calibri" w:hAnsi="Times New Roman"/>
                <w:color w:val="002345"/>
                <w:kern w:val="24"/>
                <w:sz w:val="18"/>
                <w:szCs w:val="18"/>
                <w:lang w:eastAsia="en-US"/>
              </w:rPr>
              <w:t>-13%***</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74FA403"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-98%**</w:t>
            </w:r>
          </w:p>
        </w:tc>
      </w:tr>
      <w:tr w:rsidR="0088300D" w:rsidRPr="000D64B8" w14:paraId="6E9FC63A" w14:textId="77777777" w:rsidTr="0088300D">
        <w:trPr>
          <w:trHeight w:val="172"/>
          <w:jc w:val="center"/>
        </w:trPr>
        <w:tc>
          <w:tcPr>
            <w:tcW w:w="234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1924B440" w14:textId="77777777" w:rsidR="0088300D" w:rsidRPr="002258D5" w:rsidRDefault="0088300D" w:rsidP="003F2E90">
            <w:pPr>
              <w:spacing w:after="0" w:line="240" w:lineRule="auto"/>
              <w:jc w:val="left"/>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Medium-large (251-500)</w:t>
            </w:r>
          </w:p>
        </w:tc>
        <w:tc>
          <w:tcPr>
            <w:tcW w:w="1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023A92F"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Calibri" w:hAnsi="Times New Roman"/>
                <w:color w:val="002345"/>
                <w:kern w:val="24"/>
                <w:sz w:val="18"/>
                <w:szCs w:val="18"/>
                <w:lang w:eastAsia="en-US"/>
              </w:rPr>
              <w:t>-3%</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31E30CF"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-64%</w:t>
            </w:r>
          </w:p>
        </w:tc>
      </w:tr>
      <w:tr w:rsidR="0088300D" w:rsidRPr="000D64B8" w14:paraId="1076F2DD" w14:textId="77777777" w:rsidTr="0088300D">
        <w:trPr>
          <w:trHeight w:val="118"/>
          <w:jc w:val="center"/>
        </w:trPr>
        <w:tc>
          <w:tcPr>
            <w:tcW w:w="2340" w:type="dxa"/>
            <w:tcBorders>
              <w:top w:val="single" w:sz="8" w:space="0" w:color="000000"/>
              <w:left w:val="nil"/>
              <w:bottom w:val="single" w:sz="8" w:space="0" w:color="000000"/>
              <w:right w:val="nil"/>
            </w:tcBorders>
            <w:shd w:val="clear" w:color="auto" w:fill="F2F2F2"/>
            <w:tcMar>
              <w:top w:w="15" w:type="dxa"/>
              <w:left w:w="108" w:type="dxa"/>
              <w:bottom w:w="0" w:type="dxa"/>
              <w:right w:w="108" w:type="dxa"/>
            </w:tcMar>
            <w:vAlign w:val="center"/>
            <w:hideMark/>
          </w:tcPr>
          <w:p w14:paraId="0284893F" w14:textId="77777777" w:rsidR="0088300D" w:rsidRPr="002258D5" w:rsidRDefault="0088300D" w:rsidP="003F2E90">
            <w:pPr>
              <w:spacing w:after="0" w:line="240" w:lineRule="auto"/>
              <w:jc w:val="left"/>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Large (&gt;500)</w:t>
            </w:r>
          </w:p>
        </w:tc>
        <w:tc>
          <w:tcPr>
            <w:tcW w:w="19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191F833"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Calibri" w:hAnsi="Times New Roman"/>
                <w:color w:val="002345"/>
                <w:kern w:val="24"/>
                <w:sz w:val="18"/>
                <w:szCs w:val="18"/>
                <w:lang w:eastAsia="en-US"/>
              </w:rPr>
              <w:t>7%</w:t>
            </w:r>
          </w:p>
        </w:tc>
        <w:tc>
          <w:tcPr>
            <w:tcW w:w="16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7EB8CDA" w14:textId="77777777" w:rsidR="0088300D" w:rsidRPr="002258D5" w:rsidRDefault="0088300D" w:rsidP="003F2E90">
            <w:pPr>
              <w:spacing w:after="0" w:line="240" w:lineRule="auto"/>
              <w:jc w:val="center"/>
              <w:rPr>
                <w:rFonts w:ascii="Arial" w:eastAsia="Times New Roman" w:hAnsi="Arial"/>
                <w:sz w:val="18"/>
                <w:szCs w:val="18"/>
                <w:lang w:eastAsia="en-US"/>
              </w:rPr>
            </w:pPr>
            <w:r w:rsidRPr="002258D5">
              <w:rPr>
                <w:rFonts w:ascii="Times New Roman" w:eastAsia="Times New Roman" w:hAnsi="Times New Roman"/>
                <w:color w:val="002345"/>
                <w:kern w:val="24"/>
                <w:sz w:val="18"/>
                <w:szCs w:val="18"/>
                <w:lang w:eastAsia="en-US"/>
              </w:rPr>
              <w:t>-37</w:t>
            </w:r>
          </w:p>
        </w:tc>
      </w:tr>
    </w:tbl>
    <w:p w14:paraId="2872F700" w14:textId="33088540" w:rsidR="00A444CF" w:rsidRDefault="006B672A" w:rsidP="000D64B8">
      <w:pPr>
        <w:spacing w:after="0" w:line="240" w:lineRule="auto"/>
        <w:contextualSpacing/>
      </w:pPr>
      <w:r>
        <w:rPr>
          <w:i/>
          <w:iCs/>
          <w:sz w:val="20"/>
          <w:szCs w:val="20"/>
        </w:rPr>
        <w:t xml:space="preserve">            </w:t>
      </w:r>
      <w:r w:rsidRPr="00A444CF">
        <w:rPr>
          <w:i/>
          <w:iCs/>
          <w:sz w:val="20"/>
          <w:szCs w:val="20"/>
        </w:rPr>
        <w:t>Source</w:t>
      </w:r>
      <w:r>
        <w:rPr>
          <w:i/>
          <w:iCs/>
          <w:sz w:val="20"/>
          <w:szCs w:val="20"/>
        </w:rPr>
        <w:t>s</w:t>
      </w:r>
      <w:r w:rsidRPr="00A444CF">
        <w:rPr>
          <w:i/>
          <w:iCs/>
          <w:sz w:val="20"/>
          <w:szCs w:val="20"/>
        </w:rPr>
        <w:t>:</w:t>
      </w:r>
      <w:r w:rsidRPr="00A444CF">
        <w:rPr>
          <w:sz w:val="20"/>
          <w:szCs w:val="20"/>
        </w:rPr>
        <w:t xml:space="preserve"> </w:t>
      </w:r>
      <w:r>
        <w:rPr>
          <w:sz w:val="20"/>
          <w:szCs w:val="20"/>
        </w:rPr>
        <w:t>IIELM 2017 (return on capital)</w:t>
      </w:r>
      <w:r>
        <w:rPr>
          <w:rFonts w:eastAsiaTheme="majorEastAsia" w:cstheme="majorBidi"/>
          <w:bCs/>
          <w:iCs/>
          <w:color w:val="2E74B5" w:themeColor="accent1" w:themeShade="BF"/>
        </w:rPr>
        <w:t xml:space="preserve">, </w:t>
      </w:r>
      <w:r>
        <w:rPr>
          <w:sz w:val="20"/>
          <w:szCs w:val="20"/>
        </w:rPr>
        <w:t>Lukyanova 2019 / Ruslana 2018 (revenue per worker)</w:t>
      </w:r>
    </w:p>
    <w:p w14:paraId="6E6CA4BE" w14:textId="60B15F46" w:rsidR="006B672A" w:rsidRDefault="006B672A" w:rsidP="003B055D">
      <w:pPr>
        <w:spacing w:after="0" w:line="240" w:lineRule="auto"/>
        <w:ind w:left="14"/>
        <w:contextualSpacing/>
        <w:rPr>
          <w:rStyle w:val="IntenseEmphasis"/>
          <w:i w:val="0"/>
          <w:color w:val="2E74B5" w:themeColor="accent1" w:themeShade="BF"/>
        </w:rPr>
      </w:pPr>
    </w:p>
    <w:p w14:paraId="0FA0DDF2" w14:textId="3A67B212" w:rsidR="00052515" w:rsidRDefault="00052515" w:rsidP="003B055D">
      <w:pPr>
        <w:spacing w:after="0" w:line="240" w:lineRule="auto"/>
        <w:ind w:left="14"/>
        <w:contextualSpacing/>
        <w:rPr>
          <w:rStyle w:val="IntenseEmphasis"/>
          <w:i w:val="0"/>
          <w:color w:val="2E74B5" w:themeColor="accent1" w:themeShade="BF"/>
        </w:rPr>
      </w:pPr>
    </w:p>
    <w:p w14:paraId="156241B7" w14:textId="01E183A8" w:rsidR="00623372" w:rsidRDefault="009E46D8" w:rsidP="00DB7C0D">
      <w:pPr>
        <w:pStyle w:val="Normal0"/>
        <w:numPr>
          <w:ilvl w:val="0"/>
          <w:numId w:val="21"/>
        </w:numPr>
        <w:spacing w:after="0" w:line="276" w:lineRule="auto"/>
        <w:ind w:left="0" w:firstLine="0"/>
        <w:jc w:val="both"/>
      </w:pPr>
      <w:r>
        <w:rPr>
          <w:b/>
          <w:bCs/>
        </w:rPr>
        <w:t xml:space="preserve">The </w:t>
      </w:r>
      <w:r w:rsidR="00046680">
        <w:rPr>
          <w:b/>
          <w:bCs/>
        </w:rPr>
        <w:t xml:space="preserve">ability of large SOEs to perform on par with the private sector </w:t>
      </w:r>
      <w:r w:rsidR="00623372" w:rsidRPr="003B29F7">
        <w:rPr>
          <w:b/>
          <w:bCs/>
        </w:rPr>
        <w:t xml:space="preserve">suggests that state ownership </w:t>
      </w:r>
      <w:r w:rsidR="009A402B" w:rsidRPr="003B29F7">
        <w:rPr>
          <w:b/>
          <w:bCs/>
        </w:rPr>
        <w:t xml:space="preserve">can be </w:t>
      </w:r>
      <w:proofErr w:type="gramStart"/>
      <w:r w:rsidR="003B29F7">
        <w:rPr>
          <w:b/>
          <w:bCs/>
        </w:rPr>
        <w:t xml:space="preserve">fairly </w:t>
      </w:r>
      <w:r w:rsidR="00623372" w:rsidRPr="003B29F7">
        <w:rPr>
          <w:b/>
          <w:bCs/>
        </w:rPr>
        <w:t>productiv</w:t>
      </w:r>
      <w:r w:rsidR="009A402B" w:rsidRPr="003B29F7">
        <w:rPr>
          <w:b/>
          <w:bCs/>
        </w:rPr>
        <w:t>e</w:t>
      </w:r>
      <w:proofErr w:type="gramEnd"/>
      <w:r w:rsidR="00974A33" w:rsidRPr="003B29F7">
        <w:rPr>
          <w:b/>
          <w:bCs/>
        </w:rPr>
        <w:t xml:space="preserve"> </w:t>
      </w:r>
      <w:r w:rsidR="00C039A7">
        <w:rPr>
          <w:b/>
          <w:bCs/>
        </w:rPr>
        <w:t xml:space="preserve">in Russia. </w:t>
      </w:r>
      <w:r w:rsidR="00623372">
        <w:t xml:space="preserve">The question why </w:t>
      </w:r>
      <w:r w:rsidR="00FD209A">
        <w:t>small and medium sized</w:t>
      </w:r>
      <w:r w:rsidR="00623372">
        <w:t xml:space="preserve"> firms are less productive will require further research. </w:t>
      </w:r>
      <w:r w:rsidR="00B24ECF">
        <w:rPr>
          <w:bCs/>
        </w:rPr>
        <w:t xml:space="preserve">We address some of the factors that might </w:t>
      </w:r>
      <w:r w:rsidR="003B29F7">
        <w:rPr>
          <w:bCs/>
        </w:rPr>
        <w:t xml:space="preserve">improve firm </w:t>
      </w:r>
      <w:r w:rsidR="00C42BA9">
        <w:rPr>
          <w:bCs/>
        </w:rPr>
        <w:t>productivity and efficiency</w:t>
      </w:r>
      <w:r w:rsidR="003B29F7">
        <w:rPr>
          <w:bCs/>
        </w:rPr>
        <w:t>, in the next section.</w:t>
      </w:r>
    </w:p>
    <w:p w14:paraId="37272D2A" w14:textId="77777777" w:rsidR="00623372" w:rsidRDefault="00623372" w:rsidP="003B055D">
      <w:pPr>
        <w:spacing w:after="0" w:line="240" w:lineRule="auto"/>
        <w:ind w:left="14"/>
        <w:contextualSpacing/>
        <w:rPr>
          <w:rStyle w:val="IntenseEmphasis"/>
          <w:i w:val="0"/>
          <w:color w:val="2E74B5" w:themeColor="accent1" w:themeShade="BF"/>
        </w:rPr>
      </w:pPr>
    </w:p>
    <w:p w14:paraId="349C008C" w14:textId="77777777" w:rsidR="002D18AF" w:rsidRDefault="002D18AF" w:rsidP="002D18AF">
      <w:pPr>
        <w:spacing w:after="0" w:line="240" w:lineRule="auto"/>
        <w:contextualSpacing/>
        <w:jc w:val="left"/>
      </w:pPr>
    </w:p>
    <w:p w14:paraId="72B38418" w14:textId="77777777" w:rsidR="002D18AF" w:rsidRDefault="002D18AF" w:rsidP="003B055D">
      <w:pPr>
        <w:spacing w:after="0" w:line="240" w:lineRule="auto"/>
        <w:ind w:left="14"/>
        <w:contextualSpacing/>
        <w:rPr>
          <w:rStyle w:val="IntenseEmphasis"/>
          <w:i w:val="0"/>
          <w:color w:val="2E74B5" w:themeColor="accent1" w:themeShade="BF"/>
        </w:rPr>
      </w:pPr>
    </w:p>
    <w:p w14:paraId="3CE582F5" w14:textId="3B65BB10" w:rsidR="00AA7D70" w:rsidRPr="00362532" w:rsidRDefault="00AA7D70" w:rsidP="003B055D">
      <w:pPr>
        <w:spacing w:after="0" w:line="240" w:lineRule="auto"/>
        <w:ind w:left="14"/>
        <w:contextualSpacing/>
        <w:rPr>
          <w:rStyle w:val="IntenseEmphasis"/>
          <w:rFonts w:eastAsiaTheme="majorEastAsia" w:cstheme="majorBidi"/>
          <w:bCs/>
          <w:i w:val="0"/>
          <w:color w:val="2E74B5" w:themeColor="accent1" w:themeShade="BF"/>
        </w:rPr>
      </w:pPr>
      <w:r>
        <w:rPr>
          <w:rStyle w:val="IntenseEmphasis"/>
          <w:i w:val="0"/>
          <w:color w:val="2E74B5" w:themeColor="accent1" w:themeShade="BF"/>
        </w:rPr>
        <w:br w:type="page"/>
      </w:r>
    </w:p>
    <w:p w14:paraId="1063A25A" w14:textId="072A3899" w:rsidR="00104CF2" w:rsidRPr="000F3DCC" w:rsidRDefault="00EB2E17" w:rsidP="003A4F36">
      <w:pPr>
        <w:pStyle w:val="Heading1"/>
        <w:spacing w:after="0" w:line="240" w:lineRule="auto"/>
        <w:contextualSpacing/>
        <w:rPr>
          <w:rStyle w:val="IntenseEmphasis"/>
          <w:i w:val="0"/>
          <w:color w:val="2E74B5" w:themeColor="accent1" w:themeShade="BF"/>
        </w:rPr>
      </w:pPr>
      <w:bookmarkStart w:id="90" w:name="_Toc11219076"/>
      <w:r>
        <w:rPr>
          <w:rStyle w:val="IntenseEmphasis"/>
          <w:i w:val="0"/>
          <w:color w:val="2E74B5" w:themeColor="accent1" w:themeShade="BF"/>
        </w:rPr>
        <w:t>4</w:t>
      </w:r>
      <w:r w:rsidR="00104CF2" w:rsidRPr="000F3DCC">
        <w:rPr>
          <w:rStyle w:val="IntenseEmphasis"/>
          <w:i w:val="0"/>
          <w:color w:val="2E74B5" w:themeColor="accent1" w:themeShade="BF"/>
        </w:rPr>
        <w:t xml:space="preserve">. </w:t>
      </w:r>
      <w:r w:rsidR="00104CF2">
        <w:t xml:space="preserve">SOE </w:t>
      </w:r>
      <w:r w:rsidR="001A6C11">
        <w:t xml:space="preserve">EMPLOYMENT </w:t>
      </w:r>
      <w:r w:rsidR="00104CF2">
        <w:t xml:space="preserve">PRACTICES AND </w:t>
      </w:r>
      <w:r w:rsidR="00BA0D30" w:rsidRPr="00EB3048">
        <w:t>INTERNAL CAPABILITIES</w:t>
      </w:r>
      <w:bookmarkEnd w:id="90"/>
      <w:r w:rsidR="00BA0D30">
        <w:t xml:space="preserve"> </w:t>
      </w:r>
      <w:r w:rsidR="00104CF2" w:rsidRPr="00A74767">
        <w:t xml:space="preserve"> </w:t>
      </w:r>
    </w:p>
    <w:p w14:paraId="24C1B65F" w14:textId="77777777" w:rsidR="00051181" w:rsidRPr="001D59C6" w:rsidRDefault="00051181" w:rsidP="006F57D7">
      <w:pPr>
        <w:spacing w:after="0"/>
      </w:pPr>
    </w:p>
    <w:tbl>
      <w:tblPr>
        <w:tblStyle w:val="TableGrid0"/>
        <w:tblW w:w="0" w:type="auto"/>
        <w:tblLook w:val="04A0" w:firstRow="1" w:lastRow="0" w:firstColumn="1" w:lastColumn="0" w:noHBand="0" w:noVBand="1"/>
      </w:tblPr>
      <w:tblGrid>
        <w:gridCol w:w="9350"/>
      </w:tblGrid>
      <w:tr w:rsidR="003A4F36" w14:paraId="28CAAD92" w14:textId="77777777" w:rsidTr="00237B0D">
        <w:tc>
          <w:tcPr>
            <w:tcW w:w="9350" w:type="dxa"/>
          </w:tcPr>
          <w:p w14:paraId="7B1E4D22" w14:textId="640B72CB" w:rsidR="00C67AA6" w:rsidRDefault="00C67AA6" w:rsidP="00BF06EE">
            <w:pPr>
              <w:spacing w:after="0" w:line="240" w:lineRule="auto"/>
              <w:contextualSpacing/>
            </w:pPr>
            <w:bookmarkStart w:id="91" w:name="_Hlk8732537"/>
            <w:r>
              <w:t>Main findings:</w:t>
            </w:r>
          </w:p>
          <w:p w14:paraId="263FD08E" w14:textId="3B8604F8" w:rsidR="007D0343" w:rsidRDefault="007D0343" w:rsidP="006F57D7">
            <w:pPr>
              <w:pStyle w:val="ListParagraph"/>
              <w:numPr>
                <w:ilvl w:val="0"/>
                <w:numId w:val="10"/>
              </w:numPr>
              <w:spacing w:after="0" w:line="240" w:lineRule="auto"/>
            </w:pPr>
            <w:r>
              <w:rPr>
                <w:b/>
                <w:bCs/>
              </w:rPr>
              <w:t xml:space="preserve">SOEs </w:t>
            </w:r>
            <w:r w:rsidR="0043768F">
              <w:rPr>
                <w:b/>
                <w:bCs/>
              </w:rPr>
              <w:t>underinvest</w:t>
            </w:r>
            <w:r>
              <w:rPr>
                <w:b/>
                <w:bCs/>
              </w:rPr>
              <w:t xml:space="preserve"> </w:t>
            </w:r>
            <w:r w:rsidR="0043768F">
              <w:rPr>
                <w:b/>
                <w:bCs/>
              </w:rPr>
              <w:t xml:space="preserve">in </w:t>
            </w:r>
            <w:r>
              <w:rPr>
                <w:b/>
                <w:bCs/>
              </w:rPr>
              <w:t xml:space="preserve">human capital and performance management </w:t>
            </w:r>
            <w:r w:rsidR="0043768F">
              <w:t xml:space="preserve">compared to Russian private firms or international comparators </w:t>
            </w:r>
          </w:p>
          <w:p w14:paraId="58039948" w14:textId="77777777" w:rsidR="003A4F36" w:rsidRDefault="00C67AA6" w:rsidP="00BF06EE">
            <w:pPr>
              <w:pStyle w:val="ListParagraph"/>
              <w:numPr>
                <w:ilvl w:val="0"/>
                <w:numId w:val="10"/>
              </w:numPr>
              <w:spacing w:after="0" w:line="240" w:lineRule="auto"/>
              <w:rPr>
                <w:b/>
                <w:bCs/>
              </w:rPr>
            </w:pPr>
            <w:r w:rsidRPr="00051BCC">
              <w:rPr>
                <w:b/>
                <w:bCs/>
              </w:rPr>
              <w:t xml:space="preserve">SOEs </w:t>
            </w:r>
            <w:r>
              <w:rPr>
                <w:b/>
                <w:bCs/>
              </w:rPr>
              <w:t xml:space="preserve">are low users of technology </w:t>
            </w:r>
          </w:p>
          <w:p w14:paraId="1D2ED5BE" w14:textId="7595E0BE" w:rsidR="00F22C8A" w:rsidRPr="006F57D7" w:rsidRDefault="00F22C8A" w:rsidP="00BF06EE">
            <w:pPr>
              <w:pStyle w:val="ListParagraph"/>
              <w:numPr>
                <w:ilvl w:val="0"/>
                <w:numId w:val="10"/>
              </w:numPr>
              <w:spacing w:after="0" w:line="240" w:lineRule="auto"/>
              <w:rPr>
                <w:b/>
                <w:bCs/>
              </w:rPr>
            </w:pPr>
            <w:r>
              <w:rPr>
                <w:b/>
                <w:bCs/>
              </w:rPr>
              <w:t>State SOEs and smaller SOEs exhibit lowest performance</w:t>
            </w:r>
          </w:p>
        </w:tc>
      </w:tr>
      <w:bookmarkEnd w:id="91"/>
    </w:tbl>
    <w:p w14:paraId="3426BE77" w14:textId="1BD9B28E" w:rsidR="00051BCC" w:rsidRDefault="00051BCC" w:rsidP="003A4F36">
      <w:pPr>
        <w:spacing w:after="0" w:line="240" w:lineRule="auto"/>
        <w:contextualSpacing/>
      </w:pPr>
    </w:p>
    <w:p w14:paraId="09A3B9AC" w14:textId="77777777" w:rsidR="00051181" w:rsidRDefault="00051181" w:rsidP="003A4F36">
      <w:pPr>
        <w:spacing w:after="0" w:line="240" w:lineRule="auto"/>
        <w:contextualSpacing/>
      </w:pPr>
    </w:p>
    <w:p w14:paraId="1F6DF041" w14:textId="4CB48B11" w:rsidR="009E2C95" w:rsidRDefault="007D0343" w:rsidP="000E54DE">
      <w:pPr>
        <w:pStyle w:val="Normal0"/>
        <w:numPr>
          <w:ilvl w:val="0"/>
          <w:numId w:val="21"/>
        </w:numPr>
        <w:spacing w:after="240" w:line="276" w:lineRule="auto"/>
        <w:ind w:left="0" w:firstLine="0"/>
        <w:jc w:val="both"/>
      </w:pPr>
      <w:r>
        <w:rPr>
          <w:b/>
          <w:bCs/>
        </w:rPr>
        <w:t>M</w:t>
      </w:r>
      <w:r w:rsidR="009E2C95" w:rsidRPr="00766B4B">
        <w:rPr>
          <w:b/>
          <w:bCs/>
        </w:rPr>
        <w:t xml:space="preserve">anagement practices </w:t>
      </w:r>
      <w:r w:rsidR="004C227F">
        <w:rPr>
          <w:b/>
          <w:bCs/>
        </w:rPr>
        <w:t xml:space="preserve">shape </w:t>
      </w:r>
      <w:r w:rsidR="009E2C95" w:rsidRPr="00766B4B">
        <w:rPr>
          <w:b/>
          <w:bCs/>
        </w:rPr>
        <w:t>SOEs’ internal capabilities</w:t>
      </w:r>
      <w:r w:rsidR="00DD21F5">
        <w:rPr>
          <w:b/>
          <w:bCs/>
        </w:rPr>
        <w:t xml:space="preserve"> </w:t>
      </w:r>
      <w:r w:rsidR="00102430">
        <w:rPr>
          <w:b/>
          <w:bCs/>
        </w:rPr>
        <w:t>and performance</w:t>
      </w:r>
      <w:r w:rsidR="009E2C95">
        <w:rPr>
          <w:b/>
          <w:bCs/>
        </w:rPr>
        <w:t xml:space="preserve">. </w:t>
      </w:r>
      <w:r w:rsidR="009651DE">
        <w:t xml:space="preserve">Global experience shows that </w:t>
      </w:r>
      <w:r w:rsidR="009E2C95">
        <w:t xml:space="preserve">firms </w:t>
      </w:r>
      <w:r w:rsidR="00A84F9C">
        <w:t xml:space="preserve">that </w:t>
      </w:r>
      <w:r w:rsidR="009E2C95">
        <w:t xml:space="preserve">adopt </w:t>
      </w:r>
      <w:r w:rsidR="00A84F9C">
        <w:t xml:space="preserve">good </w:t>
      </w:r>
      <w:r w:rsidR="009E2C95">
        <w:t>management practices</w:t>
      </w:r>
      <w:r w:rsidR="0077130E">
        <w:t>—</w:t>
      </w:r>
      <w:r w:rsidR="002511AF">
        <w:t xml:space="preserve">such </w:t>
      </w:r>
      <w:r>
        <w:t>as</w:t>
      </w:r>
      <w:r w:rsidR="009E2C95">
        <w:t xml:space="preserve"> incentivizing and managing </w:t>
      </w:r>
      <w:proofErr w:type="gramStart"/>
      <w:r w:rsidR="009E2C95">
        <w:t>performance, and</w:t>
      </w:r>
      <w:proofErr w:type="gramEnd"/>
      <w:r w:rsidR="009E2C95">
        <w:t xml:space="preserve"> investing in human capital and technology</w:t>
      </w:r>
      <w:r w:rsidR="0077130E">
        <w:t>—</w:t>
      </w:r>
      <w:r w:rsidR="002511AF">
        <w:t>maximize their productive potential</w:t>
      </w:r>
      <w:r w:rsidR="00A84F9C">
        <w:t xml:space="preserve">. </w:t>
      </w:r>
      <w:r w:rsidR="00EA49E1">
        <w:t xml:space="preserve">Prior research has shown that </w:t>
      </w:r>
      <w:r w:rsidR="009D5F04">
        <w:t>by international standards</w:t>
      </w:r>
      <w:r w:rsidR="00951562">
        <w:t xml:space="preserve">, </w:t>
      </w:r>
      <w:r w:rsidR="002D4537">
        <w:t>Russia</w:t>
      </w:r>
      <w:r w:rsidR="008439EC">
        <w:t>n firms</w:t>
      </w:r>
      <w:r w:rsidR="002D4537">
        <w:t xml:space="preserve"> </w:t>
      </w:r>
      <w:r w:rsidR="008439EC">
        <w:t xml:space="preserve">underinvest in </w:t>
      </w:r>
      <w:r w:rsidR="00244DBA">
        <w:t xml:space="preserve">these </w:t>
      </w:r>
      <w:r w:rsidR="008439EC">
        <w:t>good practices</w:t>
      </w:r>
      <w:r w:rsidR="000D265D">
        <w:t>,</w:t>
      </w:r>
      <w:r w:rsidR="008439EC">
        <w:t xml:space="preserve"> but </w:t>
      </w:r>
      <w:r w:rsidR="000D265D">
        <w:t xml:space="preserve">since </w:t>
      </w:r>
      <w:r w:rsidR="008439EC">
        <w:t xml:space="preserve">most </w:t>
      </w:r>
      <w:r w:rsidR="005E65FA">
        <w:t xml:space="preserve">previous analyses have </w:t>
      </w:r>
      <w:r w:rsidR="008439EC">
        <w:t xml:space="preserve">focused on </w:t>
      </w:r>
      <w:r w:rsidR="000D265D">
        <w:t xml:space="preserve">the </w:t>
      </w:r>
      <w:r w:rsidR="008439EC">
        <w:t xml:space="preserve">private </w:t>
      </w:r>
      <w:r w:rsidR="000D265D">
        <w:t>sector</w:t>
      </w:r>
      <w:r w:rsidR="005E65FA">
        <w:t>,</w:t>
      </w:r>
      <w:r w:rsidR="008C30B8">
        <w:rPr>
          <w:rStyle w:val="FootnoteReference"/>
        </w:rPr>
        <w:footnoteReference w:id="28"/>
      </w:r>
      <w:r w:rsidR="008439EC">
        <w:t xml:space="preserve"> </w:t>
      </w:r>
      <w:r w:rsidR="000D265D">
        <w:t xml:space="preserve">very </w:t>
      </w:r>
      <w:r w:rsidR="00244DBA">
        <w:t xml:space="preserve">little is known about </w:t>
      </w:r>
      <w:r w:rsidR="000D265D">
        <w:t xml:space="preserve">employment practices in </w:t>
      </w:r>
      <w:r w:rsidR="003D2556">
        <w:t>SOE</w:t>
      </w:r>
      <w:r w:rsidR="002E63BE">
        <w:t>s</w:t>
      </w:r>
      <w:r w:rsidR="00026E3A">
        <w:t>.</w:t>
      </w:r>
      <w:r w:rsidR="00C86169">
        <w:t xml:space="preserve"> </w:t>
      </w:r>
      <w:r w:rsidR="000D265D">
        <w:t xml:space="preserve">How do they compare to </w:t>
      </w:r>
      <w:r w:rsidR="00A47A2A">
        <w:t>private</w:t>
      </w:r>
      <w:r w:rsidR="005D22FA">
        <w:t xml:space="preserve"> firms operating in Russia, both domestic </w:t>
      </w:r>
      <w:r w:rsidR="000D265D">
        <w:t xml:space="preserve">and </w:t>
      </w:r>
      <w:r w:rsidR="005D22FA">
        <w:t xml:space="preserve">multinational? How to they measure up against firms in other </w:t>
      </w:r>
      <w:r w:rsidR="006D23A9">
        <w:t>BRICs</w:t>
      </w:r>
      <w:r w:rsidR="00A47A2A">
        <w:t xml:space="preserve"> </w:t>
      </w:r>
      <w:r w:rsidR="006D23A9">
        <w:t>and advanced economies</w:t>
      </w:r>
      <w:r w:rsidR="005D22FA">
        <w:t>?</w:t>
      </w:r>
      <w:r w:rsidR="000D265D">
        <w:t xml:space="preserve"> </w:t>
      </w:r>
      <w:r w:rsidR="002C0B2C">
        <w:t xml:space="preserve">How much variation is there within the SOE sector? </w:t>
      </w:r>
      <w:r w:rsidR="005326A8">
        <w:t xml:space="preserve">Are there cases of </w:t>
      </w:r>
      <w:r w:rsidR="002C0B2C">
        <w:t>“</w:t>
      </w:r>
      <w:r w:rsidR="005326A8">
        <w:t>positive deviance</w:t>
      </w:r>
      <w:r w:rsidR="002C0B2C">
        <w:t xml:space="preserve">” that could </w:t>
      </w:r>
      <w:r w:rsidR="00A47A2A">
        <w:t xml:space="preserve">serve </w:t>
      </w:r>
      <w:r w:rsidR="002C0B2C">
        <w:t>a</w:t>
      </w:r>
      <w:r w:rsidR="00A47A2A">
        <w:t>s</w:t>
      </w:r>
      <w:r w:rsidR="002C0B2C">
        <w:t xml:space="preserve"> model</w:t>
      </w:r>
      <w:r w:rsidR="00A47A2A">
        <w:t>s</w:t>
      </w:r>
      <w:r w:rsidR="002C0B2C">
        <w:t xml:space="preserve"> for other SOEs? </w:t>
      </w:r>
      <w:r w:rsidR="00026E3A">
        <w:t xml:space="preserve">A deeper </w:t>
      </w:r>
      <w:r w:rsidR="00176DBE">
        <w:t xml:space="preserve">understanding of </w:t>
      </w:r>
      <w:r w:rsidR="00D544C2">
        <w:t xml:space="preserve">these questions and others related to </w:t>
      </w:r>
      <w:r w:rsidR="00026E3A">
        <w:t xml:space="preserve">employment practices in </w:t>
      </w:r>
      <w:r w:rsidR="00E53961">
        <w:t xml:space="preserve">SOEs </w:t>
      </w:r>
      <w:r w:rsidR="00026E3A">
        <w:t xml:space="preserve">is critical </w:t>
      </w:r>
      <w:r w:rsidR="00992660">
        <w:t xml:space="preserve">for diagnosing </w:t>
      </w:r>
      <w:r w:rsidR="001E7272">
        <w:t xml:space="preserve">the </w:t>
      </w:r>
      <w:r w:rsidR="00992660">
        <w:t xml:space="preserve">sources of the sector’s performance </w:t>
      </w:r>
      <w:r w:rsidR="005326A8">
        <w:t>gap</w:t>
      </w:r>
      <w:r w:rsidR="00992660">
        <w:t xml:space="preserve">, </w:t>
      </w:r>
      <w:r w:rsidR="00D544C2">
        <w:t xml:space="preserve">and </w:t>
      </w:r>
      <w:r w:rsidR="00E47858">
        <w:t xml:space="preserve">for developing </w:t>
      </w:r>
      <w:r w:rsidR="0036324B">
        <w:t xml:space="preserve">a </w:t>
      </w:r>
      <w:r w:rsidR="00A80596">
        <w:t>practical</w:t>
      </w:r>
      <w:r w:rsidR="00D544C2">
        <w:t xml:space="preserve"> </w:t>
      </w:r>
      <w:r w:rsidR="0036324B">
        <w:t>empirically</w:t>
      </w:r>
      <w:r w:rsidR="00D544C2">
        <w:t xml:space="preserve">-driven </w:t>
      </w:r>
      <w:r w:rsidR="00E47858">
        <w:t>policy response</w:t>
      </w:r>
      <w:r w:rsidR="009E2C95">
        <w:t xml:space="preserve">. </w:t>
      </w:r>
    </w:p>
    <w:p w14:paraId="339D2047" w14:textId="19CD8B47" w:rsidR="00177E0A" w:rsidRDefault="00177E0A" w:rsidP="00CE1189">
      <w:pPr>
        <w:pStyle w:val="Heading2"/>
        <w:spacing w:after="0" w:line="240" w:lineRule="auto"/>
        <w:contextualSpacing/>
        <w:jc w:val="left"/>
      </w:pPr>
      <w:bookmarkStart w:id="92" w:name="_Toc11219077"/>
      <w:r>
        <w:t xml:space="preserve">SOE </w:t>
      </w:r>
      <w:r w:rsidR="001933C9">
        <w:t>personnel</w:t>
      </w:r>
      <w:r>
        <w:t xml:space="preserve"> management</w:t>
      </w:r>
      <w:bookmarkEnd w:id="92"/>
      <w:r>
        <w:t xml:space="preserve"> </w:t>
      </w:r>
    </w:p>
    <w:p w14:paraId="105BFA47" w14:textId="54BFC013" w:rsidR="00177E0A" w:rsidRDefault="00177E0A" w:rsidP="00CE1189">
      <w:pPr>
        <w:spacing w:after="0" w:line="240" w:lineRule="auto"/>
        <w:contextualSpacing/>
        <w:jc w:val="left"/>
      </w:pPr>
    </w:p>
    <w:p w14:paraId="5B388DCA" w14:textId="092BC058" w:rsidR="003406B4" w:rsidRPr="00940E7F" w:rsidRDefault="00B5134A" w:rsidP="00BF5618">
      <w:pPr>
        <w:pStyle w:val="Normal0"/>
        <w:numPr>
          <w:ilvl w:val="0"/>
          <w:numId w:val="21"/>
        </w:numPr>
        <w:spacing w:after="240" w:line="276" w:lineRule="auto"/>
        <w:ind w:left="0" w:firstLine="0"/>
        <w:jc w:val="both"/>
      </w:pPr>
      <w:r>
        <w:rPr>
          <w:b/>
          <w:bCs/>
        </w:rPr>
        <w:t>F</w:t>
      </w:r>
      <w:r w:rsidR="000E694E" w:rsidRPr="00194F8F">
        <w:rPr>
          <w:b/>
          <w:bCs/>
        </w:rPr>
        <w:t>irms</w:t>
      </w:r>
      <w:r w:rsidR="0088108F" w:rsidRPr="00194F8F">
        <w:rPr>
          <w:b/>
          <w:bCs/>
        </w:rPr>
        <w:t xml:space="preserve">, particularly those that expect to </w:t>
      </w:r>
      <w:r w:rsidR="005B353F" w:rsidRPr="00194F8F">
        <w:rPr>
          <w:b/>
          <w:bCs/>
        </w:rPr>
        <w:t xml:space="preserve">hold on to </w:t>
      </w:r>
      <w:r w:rsidR="0088108F" w:rsidRPr="00194F8F">
        <w:rPr>
          <w:b/>
          <w:bCs/>
        </w:rPr>
        <w:t xml:space="preserve">workers for </w:t>
      </w:r>
      <w:r w:rsidR="005B353F" w:rsidRPr="00194F8F">
        <w:rPr>
          <w:b/>
          <w:bCs/>
        </w:rPr>
        <w:t xml:space="preserve">some </w:t>
      </w:r>
      <w:r w:rsidR="0088108F" w:rsidRPr="00194F8F">
        <w:rPr>
          <w:b/>
          <w:bCs/>
        </w:rPr>
        <w:t xml:space="preserve">time, </w:t>
      </w:r>
      <w:r w:rsidR="0098524E">
        <w:rPr>
          <w:b/>
          <w:bCs/>
        </w:rPr>
        <w:t xml:space="preserve">get </w:t>
      </w:r>
      <w:r w:rsidR="000E694E" w:rsidRPr="00194F8F">
        <w:rPr>
          <w:b/>
          <w:bCs/>
        </w:rPr>
        <w:t>high returns from training</w:t>
      </w:r>
      <w:r w:rsidR="0098524E">
        <w:rPr>
          <w:b/>
          <w:bCs/>
        </w:rPr>
        <w:t xml:space="preserve"> and </w:t>
      </w:r>
      <w:r w:rsidR="00760F95">
        <w:rPr>
          <w:b/>
          <w:bCs/>
        </w:rPr>
        <w:t xml:space="preserve">properly managing their workers’ </w:t>
      </w:r>
      <w:r w:rsidR="005B353F" w:rsidRPr="00194F8F">
        <w:rPr>
          <w:b/>
          <w:bCs/>
        </w:rPr>
        <w:t>performance.</w:t>
      </w:r>
      <w:r w:rsidR="005B353F">
        <w:t xml:space="preserve"> </w:t>
      </w:r>
      <w:r w:rsidR="00BA34FB">
        <w:t xml:space="preserve">Workers are more </w:t>
      </w:r>
      <w:r w:rsidR="00BA34FB" w:rsidRPr="00940E7F">
        <w:t>productive when they understand their managers’ expectations</w:t>
      </w:r>
      <w:r w:rsidR="00760F95" w:rsidRPr="00940E7F">
        <w:t>,</w:t>
      </w:r>
      <w:r w:rsidR="00BA34FB" w:rsidRPr="00940E7F">
        <w:t xml:space="preserve"> </w:t>
      </w:r>
      <w:r w:rsidR="00760F95" w:rsidRPr="00940E7F">
        <w:t xml:space="preserve">have </w:t>
      </w:r>
      <w:r w:rsidR="001F0405" w:rsidRPr="00940E7F">
        <w:t xml:space="preserve">the </w:t>
      </w:r>
      <w:r w:rsidR="009C17FB" w:rsidRPr="00940E7F">
        <w:t xml:space="preserve">skills and </w:t>
      </w:r>
      <w:r w:rsidR="00F17D2B" w:rsidRPr="00940E7F">
        <w:t xml:space="preserve">competencies </w:t>
      </w:r>
      <w:r w:rsidR="00760F95" w:rsidRPr="00940E7F">
        <w:t xml:space="preserve">needed </w:t>
      </w:r>
      <w:r w:rsidR="001F0405" w:rsidRPr="00940E7F">
        <w:t xml:space="preserve">for </w:t>
      </w:r>
      <w:r w:rsidR="009C17FB" w:rsidRPr="00940E7F">
        <w:t xml:space="preserve">their jobs, and feel motivated and supported in their </w:t>
      </w:r>
      <w:r w:rsidR="001F0405" w:rsidRPr="00940E7F">
        <w:t>professional development</w:t>
      </w:r>
      <w:r w:rsidR="009C17FB" w:rsidRPr="00940E7F">
        <w:t xml:space="preserve">. </w:t>
      </w:r>
      <w:r w:rsidR="00CE2531" w:rsidRPr="00940E7F">
        <w:t>If workers are productive, the firm benefits.</w:t>
      </w:r>
      <w:r w:rsidR="00940E7F" w:rsidRPr="00940E7F">
        <w:t xml:space="preserve"> Data on performance management in Russian firms is scarce in worker and firm surveys, but the few existing questions suggest it is an area of weakness for SOEs.</w:t>
      </w:r>
    </w:p>
    <w:p w14:paraId="25D9CED9" w14:textId="48A5A19C" w:rsidR="003453F2" w:rsidRPr="00782AFE" w:rsidRDefault="00FE6666" w:rsidP="00782AFE">
      <w:pPr>
        <w:pStyle w:val="Normal0"/>
        <w:numPr>
          <w:ilvl w:val="0"/>
          <w:numId w:val="21"/>
        </w:numPr>
        <w:spacing w:after="240" w:line="276" w:lineRule="auto"/>
        <w:ind w:left="0" w:firstLine="0"/>
        <w:jc w:val="both"/>
      </w:pPr>
      <w:r w:rsidRPr="00940E7F">
        <w:rPr>
          <w:b/>
          <w:bCs/>
        </w:rPr>
        <w:t xml:space="preserve">SOEs </w:t>
      </w:r>
      <w:r w:rsidR="00940E7F">
        <w:rPr>
          <w:b/>
          <w:bCs/>
        </w:rPr>
        <w:t>substantially</w:t>
      </w:r>
      <w:r w:rsidR="002D2AA3" w:rsidRPr="00940E7F">
        <w:rPr>
          <w:b/>
          <w:bCs/>
        </w:rPr>
        <w:t xml:space="preserve"> </w:t>
      </w:r>
      <w:r w:rsidRPr="00940E7F">
        <w:rPr>
          <w:b/>
          <w:bCs/>
        </w:rPr>
        <w:t xml:space="preserve">underinvest in </w:t>
      </w:r>
      <w:r w:rsidR="000B3323">
        <w:rPr>
          <w:b/>
          <w:bCs/>
        </w:rPr>
        <w:t xml:space="preserve">their </w:t>
      </w:r>
      <w:r w:rsidR="00611DCD" w:rsidRPr="00940E7F">
        <w:rPr>
          <w:b/>
          <w:bCs/>
        </w:rPr>
        <w:t xml:space="preserve">human </w:t>
      </w:r>
      <w:r w:rsidRPr="00940E7F">
        <w:rPr>
          <w:b/>
          <w:bCs/>
        </w:rPr>
        <w:t>capital</w:t>
      </w:r>
      <w:r>
        <w:t>.</w:t>
      </w:r>
      <w:r w:rsidR="003015D1">
        <w:t xml:space="preserve"> </w:t>
      </w:r>
      <w:r w:rsidR="00C96A44">
        <w:t>On average, 41 percent of all SOEs provide training for their employees compared to 60 percent of foreign firms in Russia, or 85 percent of firms in China (</w:t>
      </w:r>
      <w:r w:rsidR="00342BB1">
        <w:fldChar w:fldCharType="begin"/>
      </w:r>
      <w:r w:rsidR="00342BB1">
        <w:instrText xml:space="preserve"> REF _Ref9378844 \h </w:instrText>
      </w:r>
      <w:r w:rsidR="00342BB1">
        <w:fldChar w:fldCharType="separate"/>
      </w:r>
      <w:r w:rsidR="00384800">
        <w:t xml:space="preserve">Figure 4. </w:t>
      </w:r>
      <w:r w:rsidR="00384800">
        <w:rPr>
          <w:noProof/>
        </w:rPr>
        <w:t>1</w:t>
      </w:r>
      <w:r w:rsidR="00342BB1">
        <w:fldChar w:fldCharType="end"/>
      </w:r>
      <w:r w:rsidR="00C96A44">
        <w:t>). This result is relatively consistent across all sizes of SOEs.</w:t>
      </w:r>
      <w:r w:rsidR="00C96A44">
        <w:rPr>
          <w:rStyle w:val="FootnoteReference"/>
        </w:rPr>
        <w:footnoteReference w:id="29"/>
      </w:r>
      <w:r w:rsidR="00C96A44">
        <w:t xml:space="preserve"> </w:t>
      </w:r>
      <w:r w:rsidR="00EE7A59" w:rsidRPr="00722E67">
        <w:t xml:space="preserve">SOEs that </w:t>
      </w:r>
      <w:r w:rsidR="00AF0321">
        <w:t xml:space="preserve">do </w:t>
      </w:r>
      <w:r w:rsidR="00EE7A59" w:rsidRPr="00722E67">
        <w:t xml:space="preserve">provide training, </w:t>
      </w:r>
      <w:r w:rsidR="0002083E">
        <w:t xml:space="preserve">train </w:t>
      </w:r>
      <w:r w:rsidR="00EE7A59" w:rsidRPr="00722E67">
        <w:t>very few workers</w:t>
      </w:r>
      <w:r w:rsidR="00B5134A">
        <w:t>—</w:t>
      </w:r>
      <w:r w:rsidR="0002083E">
        <w:t xml:space="preserve">on average, </w:t>
      </w:r>
      <w:r w:rsidR="00AF0321">
        <w:t xml:space="preserve">only </w:t>
      </w:r>
      <w:r w:rsidR="00EE7A59" w:rsidRPr="00722E67">
        <w:t>16</w:t>
      </w:r>
      <w:r w:rsidR="00AF0321">
        <w:t xml:space="preserve"> percent, </w:t>
      </w:r>
      <w:r w:rsidR="00D25A00">
        <w:t xml:space="preserve">less than half of other </w:t>
      </w:r>
      <w:r w:rsidR="0002083E">
        <w:t>firms in Russia</w:t>
      </w:r>
      <w:r w:rsidR="00C96A44">
        <w:t xml:space="preserve">, and considerably lower than the </w:t>
      </w:r>
      <w:r w:rsidR="00EE7A59" w:rsidRPr="00722E67">
        <w:t>OECD</w:t>
      </w:r>
      <w:r w:rsidR="0060380C">
        <w:t xml:space="preserve"> </w:t>
      </w:r>
      <w:r w:rsidR="00C96A44">
        <w:t xml:space="preserve">countries or China </w:t>
      </w:r>
      <w:r w:rsidR="0060380C">
        <w:t>(</w:t>
      </w:r>
      <w:r w:rsidR="00342BB1">
        <w:fldChar w:fldCharType="begin"/>
      </w:r>
      <w:r w:rsidR="00342BB1">
        <w:instrText xml:space="preserve"> REF _Ref9378850 \h </w:instrText>
      </w:r>
      <w:r w:rsidR="00342BB1">
        <w:fldChar w:fldCharType="separate"/>
      </w:r>
      <w:r w:rsidR="00384800">
        <w:t xml:space="preserve">Figure 4. </w:t>
      </w:r>
      <w:r w:rsidR="00384800">
        <w:rPr>
          <w:noProof/>
        </w:rPr>
        <w:t>2</w:t>
      </w:r>
      <w:r w:rsidR="00342BB1">
        <w:fldChar w:fldCharType="end"/>
      </w:r>
      <w:r w:rsidR="0060380C">
        <w:t>)</w:t>
      </w:r>
      <w:r w:rsidR="00722E67" w:rsidRPr="00722E67">
        <w:t>.</w:t>
      </w:r>
      <w:r w:rsidR="00722E67" w:rsidRPr="00F3308F">
        <w:rPr>
          <w:b/>
          <w:bCs/>
        </w:rPr>
        <w:t xml:space="preserve"> </w:t>
      </w:r>
      <w:r w:rsidR="005A21D8" w:rsidRPr="00462EF8">
        <w:t xml:space="preserve">This is a missed opportunity, as </w:t>
      </w:r>
      <w:r w:rsidR="00462EF8" w:rsidRPr="00462EF8">
        <w:t xml:space="preserve">research suggests that </w:t>
      </w:r>
      <w:r w:rsidR="005A21D8" w:rsidRPr="00462EF8">
        <w:t xml:space="preserve">there are high returns to investment in </w:t>
      </w:r>
      <w:r w:rsidR="00462EF8" w:rsidRPr="00462EF8">
        <w:t xml:space="preserve">general and firm-specific </w:t>
      </w:r>
      <w:r w:rsidR="005A21D8" w:rsidRPr="00462EF8">
        <w:t xml:space="preserve">worker human capital for </w:t>
      </w:r>
      <w:r w:rsidR="00462EF8" w:rsidRPr="00462EF8">
        <w:t>internal firm capabilities.</w:t>
      </w:r>
    </w:p>
    <w:p w14:paraId="067BE80B" w14:textId="77777777" w:rsidR="00782AFE" w:rsidRDefault="00782AFE" w:rsidP="00782AFE">
      <w:pPr>
        <w:pStyle w:val="Normal0"/>
        <w:spacing w:after="240" w:line="276" w:lineRule="auto"/>
        <w:jc w:val="both"/>
      </w:pPr>
    </w:p>
    <w:tbl>
      <w:tblPr>
        <w:tblStyle w:val="TableGrid0"/>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4478"/>
      </w:tblGrid>
      <w:tr w:rsidR="00B54A3E" w14:paraId="65B2ED52" w14:textId="77777777" w:rsidTr="00871483">
        <w:trPr>
          <w:trHeight w:val="648"/>
        </w:trPr>
        <w:tc>
          <w:tcPr>
            <w:tcW w:w="5449" w:type="dxa"/>
          </w:tcPr>
          <w:p w14:paraId="55DE6BCC" w14:textId="5D6D8A80" w:rsidR="00B54A3E" w:rsidRPr="00B30168" w:rsidRDefault="003453F2" w:rsidP="00782AFE">
            <w:pPr>
              <w:pStyle w:val="Figure"/>
              <w:jc w:val="left"/>
            </w:pPr>
            <w:bookmarkStart w:id="93" w:name="_Ref9378844"/>
            <w:bookmarkStart w:id="94" w:name="_Toc11259356"/>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1</w:t>
            </w:r>
            <w:r w:rsidR="00320D6E">
              <w:rPr>
                <w:noProof/>
              </w:rPr>
              <w:fldChar w:fldCharType="end"/>
            </w:r>
            <w:bookmarkEnd w:id="93"/>
            <w:r w:rsidR="00782AFE">
              <w:t xml:space="preserve"> </w:t>
            </w:r>
            <w:r w:rsidR="00B54A3E" w:rsidRPr="00B30168">
              <w:t>Share of firms providing training for employees.</w:t>
            </w:r>
            <w:bookmarkEnd w:id="94"/>
            <w:r w:rsidR="00B54A3E" w:rsidRPr="00B30168">
              <w:t xml:space="preserve"> </w:t>
            </w:r>
          </w:p>
        </w:tc>
        <w:tc>
          <w:tcPr>
            <w:tcW w:w="4478" w:type="dxa"/>
          </w:tcPr>
          <w:p w14:paraId="50DA671F" w14:textId="34432165" w:rsidR="00D26BB4" w:rsidRPr="00871483" w:rsidRDefault="00782AFE" w:rsidP="00782AFE">
            <w:pPr>
              <w:pStyle w:val="Figure"/>
              <w:jc w:val="left"/>
            </w:pPr>
            <w:bookmarkStart w:id="95" w:name="_Ref9378850"/>
            <w:bookmarkStart w:id="96" w:name="_Toc11259357"/>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2</w:t>
            </w:r>
            <w:r w:rsidR="00320D6E">
              <w:rPr>
                <w:noProof/>
              </w:rPr>
              <w:fldChar w:fldCharType="end"/>
            </w:r>
            <w:bookmarkEnd w:id="95"/>
            <w:r>
              <w:t xml:space="preserve"> </w:t>
            </w:r>
            <w:r w:rsidR="00B54A3E" w:rsidRPr="00B30168">
              <w:t xml:space="preserve">Share of </w:t>
            </w:r>
            <w:r w:rsidR="0025413B" w:rsidRPr="00B30168">
              <w:t>employees trained by firms that provide training.</w:t>
            </w:r>
            <w:bookmarkEnd w:id="96"/>
            <w:r w:rsidR="0025413B" w:rsidRPr="00B30168">
              <w:t xml:space="preserve"> </w:t>
            </w:r>
          </w:p>
        </w:tc>
      </w:tr>
      <w:tr w:rsidR="00124E9C" w14:paraId="52CF96D3" w14:textId="77777777" w:rsidTr="004D5D3F">
        <w:tc>
          <w:tcPr>
            <w:tcW w:w="5449" w:type="dxa"/>
          </w:tcPr>
          <w:p w14:paraId="1C47538F" w14:textId="252AE48B" w:rsidR="00124E9C" w:rsidRDefault="00EE7106" w:rsidP="00CE1189">
            <w:pPr>
              <w:spacing w:after="0" w:line="240" w:lineRule="auto"/>
              <w:contextualSpacing/>
              <w:jc w:val="left"/>
            </w:pPr>
            <w:r>
              <w:rPr>
                <w:noProof/>
              </w:rPr>
              <w:drawing>
                <wp:inline distT="0" distB="0" distL="0" distR="0" wp14:anchorId="798E6077" wp14:editId="7F55746F">
                  <wp:extent cx="3311525" cy="3105150"/>
                  <wp:effectExtent l="0" t="0" r="317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0478" cy="3113545"/>
                          </a:xfrm>
                          <a:prstGeom prst="rect">
                            <a:avLst/>
                          </a:prstGeom>
                          <a:noFill/>
                        </pic:spPr>
                      </pic:pic>
                    </a:graphicData>
                  </a:graphic>
                </wp:inline>
              </w:drawing>
            </w:r>
          </w:p>
        </w:tc>
        <w:tc>
          <w:tcPr>
            <w:tcW w:w="4478" w:type="dxa"/>
          </w:tcPr>
          <w:p w14:paraId="775D5695" w14:textId="0D001A1D" w:rsidR="00124E9C" w:rsidRDefault="00E802DC" w:rsidP="00097B0C">
            <w:pPr>
              <w:spacing w:after="0" w:line="240" w:lineRule="auto"/>
              <w:ind w:left="-299"/>
              <w:contextualSpacing/>
              <w:jc w:val="left"/>
            </w:pPr>
            <w:r>
              <w:rPr>
                <w:noProof/>
              </w:rPr>
              <w:drawing>
                <wp:inline distT="0" distB="0" distL="0" distR="0" wp14:anchorId="57F69370" wp14:editId="0D53EC87">
                  <wp:extent cx="2704465" cy="3048000"/>
                  <wp:effectExtent l="0" t="0" r="63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251" cy="3075935"/>
                          </a:xfrm>
                          <a:prstGeom prst="rect">
                            <a:avLst/>
                          </a:prstGeom>
                          <a:noFill/>
                        </pic:spPr>
                      </pic:pic>
                    </a:graphicData>
                  </a:graphic>
                </wp:inline>
              </w:drawing>
            </w:r>
          </w:p>
        </w:tc>
      </w:tr>
      <w:tr w:rsidR="004D5D3F" w14:paraId="6C37A312" w14:textId="77777777" w:rsidTr="004D5D3F">
        <w:tc>
          <w:tcPr>
            <w:tcW w:w="9927" w:type="dxa"/>
            <w:gridSpan w:val="2"/>
          </w:tcPr>
          <w:p w14:paraId="0B844429" w14:textId="4312F95F" w:rsidR="004D5D3F" w:rsidRPr="00782AFE" w:rsidRDefault="004D5D3F" w:rsidP="003453F2">
            <w:pPr>
              <w:keepNext/>
              <w:spacing w:after="0" w:line="240" w:lineRule="auto"/>
              <w:contextualSpacing/>
              <w:jc w:val="left"/>
              <w:rPr>
                <w:i/>
                <w:iCs/>
                <w:noProof/>
                <w:sz w:val="20"/>
                <w:szCs w:val="20"/>
              </w:rPr>
            </w:pPr>
            <w:r w:rsidRPr="00782AFE">
              <w:rPr>
                <w:i/>
                <w:iCs/>
                <w:noProof/>
                <w:sz w:val="20"/>
                <w:szCs w:val="20"/>
              </w:rPr>
              <w:t xml:space="preserve">Sources: </w:t>
            </w:r>
            <w:proofErr w:type="spellStart"/>
            <w:r w:rsidRPr="00782AFE">
              <w:rPr>
                <w:sz w:val="20"/>
                <w:szCs w:val="20"/>
              </w:rPr>
              <w:t>RuFiGE</w:t>
            </w:r>
            <w:proofErr w:type="spellEnd"/>
            <w:r w:rsidRPr="00782AFE">
              <w:rPr>
                <w:sz w:val="20"/>
                <w:szCs w:val="20"/>
              </w:rPr>
              <w:t xml:space="preserve"> 2014 (Russian firms), Enterprise surveys 2012-2017 (comparators)</w:t>
            </w:r>
          </w:p>
        </w:tc>
      </w:tr>
    </w:tbl>
    <w:p w14:paraId="3E0B9160" w14:textId="77777777" w:rsidR="003453F2" w:rsidRPr="003453F2" w:rsidRDefault="003453F2" w:rsidP="003453F2">
      <w:pPr>
        <w:pStyle w:val="Normal0"/>
        <w:spacing w:after="240" w:line="276" w:lineRule="auto"/>
        <w:jc w:val="both"/>
      </w:pPr>
    </w:p>
    <w:p w14:paraId="5C55E5B4" w14:textId="7856F82E" w:rsidR="00C96A44" w:rsidRDefault="00C96A44" w:rsidP="00C96A44">
      <w:pPr>
        <w:pStyle w:val="Normal0"/>
        <w:numPr>
          <w:ilvl w:val="0"/>
          <w:numId w:val="21"/>
        </w:numPr>
        <w:spacing w:after="240" w:line="276" w:lineRule="auto"/>
        <w:ind w:left="0" w:firstLine="0"/>
        <w:jc w:val="both"/>
      </w:pPr>
      <w:r w:rsidRPr="0077130E">
        <w:rPr>
          <w:b/>
          <w:bCs/>
        </w:rPr>
        <w:t xml:space="preserve">Russian SOEs are </w:t>
      </w:r>
      <w:r w:rsidR="000B3323">
        <w:rPr>
          <w:b/>
          <w:bCs/>
        </w:rPr>
        <w:t xml:space="preserve">also </w:t>
      </w:r>
      <w:r w:rsidR="007B08C3">
        <w:rPr>
          <w:b/>
          <w:bCs/>
        </w:rPr>
        <w:t xml:space="preserve">relatively </w:t>
      </w:r>
      <w:r w:rsidRPr="0077130E">
        <w:rPr>
          <w:b/>
          <w:bCs/>
        </w:rPr>
        <w:t>low adopters of compensation-based performance incentives</w:t>
      </w:r>
      <w:r>
        <w:t xml:space="preserve">. A growing body of research shows the importance of basing a portion of workers’, including managers’, pay on </w:t>
      </w:r>
      <w:r w:rsidRPr="00D33224">
        <w:t xml:space="preserve">achievement of clear realistic performance targets, which aligns worker incentives with the overall goal of firm performance. </w:t>
      </w:r>
      <w:r>
        <w:t xml:space="preserve">The most recent </w:t>
      </w:r>
      <w:r w:rsidR="00D36A66">
        <w:t>IIELM</w:t>
      </w:r>
      <w:r>
        <w:t xml:space="preserve"> and World Management surveys show Russian SOEs trailing global comparators, including China, other BRICs, and OECD countries in setting performance targets (</w:t>
      </w:r>
      <w:r w:rsidR="00305C96">
        <w:fldChar w:fldCharType="begin"/>
      </w:r>
      <w:r w:rsidR="00305C96">
        <w:instrText xml:space="preserve"> REF _Ref9378912 \h </w:instrText>
      </w:r>
      <w:r w:rsidR="00305C96">
        <w:fldChar w:fldCharType="separate"/>
      </w:r>
      <w:r w:rsidR="00384800">
        <w:t xml:space="preserve">Figure 4. </w:t>
      </w:r>
      <w:r w:rsidR="00384800">
        <w:rPr>
          <w:noProof/>
        </w:rPr>
        <w:t>3</w:t>
      </w:r>
      <w:r w:rsidR="00305C96">
        <w:fldChar w:fldCharType="end"/>
      </w:r>
      <w:r>
        <w:t xml:space="preserve">) and rewarding managers </w:t>
      </w:r>
      <w:proofErr w:type="gramStart"/>
      <w:r>
        <w:t>on the basis of</w:t>
      </w:r>
      <w:proofErr w:type="gramEnd"/>
      <w:r>
        <w:t xml:space="preserve"> performance (</w:t>
      </w:r>
      <w:r w:rsidR="00305C96">
        <w:fldChar w:fldCharType="begin"/>
      </w:r>
      <w:r w:rsidR="00305C96">
        <w:instrText xml:space="preserve"> REF _Ref9378906 \h </w:instrText>
      </w:r>
      <w:r w:rsidR="00305C96">
        <w:fldChar w:fldCharType="separate"/>
      </w:r>
      <w:r w:rsidR="00384800">
        <w:t xml:space="preserve">Figure 4. </w:t>
      </w:r>
      <w:r w:rsidR="00384800">
        <w:rPr>
          <w:noProof/>
        </w:rPr>
        <w:t>4</w:t>
      </w:r>
      <w:r w:rsidR="00305C96">
        <w:fldChar w:fldCharType="end"/>
      </w:r>
      <w:r>
        <w:t xml:space="preserve">). On average, only 49 percent of Russian SOEs set key performance indicators (KPIs) compared to 90 percent of Chinese firms, and only 17 percent give managers performance bonuses compared to 75 and 94 percent of Brazilian and Chinese firms, respectively. Although we lack data on the </w:t>
      </w:r>
      <w:r w:rsidRPr="0077130E">
        <w:rPr>
          <w:i/>
          <w:iCs/>
        </w:rPr>
        <w:t>quality</w:t>
      </w:r>
      <w:r>
        <w:t xml:space="preserve"> of performance targets—a separate, important dimension that merits further study—the quantitative comparison alone suggests that SOEs may be underinvesting in this key predictor of firm capabilities.</w:t>
      </w:r>
    </w:p>
    <w:p w14:paraId="234BD162" w14:textId="630AA7CC" w:rsidR="00FD0919" w:rsidRDefault="00FD0919" w:rsidP="00FD0919">
      <w:pPr>
        <w:pStyle w:val="Normal0"/>
        <w:numPr>
          <w:ilvl w:val="0"/>
          <w:numId w:val="21"/>
        </w:numPr>
        <w:spacing w:after="0" w:line="276" w:lineRule="auto"/>
        <w:ind w:left="0" w:firstLine="0"/>
        <w:jc w:val="both"/>
      </w:pPr>
      <w:r>
        <w:rPr>
          <w:b/>
        </w:rPr>
        <w:t>The</w:t>
      </w:r>
      <w:r w:rsidR="00C96A44" w:rsidRPr="00BA4FEB">
        <w:rPr>
          <w:b/>
        </w:rPr>
        <w:t xml:space="preserve"> data </w:t>
      </w:r>
      <w:r>
        <w:rPr>
          <w:b/>
        </w:rPr>
        <w:t xml:space="preserve">also </w:t>
      </w:r>
      <w:r w:rsidR="00C96A44" w:rsidRPr="00BA4FEB">
        <w:rPr>
          <w:b/>
        </w:rPr>
        <w:t>show significant heterogeneity within the SOE sector—a 50 percent spread in adoption of KPIs and 34 percent spread in use of manager performance rewards</w:t>
      </w:r>
      <w:r w:rsidR="00C96A44">
        <w:t xml:space="preserve">. This heterogeneity is helpful both for identifying the laggards—small and fully state-owned SOEs in particular—and demonstrates that major improvements are within reach. The fact that large </w:t>
      </w:r>
      <w:r>
        <w:t>m</w:t>
      </w:r>
      <w:r w:rsidR="00C96A44">
        <w:t xml:space="preserve">ixed SOEs are close to the BRIC frontier and in some cases outrank private domestic and multinational firms suggests that there </w:t>
      </w:r>
      <w:proofErr w:type="gramStart"/>
      <w:r w:rsidR="00C96A44">
        <w:t>are</w:t>
      </w:r>
      <w:proofErr w:type="gramEnd"/>
      <w:r w:rsidR="00C96A44">
        <w:t xml:space="preserve"> no </w:t>
      </w:r>
      <w:r>
        <w:t>inherent reason why state ownership should constrain the adoption of these good management practices, and also creates opportunities for peer learning.</w:t>
      </w:r>
      <w:r w:rsidRPr="00FD0919">
        <w:rPr>
          <w:b/>
        </w:rPr>
        <w:t xml:space="preserve"> </w:t>
      </w:r>
      <w:r>
        <w:t xml:space="preserve">business climate. </w:t>
      </w:r>
    </w:p>
    <w:p w14:paraId="665A0786" w14:textId="1209F6C0" w:rsidR="00C96A44" w:rsidRDefault="00C96A44" w:rsidP="00FD0919">
      <w:pPr>
        <w:pStyle w:val="Normal0"/>
        <w:spacing w:after="240" w:line="276" w:lineRule="auto"/>
        <w:jc w:val="both"/>
      </w:pPr>
    </w:p>
    <w:p w14:paraId="56358B77" w14:textId="5A81A943" w:rsidR="000B3323" w:rsidRDefault="000B3323" w:rsidP="00C96A44">
      <w:pPr>
        <w:spacing w:after="0" w:line="240" w:lineRule="auto"/>
        <w:contextualSpacing/>
        <w:jc w:val="left"/>
      </w:pPr>
    </w:p>
    <w:p w14:paraId="6AC0A163" w14:textId="29AA787A" w:rsidR="00C96A44" w:rsidRPr="000442EA" w:rsidRDefault="000442EA" w:rsidP="000442EA">
      <w:pPr>
        <w:pStyle w:val="Figure"/>
      </w:pPr>
      <w:bookmarkStart w:id="97" w:name="_Ref9378912"/>
      <w:bookmarkStart w:id="98" w:name="_Toc11259358"/>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3</w:t>
      </w:r>
      <w:r w:rsidR="00320D6E">
        <w:rPr>
          <w:noProof/>
        </w:rPr>
        <w:fldChar w:fldCharType="end"/>
      </w:r>
      <w:bookmarkEnd w:id="97"/>
      <w:r>
        <w:t xml:space="preserve"> </w:t>
      </w:r>
      <w:r w:rsidR="00C96A44" w:rsidRPr="000442EA">
        <w:t>Share of firms using KPIs.</w:t>
      </w:r>
      <w:bookmarkEnd w:id="98"/>
    </w:p>
    <w:p w14:paraId="7AFC31AC" w14:textId="77777777" w:rsidR="00C96A44" w:rsidRDefault="00C96A44" w:rsidP="00C96A44">
      <w:pPr>
        <w:tabs>
          <w:tab w:val="left" w:pos="8460"/>
          <w:tab w:val="left" w:pos="8910"/>
        </w:tabs>
        <w:spacing w:after="0" w:line="240" w:lineRule="auto"/>
        <w:contextualSpacing/>
        <w:jc w:val="center"/>
      </w:pPr>
      <w:r>
        <w:rPr>
          <w:noProof/>
        </w:rPr>
        <w:drawing>
          <wp:inline distT="0" distB="0" distL="0" distR="0" wp14:anchorId="48C669C5" wp14:editId="7ED49735">
            <wp:extent cx="5006340" cy="33147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4097" cy="3326457"/>
                    </a:xfrm>
                    <a:prstGeom prst="rect">
                      <a:avLst/>
                    </a:prstGeom>
                    <a:noFill/>
                  </pic:spPr>
                </pic:pic>
              </a:graphicData>
            </a:graphic>
          </wp:inline>
        </w:drawing>
      </w:r>
    </w:p>
    <w:p w14:paraId="380A841A" w14:textId="3B7BF259" w:rsidR="00C96A44" w:rsidRPr="0031761F" w:rsidRDefault="00C96A44" w:rsidP="00C96A44">
      <w:pPr>
        <w:spacing w:after="0" w:line="240" w:lineRule="auto"/>
        <w:contextualSpacing/>
        <w:jc w:val="left"/>
        <w:rPr>
          <w:i/>
          <w:iCs/>
        </w:rPr>
      </w:pPr>
      <w:r w:rsidRPr="0031761F">
        <w:rPr>
          <w:i/>
          <w:iCs/>
          <w:sz w:val="20"/>
          <w:szCs w:val="20"/>
        </w:rPr>
        <w:t xml:space="preserve">Sources: </w:t>
      </w:r>
      <w:r w:rsidR="00D36A66">
        <w:rPr>
          <w:sz w:val="20"/>
          <w:szCs w:val="20"/>
        </w:rPr>
        <w:t>IIELM</w:t>
      </w:r>
      <w:r w:rsidRPr="00607F64">
        <w:rPr>
          <w:sz w:val="20"/>
          <w:szCs w:val="20"/>
        </w:rPr>
        <w:t xml:space="preserve"> 2017 (Russian firms), World Management Survey 2014 (global comparators)</w:t>
      </w:r>
    </w:p>
    <w:p w14:paraId="067AB396" w14:textId="77777777" w:rsidR="00C96A44" w:rsidRDefault="00C96A44" w:rsidP="00C96A44">
      <w:pPr>
        <w:spacing w:after="0" w:line="240" w:lineRule="auto"/>
        <w:contextualSpacing/>
        <w:jc w:val="center"/>
        <w:rPr>
          <w:b/>
          <w:bCs/>
          <w:color w:val="0070C0"/>
          <w:sz w:val="20"/>
          <w:szCs w:val="20"/>
        </w:rPr>
      </w:pPr>
    </w:p>
    <w:p w14:paraId="2C4848AD" w14:textId="3901EFC1" w:rsidR="00C96A44" w:rsidRDefault="000442EA" w:rsidP="000442EA">
      <w:pPr>
        <w:pStyle w:val="Figure"/>
      </w:pPr>
      <w:bookmarkStart w:id="99" w:name="_Ref9378906"/>
      <w:bookmarkStart w:id="100" w:name="_Toc11259359"/>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4</w:t>
      </w:r>
      <w:r w:rsidR="00320D6E">
        <w:rPr>
          <w:noProof/>
        </w:rPr>
        <w:fldChar w:fldCharType="end"/>
      </w:r>
      <w:bookmarkEnd w:id="99"/>
      <w:r>
        <w:t xml:space="preserve"> </w:t>
      </w:r>
      <w:r w:rsidR="00C96A44" w:rsidRPr="00F362CD">
        <w:t>Share of firms giving manager performance bonuses.</w:t>
      </w:r>
      <w:bookmarkEnd w:id="100"/>
    </w:p>
    <w:p w14:paraId="6C18DDC0" w14:textId="77777777" w:rsidR="00C96A44" w:rsidRDefault="00C96A44" w:rsidP="00C96A44">
      <w:pPr>
        <w:spacing w:after="0" w:line="240" w:lineRule="auto"/>
        <w:contextualSpacing/>
        <w:jc w:val="center"/>
      </w:pPr>
      <w:r>
        <w:rPr>
          <w:noProof/>
        </w:rPr>
        <w:drawing>
          <wp:inline distT="0" distB="0" distL="0" distR="0" wp14:anchorId="3CB9DAFE" wp14:editId="41131D29">
            <wp:extent cx="4962057" cy="3209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6288" cy="3225600"/>
                    </a:xfrm>
                    <a:prstGeom prst="rect">
                      <a:avLst/>
                    </a:prstGeom>
                    <a:noFill/>
                  </pic:spPr>
                </pic:pic>
              </a:graphicData>
            </a:graphic>
          </wp:inline>
        </w:drawing>
      </w:r>
    </w:p>
    <w:p w14:paraId="110004D7" w14:textId="1D0D2111" w:rsidR="00C96A44" w:rsidRDefault="00C96A44" w:rsidP="00C96A44">
      <w:pPr>
        <w:spacing w:after="0" w:line="240" w:lineRule="auto"/>
        <w:contextualSpacing/>
        <w:jc w:val="left"/>
        <w:rPr>
          <w:i/>
          <w:iCs/>
          <w:sz w:val="20"/>
          <w:szCs w:val="20"/>
        </w:rPr>
      </w:pPr>
      <w:r w:rsidRPr="00BE531C">
        <w:rPr>
          <w:i/>
          <w:iCs/>
          <w:sz w:val="20"/>
          <w:szCs w:val="20"/>
        </w:rPr>
        <w:t xml:space="preserve">Sources: </w:t>
      </w:r>
      <w:r w:rsidR="00D36A66">
        <w:rPr>
          <w:sz w:val="20"/>
          <w:szCs w:val="20"/>
        </w:rPr>
        <w:t>IIELM</w:t>
      </w:r>
      <w:r w:rsidRPr="000442EA">
        <w:rPr>
          <w:sz w:val="20"/>
          <w:szCs w:val="20"/>
        </w:rPr>
        <w:t xml:space="preserve"> 2017 (Russian firms), World Management Survey (global comparators)</w:t>
      </w:r>
    </w:p>
    <w:p w14:paraId="34ECB1AE" w14:textId="17F1631E" w:rsidR="00941A7B" w:rsidRDefault="00941A7B" w:rsidP="00CE1189">
      <w:pPr>
        <w:spacing w:after="0" w:line="240" w:lineRule="auto"/>
        <w:contextualSpacing/>
        <w:jc w:val="left"/>
      </w:pPr>
    </w:p>
    <w:p w14:paraId="22742255" w14:textId="7FCFCF4E" w:rsidR="00C96A44" w:rsidRDefault="00C96A44" w:rsidP="00CE1189">
      <w:pPr>
        <w:spacing w:after="0" w:line="240" w:lineRule="auto"/>
        <w:contextualSpacing/>
        <w:jc w:val="left"/>
      </w:pPr>
    </w:p>
    <w:p w14:paraId="7AC7B35F" w14:textId="42BEC683" w:rsidR="00250FA8" w:rsidRDefault="00AB7015" w:rsidP="005B04D2">
      <w:pPr>
        <w:pStyle w:val="Normal0"/>
        <w:numPr>
          <w:ilvl w:val="0"/>
          <w:numId w:val="21"/>
        </w:numPr>
        <w:spacing w:after="240" w:line="276" w:lineRule="auto"/>
        <w:ind w:left="0" w:firstLine="0"/>
        <w:jc w:val="both"/>
      </w:pPr>
      <w:r w:rsidRPr="00AB7015">
        <w:rPr>
          <w:b/>
          <w:bCs/>
        </w:rPr>
        <w:t xml:space="preserve">SOEs elicit lower effort from </w:t>
      </w:r>
      <w:r w:rsidR="00E22DF0">
        <w:rPr>
          <w:b/>
          <w:bCs/>
        </w:rPr>
        <w:t>their employees</w:t>
      </w:r>
      <w:r w:rsidRPr="00AB7015">
        <w:rPr>
          <w:b/>
          <w:bCs/>
        </w:rPr>
        <w:t>, measured in weekly hours worked</w:t>
      </w:r>
      <w:r>
        <w:t xml:space="preserve">. </w:t>
      </w:r>
      <w:r w:rsidR="005A7DFB">
        <w:t xml:space="preserve">SOE workers </w:t>
      </w:r>
      <w:r w:rsidR="00CE1561">
        <w:t xml:space="preserve">on average </w:t>
      </w:r>
      <w:r w:rsidR="005A7DFB">
        <w:t xml:space="preserve">have </w:t>
      </w:r>
      <w:r w:rsidR="00DF2665">
        <w:t xml:space="preserve">3 hours </w:t>
      </w:r>
      <w:r w:rsidR="005A7DFB">
        <w:t xml:space="preserve">shorter </w:t>
      </w:r>
      <w:r w:rsidR="00D367EF">
        <w:t xml:space="preserve">working </w:t>
      </w:r>
      <w:r w:rsidR="00DF2665">
        <w:t>weeks</w:t>
      </w:r>
      <w:r w:rsidR="0075489B">
        <w:t xml:space="preserve"> </w:t>
      </w:r>
      <w:r w:rsidR="00E22DF0">
        <w:t>(</w:t>
      </w:r>
      <w:r w:rsidR="00305C96">
        <w:fldChar w:fldCharType="begin"/>
      </w:r>
      <w:r w:rsidR="00305C96">
        <w:instrText xml:space="preserve"> REF _Ref9378937 \h </w:instrText>
      </w:r>
      <w:r w:rsidR="00305C96">
        <w:fldChar w:fldCharType="separate"/>
      </w:r>
      <w:r w:rsidR="00384800">
        <w:t xml:space="preserve">Figure 4. </w:t>
      </w:r>
      <w:r w:rsidR="00384800">
        <w:rPr>
          <w:noProof/>
        </w:rPr>
        <w:t>5</w:t>
      </w:r>
      <w:r w:rsidR="00305C96">
        <w:fldChar w:fldCharType="end"/>
      </w:r>
      <w:r w:rsidR="00E22DF0">
        <w:t>)</w:t>
      </w:r>
      <w:r w:rsidR="0075489B">
        <w:t>, and the difference is statistically significant</w:t>
      </w:r>
      <w:r w:rsidR="00DF2665">
        <w:t xml:space="preserve">. </w:t>
      </w:r>
      <w:r w:rsidR="00C13B42">
        <w:t>Although</w:t>
      </w:r>
      <w:r w:rsidR="006E612C">
        <w:t xml:space="preserve"> </w:t>
      </w:r>
      <w:r w:rsidR="00875EE7">
        <w:t xml:space="preserve">time </w:t>
      </w:r>
      <w:r w:rsidR="006E612C">
        <w:t xml:space="preserve">is not a </w:t>
      </w:r>
      <w:r w:rsidR="00875EE7">
        <w:t xml:space="preserve">perfect measure of effort, it </w:t>
      </w:r>
      <w:r w:rsidR="009D60E7">
        <w:t xml:space="preserve">could suggest </w:t>
      </w:r>
      <w:r w:rsidR="00AC4ECC">
        <w:t xml:space="preserve">gaps in performance management, including </w:t>
      </w:r>
      <w:r w:rsidR="0075489B">
        <w:t xml:space="preserve">managers’ attention to </w:t>
      </w:r>
      <w:r w:rsidR="00C13B42">
        <w:t xml:space="preserve">worker </w:t>
      </w:r>
      <w:r w:rsidR="00806571">
        <w:t xml:space="preserve">motivation, </w:t>
      </w:r>
      <w:r w:rsidR="00AC4ECC">
        <w:t xml:space="preserve">discipline, </w:t>
      </w:r>
      <w:r w:rsidR="00C13B42">
        <w:t xml:space="preserve">and </w:t>
      </w:r>
      <w:r w:rsidR="00AC4ECC">
        <w:t>accountability</w:t>
      </w:r>
      <w:r w:rsidR="009D60E7">
        <w:t xml:space="preserve">. </w:t>
      </w:r>
    </w:p>
    <w:p w14:paraId="1616F9C8" w14:textId="649C76F4" w:rsidR="00BF36BC" w:rsidRDefault="009D60E7" w:rsidP="005B04D2">
      <w:pPr>
        <w:pStyle w:val="Normal0"/>
        <w:numPr>
          <w:ilvl w:val="0"/>
          <w:numId w:val="21"/>
        </w:numPr>
        <w:spacing w:after="240" w:line="276" w:lineRule="auto"/>
        <w:ind w:left="0" w:firstLine="0"/>
        <w:jc w:val="both"/>
      </w:pPr>
      <w:r w:rsidRPr="000D372B">
        <w:rPr>
          <w:b/>
          <w:bCs/>
        </w:rPr>
        <w:t xml:space="preserve">Lastly, SOE workers </w:t>
      </w:r>
      <w:r w:rsidR="000D372B" w:rsidRPr="000D372B">
        <w:rPr>
          <w:b/>
          <w:bCs/>
        </w:rPr>
        <w:t xml:space="preserve">appear to </w:t>
      </w:r>
      <w:r w:rsidR="000D372B">
        <w:rPr>
          <w:b/>
          <w:bCs/>
        </w:rPr>
        <w:t xml:space="preserve">be </w:t>
      </w:r>
      <w:r w:rsidR="000D372B" w:rsidRPr="000D372B">
        <w:rPr>
          <w:b/>
          <w:bCs/>
        </w:rPr>
        <w:t>less mobil</w:t>
      </w:r>
      <w:r w:rsidR="000D372B">
        <w:rPr>
          <w:b/>
          <w:bCs/>
        </w:rPr>
        <w:t xml:space="preserve">e, which </w:t>
      </w:r>
      <w:r w:rsidR="00AC4ECC">
        <w:rPr>
          <w:b/>
          <w:bCs/>
        </w:rPr>
        <w:t xml:space="preserve">could contribute to their reduced productivity, and could reflect </w:t>
      </w:r>
      <w:r w:rsidR="00BF36BC">
        <w:rPr>
          <w:b/>
          <w:bCs/>
        </w:rPr>
        <w:t>gaps in management practices</w:t>
      </w:r>
      <w:r w:rsidR="000D372B">
        <w:t xml:space="preserve">. </w:t>
      </w:r>
      <w:r w:rsidR="006D4C3A">
        <w:t>Our measure of mobility is average tenure on the job.</w:t>
      </w:r>
      <w:r w:rsidR="001C30C6">
        <w:t xml:space="preserve"> </w:t>
      </w:r>
      <w:r w:rsidR="00F44307">
        <w:t>Studies show that a</w:t>
      </w:r>
      <w:r w:rsidR="001C30C6">
        <w:t xml:space="preserve">lthough tenure </w:t>
      </w:r>
      <w:r w:rsidR="00F44307">
        <w:t xml:space="preserve">can </w:t>
      </w:r>
      <w:r w:rsidR="001C30C6">
        <w:t>bring positive externalities,</w:t>
      </w:r>
      <w:r w:rsidR="004F19E5">
        <w:t xml:space="preserve"> </w:t>
      </w:r>
      <w:r w:rsidR="00F44307">
        <w:t xml:space="preserve">such as </w:t>
      </w:r>
      <w:r w:rsidR="003504A6">
        <w:t xml:space="preserve">from </w:t>
      </w:r>
      <w:r w:rsidR="004F19E5">
        <w:t xml:space="preserve">workers’ </w:t>
      </w:r>
      <w:r w:rsidR="003504A6">
        <w:t xml:space="preserve">accumulated </w:t>
      </w:r>
      <w:r w:rsidR="004F19E5">
        <w:t>firm-specific capital</w:t>
      </w:r>
      <w:r w:rsidR="004E6AD6">
        <w:t xml:space="preserve">, </w:t>
      </w:r>
      <w:r w:rsidR="00F44307">
        <w:t xml:space="preserve">overall </w:t>
      </w:r>
      <w:r w:rsidR="00366A05">
        <w:t xml:space="preserve">the </w:t>
      </w:r>
      <w:r w:rsidR="00F44307">
        <w:t xml:space="preserve">gains tend to be </w:t>
      </w:r>
      <w:r w:rsidR="003504A6">
        <w:t xml:space="preserve">outweighed by </w:t>
      </w:r>
      <w:r w:rsidR="004E6AD6">
        <w:t xml:space="preserve">reduced </w:t>
      </w:r>
      <w:r w:rsidR="00F44307">
        <w:t xml:space="preserve">worker </w:t>
      </w:r>
      <w:r w:rsidR="003504A6">
        <w:t>motivation</w:t>
      </w:r>
      <w:r w:rsidR="00366A05">
        <w:t xml:space="preserve"> for a net </w:t>
      </w:r>
      <w:r w:rsidR="00D6031F">
        <w:t>loss</w:t>
      </w:r>
      <w:r w:rsidR="00366A05">
        <w:t xml:space="preserve"> in</w:t>
      </w:r>
      <w:r w:rsidR="000B52B1">
        <w:t xml:space="preserve"> </w:t>
      </w:r>
      <w:r w:rsidR="00F44307">
        <w:t>productivity (</w:t>
      </w:r>
      <w:r w:rsidR="00F54032">
        <w:t>Ng &amp; Feldman 2013)</w:t>
      </w:r>
      <w:r w:rsidR="003504A6">
        <w:t xml:space="preserve">. </w:t>
      </w:r>
      <w:r w:rsidR="00366A05">
        <w:t xml:space="preserve">RLMS data suggest that </w:t>
      </w:r>
      <w:r w:rsidR="006D4C3A" w:rsidRPr="006A389E">
        <w:t>SOE</w:t>
      </w:r>
      <w:r w:rsidR="00F54032">
        <w:t xml:space="preserve"> worker</w:t>
      </w:r>
      <w:r w:rsidR="000B52B1">
        <w:t>s</w:t>
      </w:r>
      <w:r w:rsidR="00366A05">
        <w:t xml:space="preserve">’ tenures tend to be almost twice </w:t>
      </w:r>
      <w:proofErr w:type="gramStart"/>
      <w:r w:rsidR="00366A05">
        <w:t>as long as</w:t>
      </w:r>
      <w:proofErr w:type="gramEnd"/>
      <w:r w:rsidR="00366A05">
        <w:t xml:space="preserve"> those of </w:t>
      </w:r>
      <w:r w:rsidR="006D4C3A" w:rsidRPr="006A389E">
        <w:t>their private sector counterparts</w:t>
      </w:r>
      <w:r w:rsidR="006D4C3A">
        <w:t xml:space="preserve"> </w:t>
      </w:r>
      <w:r w:rsidR="00DC2AC2">
        <w:t>(</w:t>
      </w:r>
      <w:r w:rsidR="00305C96">
        <w:fldChar w:fldCharType="begin"/>
      </w:r>
      <w:r w:rsidR="00305C96">
        <w:instrText xml:space="preserve"> REF _Ref9378943 \h </w:instrText>
      </w:r>
      <w:r w:rsidR="00305C96">
        <w:fldChar w:fldCharType="separate"/>
      </w:r>
      <w:r w:rsidR="00384800">
        <w:t xml:space="preserve">Figure 4. </w:t>
      </w:r>
      <w:r w:rsidR="00384800">
        <w:rPr>
          <w:noProof/>
        </w:rPr>
        <w:t>6</w:t>
      </w:r>
      <w:r w:rsidR="00305C96">
        <w:fldChar w:fldCharType="end"/>
      </w:r>
      <w:r w:rsidR="00DC2AC2">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569"/>
      </w:tblGrid>
      <w:tr w:rsidR="00D06E5E" w14:paraId="5DC48AED" w14:textId="77777777" w:rsidTr="00203551">
        <w:tc>
          <w:tcPr>
            <w:tcW w:w="4825" w:type="dxa"/>
          </w:tcPr>
          <w:p w14:paraId="6ACA368A" w14:textId="5502E93A" w:rsidR="00D06E5E" w:rsidRDefault="000442EA" w:rsidP="000442EA">
            <w:pPr>
              <w:pStyle w:val="Figure"/>
              <w:jc w:val="left"/>
            </w:pPr>
            <w:bookmarkStart w:id="101" w:name="_Ref9378937"/>
            <w:bookmarkStart w:id="102" w:name="_Toc11259360"/>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5</w:t>
            </w:r>
            <w:r w:rsidR="00320D6E">
              <w:rPr>
                <w:noProof/>
              </w:rPr>
              <w:fldChar w:fldCharType="end"/>
            </w:r>
            <w:bookmarkEnd w:id="101"/>
            <w:r>
              <w:rPr>
                <w:bCs/>
              </w:rPr>
              <w:t xml:space="preserve"> </w:t>
            </w:r>
            <w:r w:rsidR="00D06E5E" w:rsidRPr="00DC2AC2">
              <w:rPr>
                <w:bCs/>
              </w:rPr>
              <w:t>Average weekly working hours.</w:t>
            </w:r>
            <w:bookmarkEnd w:id="102"/>
          </w:p>
        </w:tc>
        <w:tc>
          <w:tcPr>
            <w:tcW w:w="4564" w:type="dxa"/>
          </w:tcPr>
          <w:p w14:paraId="6A9B2AC4" w14:textId="741E7DD3" w:rsidR="00D06E5E" w:rsidRDefault="000442EA" w:rsidP="000442EA">
            <w:pPr>
              <w:pStyle w:val="Figure"/>
            </w:pPr>
            <w:bookmarkStart w:id="103" w:name="_Ref9378943"/>
            <w:bookmarkStart w:id="104" w:name="_Toc11259361"/>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6</w:t>
            </w:r>
            <w:r w:rsidR="00320D6E">
              <w:rPr>
                <w:noProof/>
              </w:rPr>
              <w:fldChar w:fldCharType="end"/>
            </w:r>
            <w:bookmarkEnd w:id="103"/>
            <w:r>
              <w:rPr>
                <w:bCs/>
              </w:rPr>
              <w:t xml:space="preserve"> </w:t>
            </w:r>
            <w:r w:rsidR="00D06E5E" w:rsidRPr="00DC2AC2">
              <w:rPr>
                <w:bCs/>
              </w:rPr>
              <w:t>Tenure in current job, in years.</w:t>
            </w:r>
            <w:bookmarkEnd w:id="104"/>
            <w:r w:rsidR="00D06E5E" w:rsidRPr="00DC2AC2">
              <w:rPr>
                <w:bCs/>
              </w:rPr>
              <w:t xml:space="preserve"> </w:t>
            </w:r>
          </w:p>
        </w:tc>
      </w:tr>
      <w:tr w:rsidR="00D06E5E" w14:paraId="5467A5CD" w14:textId="77777777" w:rsidTr="00203551">
        <w:tc>
          <w:tcPr>
            <w:tcW w:w="4825" w:type="dxa"/>
          </w:tcPr>
          <w:p w14:paraId="58128B40" w14:textId="4DD144ED" w:rsidR="00D06E5E" w:rsidRDefault="00D06E5E" w:rsidP="00D06E5E">
            <w:pPr>
              <w:spacing w:after="0" w:line="240" w:lineRule="auto"/>
              <w:jc w:val="left"/>
            </w:pPr>
            <w:r w:rsidRPr="00E06BAD">
              <w:rPr>
                <w:noProof/>
              </w:rPr>
              <w:drawing>
                <wp:inline distT="0" distB="0" distL="0" distR="0" wp14:anchorId="704E226B" wp14:editId="008B5969">
                  <wp:extent cx="3089981" cy="2286000"/>
                  <wp:effectExtent l="0" t="0" r="0" b="0"/>
                  <wp:docPr id="34" name="Рисунок 19">
                    <a:extLst xmlns:a="http://schemas.openxmlformats.org/drawingml/2006/main">
                      <a:ext uri="{FF2B5EF4-FFF2-40B4-BE49-F238E27FC236}">
                        <a16:creationId xmlns:a16="http://schemas.microsoft.com/office/drawing/2014/main" id="{86D5F779-9B8F-4878-8630-E5F59787C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9">
                            <a:extLst>
                              <a:ext uri="{FF2B5EF4-FFF2-40B4-BE49-F238E27FC236}">
                                <a16:creationId xmlns:a16="http://schemas.microsoft.com/office/drawing/2014/main" id="{86D5F779-9B8F-4878-8630-E5F59787C1EB}"/>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2557" cy="2324896"/>
                          </a:xfrm>
                          <a:prstGeom prst="rect">
                            <a:avLst/>
                          </a:prstGeom>
                          <a:noFill/>
                        </pic:spPr>
                      </pic:pic>
                    </a:graphicData>
                  </a:graphic>
                </wp:inline>
              </w:drawing>
            </w:r>
          </w:p>
        </w:tc>
        <w:tc>
          <w:tcPr>
            <w:tcW w:w="4564" w:type="dxa"/>
          </w:tcPr>
          <w:p w14:paraId="5A74F854" w14:textId="7CF1D267" w:rsidR="00D06E5E" w:rsidRDefault="00D06E5E" w:rsidP="00D06E5E">
            <w:pPr>
              <w:spacing w:after="0" w:line="240" w:lineRule="auto"/>
              <w:jc w:val="left"/>
            </w:pPr>
            <w:r w:rsidRPr="00262ACE">
              <w:rPr>
                <w:noProof/>
              </w:rPr>
              <w:drawing>
                <wp:inline distT="0" distB="0" distL="0" distR="0" wp14:anchorId="6421C1A3" wp14:editId="7E0E7822">
                  <wp:extent cx="2915285" cy="2268747"/>
                  <wp:effectExtent l="0" t="0" r="0" b="0"/>
                  <wp:docPr id="41" name="Рисунок 43">
                    <a:extLst xmlns:a="http://schemas.openxmlformats.org/drawingml/2006/main">
                      <a:ext uri="{FF2B5EF4-FFF2-40B4-BE49-F238E27FC236}">
                        <a16:creationId xmlns:a16="http://schemas.microsoft.com/office/drawing/2014/main" id="{E4C27DB7-2CD9-41C0-97DE-5B5E7FF640A2}"/>
                      </a:ext>
                    </a:extLst>
                  </wp:docPr>
                  <wp:cNvGraphicFramePr/>
                  <a:graphic xmlns:a="http://schemas.openxmlformats.org/drawingml/2006/main">
                    <a:graphicData uri="http://schemas.openxmlformats.org/drawingml/2006/picture">
                      <pic:pic xmlns:pic="http://schemas.openxmlformats.org/drawingml/2006/picture">
                        <pic:nvPicPr>
                          <pic:cNvPr id="8" name="Рисунок 43">
                            <a:extLst>
                              <a:ext uri="{FF2B5EF4-FFF2-40B4-BE49-F238E27FC236}">
                                <a16:creationId xmlns:a16="http://schemas.microsoft.com/office/drawing/2014/main" id="{E4C27DB7-2CD9-41C0-97DE-5B5E7FF640A2}"/>
                              </a:ext>
                            </a:extLst>
                          </pic:cNvPr>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1767" cy="2320485"/>
                          </a:xfrm>
                          <a:prstGeom prst="rect">
                            <a:avLst/>
                          </a:prstGeom>
                          <a:noFill/>
                        </pic:spPr>
                      </pic:pic>
                    </a:graphicData>
                  </a:graphic>
                </wp:inline>
              </w:drawing>
            </w:r>
          </w:p>
        </w:tc>
      </w:tr>
      <w:tr w:rsidR="00203551" w14:paraId="15E21D11" w14:textId="77777777" w:rsidTr="00203551">
        <w:tc>
          <w:tcPr>
            <w:tcW w:w="9389" w:type="dxa"/>
            <w:gridSpan w:val="2"/>
          </w:tcPr>
          <w:p w14:paraId="57C75A5A" w14:textId="29B1AFF2" w:rsidR="00203551" w:rsidRPr="000442EA" w:rsidRDefault="00203551" w:rsidP="00BF36BC">
            <w:pPr>
              <w:spacing w:after="0" w:line="240" w:lineRule="auto"/>
              <w:jc w:val="left"/>
              <w:rPr>
                <w:i/>
                <w:iCs/>
                <w:sz w:val="20"/>
                <w:szCs w:val="20"/>
              </w:rPr>
            </w:pPr>
            <w:r w:rsidRPr="000442EA">
              <w:rPr>
                <w:i/>
                <w:iCs/>
                <w:sz w:val="20"/>
                <w:szCs w:val="20"/>
              </w:rPr>
              <w:t xml:space="preserve">Source: </w:t>
            </w:r>
            <w:r w:rsidRPr="000442EA">
              <w:rPr>
                <w:sz w:val="20"/>
                <w:szCs w:val="20"/>
              </w:rPr>
              <w:t>RLMS</w:t>
            </w:r>
          </w:p>
        </w:tc>
      </w:tr>
    </w:tbl>
    <w:p w14:paraId="64D5573D" w14:textId="77777777" w:rsidR="00D26BB4" w:rsidRPr="00C26AF3" w:rsidRDefault="00D26BB4" w:rsidP="00BF36BC">
      <w:pPr>
        <w:spacing w:after="0" w:line="240" w:lineRule="auto"/>
        <w:jc w:val="left"/>
      </w:pPr>
    </w:p>
    <w:p w14:paraId="725D5E3E" w14:textId="257C562E" w:rsidR="00D774A4" w:rsidRDefault="00D774A4" w:rsidP="00D774A4">
      <w:pPr>
        <w:pStyle w:val="Figure"/>
      </w:pPr>
    </w:p>
    <w:tbl>
      <w:tblPr>
        <w:tblStyle w:val="TableGrid0"/>
        <w:tblpPr w:leftFromText="180" w:rightFromText="180" w:vertAnchor="text" w:horzAnchor="margin" w:tblpXSpec="right" w:tblpY="659"/>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tblGrid>
      <w:tr w:rsidR="00D774A4" w14:paraId="3E872F6C" w14:textId="77777777" w:rsidTr="009E6860">
        <w:trPr>
          <w:jc w:val="right"/>
        </w:trPr>
        <w:tc>
          <w:tcPr>
            <w:tcW w:w="4590" w:type="dxa"/>
          </w:tcPr>
          <w:p w14:paraId="04795A3B" w14:textId="4A21FF19" w:rsidR="00D774A4" w:rsidRDefault="00D774A4" w:rsidP="009E6860">
            <w:pPr>
              <w:pStyle w:val="Figure"/>
            </w:pPr>
            <w:bookmarkStart w:id="105" w:name="_Ref9378954"/>
            <w:bookmarkStart w:id="106" w:name="_Toc11259362"/>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7</w:t>
            </w:r>
            <w:r w:rsidR="00320D6E">
              <w:rPr>
                <w:noProof/>
              </w:rPr>
              <w:fldChar w:fldCharType="end"/>
            </w:r>
            <w:bookmarkEnd w:id="105"/>
            <w:r>
              <w:t xml:space="preserve"> On the job computer and internet usage among workers.</w:t>
            </w:r>
            <w:bookmarkEnd w:id="106"/>
            <w:r>
              <w:t xml:space="preserve"> </w:t>
            </w:r>
          </w:p>
        </w:tc>
      </w:tr>
      <w:tr w:rsidR="00D774A4" w14:paraId="3B4FF07F" w14:textId="77777777" w:rsidTr="009E6860">
        <w:trPr>
          <w:jc w:val="right"/>
        </w:trPr>
        <w:tc>
          <w:tcPr>
            <w:tcW w:w="4590" w:type="dxa"/>
          </w:tcPr>
          <w:p w14:paraId="63331F98" w14:textId="77777777" w:rsidR="00D774A4" w:rsidRDefault="00D774A4" w:rsidP="009E6860">
            <w:pPr>
              <w:spacing w:after="0" w:line="240" w:lineRule="auto"/>
              <w:ind w:left="165" w:right="-195"/>
              <w:contextualSpacing/>
              <w:jc w:val="left"/>
            </w:pPr>
            <w:r>
              <w:rPr>
                <w:noProof/>
              </w:rPr>
              <w:drawing>
                <wp:inline distT="0" distB="0" distL="0" distR="0" wp14:anchorId="38C1698E" wp14:editId="3E82EB6C">
                  <wp:extent cx="2608027" cy="222631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8352" cy="2260733"/>
                          </a:xfrm>
                          <a:prstGeom prst="rect">
                            <a:avLst/>
                          </a:prstGeom>
                          <a:noFill/>
                        </pic:spPr>
                      </pic:pic>
                    </a:graphicData>
                  </a:graphic>
                </wp:inline>
              </w:drawing>
            </w:r>
          </w:p>
        </w:tc>
      </w:tr>
      <w:tr w:rsidR="00D774A4" w14:paraId="56C75980" w14:textId="77777777" w:rsidTr="009E6860">
        <w:trPr>
          <w:jc w:val="right"/>
        </w:trPr>
        <w:tc>
          <w:tcPr>
            <w:tcW w:w="4590" w:type="dxa"/>
          </w:tcPr>
          <w:p w14:paraId="04CA0FA8" w14:textId="77777777" w:rsidR="00D774A4" w:rsidRPr="00D774A4" w:rsidRDefault="00D774A4" w:rsidP="009E6860">
            <w:pPr>
              <w:spacing w:after="0" w:line="240" w:lineRule="auto"/>
              <w:ind w:left="615" w:right="-557"/>
              <w:contextualSpacing/>
              <w:jc w:val="left"/>
              <w:rPr>
                <w:i/>
                <w:iCs/>
                <w:sz w:val="20"/>
                <w:szCs w:val="20"/>
              </w:rPr>
            </w:pPr>
            <w:r w:rsidRPr="00D774A4">
              <w:rPr>
                <w:i/>
                <w:iCs/>
                <w:sz w:val="20"/>
                <w:szCs w:val="20"/>
              </w:rPr>
              <w:t>Source:</w:t>
            </w:r>
            <w:r w:rsidRPr="00D774A4">
              <w:rPr>
                <w:sz w:val="20"/>
                <w:szCs w:val="20"/>
              </w:rPr>
              <w:t xml:space="preserve"> RLMS 2017. </w:t>
            </w:r>
          </w:p>
        </w:tc>
      </w:tr>
    </w:tbl>
    <w:p w14:paraId="0F815908" w14:textId="74B4F72E" w:rsidR="007D0343" w:rsidRDefault="007D0343" w:rsidP="007D0343">
      <w:pPr>
        <w:pStyle w:val="Heading2"/>
        <w:spacing w:after="0" w:line="240" w:lineRule="auto"/>
        <w:contextualSpacing/>
        <w:jc w:val="left"/>
      </w:pPr>
      <w:bookmarkStart w:id="107" w:name="_Toc11219078"/>
      <w:r>
        <w:t xml:space="preserve">SOE use of </w:t>
      </w:r>
      <w:r w:rsidR="001933C9">
        <w:t xml:space="preserve">information </w:t>
      </w:r>
      <w:r>
        <w:t>technology</w:t>
      </w:r>
      <w:bookmarkEnd w:id="107"/>
      <w:r>
        <w:t xml:space="preserve"> </w:t>
      </w:r>
    </w:p>
    <w:p w14:paraId="70414558" w14:textId="77777777" w:rsidR="007D0343" w:rsidRDefault="007D0343" w:rsidP="007D0343">
      <w:pPr>
        <w:spacing w:after="0" w:line="240" w:lineRule="auto"/>
        <w:contextualSpacing/>
        <w:jc w:val="left"/>
      </w:pPr>
    </w:p>
    <w:p w14:paraId="0AB1E470" w14:textId="0EEA4E2C" w:rsidR="00D6031F" w:rsidRPr="00D6031F" w:rsidRDefault="00A36EF2" w:rsidP="00D6031F">
      <w:pPr>
        <w:pStyle w:val="Normal0"/>
        <w:numPr>
          <w:ilvl w:val="0"/>
          <w:numId w:val="21"/>
        </w:numPr>
        <w:spacing w:after="240" w:line="276" w:lineRule="auto"/>
        <w:ind w:left="0" w:firstLine="0"/>
        <w:jc w:val="both"/>
        <w:rPr>
          <w:b/>
          <w:bCs/>
        </w:rPr>
      </w:pPr>
      <w:r>
        <w:rPr>
          <w:b/>
          <w:bCs/>
        </w:rPr>
        <w:t>E</w:t>
      </w:r>
      <w:r w:rsidR="007D0343" w:rsidRPr="00BF06EE">
        <w:rPr>
          <w:b/>
          <w:bCs/>
        </w:rPr>
        <w:t>vidence suggests that the use of technology for routine and complex business processes</w:t>
      </w:r>
      <w:r w:rsidR="007D0343">
        <w:rPr>
          <w:b/>
          <w:bCs/>
        </w:rPr>
        <w:t xml:space="preserve"> raises firm productivity. </w:t>
      </w:r>
      <w:r w:rsidR="007D0343">
        <w:t xml:space="preserve">Computers and internet usage speed up internal processes and communications in all firms, regardless of sector. Automated integrated </w:t>
      </w:r>
      <w:r w:rsidR="00FF5B8D">
        <w:t xml:space="preserve">electronic resource planning (ERP) systems </w:t>
      </w:r>
      <w:r w:rsidR="007D0343">
        <w:t xml:space="preserve">optimize internal business processes and can significantly aid efficiency. Development of an online presence for the firm, particularly in English-language website, can be a low-cost way to boost marketing and sales, including exports. Managers who invest in these tools help their employees be more productive and invest in long-term firm capabilities. </w:t>
      </w:r>
    </w:p>
    <w:p w14:paraId="42DD36D5" w14:textId="06DE9CFC" w:rsidR="007D0343" w:rsidRDefault="007D0343" w:rsidP="00D356FB">
      <w:pPr>
        <w:pStyle w:val="Normal0"/>
        <w:numPr>
          <w:ilvl w:val="0"/>
          <w:numId w:val="21"/>
        </w:numPr>
        <w:spacing w:after="240" w:line="276" w:lineRule="auto"/>
        <w:ind w:left="0" w:firstLine="0"/>
        <w:jc w:val="both"/>
      </w:pPr>
      <w:r w:rsidRPr="00C83A60">
        <w:rPr>
          <w:b/>
          <w:bCs/>
        </w:rPr>
        <w:t>SOE</w:t>
      </w:r>
      <w:r w:rsidR="00587617">
        <w:rPr>
          <w:b/>
          <w:bCs/>
        </w:rPr>
        <w:t>s are low users of information technology compared to foreign private sector firms in Russia</w:t>
      </w:r>
      <w:r>
        <w:t>. According to worker surveys, on-the-job computer and internet usage among SOE workers remains low compared to workers in private domestic and Russia-based foreign firms, and differences are statistically significant (</w:t>
      </w:r>
      <w:r w:rsidR="00305C96">
        <w:fldChar w:fldCharType="begin"/>
      </w:r>
      <w:r w:rsidR="00305C96">
        <w:instrText xml:space="preserve"> REF _Ref9378954 \h </w:instrText>
      </w:r>
      <w:r w:rsidR="00305C96">
        <w:fldChar w:fldCharType="separate"/>
      </w:r>
      <w:r w:rsidR="00384800">
        <w:t xml:space="preserve">Figure 4. </w:t>
      </w:r>
      <w:r w:rsidR="00384800">
        <w:rPr>
          <w:noProof/>
        </w:rPr>
        <w:t>7</w:t>
      </w:r>
      <w:r w:rsidR="00305C96">
        <w:fldChar w:fldCharType="end"/>
      </w:r>
      <w:r>
        <w:t xml:space="preserve">). Although usage levels have steadily risen over time, the gap with the private sector has not closed. A low share of Russian SOEs use integrated </w:t>
      </w:r>
      <w:r w:rsidR="00CB6FED">
        <w:t xml:space="preserve">electronic resource planning (ERP) </w:t>
      </w:r>
      <w:r>
        <w:t>systems or possess English-language websites (</w:t>
      </w:r>
      <w:r w:rsidR="00305C96">
        <w:fldChar w:fldCharType="begin"/>
      </w:r>
      <w:r w:rsidR="00305C96">
        <w:instrText xml:space="preserve"> REF _Ref9378964 \h </w:instrText>
      </w:r>
      <w:r w:rsidR="00305C96">
        <w:fldChar w:fldCharType="separate"/>
      </w:r>
      <w:r w:rsidR="00384800">
        <w:t xml:space="preserve">Figure 4. </w:t>
      </w:r>
      <w:r w:rsidR="00384800">
        <w:rPr>
          <w:noProof/>
        </w:rPr>
        <w:t>8</w:t>
      </w:r>
      <w:r w:rsidR="00305C96">
        <w:fldChar w:fldCharType="end"/>
      </w:r>
      <w:r w:rsidR="00305C96">
        <w:t xml:space="preserve">, </w:t>
      </w:r>
      <w:r w:rsidR="00305C96">
        <w:fldChar w:fldCharType="begin"/>
      </w:r>
      <w:r w:rsidR="00305C96">
        <w:instrText xml:space="preserve"> REF _Ref9378969 \h </w:instrText>
      </w:r>
      <w:r w:rsidR="00305C96">
        <w:fldChar w:fldCharType="separate"/>
      </w:r>
      <w:r w:rsidR="00384800">
        <w:t xml:space="preserve">Figure 4. </w:t>
      </w:r>
      <w:r w:rsidR="00384800">
        <w:rPr>
          <w:noProof/>
        </w:rPr>
        <w:t>9</w:t>
      </w:r>
      <w:r w:rsidR="00305C96">
        <w:fldChar w:fldCharType="end"/>
      </w:r>
      <w:r>
        <w:t xml:space="preserve">). The use of these management tools, however, is strongly correlated with size: small and mid-sized SOEs have very low usage rates, while the larger firms match multinational firms. The wide </w:t>
      </w:r>
      <w:r w:rsidR="00CE5CB9">
        <w:t>variance</w:t>
      </w:r>
      <w:r>
        <w:t xml:space="preserve"> in adoption within the SOE sector suggests significant potential for learning and improvement for laggard SOEs. </w:t>
      </w:r>
    </w:p>
    <w:p w14:paraId="30680EC1" w14:textId="77777777" w:rsidR="00F42B78" w:rsidRPr="009E11DA" w:rsidRDefault="00F42B78" w:rsidP="007D0343">
      <w:pPr>
        <w:spacing w:after="0" w:line="240" w:lineRule="auto"/>
        <w:contextualSpacing/>
      </w:pPr>
    </w:p>
    <w:tbl>
      <w:tblPr>
        <w:tblStyle w:val="TableGrid0"/>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651"/>
      </w:tblGrid>
      <w:tr w:rsidR="007D0343" w14:paraId="74F28CED" w14:textId="77777777" w:rsidTr="005B1784">
        <w:trPr>
          <w:trHeight w:val="495"/>
        </w:trPr>
        <w:tc>
          <w:tcPr>
            <w:tcW w:w="5270" w:type="dxa"/>
          </w:tcPr>
          <w:p w14:paraId="3B188206" w14:textId="39A09CC1" w:rsidR="007D0343" w:rsidRPr="00741BDA" w:rsidRDefault="00F42B78" w:rsidP="00F42B78">
            <w:pPr>
              <w:pStyle w:val="Figure"/>
              <w:jc w:val="left"/>
              <w:rPr>
                <w:bCs/>
                <w:sz w:val="18"/>
                <w:szCs w:val="18"/>
              </w:rPr>
            </w:pPr>
            <w:bookmarkStart w:id="108" w:name="_Ref9378964"/>
            <w:bookmarkStart w:id="109" w:name="_Toc11259363"/>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8</w:t>
            </w:r>
            <w:r w:rsidR="00320D6E">
              <w:rPr>
                <w:noProof/>
              </w:rPr>
              <w:fldChar w:fldCharType="end"/>
            </w:r>
            <w:bookmarkEnd w:id="108"/>
            <w:r>
              <w:rPr>
                <w:bCs/>
              </w:rPr>
              <w:t xml:space="preserve"> </w:t>
            </w:r>
            <w:r w:rsidR="007D0343" w:rsidRPr="006457EB">
              <w:rPr>
                <w:bCs/>
              </w:rPr>
              <w:t xml:space="preserve">Share of companies using </w:t>
            </w:r>
            <w:r w:rsidR="00051B0D">
              <w:rPr>
                <w:bCs/>
              </w:rPr>
              <w:t>ERP/</w:t>
            </w:r>
            <w:r w:rsidR="007D0343" w:rsidRPr="006457EB">
              <w:rPr>
                <w:bCs/>
              </w:rPr>
              <w:t>IFMIS.</w:t>
            </w:r>
            <w:bookmarkEnd w:id="109"/>
          </w:p>
        </w:tc>
        <w:tc>
          <w:tcPr>
            <w:tcW w:w="4651" w:type="dxa"/>
          </w:tcPr>
          <w:p w14:paraId="3640F48D" w14:textId="2818F8D4" w:rsidR="007D0343" w:rsidRPr="00741BDA" w:rsidRDefault="00F42B78" w:rsidP="00F42B78">
            <w:pPr>
              <w:pStyle w:val="Figure"/>
              <w:jc w:val="left"/>
              <w:rPr>
                <w:bCs/>
                <w:sz w:val="18"/>
                <w:szCs w:val="18"/>
              </w:rPr>
            </w:pPr>
            <w:bookmarkStart w:id="110" w:name="_Ref9378969"/>
            <w:bookmarkStart w:id="111" w:name="_Toc11259364"/>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9</w:t>
            </w:r>
            <w:r w:rsidR="00320D6E">
              <w:rPr>
                <w:noProof/>
              </w:rPr>
              <w:fldChar w:fldCharType="end"/>
            </w:r>
            <w:bookmarkEnd w:id="110"/>
            <w:r>
              <w:rPr>
                <w:bCs/>
              </w:rPr>
              <w:t xml:space="preserve"> </w:t>
            </w:r>
            <w:r w:rsidR="007D0343" w:rsidRPr="00197C3C">
              <w:rPr>
                <w:bCs/>
              </w:rPr>
              <w:t>Share of companies with English-language website.</w:t>
            </w:r>
            <w:bookmarkEnd w:id="111"/>
            <w:r w:rsidR="007D0343" w:rsidRPr="00197C3C">
              <w:rPr>
                <w:bCs/>
              </w:rPr>
              <w:t xml:space="preserve"> </w:t>
            </w:r>
          </w:p>
        </w:tc>
      </w:tr>
      <w:tr w:rsidR="007D0343" w14:paraId="5E5C0376" w14:textId="77777777" w:rsidTr="005B1784">
        <w:trPr>
          <w:trHeight w:val="4288"/>
        </w:trPr>
        <w:tc>
          <w:tcPr>
            <w:tcW w:w="5270" w:type="dxa"/>
          </w:tcPr>
          <w:p w14:paraId="181559C9" w14:textId="602EE324" w:rsidR="007D0343" w:rsidRDefault="00553309" w:rsidP="005B1784">
            <w:pPr>
              <w:spacing w:after="0" w:line="240" w:lineRule="auto"/>
              <w:contextualSpacing/>
              <w:jc w:val="left"/>
            </w:pPr>
            <w:r>
              <w:rPr>
                <w:noProof/>
              </w:rPr>
              <w:drawing>
                <wp:inline distT="0" distB="0" distL="0" distR="0" wp14:anchorId="4350FE9C" wp14:editId="72015C2C">
                  <wp:extent cx="2895600" cy="2807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835" cy="2817895"/>
                          </a:xfrm>
                          <a:prstGeom prst="rect">
                            <a:avLst/>
                          </a:prstGeom>
                          <a:noFill/>
                        </pic:spPr>
                      </pic:pic>
                    </a:graphicData>
                  </a:graphic>
                </wp:inline>
              </w:drawing>
            </w:r>
          </w:p>
        </w:tc>
        <w:tc>
          <w:tcPr>
            <w:tcW w:w="4651" w:type="dxa"/>
          </w:tcPr>
          <w:p w14:paraId="062226E6" w14:textId="77777777" w:rsidR="007D0343" w:rsidRPr="003C597B" w:rsidRDefault="007D0343" w:rsidP="005B1784">
            <w:pPr>
              <w:spacing w:after="0" w:line="240" w:lineRule="auto"/>
              <w:contextualSpacing/>
              <w:jc w:val="left"/>
              <w:rPr>
                <w:noProof/>
                <w:sz w:val="8"/>
                <w:szCs w:val="8"/>
              </w:rPr>
            </w:pPr>
          </w:p>
          <w:p w14:paraId="673B05D7" w14:textId="77777777" w:rsidR="007D0343" w:rsidRDefault="007D0343" w:rsidP="005B1784">
            <w:pPr>
              <w:tabs>
                <w:tab w:val="left" w:pos="4442"/>
              </w:tabs>
              <w:spacing w:after="0" w:line="240" w:lineRule="auto"/>
              <w:ind w:left="-450"/>
              <w:contextualSpacing/>
              <w:jc w:val="center"/>
            </w:pPr>
            <w:r>
              <w:rPr>
                <w:noProof/>
              </w:rPr>
              <w:drawing>
                <wp:inline distT="0" distB="0" distL="0" distR="0" wp14:anchorId="523C9327" wp14:editId="695E5E67">
                  <wp:extent cx="2657475" cy="2981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9256" cy="3016979"/>
                          </a:xfrm>
                          <a:prstGeom prst="rect">
                            <a:avLst/>
                          </a:prstGeom>
                          <a:noFill/>
                        </pic:spPr>
                      </pic:pic>
                    </a:graphicData>
                  </a:graphic>
                </wp:inline>
              </w:drawing>
            </w:r>
          </w:p>
        </w:tc>
      </w:tr>
      <w:tr w:rsidR="007D0343" w:rsidRPr="00741BDA" w14:paraId="4273EB6E" w14:textId="77777777" w:rsidTr="005B1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9921" w:type="dxa"/>
            <w:gridSpan w:val="2"/>
            <w:tcBorders>
              <w:top w:val="nil"/>
              <w:left w:val="nil"/>
              <w:bottom w:val="nil"/>
              <w:right w:val="nil"/>
            </w:tcBorders>
          </w:tcPr>
          <w:p w14:paraId="0AFDB776" w14:textId="77777777" w:rsidR="007D0343" w:rsidRPr="00F42B78" w:rsidRDefault="007D0343" w:rsidP="005B1784">
            <w:pPr>
              <w:spacing w:after="0" w:line="240" w:lineRule="auto"/>
              <w:contextualSpacing/>
              <w:jc w:val="left"/>
              <w:rPr>
                <w:i/>
                <w:iCs/>
                <w:sz w:val="20"/>
                <w:szCs w:val="20"/>
              </w:rPr>
            </w:pPr>
            <w:r w:rsidRPr="00F42B78">
              <w:rPr>
                <w:i/>
                <w:iCs/>
                <w:sz w:val="20"/>
                <w:szCs w:val="20"/>
              </w:rPr>
              <w:t xml:space="preserve">Sources: </w:t>
            </w:r>
            <w:proofErr w:type="spellStart"/>
            <w:r w:rsidRPr="00F42B78">
              <w:rPr>
                <w:sz w:val="20"/>
                <w:szCs w:val="20"/>
              </w:rPr>
              <w:t>RuFiGE</w:t>
            </w:r>
            <w:proofErr w:type="spellEnd"/>
            <w:r w:rsidRPr="00F42B78">
              <w:rPr>
                <w:sz w:val="20"/>
                <w:szCs w:val="20"/>
              </w:rPr>
              <w:t xml:space="preserve"> 2014 (Russian firms), Eurostat 2017-2018 (EU comparators)</w:t>
            </w:r>
          </w:p>
        </w:tc>
      </w:tr>
    </w:tbl>
    <w:p w14:paraId="741BB253" w14:textId="77777777" w:rsidR="007D0343" w:rsidRDefault="007D0343" w:rsidP="007D0343">
      <w:pPr>
        <w:spacing w:after="0" w:line="240" w:lineRule="auto"/>
        <w:jc w:val="left"/>
      </w:pPr>
    </w:p>
    <w:p w14:paraId="42AF328D" w14:textId="24E22584" w:rsidR="000B3323" w:rsidRDefault="000B3323" w:rsidP="000B3323">
      <w:pPr>
        <w:spacing w:after="0" w:line="240" w:lineRule="auto"/>
        <w:contextualSpacing/>
        <w:jc w:val="left"/>
      </w:pPr>
    </w:p>
    <w:p w14:paraId="519860C4" w14:textId="73E036E7" w:rsidR="00CE5CB9" w:rsidRDefault="00C83A60" w:rsidP="00CE5CB9">
      <w:pPr>
        <w:pStyle w:val="Normal0"/>
        <w:numPr>
          <w:ilvl w:val="0"/>
          <w:numId w:val="21"/>
        </w:numPr>
        <w:spacing w:after="240" w:line="276" w:lineRule="auto"/>
        <w:ind w:left="0" w:firstLine="0"/>
        <w:jc w:val="both"/>
      </w:pPr>
      <w:r>
        <w:rPr>
          <w:b/>
          <w:bCs/>
        </w:rPr>
        <w:t xml:space="preserve">SOEs relatively high wage bill may be crowding out </w:t>
      </w:r>
      <w:r w:rsidR="00775F54">
        <w:rPr>
          <w:b/>
          <w:bCs/>
        </w:rPr>
        <w:t xml:space="preserve">investment in </w:t>
      </w:r>
      <w:r>
        <w:rPr>
          <w:b/>
          <w:bCs/>
        </w:rPr>
        <w:t xml:space="preserve">information </w:t>
      </w:r>
      <w:r w:rsidR="00775F54">
        <w:rPr>
          <w:b/>
          <w:bCs/>
        </w:rPr>
        <w:t>technolog</w:t>
      </w:r>
      <w:r>
        <w:rPr>
          <w:b/>
          <w:bCs/>
        </w:rPr>
        <w:t>y.</w:t>
      </w:r>
      <w:r w:rsidR="00CE5CB9">
        <w:rPr>
          <w:b/>
          <w:bCs/>
        </w:rPr>
        <w:t xml:space="preserve"> </w:t>
      </w:r>
      <w:r>
        <w:t xml:space="preserve">IIELM data suggests that the higher wage bills significantly reduce their investment in research and development, which depresses the firms’ long-term productive potential. </w:t>
      </w:r>
      <w:r w:rsidR="00CE5CB9" w:rsidRPr="00BE0910">
        <w:t xml:space="preserve">Firm surveys </w:t>
      </w:r>
      <w:r w:rsidR="00587617">
        <w:t xml:space="preserve">also </w:t>
      </w:r>
      <w:r w:rsidR="00CE5CB9">
        <w:t xml:space="preserve">reveal that only 2 percent of </w:t>
      </w:r>
      <w:r w:rsidR="00CE5CB9" w:rsidRPr="00BE0910">
        <w:t xml:space="preserve">SOEs </w:t>
      </w:r>
      <w:r w:rsidR="00CE5CB9">
        <w:t>benchmark their pay compared to 9 percent of private firms, and that the large contingent of state SOEs do not benchmark at all (</w:t>
      </w:r>
      <w:r w:rsidR="00305C96">
        <w:fldChar w:fldCharType="begin"/>
      </w:r>
      <w:r w:rsidR="00305C96">
        <w:instrText xml:space="preserve"> REF _Ref9378990 \h </w:instrText>
      </w:r>
      <w:r w:rsidR="00305C96">
        <w:fldChar w:fldCharType="separate"/>
      </w:r>
      <w:r w:rsidR="00384800">
        <w:t xml:space="preserve">Figure 4. </w:t>
      </w:r>
      <w:r w:rsidR="00384800">
        <w:rPr>
          <w:noProof/>
        </w:rPr>
        <w:t>10</w:t>
      </w:r>
      <w:r w:rsidR="00305C96">
        <w:fldChar w:fldCharType="end"/>
      </w:r>
      <w:r w:rsidR="00CE5CB9">
        <w:t>).</w:t>
      </w:r>
      <w:r w:rsidR="00CE5CB9">
        <w:rPr>
          <w:rStyle w:val="FootnoteReference"/>
        </w:rPr>
        <w:footnoteReference w:id="30"/>
      </w:r>
      <w:r w:rsidR="00CE5CB9">
        <w:t xml:space="preserve"> </w:t>
      </w:r>
      <w:r w:rsidR="00587617">
        <w:t>This lack of benchmarking implies that</w:t>
      </w:r>
      <w:r w:rsidR="00CE5CB9">
        <w:t xml:space="preserve"> some SOEs </w:t>
      </w:r>
      <w:r w:rsidR="00E17DF3">
        <w:t xml:space="preserve">may </w:t>
      </w:r>
      <w:r w:rsidR="00CE5CB9">
        <w:t>underpay relative to market rates</w:t>
      </w:r>
      <w:r w:rsidR="00E17DF3">
        <w:t>,</w:t>
      </w:r>
      <w:r w:rsidR="00CE5CB9">
        <w:t xml:space="preserve"> while many </w:t>
      </w:r>
      <w:proofErr w:type="gramStart"/>
      <w:r w:rsidR="00CE5CB9">
        <w:t>pay</w:t>
      </w:r>
      <w:proofErr w:type="gramEnd"/>
      <w:r w:rsidR="00CE5CB9">
        <w:t xml:space="preserve"> above-market compensation for the same work.</w:t>
      </w:r>
      <w:r w:rsidR="00CE5CB9">
        <w:rPr>
          <w:rStyle w:val="FootnoteReference"/>
        </w:rPr>
        <w:footnoteReference w:id="31"/>
      </w:r>
      <w:r w:rsidR="00CE5CB9">
        <w:t xml:space="preserve"> Analyses </w:t>
      </w:r>
      <w:r w:rsidR="00587617">
        <w:t xml:space="preserve">also </w:t>
      </w:r>
      <w:r w:rsidR="00CE5CB9">
        <w:t xml:space="preserve">show </w:t>
      </w:r>
      <w:r w:rsidR="005C77EF">
        <w:t>no</w:t>
      </w:r>
      <w:r w:rsidR="00CE5CB9">
        <w:t xml:space="preserve"> correlation between the firm’s average wage and worker productivity measured by sales per worker, so their higher compensation does not buy better performance.</w:t>
      </w:r>
      <w:r w:rsidR="00CE5CB9">
        <w:rPr>
          <w:rStyle w:val="FootnoteReference"/>
        </w:rPr>
        <w:footnoteReference w:id="32"/>
      </w:r>
      <w:r w:rsidR="00CE5CB9">
        <w:t xml:space="preserve"> </w:t>
      </w:r>
    </w:p>
    <w:p w14:paraId="671A41D5" w14:textId="77777777" w:rsidR="00592F1B" w:rsidRPr="00592F1B" w:rsidRDefault="00592F1B" w:rsidP="00052656">
      <w:pPr>
        <w:pStyle w:val="Figure"/>
        <w:jc w:val="left"/>
        <w:rPr>
          <w:sz w:val="10"/>
          <w:szCs w:val="10"/>
        </w:rPr>
      </w:pPr>
    </w:p>
    <w:p w14:paraId="5DC51AB0" w14:textId="7AA71689" w:rsidR="00CE5CB9" w:rsidRDefault="00052656" w:rsidP="00052656">
      <w:pPr>
        <w:pStyle w:val="Figure"/>
        <w:jc w:val="left"/>
      </w:pPr>
      <w:bookmarkStart w:id="112" w:name="_Ref9378990"/>
      <w:bookmarkStart w:id="113" w:name="_Toc11259365"/>
      <w:r>
        <w:t xml:space="preserve">Figure 4. </w:t>
      </w:r>
      <w:r w:rsidR="00320D6E">
        <w:rPr>
          <w:noProof/>
        </w:rPr>
        <w:fldChar w:fldCharType="begin"/>
      </w:r>
      <w:r w:rsidR="00320D6E">
        <w:rPr>
          <w:noProof/>
        </w:rPr>
        <w:instrText xml:space="preserve"> SEQ Figure_4. \* ARABIC </w:instrText>
      </w:r>
      <w:r w:rsidR="00320D6E">
        <w:rPr>
          <w:noProof/>
        </w:rPr>
        <w:fldChar w:fldCharType="separate"/>
      </w:r>
      <w:r w:rsidR="00384800">
        <w:rPr>
          <w:noProof/>
        </w:rPr>
        <w:t>10</w:t>
      </w:r>
      <w:r w:rsidR="00320D6E">
        <w:rPr>
          <w:noProof/>
        </w:rPr>
        <w:fldChar w:fldCharType="end"/>
      </w:r>
      <w:bookmarkEnd w:id="112"/>
      <w:r>
        <w:t xml:space="preserve"> </w:t>
      </w:r>
      <w:r w:rsidR="00CE5CB9" w:rsidRPr="00907D19">
        <w:t xml:space="preserve">Share of firms </w:t>
      </w:r>
      <w:r w:rsidR="00CE5CB9">
        <w:t>benchmarking wages to closest competitors.</w:t>
      </w:r>
      <w:bookmarkEnd w:id="113"/>
    </w:p>
    <w:p w14:paraId="6D9DC9D2" w14:textId="77777777" w:rsidR="00CE5CB9" w:rsidRDefault="00CE5CB9" w:rsidP="00CE5CB9">
      <w:pPr>
        <w:spacing w:after="0" w:line="240" w:lineRule="auto"/>
        <w:jc w:val="center"/>
        <w:rPr>
          <w:b/>
          <w:bCs/>
          <w:color w:val="0070C0"/>
          <w:szCs w:val="20"/>
        </w:rPr>
      </w:pPr>
      <w:r>
        <w:rPr>
          <w:noProof/>
        </w:rPr>
        <w:drawing>
          <wp:inline distT="0" distB="0" distL="0" distR="0" wp14:anchorId="62C26205" wp14:editId="437AA9AF">
            <wp:extent cx="3442914" cy="2925869"/>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0456" cy="2949275"/>
                    </a:xfrm>
                    <a:prstGeom prst="rect">
                      <a:avLst/>
                    </a:prstGeom>
                    <a:noFill/>
                  </pic:spPr>
                </pic:pic>
              </a:graphicData>
            </a:graphic>
          </wp:inline>
        </w:drawing>
      </w:r>
    </w:p>
    <w:p w14:paraId="59546F1B" w14:textId="63BAFB27" w:rsidR="00CE5CB9" w:rsidRPr="00052656" w:rsidRDefault="00CE5CB9" w:rsidP="00052656">
      <w:pPr>
        <w:spacing w:after="0" w:line="240" w:lineRule="auto"/>
        <w:ind w:left="1695" w:firstLine="465"/>
        <w:rPr>
          <w:i/>
          <w:iCs/>
          <w:sz w:val="20"/>
          <w:szCs w:val="20"/>
        </w:rPr>
      </w:pPr>
      <w:r w:rsidRPr="00052656">
        <w:rPr>
          <w:i/>
          <w:iCs/>
          <w:sz w:val="20"/>
          <w:szCs w:val="20"/>
        </w:rPr>
        <w:t xml:space="preserve">Source: </w:t>
      </w:r>
      <w:r w:rsidR="00D36A66">
        <w:rPr>
          <w:sz w:val="20"/>
          <w:szCs w:val="20"/>
        </w:rPr>
        <w:t>IIELM</w:t>
      </w:r>
      <w:r w:rsidRPr="00052656">
        <w:rPr>
          <w:sz w:val="20"/>
          <w:szCs w:val="20"/>
        </w:rPr>
        <w:t xml:space="preserve"> 2017</w:t>
      </w:r>
    </w:p>
    <w:p w14:paraId="1737355B" w14:textId="77777777" w:rsidR="00CE5CB9" w:rsidRDefault="00CE5CB9" w:rsidP="00CE5CB9">
      <w:pPr>
        <w:spacing w:after="0" w:line="240" w:lineRule="auto"/>
        <w:contextualSpacing/>
        <w:jc w:val="left"/>
      </w:pPr>
    </w:p>
    <w:p w14:paraId="12C6041C" w14:textId="77777777" w:rsidR="00CE5CB9" w:rsidRDefault="00CE5CB9" w:rsidP="000B3323">
      <w:pPr>
        <w:spacing w:after="0" w:line="240" w:lineRule="auto"/>
        <w:contextualSpacing/>
        <w:jc w:val="left"/>
      </w:pPr>
    </w:p>
    <w:p w14:paraId="444C3AF0" w14:textId="7CF137E2" w:rsidR="009A64BA" w:rsidRDefault="005C77EF" w:rsidP="009A64BA">
      <w:pPr>
        <w:pStyle w:val="Normal0"/>
        <w:numPr>
          <w:ilvl w:val="0"/>
          <w:numId w:val="21"/>
        </w:numPr>
        <w:spacing w:after="240" w:line="276" w:lineRule="auto"/>
        <w:ind w:left="0" w:firstLine="0"/>
        <w:jc w:val="both"/>
      </w:pPr>
      <w:r>
        <w:rPr>
          <w:b/>
          <w:bCs/>
        </w:rPr>
        <w:t xml:space="preserve">Examples of </w:t>
      </w:r>
      <w:r w:rsidR="000B3323">
        <w:rPr>
          <w:b/>
          <w:bCs/>
        </w:rPr>
        <w:t xml:space="preserve">“positive deviance” </w:t>
      </w:r>
      <w:r>
        <w:rPr>
          <w:b/>
          <w:bCs/>
        </w:rPr>
        <w:t xml:space="preserve">of SOE management practices can be a motivation for reform </w:t>
      </w:r>
      <w:r w:rsidR="000B3323">
        <w:rPr>
          <w:b/>
          <w:bCs/>
        </w:rPr>
        <w:t>(</w:t>
      </w:r>
      <w:r w:rsidR="00305C96" w:rsidRPr="00305C96">
        <w:rPr>
          <w:b/>
          <w:bCs/>
        </w:rPr>
        <w:fldChar w:fldCharType="begin"/>
      </w:r>
      <w:r w:rsidR="00305C96" w:rsidRPr="00305C96">
        <w:rPr>
          <w:b/>
          <w:bCs/>
        </w:rPr>
        <w:instrText xml:space="preserve"> REF _Ref9379009 \h  \* MERGEFORMAT </w:instrText>
      </w:r>
      <w:r w:rsidR="00305C96" w:rsidRPr="00305C96">
        <w:rPr>
          <w:b/>
          <w:bCs/>
        </w:rPr>
      </w:r>
      <w:r w:rsidR="00305C96" w:rsidRPr="00305C96">
        <w:rPr>
          <w:b/>
          <w:bCs/>
        </w:rPr>
        <w:fldChar w:fldCharType="separate"/>
      </w:r>
      <w:r w:rsidR="00384800" w:rsidRPr="00406790">
        <w:rPr>
          <w:b/>
          <w:bCs/>
        </w:rPr>
        <w:t xml:space="preserve">Box 4. </w:t>
      </w:r>
      <w:r w:rsidR="00384800" w:rsidRPr="00406790">
        <w:rPr>
          <w:b/>
          <w:bCs/>
          <w:noProof/>
        </w:rPr>
        <w:t>1</w:t>
      </w:r>
      <w:r w:rsidR="00305C96" w:rsidRPr="00305C96">
        <w:rPr>
          <w:b/>
          <w:bCs/>
        </w:rPr>
        <w:fldChar w:fldCharType="end"/>
      </w:r>
      <w:r w:rsidR="000B3323">
        <w:rPr>
          <w:b/>
          <w:bCs/>
        </w:rPr>
        <w:t>)</w:t>
      </w:r>
      <w:r w:rsidR="000B3323">
        <w:t xml:space="preserve">. It is important to acknowledge and study these cases for several reasons. They show that there is nothing about the local business or institutional context that inherently prevents companies from adopting the good practices. They also show that government ownership does not have to be associated with poor practices, and that, if given appropriate attention, other parts of the SOE sector too can closer to the frontier. Finally, the cases of positive deviance show other firms a model for </w:t>
      </w:r>
      <w:r w:rsidR="000B3323" w:rsidRPr="004C7D24">
        <w:rPr>
          <w:iCs/>
        </w:rPr>
        <w:t>how</w:t>
      </w:r>
      <w:r w:rsidR="000B3323">
        <w:t xml:space="preserve"> they can improve their practices, what worked or did not work, what lessons were learned. </w:t>
      </w:r>
    </w:p>
    <w:p w14:paraId="5AC6A542" w14:textId="0F569F21" w:rsidR="009A64BA" w:rsidRDefault="009A64BA" w:rsidP="009A64BA">
      <w:pPr>
        <w:pStyle w:val="Normal0"/>
        <w:spacing w:after="240" w:line="276" w:lineRule="auto"/>
        <w:jc w:val="both"/>
      </w:pPr>
    </w:p>
    <w:p w14:paraId="09237475" w14:textId="77777777" w:rsidR="004C7D24" w:rsidRDefault="004C7D24" w:rsidP="009A64BA">
      <w:pPr>
        <w:pStyle w:val="Normal0"/>
        <w:spacing w:after="240" w:line="276" w:lineRule="auto"/>
        <w:jc w:val="both"/>
      </w:pPr>
    </w:p>
    <w:tbl>
      <w:tblPr>
        <w:tblStyle w:val="TableGrid0"/>
        <w:tblW w:w="0" w:type="auto"/>
        <w:shd w:val="clear" w:color="auto" w:fill="FFFFCC"/>
        <w:tblLook w:val="04A0" w:firstRow="1" w:lastRow="0" w:firstColumn="1" w:lastColumn="0" w:noHBand="0" w:noVBand="1"/>
      </w:tblPr>
      <w:tblGrid>
        <w:gridCol w:w="9389"/>
      </w:tblGrid>
      <w:tr w:rsidR="00EC6EC9" w14:paraId="18621148" w14:textId="77777777" w:rsidTr="003411C9">
        <w:tc>
          <w:tcPr>
            <w:tcW w:w="9389" w:type="dxa"/>
            <w:shd w:val="clear" w:color="auto" w:fill="538135" w:themeFill="accent6" w:themeFillShade="BF"/>
          </w:tcPr>
          <w:p w14:paraId="7BDAEA79" w14:textId="501DB0BF" w:rsidR="00EC6EC9" w:rsidRPr="009A64BA" w:rsidRDefault="009A64BA" w:rsidP="00D52F46">
            <w:pPr>
              <w:pStyle w:val="Box"/>
            </w:pPr>
            <w:bookmarkStart w:id="114" w:name="_Ref9379009"/>
            <w:bookmarkStart w:id="115" w:name="_Toc11259379"/>
            <w:r w:rsidRPr="009A64BA">
              <w:t xml:space="preserve">Box 4. </w:t>
            </w:r>
            <w:r w:rsidR="00320D6E">
              <w:rPr>
                <w:noProof/>
              </w:rPr>
              <w:fldChar w:fldCharType="begin"/>
            </w:r>
            <w:r w:rsidR="00320D6E">
              <w:rPr>
                <w:noProof/>
              </w:rPr>
              <w:instrText xml:space="preserve"> SEQ Box_4. \* ARABIC </w:instrText>
            </w:r>
            <w:r w:rsidR="00320D6E">
              <w:rPr>
                <w:noProof/>
              </w:rPr>
              <w:fldChar w:fldCharType="separate"/>
            </w:r>
            <w:r w:rsidR="00384800">
              <w:rPr>
                <w:noProof/>
              </w:rPr>
              <w:t>1</w:t>
            </w:r>
            <w:r w:rsidR="00320D6E">
              <w:rPr>
                <w:noProof/>
              </w:rPr>
              <w:fldChar w:fldCharType="end"/>
            </w:r>
            <w:bookmarkEnd w:id="114"/>
            <w:r w:rsidRPr="009A64BA">
              <w:t xml:space="preserve"> </w:t>
            </w:r>
            <w:r w:rsidR="00C021E9" w:rsidRPr="009A64BA">
              <w:t>Select c</w:t>
            </w:r>
            <w:r w:rsidR="00DA72E9" w:rsidRPr="009A64BA">
              <w:t xml:space="preserve">ases of “positive deviance” </w:t>
            </w:r>
            <w:r w:rsidR="005C06E4" w:rsidRPr="009A64BA">
              <w:t>- Russian SOEs with frontier employment practices</w:t>
            </w:r>
            <w:bookmarkEnd w:id="115"/>
            <w:r w:rsidR="005C06E4" w:rsidRPr="009A64BA">
              <w:t xml:space="preserve"> </w:t>
            </w:r>
          </w:p>
        </w:tc>
      </w:tr>
      <w:tr w:rsidR="00EC6EC9" w14:paraId="600FFC4E" w14:textId="77777777" w:rsidTr="003411C9">
        <w:tc>
          <w:tcPr>
            <w:tcW w:w="9389" w:type="dxa"/>
            <w:shd w:val="clear" w:color="auto" w:fill="FFF8E5"/>
          </w:tcPr>
          <w:p w14:paraId="4E92413A" w14:textId="7FEA02E8" w:rsidR="00290F6B" w:rsidRPr="00572825" w:rsidRDefault="00312E7E" w:rsidP="00572825">
            <w:pPr>
              <w:spacing w:before="120" w:after="120" w:line="240" w:lineRule="auto"/>
              <w:rPr>
                <w:b/>
                <w:bCs/>
                <w:sz w:val="20"/>
                <w:szCs w:val="20"/>
              </w:rPr>
            </w:pPr>
            <w:r w:rsidRPr="00572825">
              <w:rPr>
                <w:b/>
                <w:bCs/>
                <w:sz w:val="20"/>
                <w:szCs w:val="20"/>
              </w:rPr>
              <w:t>Aeroflot</w:t>
            </w:r>
            <w:r w:rsidR="00831493" w:rsidRPr="00572825">
              <w:rPr>
                <w:b/>
                <w:bCs/>
                <w:sz w:val="20"/>
                <w:szCs w:val="20"/>
              </w:rPr>
              <w:t xml:space="preserve"> </w:t>
            </w:r>
            <w:r w:rsidR="00210D2A" w:rsidRPr="00572825">
              <w:rPr>
                <w:sz w:val="20"/>
                <w:szCs w:val="20"/>
              </w:rPr>
              <w:t>(Russian national airlines company). S</w:t>
            </w:r>
            <w:r w:rsidR="00D34ED8" w:rsidRPr="00572825">
              <w:rPr>
                <w:sz w:val="20"/>
                <w:szCs w:val="20"/>
              </w:rPr>
              <w:t>ince 2007</w:t>
            </w:r>
            <w:r w:rsidR="00D34ED8" w:rsidRPr="00572825">
              <w:rPr>
                <w:b/>
                <w:bCs/>
                <w:sz w:val="20"/>
                <w:szCs w:val="20"/>
              </w:rPr>
              <w:t xml:space="preserve"> </w:t>
            </w:r>
            <w:r w:rsidR="00196EEB" w:rsidRPr="00572825">
              <w:rPr>
                <w:sz w:val="20"/>
                <w:szCs w:val="20"/>
              </w:rPr>
              <w:t xml:space="preserve">introduced several new </w:t>
            </w:r>
            <w:r w:rsidR="00F22938" w:rsidRPr="00572825">
              <w:rPr>
                <w:sz w:val="20"/>
                <w:szCs w:val="20"/>
              </w:rPr>
              <w:t>management</w:t>
            </w:r>
            <w:r w:rsidR="00196EEB" w:rsidRPr="00572825">
              <w:rPr>
                <w:sz w:val="20"/>
                <w:szCs w:val="20"/>
              </w:rPr>
              <w:t xml:space="preserve"> practices</w:t>
            </w:r>
            <w:r w:rsidR="00D34ED8" w:rsidRPr="00572825">
              <w:rPr>
                <w:sz w:val="20"/>
                <w:szCs w:val="20"/>
              </w:rPr>
              <w:t xml:space="preserve">. It appointed </w:t>
            </w:r>
            <w:r w:rsidRPr="00572825">
              <w:rPr>
                <w:sz w:val="20"/>
                <w:szCs w:val="20"/>
              </w:rPr>
              <w:t>“innovation managers</w:t>
            </w:r>
            <w:r w:rsidR="00196EEB" w:rsidRPr="00572825">
              <w:rPr>
                <w:sz w:val="20"/>
                <w:szCs w:val="20"/>
              </w:rPr>
              <w:t>.</w:t>
            </w:r>
            <w:r w:rsidRPr="00572825">
              <w:rPr>
                <w:sz w:val="20"/>
                <w:szCs w:val="20"/>
              </w:rPr>
              <w:t xml:space="preserve">” </w:t>
            </w:r>
            <w:r w:rsidR="00196EEB" w:rsidRPr="00572825">
              <w:rPr>
                <w:sz w:val="20"/>
                <w:szCs w:val="20"/>
              </w:rPr>
              <w:t xml:space="preserve">The innovation managers worked </w:t>
            </w:r>
            <w:r w:rsidR="003D2E6D" w:rsidRPr="00572825">
              <w:rPr>
                <w:sz w:val="20"/>
                <w:szCs w:val="20"/>
              </w:rPr>
              <w:t xml:space="preserve">with functional managers to </w:t>
            </w:r>
            <w:r w:rsidR="00E95115" w:rsidRPr="00572825">
              <w:rPr>
                <w:sz w:val="20"/>
                <w:szCs w:val="20"/>
              </w:rPr>
              <w:t xml:space="preserve">develop measurable and feasible KPIs, </w:t>
            </w:r>
            <w:r w:rsidR="000154E9" w:rsidRPr="00572825">
              <w:rPr>
                <w:sz w:val="20"/>
                <w:szCs w:val="20"/>
              </w:rPr>
              <w:t>improve communication</w:t>
            </w:r>
            <w:r w:rsidR="00A12299" w:rsidRPr="00572825">
              <w:rPr>
                <w:sz w:val="20"/>
                <w:szCs w:val="20"/>
              </w:rPr>
              <w:t xml:space="preserve"> between employees and management</w:t>
            </w:r>
            <w:r w:rsidR="000154E9" w:rsidRPr="00572825">
              <w:rPr>
                <w:sz w:val="20"/>
                <w:szCs w:val="20"/>
              </w:rPr>
              <w:t xml:space="preserve">, </w:t>
            </w:r>
            <w:r w:rsidR="00A12299" w:rsidRPr="00572825">
              <w:rPr>
                <w:sz w:val="20"/>
                <w:szCs w:val="20"/>
              </w:rPr>
              <w:t xml:space="preserve">encourage employees to voice opinions about challenges with existing practices, </w:t>
            </w:r>
            <w:r w:rsidR="003D2E6D" w:rsidRPr="00572825">
              <w:rPr>
                <w:sz w:val="20"/>
                <w:szCs w:val="20"/>
              </w:rPr>
              <w:t xml:space="preserve">reengineer processes </w:t>
            </w:r>
            <w:r w:rsidR="00A12299" w:rsidRPr="00572825">
              <w:rPr>
                <w:sz w:val="20"/>
                <w:szCs w:val="20"/>
              </w:rPr>
              <w:t xml:space="preserve">to reduce </w:t>
            </w:r>
            <w:r w:rsidR="000154E9" w:rsidRPr="00572825">
              <w:rPr>
                <w:sz w:val="20"/>
                <w:szCs w:val="20"/>
              </w:rPr>
              <w:t>bureaucratic</w:t>
            </w:r>
            <w:r w:rsidR="00A12299" w:rsidRPr="00572825">
              <w:rPr>
                <w:sz w:val="20"/>
                <w:szCs w:val="20"/>
              </w:rPr>
              <w:t xml:space="preserve"> bottlenecks</w:t>
            </w:r>
            <w:r w:rsidR="00E95115" w:rsidRPr="00572825">
              <w:rPr>
                <w:sz w:val="20"/>
                <w:szCs w:val="20"/>
              </w:rPr>
              <w:t xml:space="preserve">. </w:t>
            </w:r>
            <w:r w:rsidR="003C4C18" w:rsidRPr="00572825">
              <w:rPr>
                <w:sz w:val="20"/>
                <w:szCs w:val="20"/>
              </w:rPr>
              <w:t>The outcome of these</w:t>
            </w:r>
            <w:r w:rsidR="00576B12" w:rsidRPr="00572825">
              <w:rPr>
                <w:sz w:val="20"/>
                <w:szCs w:val="20"/>
              </w:rPr>
              <w:t xml:space="preserve"> and other</w:t>
            </w:r>
            <w:r w:rsidR="003C4C18" w:rsidRPr="00572825">
              <w:rPr>
                <w:sz w:val="20"/>
                <w:szCs w:val="20"/>
              </w:rPr>
              <w:t xml:space="preserve"> changes was </w:t>
            </w:r>
            <w:r w:rsidR="00576B12" w:rsidRPr="00572825">
              <w:rPr>
                <w:sz w:val="20"/>
                <w:szCs w:val="20"/>
              </w:rPr>
              <w:t xml:space="preserve">measurable </w:t>
            </w:r>
            <w:r w:rsidR="003C4C18" w:rsidRPr="00572825">
              <w:rPr>
                <w:sz w:val="20"/>
                <w:szCs w:val="20"/>
              </w:rPr>
              <w:t>improvement in passenger rating o</w:t>
            </w:r>
            <w:r w:rsidR="00210D2A" w:rsidRPr="00572825">
              <w:rPr>
                <w:sz w:val="20"/>
                <w:szCs w:val="20"/>
              </w:rPr>
              <w:t>f</w:t>
            </w:r>
            <w:r w:rsidR="003C4C18" w:rsidRPr="00572825">
              <w:rPr>
                <w:sz w:val="20"/>
                <w:szCs w:val="20"/>
              </w:rPr>
              <w:t xml:space="preserve"> the quality of services received on board, one of </w:t>
            </w:r>
            <w:r w:rsidR="00290F6B" w:rsidRPr="00572825">
              <w:rPr>
                <w:sz w:val="20"/>
                <w:szCs w:val="20"/>
              </w:rPr>
              <w:t xml:space="preserve">Aeroflot’s </w:t>
            </w:r>
            <w:r w:rsidR="003C4C18" w:rsidRPr="00572825">
              <w:rPr>
                <w:sz w:val="20"/>
                <w:szCs w:val="20"/>
              </w:rPr>
              <w:t>KPI</w:t>
            </w:r>
            <w:r w:rsidR="00576B12" w:rsidRPr="00572825">
              <w:rPr>
                <w:sz w:val="20"/>
                <w:szCs w:val="20"/>
              </w:rPr>
              <w:t>s</w:t>
            </w:r>
            <w:r w:rsidR="00290F6B" w:rsidRPr="00572825">
              <w:rPr>
                <w:sz w:val="20"/>
                <w:szCs w:val="20"/>
              </w:rPr>
              <w:t xml:space="preserve"> (Gershman &amp; </w:t>
            </w:r>
            <w:proofErr w:type="spellStart"/>
            <w:r w:rsidR="00290F6B" w:rsidRPr="00572825">
              <w:rPr>
                <w:sz w:val="20"/>
                <w:szCs w:val="20"/>
              </w:rPr>
              <w:t>Thu</w:t>
            </w:r>
            <w:r w:rsidR="0008588D" w:rsidRPr="00572825">
              <w:rPr>
                <w:sz w:val="20"/>
                <w:szCs w:val="20"/>
              </w:rPr>
              <w:t>rner</w:t>
            </w:r>
            <w:proofErr w:type="spellEnd"/>
            <w:r w:rsidR="0008588D" w:rsidRPr="00572825">
              <w:rPr>
                <w:sz w:val="20"/>
                <w:szCs w:val="20"/>
              </w:rPr>
              <w:t xml:space="preserve"> </w:t>
            </w:r>
            <w:r w:rsidR="00290F6B" w:rsidRPr="00572825">
              <w:rPr>
                <w:sz w:val="20"/>
                <w:szCs w:val="20"/>
              </w:rPr>
              <w:t>2016)</w:t>
            </w:r>
          </w:p>
          <w:p w14:paraId="419A85E8" w14:textId="3D0EE813" w:rsidR="00D74D4E" w:rsidRPr="00572825" w:rsidRDefault="003E67DB" w:rsidP="00572825">
            <w:pPr>
              <w:spacing w:before="120" w:after="120" w:line="240" w:lineRule="auto"/>
              <w:rPr>
                <w:sz w:val="20"/>
                <w:szCs w:val="20"/>
              </w:rPr>
            </w:pPr>
            <w:r w:rsidRPr="00572825">
              <w:rPr>
                <w:b/>
                <w:bCs/>
                <w:sz w:val="20"/>
                <w:szCs w:val="20"/>
              </w:rPr>
              <w:t>Russian Railways</w:t>
            </w:r>
            <w:r w:rsidR="00576B12" w:rsidRPr="00572825">
              <w:rPr>
                <w:b/>
                <w:bCs/>
                <w:sz w:val="20"/>
                <w:szCs w:val="20"/>
              </w:rPr>
              <w:t xml:space="preserve"> </w:t>
            </w:r>
            <w:r w:rsidR="00576B12" w:rsidRPr="00572825">
              <w:rPr>
                <w:sz w:val="20"/>
                <w:szCs w:val="20"/>
              </w:rPr>
              <w:t>(</w:t>
            </w:r>
            <w:r w:rsidR="00B26E70" w:rsidRPr="00572825">
              <w:rPr>
                <w:sz w:val="20"/>
                <w:szCs w:val="20"/>
              </w:rPr>
              <w:t>l</w:t>
            </w:r>
            <w:r w:rsidR="007A1485" w:rsidRPr="00572825">
              <w:rPr>
                <w:sz w:val="20"/>
                <w:szCs w:val="20"/>
              </w:rPr>
              <w:t xml:space="preserve">argest transport company in the world with </w:t>
            </w:r>
            <w:r w:rsidR="0032345F" w:rsidRPr="00572825">
              <w:rPr>
                <w:sz w:val="20"/>
                <w:szCs w:val="20"/>
              </w:rPr>
              <w:t>1 million employees</w:t>
            </w:r>
            <w:r w:rsidR="00576B12" w:rsidRPr="00572825">
              <w:rPr>
                <w:sz w:val="20"/>
                <w:szCs w:val="20"/>
              </w:rPr>
              <w:t>)</w:t>
            </w:r>
            <w:r w:rsidR="0032345F" w:rsidRPr="00572825">
              <w:rPr>
                <w:sz w:val="20"/>
                <w:szCs w:val="20"/>
              </w:rPr>
              <w:t xml:space="preserve">. </w:t>
            </w:r>
            <w:r w:rsidR="00F22938" w:rsidRPr="00572825">
              <w:rPr>
                <w:sz w:val="20"/>
                <w:szCs w:val="20"/>
              </w:rPr>
              <w:t xml:space="preserve">Starting in </w:t>
            </w:r>
            <w:r w:rsidR="00E115D5" w:rsidRPr="00572825">
              <w:rPr>
                <w:sz w:val="20"/>
                <w:szCs w:val="20"/>
              </w:rPr>
              <w:t>2010</w:t>
            </w:r>
            <w:r w:rsidR="00F22938" w:rsidRPr="00572825">
              <w:rPr>
                <w:sz w:val="20"/>
                <w:szCs w:val="20"/>
              </w:rPr>
              <w:t>, it introduced several changes to management practices</w:t>
            </w:r>
            <w:r w:rsidR="00576B12" w:rsidRPr="00572825">
              <w:rPr>
                <w:sz w:val="20"/>
                <w:szCs w:val="20"/>
              </w:rPr>
              <w:t xml:space="preserve">, including </w:t>
            </w:r>
            <w:r w:rsidR="00F74D1F" w:rsidRPr="00572825">
              <w:rPr>
                <w:sz w:val="20"/>
                <w:szCs w:val="20"/>
              </w:rPr>
              <w:t xml:space="preserve">a new corporate management system; </w:t>
            </w:r>
            <w:r w:rsidR="00576B12" w:rsidRPr="00572825">
              <w:rPr>
                <w:sz w:val="20"/>
                <w:szCs w:val="20"/>
              </w:rPr>
              <w:t>new measurable KPI</w:t>
            </w:r>
            <w:r w:rsidR="00B26E70" w:rsidRPr="00572825">
              <w:rPr>
                <w:sz w:val="20"/>
                <w:szCs w:val="20"/>
              </w:rPr>
              <w:t>s</w:t>
            </w:r>
            <w:r w:rsidR="001D0DC7" w:rsidRPr="00572825">
              <w:rPr>
                <w:sz w:val="20"/>
                <w:szCs w:val="20"/>
              </w:rPr>
              <w:t xml:space="preserve"> including on service reliability, security, and quality of service; a </w:t>
            </w:r>
            <w:r w:rsidR="003D0090" w:rsidRPr="00572825">
              <w:rPr>
                <w:sz w:val="20"/>
                <w:szCs w:val="20"/>
              </w:rPr>
              <w:t xml:space="preserve">financial information management system; and an innovation management system. </w:t>
            </w:r>
            <w:r w:rsidR="003262AD" w:rsidRPr="00572825">
              <w:rPr>
                <w:sz w:val="20"/>
                <w:szCs w:val="20"/>
              </w:rPr>
              <w:t xml:space="preserve">Results have been improved </w:t>
            </w:r>
            <w:r w:rsidR="0008588D" w:rsidRPr="00572825">
              <w:rPr>
                <w:sz w:val="20"/>
                <w:szCs w:val="20"/>
              </w:rPr>
              <w:t xml:space="preserve">financial indicators and </w:t>
            </w:r>
            <w:r w:rsidR="003262AD" w:rsidRPr="00572825">
              <w:rPr>
                <w:sz w:val="20"/>
                <w:szCs w:val="20"/>
              </w:rPr>
              <w:t xml:space="preserve">customer </w:t>
            </w:r>
            <w:r w:rsidR="0008588D" w:rsidRPr="00572825">
              <w:rPr>
                <w:sz w:val="20"/>
                <w:szCs w:val="20"/>
              </w:rPr>
              <w:t>perceptions of service (</w:t>
            </w:r>
            <w:proofErr w:type="spellStart"/>
            <w:r w:rsidR="0008588D" w:rsidRPr="00572825">
              <w:rPr>
                <w:sz w:val="20"/>
                <w:szCs w:val="20"/>
              </w:rPr>
              <w:t>Thurner</w:t>
            </w:r>
            <w:proofErr w:type="spellEnd"/>
            <w:r w:rsidR="0008588D" w:rsidRPr="00572825">
              <w:rPr>
                <w:sz w:val="20"/>
                <w:szCs w:val="20"/>
              </w:rPr>
              <w:t xml:space="preserve"> &amp; Gershman 2014) </w:t>
            </w:r>
          </w:p>
        </w:tc>
      </w:tr>
    </w:tbl>
    <w:p w14:paraId="6DB2BC28" w14:textId="77777777" w:rsidR="00A64EFA" w:rsidRDefault="00A64EFA" w:rsidP="00CE1189">
      <w:pPr>
        <w:spacing w:after="0" w:line="240" w:lineRule="auto"/>
        <w:contextualSpacing/>
        <w:jc w:val="left"/>
      </w:pPr>
    </w:p>
    <w:p w14:paraId="680D9AC0" w14:textId="4A63D245" w:rsidR="002A3C9E" w:rsidRDefault="002A3C9E" w:rsidP="00CE1189">
      <w:pPr>
        <w:spacing w:after="0" w:line="240" w:lineRule="auto"/>
        <w:contextualSpacing/>
        <w:jc w:val="left"/>
      </w:pPr>
    </w:p>
    <w:p w14:paraId="7286761B" w14:textId="2B6DF03B" w:rsidR="005513BF" w:rsidRDefault="005513BF" w:rsidP="00CE1189">
      <w:pPr>
        <w:spacing w:after="0" w:line="240" w:lineRule="auto"/>
        <w:contextualSpacing/>
        <w:jc w:val="left"/>
      </w:pPr>
      <w:r>
        <w:br w:type="page"/>
      </w:r>
    </w:p>
    <w:bookmarkStart w:id="116" w:name="_Toc11219079"/>
    <w:p w14:paraId="4838CE8D" w14:textId="5A7A5E5F" w:rsidR="00DB086A" w:rsidRPr="00DB086A" w:rsidRDefault="00DB086A" w:rsidP="00DB086A">
      <w:pPr>
        <w:pStyle w:val="Heading1"/>
        <w:spacing w:after="0" w:line="240" w:lineRule="auto"/>
        <w:contextualSpacing/>
        <w:rPr>
          <w:rStyle w:val="IntenseEmphasis"/>
          <w:i w:val="0"/>
          <w:color w:val="2E74B5" w:themeColor="accent1" w:themeShade="BF"/>
        </w:rPr>
      </w:pPr>
      <w:r w:rsidRPr="000F3DCC">
        <mc:AlternateContent>
          <mc:Choice Requires="wps">
            <w:drawing>
              <wp:anchor distT="0" distB="0" distL="114300" distR="114300" simplePos="0" relativeHeight="251668480" behindDoc="0" locked="0" layoutInCell="1" allowOverlap="1" wp14:anchorId="216E0DA1" wp14:editId="173A4E15">
                <wp:simplePos x="0" y="0"/>
                <wp:positionH relativeFrom="margin">
                  <wp:align>right</wp:align>
                </wp:positionH>
                <wp:positionV relativeFrom="paragraph">
                  <wp:posOffset>49027</wp:posOffset>
                </wp:positionV>
                <wp:extent cx="1603614" cy="189781"/>
                <wp:effectExtent l="0" t="0" r="0" b="1270"/>
                <wp:wrapNone/>
                <wp:docPr id="2" name="Rectangle 2"/>
                <wp:cNvGraphicFramePr/>
                <a:graphic xmlns:a="http://schemas.openxmlformats.org/drawingml/2006/main">
                  <a:graphicData uri="http://schemas.microsoft.com/office/word/2010/wordprocessingShape">
                    <wps:wsp>
                      <wps:cNvSpPr/>
                      <wps:spPr>
                        <a:xfrm>
                          <a:off x="0" y="0"/>
                          <a:ext cx="1603614" cy="189781"/>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A0163" id="Rectangle 2" o:spid="_x0000_s1026" style="position:absolute;margin-left:75.05pt;margin-top:3.85pt;width:126.25pt;height:14.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" fillcolor="#00aeef" stroked="f" strokeweight="1pt">
                <w10:wrap anchorx="margin"/>
              </v:rect>
            </w:pict>
          </mc:Fallback>
        </mc:AlternateContent>
      </w:r>
      <w:r w:rsidR="005513BF">
        <w:rPr>
          <w:rStyle w:val="IntenseEmphasis"/>
          <w:i w:val="0"/>
          <w:color w:val="2E74B5" w:themeColor="accent1" w:themeShade="BF"/>
        </w:rPr>
        <w:t>5</w:t>
      </w:r>
      <w:r w:rsidR="005513BF" w:rsidRPr="000F3DCC">
        <w:rPr>
          <w:rStyle w:val="IntenseEmphasis"/>
          <w:i w:val="0"/>
          <w:color w:val="2E74B5" w:themeColor="accent1" w:themeShade="BF"/>
        </w:rPr>
        <w:t xml:space="preserve">. </w:t>
      </w:r>
      <w:r>
        <w:rPr>
          <w:rStyle w:val="IntenseEmphasis"/>
          <w:i w:val="0"/>
          <w:color w:val="2E74B5" w:themeColor="accent1" w:themeShade="BF"/>
        </w:rPr>
        <w:t xml:space="preserve"> </w:t>
      </w:r>
      <w:r w:rsidR="00AA2FE1">
        <w:rPr>
          <w:rStyle w:val="IntenseEmphasis"/>
          <w:i w:val="0"/>
          <w:color w:val="2E74B5" w:themeColor="accent1" w:themeShade="BF"/>
        </w:rPr>
        <w:t>GOVERNMENT SUPPORT</w:t>
      </w:r>
      <w:r>
        <w:rPr>
          <w:rStyle w:val="IntenseEmphasis"/>
          <w:i w:val="0"/>
          <w:color w:val="2E74B5" w:themeColor="accent1" w:themeShade="BF"/>
        </w:rPr>
        <w:t xml:space="preserve"> AND ITS EFFECTS</w:t>
      </w:r>
      <w:bookmarkEnd w:id="116"/>
      <w:r w:rsidR="005513BF">
        <w:rPr>
          <w:rStyle w:val="IntenseEmphasis"/>
          <w:i w:val="0"/>
          <w:color w:val="2E74B5" w:themeColor="accent1" w:themeShade="BF"/>
        </w:rPr>
        <w:t xml:space="preserve"> </w:t>
      </w:r>
    </w:p>
    <w:p w14:paraId="33A5DC2E" w14:textId="75194EB2" w:rsidR="005513BF" w:rsidRDefault="005513BF" w:rsidP="00CE1189">
      <w:pPr>
        <w:spacing w:after="0" w:line="240" w:lineRule="auto"/>
        <w:contextualSpacing/>
        <w:jc w:val="left"/>
      </w:pPr>
    </w:p>
    <w:tbl>
      <w:tblPr>
        <w:tblStyle w:val="TableGrid0"/>
        <w:tblW w:w="0" w:type="auto"/>
        <w:tblLook w:val="04A0" w:firstRow="1" w:lastRow="0" w:firstColumn="1" w:lastColumn="0" w:noHBand="0" w:noVBand="1"/>
      </w:tblPr>
      <w:tblGrid>
        <w:gridCol w:w="9389"/>
      </w:tblGrid>
      <w:tr w:rsidR="00CC3B18" w14:paraId="062C116C" w14:textId="77777777" w:rsidTr="00CC3B18">
        <w:tc>
          <w:tcPr>
            <w:tcW w:w="9389" w:type="dxa"/>
          </w:tcPr>
          <w:p w14:paraId="63A506A4" w14:textId="77777777" w:rsidR="00CC3B18" w:rsidRDefault="00CC3B18" w:rsidP="00CE1189">
            <w:pPr>
              <w:spacing w:after="0" w:line="240" w:lineRule="auto"/>
              <w:contextualSpacing/>
              <w:jc w:val="left"/>
            </w:pPr>
            <w:r>
              <w:t>Main findings:</w:t>
            </w:r>
          </w:p>
          <w:p w14:paraId="16893401" w14:textId="03E02BDA" w:rsidR="00CC3B18" w:rsidRDefault="00CC3B18" w:rsidP="007317A7">
            <w:pPr>
              <w:pStyle w:val="ListParagraph"/>
              <w:numPr>
                <w:ilvl w:val="0"/>
                <w:numId w:val="10"/>
              </w:numPr>
              <w:spacing w:after="0" w:line="240" w:lineRule="auto"/>
              <w:jc w:val="left"/>
              <w:rPr>
                <w:b/>
                <w:bCs/>
              </w:rPr>
            </w:pPr>
            <w:r>
              <w:rPr>
                <w:b/>
                <w:bCs/>
              </w:rPr>
              <w:t xml:space="preserve">SOEs </w:t>
            </w:r>
            <w:r w:rsidR="00163291">
              <w:rPr>
                <w:b/>
                <w:bCs/>
              </w:rPr>
              <w:t xml:space="preserve">benefit </w:t>
            </w:r>
            <w:r w:rsidR="00E1166D">
              <w:rPr>
                <w:b/>
                <w:bCs/>
              </w:rPr>
              <w:t xml:space="preserve">more than private firms </w:t>
            </w:r>
            <w:r w:rsidR="00163291">
              <w:rPr>
                <w:b/>
                <w:bCs/>
              </w:rPr>
              <w:t xml:space="preserve">from </w:t>
            </w:r>
            <w:r w:rsidR="00793E0C">
              <w:rPr>
                <w:b/>
                <w:bCs/>
              </w:rPr>
              <w:t>various form</w:t>
            </w:r>
            <w:r w:rsidR="003A41CF">
              <w:rPr>
                <w:b/>
                <w:bCs/>
              </w:rPr>
              <w:t xml:space="preserve">s </w:t>
            </w:r>
            <w:r w:rsidR="00793E0C">
              <w:rPr>
                <w:b/>
                <w:bCs/>
              </w:rPr>
              <w:t xml:space="preserve">of state support </w:t>
            </w:r>
          </w:p>
          <w:p w14:paraId="623094D0" w14:textId="4EE952BB" w:rsidR="00343EAB" w:rsidRPr="004440A7" w:rsidRDefault="00343EAB" w:rsidP="007317A7">
            <w:pPr>
              <w:pStyle w:val="ListParagraph"/>
              <w:numPr>
                <w:ilvl w:val="0"/>
                <w:numId w:val="10"/>
              </w:numPr>
              <w:spacing w:after="0" w:line="240" w:lineRule="auto"/>
              <w:jc w:val="left"/>
              <w:rPr>
                <w:b/>
                <w:bCs/>
              </w:rPr>
            </w:pPr>
            <w:r w:rsidRPr="009A69FF">
              <w:rPr>
                <w:rFonts w:eastAsia="Times New Roman"/>
                <w:b/>
                <w:bCs/>
              </w:rPr>
              <w:t xml:space="preserve">State </w:t>
            </w:r>
            <w:r w:rsidR="00E1166D">
              <w:rPr>
                <w:rFonts w:eastAsia="Times New Roman"/>
                <w:b/>
                <w:bCs/>
              </w:rPr>
              <w:t xml:space="preserve">subsidies </w:t>
            </w:r>
            <w:r w:rsidR="003A41CF">
              <w:rPr>
                <w:rFonts w:eastAsia="Times New Roman"/>
                <w:b/>
                <w:bCs/>
              </w:rPr>
              <w:t>enable</w:t>
            </w:r>
            <w:r w:rsidR="00650A9F" w:rsidRPr="009A69FF">
              <w:rPr>
                <w:rFonts w:eastAsia="Times New Roman"/>
                <w:b/>
                <w:bCs/>
              </w:rPr>
              <w:t xml:space="preserve"> </w:t>
            </w:r>
            <w:r w:rsidR="009A69FF" w:rsidRPr="009A69FF">
              <w:rPr>
                <w:rFonts w:eastAsia="Times New Roman"/>
                <w:b/>
                <w:bCs/>
              </w:rPr>
              <w:t xml:space="preserve">the observed wage gap between SOEs and non-SOEs, </w:t>
            </w:r>
            <w:r w:rsidR="009A69FF">
              <w:rPr>
                <w:rFonts w:eastAsia="Times New Roman"/>
              </w:rPr>
              <w:t xml:space="preserve">and contribute to </w:t>
            </w:r>
            <w:r w:rsidR="000305E7">
              <w:rPr>
                <w:rFonts w:eastAsia="Times New Roman"/>
              </w:rPr>
              <w:t xml:space="preserve">potential </w:t>
            </w:r>
            <w:r w:rsidR="009A69FF">
              <w:rPr>
                <w:rFonts w:eastAsia="Times New Roman"/>
              </w:rPr>
              <w:t xml:space="preserve">labor </w:t>
            </w:r>
            <w:r w:rsidRPr="009A69FF">
              <w:rPr>
                <w:rFonts w:eastAsia="Times New Roman"/>
              </w:rPr>
              <w:t>market distortions</w:t>
            </w:r>
          </w:p>
          <w:p w14:paraId="09AFD40A" w14:textId="0758910E" w:rsidR="00A673DD" w:rsidRDefault="00A673DD" w:rsidP="007317A7">
            <w:pPr>
              <w:pStyle w:val="ListParagraph"/>
              <w:numPr>
                <w:ilvl w:val="0"/>
                <w:numId w:val="10"/>
              </w:numPr>
              <w:spacing w:after="0" w:line="240" w:lineRule="auto"/>
              <w:jc w:val="left"/>
              <w:rPr>
                <w:b/>
                <w:bCs/>
              </w:rPr>
            </w:pPr>
            <w:r>
              <w:rPr>
                <w:b/>
                <w:bCs/>
              </w:rPr>
              <w:t xml:space="preserve">State support </w:t>
            </w:r>
            <w:r w:rsidR="00EC3FA7">
              <w:rPr>
                <w:b/>
                <w:bCs/>
              </w:rPr>
              <w:t xml:space="preserve">is not </w:t>
            </w:r>
            <w:r>
              <w:rPr>
                <w:b/>
                <w:bCs/>
              </w:rPr>
              <w:t xml:space="preserve">correlated with firms’ adoption of good management practices </w:t>
            </w:r>
          </w:p>
          <w:p w14:paraId="26F7A971" w14:textId="5682B167" w:rsidR="00CC3B18" w:rsidRPr="00C72A7F" w:rsidRDefault="00CC3B18" w:rsidP="00C72A7F">
            <w:pPr>
              <w:spacing w:after="0" w:line="240" w:lineRule="auto"/>
              <w:ind w:left="360"/>
              <w:jc w:val="left"/>
              <w:rPr>
                <w:b/>
                <w:bCs/>
              </w:rPr>
            </w:pPr>
          </w:p>
        </w:tc>
      </w:tr>
    </w:tbl>
    <w:p w14:paraId="66ECF680" w14:textId="7BA795BE" w:rsidR="00B746FC" w:rsidRDefault="00B746FC" w:rsidP="00CE1189">
      <w:pPr>
        <w:spacing w:after="0" w:line="240" w:lineRule="auto"/>
        <w:contextualSpacing/>
        <w:jc w:val="left"/>
      </w:pPr>
    </w:p>
    <w:p w14:paraId="5258716D" w14:textId="419E1DF8" w:rsidR="00CF74A1" w:rsidRDefault="001933C9" w:rsidP="006D4F36">
      <w:pPr>
        <w:pStyle w:val="Heading2"/>
      </w:pPr>
      <w:bookmarkStart w:id="117" w:name="_Toc11219080"/>
      <w:r>
        <w:t>S</w:t>
      </w:r>
      <w:r w:rsidR="00CF74A1">
        <w:t>tate support</w:t>
      </w:r>
      <w:r>
        <w:t xml:space="preserve"> for SOEs</w:t>
      </w:r>
      <w:bookmarkEnd w:id="117"/>
    </w:p>
    <w:p w14:paraId="267DB075" w14:textId="50F11E80" w:rsidR="00272243" w:rsidRDefault="000A7FF2" w:rsidP="002835E6">
      <w:pPr>
        <w:pStyle w:val="Normal0"/>
        <w:numPr>
          <w:ilvl w:val="0"/>
          <w:numId w:val="21"/>
        </w:numPr>
        <w:spacing w:after="240" w:line="276" w:lineRule="auto"/>
        <w:ind w:left="0" w:firstLine="0"/>
        <w:jc w:val="both"/>
      </w:pPr>
      <w:r w:rsidRPr="00DD4FB4">
        <w:rPr>
          <w:b/>
          <w:bCs/>
        </w:rPr>
        <w:t xml:space="preserve">The </w:t>
      </w:r>
      <w:r w:rsidR="003239EC" w:rsidRPr="00DD4FB4">
        <w:rPr>
          <w:b/>
          <w:bCs/>
        </w:rPr>
        <w:t xml:space="preserve">discussion in chapters 4 and 5 </w:t>
      </w:r>
      <w:r w:rsidR="00AC1BE3">
        <w:rPr>
          <w:b/>
          <w:bCs/>
        </w:rPr>
        <w:t>raises</w:t>
      </w:r>
      <w:r w:rsidR="00AC1BE3" w:rsidRPr="00DD4FB4">
        <w:rPr>
          <w:b/>
          <w:bCs/>
        </w:rPr>
        <w:t xml:space="preserve"> </w:t>
      </w:r>
      <w:r w:rsidR="00DD4FB4" w:rsidRPr="00DD4FB4">
        <w:rPr>
          <w:b/>
          <w:bCs/>
        </w:rPr>
        <w:t xml:space="preserve">the </w:t>
      </w:r>
      <w:r w:rsidR="003239EC" w:rsidRPr="00DD4FB4">
        <w:rPr>
          <w:b/>
          <w:bCs/>
        </w:rPr>
        <w:t>question</w:t>
      </w:r>
      <w:r w:rsidR="005218BC" w:rsidRPr="00DD4FB4">
        <w:rPr>
          <w:b/>
          <w:bCs/>
        </w:rPr>
        <w:t xml:space="preserve"> </w:t>
      </w:r>
      <w:r w:rsidR="009E1C57">
        <w:rPr>
          <w:b/>
          <w:bCs/>
        </w:rPr>
        <w:t xml:space="preserve">how </w:t>
      </w:r>
      <w:r w:rsidR="00DD4FB4" w:rsidRPr="00DD4FB4">
        <w:rPr>
          <w:b/>
          <w:bCs/>
        </w:rPr>
        <w:t xml:space="preserve">SOEs </w:t>
      </w:r>
      <w:r w:rsidR="009E1C57">
        <w:rPr>
          <w:b/>
          <w:bCs/>
        </w:rPr>
        <w:t xml:space="preserve">sustain </w:t>
      </w:r>
      <w:r w:rsidR="005A49DA">
        <w:rPr>
          <w:b/>
          <w:bCs/>
        </w:rPr>
        <w:t>their</w:t>
      </w:r>
      <w:r w:rsidR="005A49DA" w:rsidRPr="00DD4FB4">
        <w:rPr>
          <w:b/>
          <w:bCs/>
        </w:rPr>
        <w:t xml:space="preserve"> </w:t>
      </w:r>
      <w:r w:rsidR="00DD4FB4" w:rsidRPr="00DD4FB4">
        <w:rPr>
          <w:b/>
          <w:bCs/>
        </w:rPr>
        <w:t>employment practices</w:t>
      </w:r>
      <w:r w:rsidR="00FE6D1C">
        <w:rPr>
          <w:b/>
          <w:bCs/>
        </w:rPr>
        <w:t xml:space="preserve"> </w:t>
      </w:r>
      <w:r w:rsidR="003A61E0">
        <w:rPr>
          <w:b/>
          <w:bCs/>
        </w:rPr>
        <w:t>in competitive markets</w:t>
      </w:r>
      <w:r w:rsidR="00DD4FB4">
        <w:t xml:space="preserve">. </w:t>
      </w:r>
      <w:r w:rsidR="00D344E0">
        <w:t>In competitive markets</w:t>
      </w:r>
      <w:r w:rsidR="003E7485">
        <w:t>,</w:t>
      </w:r>
      <w:r w:rsidR="00D344E0">
        <w:t xml:space="preserve"> </w:t>
      </w:r>
      <w:r w:rsidR="003E7485">
        <w:t xml:space="preserve">less productive firms </w:t>
      </w:r>
      <w:r w:rsidR="006A2AF3">
        <w:t xml:space="preserve">would </w:t>
      </w:r>
      <w:r w:rsidR="003E7485">
        <w:t xml:space="preserve">not </w:t>
      </w:r>
      <w:r w:rsidR="006A2AF3">
        <w:t xml:space="preserve">normally </w:t>
      </w:r>
      <w:r w:rsidR="003E7485">
        <w:t>be expected to afford above-market wages</w:t>
      </w:r>
      <w:r w:rsidR="00E80475">
        <w:t xml:space="preserve"> </w:t>
      </w:r>
      <w:r w:rsidR="003E7485">
        <w:t xml:space="preserve">and firms </w:t>
      </w:r>
      <w:r w:rsidR="005A299D">
        <w:t xml:space="preserve">with </w:t>
      </w:r>
      <w:r w:rsidR="00AC345E">
        <w:t xml:space="preserve">weaker </w:t>
      </w:r>
      <w:r w:rsidR="005A299D">
        <w:t xml:space="preserve">employment practices and internal capabilities </w:t>
      </w:r>
      <w:r w:rsidR="00AC345E">
        <w:t xml:space="preserve">would </w:t>
      </w:r>
      <w:r w:rsidR="006A2AF3">
        <w:t xml:space="preserve">not </w:t>
      </w:r>
      <w:r w:rsidR="00AC345E">
        <w:t xml:space="preserve">be expected to </w:t>
      </w:r>
      <w:r w:rsidR="005D4882">
        <w:t xml:space="preserve">remain </w:t>
      </w:r>
      <w:r w:rsidR="00594CF3">
        <w:t>in business</w:t>
      </w:r>
      <w:r w:rsidR="005A299D">
        <w:t xml:space="preserve">. </w:t>
      </w:r>
      <w:r w:rsidR="00180D53">
        <w:t xml:space="preserve">Yet SOEs appear to be doing both. </w:t>
      </w:r>
    </w:p>
    <w:p w14:paraId="5C80A6AD" w14:textId="5F52230A" w:rsidR="009C77DF" w:rsidRPr="00977523" w:rsidRDefault="00272243" w:rsidP="00977523">
      <w:pPr>
        <w:pStyle w:val="Normal0"/>
        <w:numPr>
          <w:ilvl w:val="0"/>
          <w:numId w:val="21"/>
        </w:numPr>
        <w:spacing w:after="240" w:line="276" w:lineRule="auto"/>
        <w:ind w:left="0" w:firstLine="0"/>
        <w:jc w:val="both"/>
      </w:pPr>
      <w:r w:rsidRPr="003A61E0">
        <w:rPr>
          <w:b/>
          <w:bCs/>
        </w:rPr>
        <w:t xml:space="preserve">We find </w:t>
      </w:r>
      <w:r w:rsidR="003A61E0" w:rsidRPr="003A61E0">
        <w:rPr>
          <w:b/>
          <w:bCs/>
        </w:rPr>
        <w:t xml:space="preserve">that at least part of the answer </w:t>
      </w:r>
      <w:r w:rsidR="003E58E2">
        <w:rPr>
          <w:b/>
          <w:bCs/>
        </w:rPr>
        <w:t xml:space="preserve">may </w:t>
      </w:r>
      <w:r w:rsidR="003A61E0" w:rsidRPr="003A61E0">
        <w:rPr>
          <w:b/>
          <w:bCs/>
        </w:rPr>
        <w:t xml:space="preserve">lie </w:t>
      </w:r>
      <w:r w:rsidR="00D93CA8">
        <w:rPr>
          <w:b/>
          <w:bCs/>
        </w:rPr>
        <w:t xml:space="preserve">with </w:t>
      </w:r>
      <w:r w:rsidR="003E58E2">
        <w:rPr>
          <w:b/>
          <w:bCs/>
        </w:rPr>
        <w:t xml:space="preserve">current government </w:t>
      </w:r>
      <w:r w:rsidR="00A81F51">
        <w:rPr>
          <w:b/>
          <w:bCs/>
        </w:rPr>
        <w:t xml:space="preserve">policy, which manifests through various forms of </w:t>
      </w:r>
      <w:r w:rsidR="003A61E0" w:rsidRPr="003A61E0">
        <w:rPr>
          <w:b/>
          <w:bCs/>
        </w:rPr>
        <w:t xml:space="preserve">support. </w:t>
      </w:r>
      <w:r w:rsidR="00911273" w:rsidRPr="00470E2A">
        <w:t xml:space="preserve">Firm-level data </w:t>
      </w:r>
      <w:r w:rsidR="00C44CFE" w:rsidRPr="00470E2A">
        <w:t>on state support</w:t>
      </w:r>
      <w:r w:rsidR="00916AE9" w:rsidRPr="00470E2A">
        <w:t xml:space="preserve"> is scarce</w:t>
      </w:r>
      <w:r w:rsidR="00DC610C" w:rsidRPr="00470E2A">
        <w:t xml:space="preserve">, </w:t>
      </w:r>
      <w:r w:rsidR="00915F23" w:rsidRPr="00470E2A">
        <w:t xml:space="preserve">and </w:t>
      </w:r>
      <w:r w:rsidR="005C7D3E" w:rsidRPr="00470E2A">
        <w:t xml:space="preserve">to our knowledge </w:t>
      </w:r>
      <w:r w:rsidR="00915F23" w:rsidRPr="00470E2A">
        <w:t>administrative data</w:t>
      </w:r>
      <w:r w:rsidR="005074C8" w:rsidRPr="00470E2A">
        <w:t xml:space="preserve"> on</w:t>
      </w:r>
      <w:r w:rsidR="00915F23" w:rsidRPr="00470E2A">
        <w:t xml:space="preserve"> </w:t>
      </w:r>
      <w:r w:rsidR="005074C8" w:rsidRPr="00470E2A">
        <w:t xml:space="preserve">the </w:t>
      </w:r>
      <w:r w:rsidR="00915F23" w:rsidRPr="00470E2A">
        <w:t xml:space="preserve">ruble amounts </w:t>
      </w:r>
      <w:r w:rsidR="002F6ECB">
        <w:t xml:space="preserve">or transactions </w:t>
      </w:r>
      <w:r w:rsidR="00915F23" w:rsidRPr="00470E2A">
        <w:t>received by individual firms</w:t>
      </w:r>
      <w:r w:rsidR="002F6ECB">
        <w:t xml:space="preserve"> is not available to the public or researchers</w:t>
      </w:r>
      <w:r w:rsidR="005074C8" w:rsidRPr="00470E2A">
        <w:t>. F</w:t>
      </w:r>
      <w:r w:rsidR="005C7D3E" w:rsidRPr="00470E2A">
        <w:t>ortunately</w:t>
      </w:r>
      <w:r w:rsidR="005074C8" w:rsidRPr="00470E2A">
        <w:t>,</w:t>
      </w:r>
      <w:r w:rsidR="005C7D3E" w:rsidRPr="00470E2A">
        <w:t xml:space="preserve"> </w:t>
      </w:r>
      <w:r w:rsidR="00C44CFE" w:rsidRPr="00470E2A">
        <w:t xml:space="preserve">the </w:t>
      </w:r>
      <w:proofErr w:type="spellStart"/>
      <w:r w:rsidR="00C44CFE" w:rsidRPr="00470E2A">
        <w:t>RuFiGE</w:t>
      </w:r>
      <w:proofErr w:type="spellEnd"/>
      <w:r w:rsidR="00C44CFE" w:rsidRPr="00470E2A">
        <w:t xml:space="preserve"> </w:t>
      </w:r>
      <w:r w:rsidR="00DA18EE">
        <w:t xml:space="preserve">and </w:t>
      </w:r>
      <w:r w:rsidR="00D36A66">
        <w:t>IIELM</w:t>
      </w:r>
      <w:r w:rsidR="00DA18EE">
        <w:t xml:space="preserve"> </w:t>
      </w:r>
      <w:r w:rsidR="00C44CFE" w:rsidRPr="00470E2A">
        <w:t>survey</w:t>
      </w:r>
      <w:r w:rsidR="00DA18EE">
        <w:t>s</w:t>
      </w:r>
      <w:r w:rsidR="00C44CFE" w:rsidRPr="00470E2A">
        <w:t xml:space="preserve"> </w:t>
      </w:r>
      <w:r w:rsidR="005C7D3E" w:rsidRPr="00470E2A">
        <w:t xml:space="preserve">field </w:t>
      </w:r>
      <w:r w:rsidR="002F6ECB">
        <w:t xml:space="preserve">several </w:t>
      </w:r>
      <w:r w:rsidR="005C7D3E" w:rsidRPr="00470E2A">
        <w:t xml:space="preserve">questions </w:t>
      </w:r>
      <w:r w:rsidR="002F6ECB">
        <w:t xml:space="preserve">that </w:t>
      </w:r>
      <w:r w:rsidR="00BD7129">
        <w:t xml:space="preserve">allow us to </w:t>
      </w:r>
      <w:r w:rsidR="00974D80">
        <w:t xml:space="preserve">measure </w:t>
      </w:r>
      <w:r w:rsidR="00DA18EE">
        <w:t xml:space="preserve">the </w:t>
      </w:r>
      <w:r w:rsidR="00C90DF9">
        <w:t xml:space="preserve">presence </w:t>
      </w:r>
      <w:r w:rsidR="00DA18EE">
        <w:t xml:space="preserve">and type of state support </w:t>
      </w:r>
      <w:r w:rsidR="00BD7129">
        <w:t>at the firm level</w:t>
      </w:r>
      <w:r w:rsidR="007A1CC6" w:rsidRPr="00470E2A">
        <w:t xml:space="preserve">. </w:t>
      </w:r>
      <w:r w:rsidR="00F81576">
        <w:t xml:space="preserve">We focus on four </w:t>
      </w:r>
      <w:r w:rsidR="00F608E8">
        <w:t>questions related to financial support, non-financial support, state contracts, and protection from competition (</w:t>
      </w:r>
      <w:r w:rsidR="00673BA8">
        <w:t xml:space="preserve">see </w:t>
      </w:r>
      <w:r w:rsidR="00305C96">
        <w:fldChar w:fldCharType="begin"/>
      </w:r>
      <w:r w:rsidR="00305C96">
        <w:instrText xml:space="preserve"> REF _Ref9379035 \h </w:instrText>
      </w:r>
      <w:r w:rsidR="00305C96">
        <w:fldChar w:fldCharType="separate"/>
      </w:r>
      <w:r w:rsidR="00384800">
        <w:t xml:space="preserve">Box 5. </w:t>
      </w:r>
      <w:r w:rsidR="00384800">
        <w:rPr>
          <w:noProof/>
        </w:rPr>
        <w:t>1</w:t>
      </w:r>
      <w:r w:rsidR="00305C96">
        <w:fldChar w:fldCharType="end"/>
      </w:r>
      <w:r w:rsidR="00305C96">
        <w:t xml:space="preserve"> </w:t>
      </w:r>
      <w:r w:rsidR="00673BA8">
        <w:t xml:space="preserve">for </w:t>
      </w:r>
      <w:r w:rsidR="00F27501">
        <w:t>detail</w:t>
      </w:r>
      <w:r w:rsidR="00673BA8">
        <w:t>ed description</w:t>
      </w:r>
      <w:r w:rsidR="00F27501">
        <w:t xml:space="preserve"> </w:t>
      </w:r>
      <w:r w:rsidR="00673BA8">
        <w:t xml:space="preserve">of </w:t>
      </w:r>
      <w:r w:rsidR="00F27501">
        <w:t xml:space="preserve">the </w:t>
      </w:r>
      <w:r w:rsidR="000C2AC5">
        <w:t xml:space="preserve">questions and our </w:t>
      </w:r>
      <w:r w:rsidR="00F27501">
        <w:t>measures</w:t>
      </w:r>
      <w:r w:rsidR="00F608E8">
        <w:t xml:space="preserve">). </w:t>
      </w:r>
      <w:r w:rsidR="000252B0" w:rsidRPr="00470E2A">
        <w:t>Th</w:t>
      </w:r>
      <w:r w:rsidR="00DE11D1">
        <w:t>e</w:t>
      </w:r>
      <w:r w:rsidR="000252B0" w:rsidRPr="00470E2A">
        <w:t xml:space="preserve"> data shows that SOEs benefit </w:t>
      </w:r>
      <w:r w:rsidR="00F8178A">
        <w:t>more than private firms</w:t>
      </w:r>
      <w:r w:rsidR="00F8178A" w:rsidRPr="00470E2A">
        <w:t xml:space="preserve"> </w:t>
      </w:r>
      <w:r w:rsidR="000252B0" w:rsidRPr="00470E2A">
        <w:t>from state generosity</w:t>
      </w:r>
      <w:r w:rsidR="00BB3E91">
        <w:t>,</w:t>
      </w:r>
      <w:r w:rsidR="00DE11D1">
        <w:t xml:space="preserve"> on all measures of state support</w:t>
      </w:r>
      <w:r w:rsidR="000252B0" w:rsidRPr="00470E2A">
        <w:t xml:space="preserve">. </w:t>
      </w:r>
      <w:r w:rsidR="00F8178A">
        <w:t>Our findings come with important caveat</w:t>
      </w:r>
      <w:r w:rsidR="009D03FA">
        <w:t xml:space="preserve">s. First, we are not able to observe the </w:t>
      </w:r>
      <w:r w:rsidR="00780B97">
        <w:t xml:space="preserve">level of government support </w:t>
      </w:r>
      <w:r w:rsidR="009D03FA">
        <w:t>or to monetize its non-monetary forms</w:t>
      </w:r>
      <w:r w:rsidR="00113203">
        <w:t xml:space="preserve">, we only see if </w:t>
      </w:r>
      <w:r w:rsidR="00974D80">
        <w:t xml:space="preserve">(not) </w:t>
      </w:r>
      <w:r w:rsidR="00113203">
        <w:t>support was received</w:t>
      </w:r>
      <w:r w:rsidR="009D03FA">
        <w:t xml:space="preserve">. Second, we are not able to account for potential public service </w:t>
      </w:r>
      <w:r w:rsidR="00A01511">
        <w:t xml:space="preserve">functions </w:t>
      </w:r>
      <w:r w:rsidR="009D03FA">
        <w:t>of SOEs</w:t>
      </w:r>
      <w:r w:rsidR="00A01511">
        <w:t xml:space="preserve">, which could </w:t>
      </w:r>
      <w:r w:rsidR="00113203">
        <w:t xml:space="preserve">affect levels of </w:t>
      </w:r>
      <w:r w:rsidR="00A01511">
        <w:t>support.</w:t>
      </w:r>
      <w:r w:rsidR="009D03FA">
        <w:t xml:space="preserve"> </w:t>
      </w:r>
      <w:r w:rsidR="00113203">
        <w:t xml:space="preserve">Finally, we </w:t>
      </w:r>
      <w:r w:rsidR="004C742B">
        <w:t xml:space="preserve">are only able to report what the data show, </w:t>
      </w:r>
      <w:r w:rsidR="0043319E">
        <w:t xml:space="preserve">which may not reflect the outcomes intended by </w:t>
      </w:r>
      <w:r w:rsidR="00C72A7F">
        <w:t xml:space="preserve">relevant </w:t>
      </w:r>
      <w:r w:rsidR="0043319E">
        <w:t>policy-makers or implementing bodies</w:t>
      </w:r>
      <w:r w:rsidR="00E655F2">
        <w:t>.</w:t>
      </w:r>
      <w:r w:rsidR="004C742B">
        <w:t xml:space="preserve"> </w:t>
      </w:r>
      <w:r w:rsidR="00E655F2">
        <w:t xml:space="preserve">Further research will be needed to </w:t>
      </w:r>
      <w:r w:rsidR="004735BD">
        <w:t xml:space="preserve">better understand </w:t>
      </w:r>
      <w:r w:rsidR="0099281C">
        <w:t>these important aspects.</w:t>
      </w:r>
    </w:p>
    <w:tbl>
      <w:tblPr>
        <w:tblStyle w:val="TableGrid0"/>
        <w:tblW w:w="0" w:type="auto"/>
        <w:shd w:val="clear" w:color="auto" w:fill="FFFFCC"/>
        <w:tblLook w:val="04A0" w:firstRow="1" w:lastRow="0" w:firstColumn="1" w:lastColumn="0" w:noHBand="0" w:noVBand="1"/>
      </w:tblPr>
      <w:tblGrid>
        <w:gridCol w:w="9389"/>
      </w:tblGrid>
      <w:tr w:rsidR="00F27501" w14:paraId="137385B8" w14:textId="77777777" w:rsidTr="008D7A6F">
        <w:tc>
          <w:tcPr>
            <w:tcW w:w="9389" w:type="dxa"/>
            <w:shd w:val="clear" w:color="auto" w:fill="538135" w:themeFill="accent6" w:themeFillShade="BF"/>
          </w:tcPr>
          <w:p w14:paraId="282AF7DC" w14:textId="7325A208" w:rsidR="00F27501" w:rsidRPr="00553D80" w:rsidRDefault="00253784" w:rsidP="00D52F46">
            <w:pPr>
              <w:pStyle w:val="Box"/>
            </w:pPr>
            <w:bookmarkStart w:id="118" w:name="_Ref9379035"/>
            <w:bookmarkStart w:id="119" w:name="_Toc11259383"/>
            <w:r>
              <w:t xml:space="preserve">Box 5. </w:t>
            </w:r>
            <w:r w:rsidR="00320D6E">
              <w:rPr>
                <w:noProof/>
              </w:rPr>
              <w:fldChar w:fldCharType="begin"/>
            </w:r>
            <w:r w:rsidR="00320D6E">
              <w:rPr>
                <w:noProof/>
              </w:rPr>
              <w:instrText xml:space="preserve"> SEQ Box_5. \* ARABIC </w:instrText>
            </w:r>
            <w:r w:rsidR="00320D6E">
              <w:rPr>
                <w:noProof/>
              </w:rPr>
              <w:fldChar w:fldCharType="separate"/>
            </w:r>
            <w:r w:rsidR="00384800">
              <w:rPr>
                <w:noProof/>
              </w:rPr>
              <w:t>1</w:t>
            </w:r>
            <w:r w:rsidR="00320D6E">
              <w:rPr>
                <w:noProof/>
              </w:rPr>
              <w:fldChar w:fldCharType="end"/>
            </w:r>
            <w:bookmarkEnd w:id="118"/>
            <w:r>
              <w:t xml:space="preserve"> </w:t>
            </w:r>
            <w:r w:rsidR="00261407">
              <w:t xml:space="preserve">Measures of state support in RuFiGE </w:t>
            </w:r>
            <w:r w:rsidR="00820B4D">
              <w:t>2014</w:t>
            </w:r>
            <w:r w:rsidR="00C90DF9">
              <w:t xml:space="preserve"> and </w:t>
            </w:r>
            <w:r w:rsidR="00D36A66">
              <w:t>IIELM</w:t>
            </w:r>
            <w:r w:rsidR="00C90DF9">
              <w:t xml:space="preserve"> 2017 surveys</w:t>
            </w:r>
            <w:bookmarkEnd w:id="119"/>
          </w:p>
        </w:tc>
      </w:tr>
      <w:tr w:rsidR="00F27501" w14:paraId="482D88A4" w14:textId="77777777" w:rsidTr="008D7A6F">
        <w:tc>
          <w:tcPr>
            <w:tcW w:w="9389" w:type="dxa"/>
            <w:shd w:val="clear" w:color="auto" w:fill="FFF8E5"/>
          </w:tcPr>
          <w:p w14:paraId="51DDB2AB" w14:textId="568D7D46" w:rsidR="00F27501" w:rsidRPr="00975838" w:rsidRDefault="00C25EE9" w:rsidP="00ED34F6">
            <w:pPr>
              <w:spacing w:before="120" w:after="0" w:line="240" w:lineRule="auto"/>
              <w:contextualSpacing/>
              <w:rPr>
                <w:b/>
                <w:bCs/>
              </w:rPr>
            </w:pPr>
            <w:r>
              <w:rPr>
                <w:b/>
                <w:bCs/>
              </w:rPr>
              <w:t xml:space="preserve">Financial support (subsidies). </w:t>
            </w:r>
            <w:r w:rsidR="00F32F4A" w:rsidRPr="00F32F4A">
              <w:t>“</w:t>
            </w:r>
            <w:r w:rsidR="00835BD1">
              <w:t>During 2012-2013, h</w:t>
            </w:r>
            <w:r w:rsidR="00033F39">
              <w:t xml:space="preserve">as your enterprise received any financial support </w:t>
            </w:r>
            <w:r w:rsidR="006650B9">
              <w:t xml:space="preserve">from </w:t>
            </w:r>
            <w:r w:rsidR="00835BD1">
              <w:t xml:space="preserve">…. 1. </w:t>
            </w:r>
            <w:r w:rsidR="006650B9">
              <w:t xml:space="preserve">federal, </w:t>
            </w:r>
            <w:r w:rsidR="00835BD1">
              <w:t xml:space="preserve">2. </w:t>
            </w:r>
            <w:r w:rsidR="006650B9">
              <w:t xml:space="preserve">regional, </w:t>
            </w:r>
            <w:r w:rsidR="00835BD1">
              <w:t xml:space="preserve">3. </w:t>
            </w:r>
            <w:r w:rsidR="006650B9">
              <w:t xml:space="preserve">local authorities?” </w:t>
            </w:r>
            <w:r w:rsidR="00F32F4A">
              <w:t xml:space="preserve"> [</w:t>
            </w:r>
            <w:proofErr w:type="spellStart"/>
            <w:r w:rsidR="002C0476">
              <w:t>RuFiGE</w:t>
            </w:r>
            <w:proofErr w:type="spellEnd"/>
            <w:r w:rsidR="002C0476">
              <w:t xml:space="preserve">, </w:t>
            </w:r>
            <w:r w:rsidR="00F32F4A">
              <w:t>Q</w:t>
            </w:r>
            <w:r w:rsidR="00033F39">
              <w:t>uestion B104]</w:t>
            </w:r>
          </w:p>
          <w:p w14:paraId="25C918EA" w14:textId="24DBEE7C" w:rsidR="006650B9" w:rsidRPr="00461F7D" w:rsidRDefault="009355A0" w:rsidP="00ED34F6">
            <w:pPr>
              <w:pStyle w:val="ListParagraph"/>
              <w:numPr>
                <w:ilvl w:val="0"/>
                <w:numId w:val="19"/>
              </w:numPr>
              <w:spacing w:after="120" w:line="240" w:lineRule="auto"/>
              <w:rPr>
                <w:i/>
                <w:iCs/>
                <w:szCs w:val="20"/>
              </w:rPr>
            </w:pPr>
            <w:r w:rsidRPr="00461F7D">
              <w:rPr>
                <w:i/>
                <w:iCs/>
                <w:szCs w:val="20"/>
              </w:rPr>
              <w:t>B</w:t>
            </w:r>
            <w:r w:rsidR="00975838" w:rsidRPr="00461F7D">
              <w:rPr>
                <w:i/>
                <w:iCs/>
                <w:szCs w:val="20"/>
              </w:rPr>
              <w:t xml:space="preserve">inary </w:t>
            </w:r>
            <w:r w:rsidR="00137976" w:rsidRPr="00461F7D">
              <w:rPr>
                <w:i/>
                <w:iCs/>
                <w:szCs w:val="20"/>
              </w:rPr>
              <w:t>measure</w:t>
            </w:r>
            <w:r w:rsidRPr="00461F7D">
              <w:rPr>
                <w:i/>
                <w:iCs/>
                <w:szCs w:val="20"/>
              </w:rPr>
              <w:t xml:space="preserve">: </w:t>
            </w:r>
            <w:r w:rsidR="00137976" w:rsidRPr="00461F7D">
              <w:rPr>
                <w:i/>
                <w:iCs/>
                <w:szCs w:val="20"/>
              </w:rPr>
              <w:t xml:space="preserve">1 if </w:t>
            </w:r>
            <w:r w:rsidRPr="00461F7D">
              <w:rPr>
                <w:i/>
                <w:iCs/>
                <w:szCs w:val="20"/>
              </w:rPr>
              <w:t xml:space="preserve">firm </w:t>
            </w:r>
            <w:r w:rsidR="00137976" w:rsidRPr="00461F7D">
              <w:rPr>
                <w:i/>
                <w:iCs/>
                <w:szCs w:val="20"/>
              </w:rPr>
              <w:t>receiv</w:t>
            </w:r>
            <w:r w:rsidR="00F56C98" w:rsidRPr="00461F7D">
              <w:rPr>
                <w:i/>
                <w:iCs/>
                <w:szCs w:val="20"/>
              </w:rPr>
              <w:t>es</w:t>
            </w:r>
            <w:r w:rsidR="00137976" w:rsidRPr="00461F7D">
              <w:rPr>
                <w:i/>
                <w:iCs/>
                <w:szCs w:val="20"/>
              </w:rPr>
              <w:t xml:space="preserve"> </w:t>
            </w:r>
            <w:r w:rsidR="00820B4D" w:rsidRPr="00461F7D">
              <w:rPr>
                <w:i/>
                <w:iCs/>
                <w:szCs w:val="20"/>
              </w:rPr>
              <w:t xml:space="preserve">financial </w:t>
            </w:r>
            <w:r w:rsidR="00137976" w:rsidRPr="00461F7D">
              <w:rPr>
                <w:i/>
                <w:iCs/>
                <w:szCs w:val="20"/>
              </w:rPr>
              <w:t>support from any source</w:t>
            </w:r>
            <w:r w:rsidR="0025583E" w:rsidRPr="00461F7D">
              <w:rPr>
                <w:i/>
                <w:iCs/>
                <w:szCs w:val="20"/>
              </w:rPr>
              <w:t xml:space="preserve">, </w:t>
            </w:r>
            <w:r w:rsidR="00137976" w:rsidRPr="00461F7D">
              <w:rPr>
                <w:i/>
                <w:iCs/>
                <w:szCs w:val="20"/>
              </w:rPr>
              <w:t>0 otherwise</w:t>
            </w:r>
            <w:r w:rsidR="00835BD1" w:rsidRPr="00461F7D">
              <w:rPr>
                <w:i/>
                <w:iCs/>
                <w:szCs w:val="20"/>
              </w:rPr>
              <w:t xml:space="preserve">. </w:t>
            </w:r>
          </w:p>
          <w:p w14:paraId="39247328" w14:textId="1E9A78A0" w:rsidR="00C25EE9" w:rsidRDefault="00C25EE9" w:rsidP="00ED34F6">
            <w:pPr>
              <w:spacing w:before="120" w:after="0" w:line="240" w:lineRule="auto"/>
              <w:contextualSpacing/>
            </w:pPr>
            <w:r>
              <w:rPr>
                <w:b/>
                <w:bCs/>
              </w:rPr>
              <w:t>Non-financial support.</w:t>
            </w:r>
            <w:r w:rsidR="0025583E">
              <w:rPr>
                <w:b/>
                <w:bCs/>
              </w:rPr>
              <w:t xml:space="preserve"> </w:t>
            </w:r>
            <w:r w:rsidR="0025583E" w:rsidRPr="002A3556">
              <w:t xml:space="preserve">“During 2012-2013, has your enterprise received </w:t>
            </w:r>
            <w:r w:rsidR="005C355A" w:rsidRPr="002A3556">
              <w:t xml:space="preserve">any organizational support from … 1. federal, 2. regional, </w:t>
            </w:r>
            <w:r w:rsidR="00792959" w:rsidRPr="002A3556">
              <w:t xml:space="preserve">3. </w:t>
            </w:r>
            <w:r w:rsidR="005C355A" w:rsidRPr="002A3556">
              <w:t>local authorities?</w:t>
            </w:r>
            <w:r w:rsidR="00792959" w:rsidRPr="002A3556">
              <w:t xml:space="preserve"> By organizational support we mean any non-financial support, such as </w:t>
            </w:r>
            <w:r w:rsidR="00F409B4">
              <w:t xml:space="preserve">facilitation of connections </w:t>
            </w:r>
            <w:r w:rsidR="00132BF1">
              <w:t xml:space="preserve">to Russian or international partners, </w:t>
            </w:r>
            <w:r w:rsidR="00F409B4">
              <w:t>facilitation of connections to other government organs, help attracting investors, etc.”</w:t>
            </w:r>
            <w:r w:rsidR="00820B4D">
              <w:t xml:space="preserve"> [</w:t>
            </w:r>
            <w:proofErr w:type="spellStart"/>
            <w:r w:rsidR="002C0476">
              <w:t>RuFiGE</w:t>
            </w:r>
            <w:proofErr w:type="spellEnd"/>
            <w:r w:rsidR="002C0476">
              <w:t xml:space="preserve">, </w:t>
            </w:r>
            <w:r w:rsidR="00820B4D">
              <w:t>Question B105]</w:t>
            </w:r>
          </w:p>
          <w:p w14:paraId="57AFB7C3" w14:textId="56A30A6E" w:rsidR="00820B4D" w:rsidRPr="00461F7D" w:rsidRDefault="00820B4D" w:rsidP="00ED34F6">
            <w:pPr>
              <w:pStyle w:val="ListParagraph"/>
              <w:numPr>
                <w:ilvl w:val="0"/>
                <w:numId w:val="19"/>
              </w:numPr>
              <w:spacing w:after="120" w:line="240" w:lineRule="auto"/>
              <w:rPr>
                <w:i/>
                <w:iCs/>
                <w:szCs w:val="20"/>
              </w:rPr>
            </w:pPr>
            <w:r w:rsidRPr="00461F7D">
              <w:rPr>
                <w:i/>
                <w:iCs/>
                <w:szCs w:val="20"/>
              </w:rPr>
              <w:t xml:space="preserve">Binary measure: 1 if firm receives non-financial support from any source, 0 otherwise. </w:t>
            </w:r>
          </w:p>
          <w:p w14:paraId="66F08596" w14:textId="77777777" w:rsidR="000228EB" w:rsidRDefault="00C25EE9" w:rsidP="009C77DF">
            <w:pPr>
              <w:spacing w:before="120" w:after="0" w:line="240" w:lineRule="auto"/>
              <w:contextualSpacing/>
            </w:pPr>
            <w:r>
              <w:rPr>
                <w:b/>
                <w:bCs/>
              </w:rPr>
              <w:t>State contracts.</w:t>
            </w:r>
            <w:r w:rsidR="00793616">
              <w:rPr>
                <w:b/>
                <w:bCs/>
              </w:rPr>
              <w:t xml:space="preserve"> </w:t>
            </w:r>
            <w:r w:rsidR="00793616" w:rsidRPr="00326FCD">
              <w:t>“</w:t>
            </w:r>
            <w:r w:rsidR="00502661" w:rsidRPr="00326FCD">
              <w:t xml:space="preserve">In 2013, did </w:t>
            </w:r>
            <w:r w:rsidR="00793616" w:rsidRPr="00326FCD">
              <w:t xml:space="preserve">your enterprise </w:t>
            </w:r>
            <w:r w:rsidR="00326FCD" w:rsidRPr="00326FCD">
              <w:t xml:space="preserve">work on </w:t>
            </w:r>
            <w:r w:rsidR="00502661" w:rsidRPr="00326FCD">
              <w:t>any state contracts?</w:t>
            </w:r>
            <w:r w:rsidR="00326FCD" w:rsidRPr="00326FCD">
              <w:t xml:space="preserve"> (Y</w:t>
            </w:r>
            <w:r w:rsidR="000228EB">
              <w:t>es</w:t>
            </w:r>
            <w:r w:rsidR="00326FCD" w:rsidRPr="00326FCD">
              <w:t>/N</w:t>
            </w:r>
            <w:r w:rsidR="000228EB">
              <w:t>o</w:t>
            </w:r>
            <w:r w:rsidR="00326FCD" w:rsidRPr="00326FCD">
              <w:t xml:space="preserve">/DK/NR)” </w:t>
            </w:r>
          </w:p>
          <w:p w14:paraId="1F155E47" w14:textId="271266A5" w:rsidR="00C25EE9" w:rsidRPr="00326FCD" w:rsidRDefault="00326FCD" w:rsidP="009C77DF">
            <w:pPr>
              <w:spacing w:before="120" w:after="0" w:line="240" w:lineRule="auto"/>
              <w:contextualSpacing/>
            </w:pPr>
            <w:r w:rsidRPr="00326FCD">
              <w:t>[</w:t>
            </w:r>
            <w:proofErr w:type="spellStart"/>
            <w:r w:rsidR="002C0476">
              <w:t>RuFiGE</w:t>
            </w:r>
            <w:proofErr w:type="spellEnd"/>
            <w:r w:rsidR="002C0476">
              <w:t xml:space="preserve">, </w:t>
            </w:r>
            <w:r w:rsidRPr="00326FCD">
              <w:t>Question B106]</w:t>
            </w:r>
          </w:p>
          <w:p w14:paraId="72F7715A" w14:textId="75B86479" w:rsidR="00326FCD" w:rsidRPr="00461F7D" w:rsidRDefault="00326FCD" w:rsidP="009C77DF">
            <w:pPr>
              <w:pStyle w:val="ListParagraph"/>
              <w:numPr>
                <w:ilvl w:val="0"/>
                <w:numId w:val="19"/>
              </w:numPr>
              <w:spacing w:after="120" w:line="240" w:lineRule="auto"/>
              <w:rPr>
                <w:i/>
                <w:iCs/>
                <w:szCs w:val="20"/>
              </w:rPr>
            </w:pPr>
            <w:r w:rsidRPr="00461F7D">
              <w:rPr>
                <w:i/>
                <w:iCs/>
                <w:szCs w:val="20"/>
              </w:rPr>
              <w:t xml:space="preserve">Binary measure: 1 if firm </w:t>
            </w:r>
            <w:r w:rsidR="000228EB" w:rsidRPr="00461F7D">
              <w:rPr>
                <w:i/>
                <w:iCs/>
                <w:szCs w:val="20"/>
              </w:rPr>
              <w:t>worked on state contract</w:t>
            </w:r>
            <w:r w:rsidRPr="00461F7D">
              <w:rPr>
                <w:i/>
                <w:iCs/>
                <w:szCs w:val="20"/>
              </w:rPr>
              <w:t xml:space="preserve">, 0 otherwise. </w:t>
            </w:r>
          </w:p>
          <w:p w14:paraId="37FB052B" w14:textId="37A054C1" w:rsidR="00C25EE9" w:rsidRPr="00831493" w:rsidRDefault="00F32F4A" w:rsidP="009C77DF">
            <w:pPr>
              <w:spacing w:before="120" w:after="0" w:line="240" w:lineRule="auto"/>
              <w:contextualSpacing/>
              <w:rPr>
                <w:b/>
                <w:bCs/>
              </w:rPr>
            </w:pPr>
            <w:r>
              <w:rPr>
                <w:b/>
                <w:bCs/>
              </w:rPr>
              <w:t>Protection from competition.</w:t>
            </w:r>
            <w:r w:rsidR="000228EB">
              <w:rPr>
                <w:b/>
                <w:bCs/>
              </w:rPr>
              <w:t xml:space="preserve"> </w:t>
            </w:r>
            <w:r w:rsidR="0040242E" w:rsidRPr="00F85D00">
              <w:t>“</w:t>
            </w:r>
            <w:r w:rsidR="002C0476">
              <w:t>As concerns the prices of the main products or services of your enterprise, how strongly do they depend on competition from other firms producing and/or selling similar products</w:t>
            </w:r>
            <w:r w:rsidR="0040242E" w:rsidRPr="00F85D00">
              <w:t>? (1-4 Likert</w:t>
            </w:r>
            <w:r w:rsidR="00E86966" w:rsidRPr="00F85D00">
              <w:t>, 1=</w:t>
            </w:r>
            <w:r w:rsidR="001C24A5">
              <w:t xml:space="preserve">does </w:t>
            </w:r>
            <w:r w:rsidR="00E86966" w:rsidRPr="00F85D00">
              <w:t xml:space="preserve">not </w:t>
            </w:r>
            <w:r w:rsidR="001C24A5">
              <w:t xml:space="preserve">depend </w:t>
            </w:r>
            <w:r w:rsidR="00E86966" w:rsidRPr="00F85D00">
              <w:t>at all</w:t>
            </w:r>
            <w:r w:rsidR="007F778E">
              <w:t>, 2=</w:t>
            </w:r>
            <w:r w:rsidR="00AA4727">
              <w:t xml:space="preserve">most </w:t>
            </w:r>
            <w:r w:rsidR="001C24A5">
              <w:t>often does not depend</w:t>
            </w:r>
            <w:r w:rsidR="00E86966" w:rsidRPr="00F85D00">
              <w:t>)</w:t>
            </w:r>
            <w:r w:rsidR="00FC4D9E">
              <w:t>” [</w:t>
            </w:r>
            <w:r w:rsidR="00D36A66">
              <w:t>IIELM</w:t>
            </w:r>
            <w:r w:rsidR="00FC4D9E">
              <w:t>, Question 6a]</w:t>
            </w:r>
          </w:p>
          <w:p w14:paraId="54B1E867" w14:textId="0B0AE8C6" w:rsidR="00F85D00" w:rsidRPr="00ED34F6" w:rsidRDefault="00E86966" w:rsidP="009C77DF">
            <w:pPr>
              <w:pStyle w:val="ListParagraph"/>
              <w:numPr>
                <w:ilvl w:val="0"/>
                <w:numId w:val="19"/>
              </w:numPr>
              <w:spacing w:after="120" w:line="240" w:lineRule="auto"/>
              <w:rPr>
                <w:i/>
                <w:iCs/>
                <w:szCs w:val="20"/>
              </w:rPr>
            </w:pPr>
            <w:r w:rsidRPr="003655F6">
              <w:rPr>
                <w:i/>
                <w:iCs/>
                <w:szCs w:val="20"/>
              </w:rPr>
              <w:t xml:space="preserve">Binary measure: 1 if </w:t>
            </w:r>
            <w:r w:rsidR="00AA4727">
              <w:rPr>
                <w:i/>
                <w:iCs/>
                <w:szCs w:val="20"/>
              </w:rPr>
              <w:t>Likert responses 1 or 2</w:t>
            </w:r>
            <w:r w:rsidRPr="003655F6">
              <w:rPr>
                <w:i/>
                <w:iCs/>
                <w:szCs w:val="20"/>
              </w:rPr>
              <w:t xml:space="preserve">, 0 otherwise. </w:t>
            </w:r>
          </w:p>
        </w:tc>
      </w:tr>
    </w:tbl>
    <w:p w14:paraId="5F020C5C" w14:textId="77777777" w:rsidR="009C77DF" w:rsidRPr="009C77DF" w:rsidRDefault="009C77DF" w:rsidP="009C77DF">
      <w:pPr>
        <w:pStyle w:val="Normal0"/>
        <w:spacing w:after="240" w:line="276" w:lineRule="auto"/>
        <w:jc w:val="both"/>
      </w:pPr>
    </w:p>
    <w:p w14:paraId="699E9363" w14:textId="2940F788" w:rsidR="007677F2" w:rsidRDefault="00BF06EE" w:rsidP="004376E8">
      <w:pPr>
        <w:pStyle w:val="Normal0"/>
        <w:numPr>
          <w:ilvl w:val="0"/>
          <w:numId w:val="21"/>
        </w:numPr>
        <w:spacing w:after="240" w:line="276" w:lineRule="auto"/>
        <w:ind w:left="0" w:firstLine="0"/>
        <w:jc w:val="both"/>
      </w:pPr>
      <w:r w:rsidRPr="000C2AC5">
        <w:rPr>
          <w:b/>
          <w:bCs/>
        </w:rPr>
        <w:t>SOEs are more likely than private firms to receive financial assistance and state contracts</w:t>
      </w:r>
      <w:r>
        <w:rPr>
          <w:b/>
          <w:bCs/>
        </w:rPr>
        <w:t>, non-financial assistance, and protection from competition.</w:t>
      </w:r>
      <w:r w:rsidRPr="00947BA9">
        <w:t xml:space="preserve"> </w:t>
      </w:r>
      <w:r w:rsidR="00F96E88">
        <w:t xml:space="preserve">A large academic literature has argued, and empirically demonstrated, that SOEs are subject to a “soft-budget constraint” which shields them from competitive pressures and may enable them to offer higher wages without being subjected to market discipline. SOEs in Russia receive a variety of state </w:t>
      </w:r>
      <w:r w:rsidR="00F96E88" w:rsidRPr="00A123E8">
        <w:t xml:space="preserve">support </w:t>
      </w:r>
      <w:r w:rsidR="00F96E88">
        <w:t xml:space="preserve">that gives them a financial advantage over private firms </w:t>
      </w:r>
      <w:r w:rsidR="00F96E88" w:rsidRPr="00A123E8">
        <w:t>(</w:t>
      </w:r>
      <w:r w:rsidR="00305C96">
        <w:fldChar w:fldCharType="begin"/>
      </w:r>
      <w:r w:rsidR="00305C96">
        <w:instrText xml:space="preserve"> REF _Ref9379053 \h </w:instrText>
      </w:r>
      <w:r w:rsidR="00305C96">
        <w:fldChar w:fldCharType="separate"/>
      </w:r>
      <w:r w:rsidR="00384800">
        <w:t xml:space="preserve">Figure 5. </w:t>
      </w:r>
      <w:r w:rsidR="00384800">
        <w:rPr>
          <w:noProof/>
        </w:rPr>
        <w:t>1</w:t>
      </w:r>
      <w:r w:rsidR="00305C96">
        <w:fldChar w:fldCharType="end"/>
      </w:r>
      <w:r w:rsidR="00F96E88" w:rsidRPr="00A123E8">
        <w:t>).</w:t>
      </w:r>
      <w:r w:rsidR="00F96E88">
        <w:t xml:space="preserve"> Approximately 60 percent of SOEs receive subsidies from the government, compared to 10 percent of private firms; and 60 percent of SOEs receive a procurement contract from the government compared to 27 percent of private firms.</w:t>
      </w:r>
      <w:r w:rsidR="00F96E88" w:rsidRPr="00F96E88">
        <w:rPr>
          <w:rStyle w:val="FootnoteReference"/>
        </w:rPr>
        <w:t xml:space="preserve"> </w:t>
      </w:r>
      <w:r w:rsidR="00F96E88">
        <w:rPr>
          <w:rStyle w:val="FootnoteReference"/>
        </w:rPr>
        <w:footnoteReference w:id="33"/>
      </w:r>
      <w:r w:rsidR="00F96E88">
        <w:t xml:space="preserve"> </w:t>
      </w:r>
      <w:r w:rsidR="000F1F04">
        <w:t>A</w:t>
      </w:r>
      <w:r w:rsidR="006F074C">
        <w:t xml:space="preserve">vailable </w:t>
      </w:r>
      <w:r w:rsidR="000F1F04">
        <w:t xml:space="preserve">administrative data supports the view </w:t>
      </w:r>
      <w:r w:rsidR="006F074C">
        <w:t xml:space="preserve">that </w:t>
      </w:r>
      <w:r w:rsidR="004376E8" w:rsidRPr="008A2662">
        <w:t xml:space="preserve">SOEs </w:t>
      </w:r>
      <w:r w:rsidR="006F074C">
        <w:t xml:space="preserve">may be </w:t>
      </w:r>
      <w:r w:rsidR="004376E8" w:rsidRPr="008A2662">
        <w:t>more likely to receive single-source government contracts than other firms</w:t>
      </w:r>
      <w:r w:rsidR="008B59B1">
        <w:t>.</w:t>
      </w:r>
      <w:r w:rsidR="004376E8" w:rsidRPr="004376E8">
        <w:rPr>
          <w:b/>
          <w:bCs/>
        </w:rPr>
        <w:t xml:space="preserve"> </w:t>
      </w:r>
      <w:r w:rsidR="008B59B1" w:rsidRPr="008A2662">
        <w:t>A</w:t>
      </w:r>
      <w:r w:rsidR="00F40CDB" w:rsidRPr="008A2662">
        <w:t>ccording to the Federal Antimonopoly Service 20 percent of all government contracts are single source, but</w:t>
      </w:r>
      <w:r w:rsidR="00F40CDB">
        <w:rPr>
          <w:b/>
          <w:bCs/>
        </w:rPr>
        <w:t xml:space="preserve"> </w:t>
      </w:r>
      <w:r w:rsidR="000F1F04" w:rsidRPr="008A2662">
        <w:t>a recent publication from the Analytical Center for the Government finds that</w:t>
      </w:r>
      <w:r w:rsidR="000F1F04">
        <w:rPr>
          <w:b/>
          <w:bCs/>
        </w:rPr>
        <w:t xml:space="preserve"> </w:t>
      </w:r>
      <w:r w:rsidR="006F074C">
        <w:t xml:space="preserve">50 percent </w:t>
      </w:r>
      <w:r w:rsidR="004376E8" w:rsidRPr="004376E8">
        <w:t xml:space="preserve">of </w:t>
      </w:r>
      <w:r w:rsidR="006F074C">
        <w:t xml:space="preserve">government </w:t>
      </w:r>
      <w:r w:rsidR="004376E8" w:rsidRPr="004376E8">
        <w:t>contracts with unitary companies are single source (</w:t>
      </w:r>
      <w:r w:rsidR="000344D3">
        <w:t xml:space="preserve">data shared by FAS, </w:t>
      </w:r>
      <w:proofErr w:type="spellStart"/>
      <w:r w:rsidR="00681522">
        <w:t>Kovaleva</w:t>
      </w:r>
      <w:proofErr w:type="spellEnd"/>
      <w:r w:rsidR="00681522">
        <w:t xml:space="preserve"> et al </w:t>
      </w:r>
      <w:r w:rsidR="004376E8" w:rsidRPr="004376E8">
        <w:t>2019)</w:t>
      </w:r>
      <w:r w:rsidR="00F77C48">
        <w:t>.</w:t>
      </w:r>
      <w:r w:rsidR="004376E8" w:rsidRPr="004376E8">
        <w:rPr>
          <w:bCs/>
        </w:rPr>
        <w:t xml:space="preserve"> </w:t>
      </w:r>
      <w:r w:rsidR="00F96E88" w:rsidRPr="002835E6">
        <w:rPr>
          <w:bCs/>
        </w:rPr>
        <w:t xml:space="preserve">The data </w:t>
      </w:r>
      <w:r w:rsidR="00681522">
        <w:rPr>
          <w:bCs/>
        </w:rPr>
        <w:t xml:space="preserve">also </w:t>
      </w:r>
      <w:r w:rsidR="00F96E88" w:rsidRPr="002835E6">
        <w:rPr>
          <w:bCs/>
        </w:rPr>
        <w:t>reveal important differences across different sizes and types of SOEs</w:t>
      </w:r>
      <w:r w:rsidR="00F96E88" w:rsidRPr="002835E6">
        <w:t>.</w:t>
      </w:r>
      <w:r w:rsidR="00F96E88" w:rsidRPr="00F96E88">
        <w:t xml:space="preserve"> Smaller SOEs are more frequent recipients of state financial assistance. Meanwhile larger SOEs receive more state contracts and non-financial assistance, most of it designed to bring in contracts from other sources.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9"/>
      </w:tblGrid>
      <w:tr w:rsidR="00352A74" w14:paraId="7D8A560C" w14:textId="77777777" w:rsidTr="007677F2">
        <w:tc>
          <w:tcPr>
            <w:tcW w:w="9399" w:type="dxa"/>
          </w:tcPr>
          <w:p w14:paraId="29069B8E" w14:textId="2FAD851A" w:rsidR="00352A74" w:rsidRDefault="007677F2" w:rsidP="004E0F0B">
            <w:pPr>
              <w:pStyle w:val="Figure"/>
              <w:jc w:val="left"/>
            </w:pPr>
            <w:bookmarkStart w:id="120" w:name="_Ref9379053"/>
            <w:bookmarkStart w:id="121" w:name="_Toc11259366"/>
            <w:r>
              <w:t xml:space="preserve">Figure 5. </w:t>
            </w:r>
            <w:r w:rsidR="00320D6E">
              <w:rPr>
                <w:noProof/>
              </w:rPr>
              <w:fldChar w:fldCharType="begin"/>
            </w:r>
            <w:r w:rsidR="00320D6E">
              <w:rPr>
                <w:noProof/>
              </w:rPr>
              <w:instrText xml:space="preserve"> SEQ Figure_5. \* ARABIC </w:instrText>
            </w:r>
            <w:r w:rsidR="00320D6E">
              <w:rPr>
                <w:noProof/>
              </w:rPr>
              <w:fldChar w:fldCharType="separate"/>
            </w:r>
            <w:r w:rsidR="00384800">
              <w:rPr>
                <w:noProof/>
              </w:rPr>
              <w:t>1</w:t>
            </w:r>
            <w:r w:rsidR="00320D6E">
              <w:rPr>
                <w:noProof/>
              </w:rPr>
              <w:fldChar w:fldCharType="end"/>
            </w:r>
            <w:bookmarkEnd w:id="120"/>
            <w:r>
              <w:t xml:space="preserve"> </w:t>
            </w:r>
            <w:r w:rsidR="00352A74" w:rsidRPr="00907D19">
              <w:t xml:space="preserve">Share of firms </w:t>
            </w:r>
            <w:r w:rsidR="00352A74">
              <w:t>receiving state subsidies, contracts, and non-financial assistance.</w:t>
            </w:r>
            <w:bookmarkEnd w:id="121"/>
          </w:p>
        </w:tc>
      </w:tr>
      <w:tr w:rsidR="00352A74" w14:paraId="7E08B217" w14:textId="77777777" w:rsidTr="007677F2">
        <w:tc>
          <w:tcPr>
            <w:tcW w:w="9399" w:type="dxa"/>
          </w:tcPr>
          <w:p w14:paraId="3F1404CB" w14:textId="77777777" w:rsidR="00352A74" w:rsidRDefault="00352A74" w:rsidP="005B1784">
            <w:pPr>
              <w:spacing w:after="0" w:line="240" w:lineRule="auto"/>
              <w:contextualSpacing/>
              <w:jc w:val="left"/>
            </w:pPr>
            <w:r>
              <w:rPr>
                <w:noProof/>
              </w:rPr>
              <w:drawing>
                <wp:inline distT="0" distB="0" distL="0" distR="0" wp14:anchorId="522E76FE" wp14:editId="5B97DF0A">
                  <wp:extent cx="6045835" cy="2914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9690" cy="2940613"/>
                          </a:xfrm>
                          <a:prstGeom prst="rect">
                            <a:avLst/>
                          </a:prstGeom>
                          <a:noFill/>
                        </pic:spPr>
                      </pic:pic>
                    </a:graphicData>
                  </a:graphic>
                </wp:inline>
              </w:drawing>
            </w:r>
          </w:p>
        </w:tc>
      </w:tr>
      <w:tr w:rsidR="00352A74" w14:paraId="0D1AA4BC" w14:textId="77777777" w:rsidTr="007677F2">
        <w:tc>
          <w:tcPr>
            <w:tcW w:w="9399" w:type="dxa"/>
          </w:tcPr>
          <w:p w14:paraId="2EA50E19" w14:textId="77777777" w:rsidR="00352A74" w:rsidRPr="007677F2" w:rsidRDefault="00352A74" w:rsidP="005B1784">
            <w:pPr>
              <w:spacing w:after="0" w:line="240" w:lineRule="auto"/>
              <w:contextualSpacing/>
              <w:jc w:val="left"/>
              <w:rPr>
                <w:sz w:val="20"/>
                <w:szCs w:val="20"/>
              </w:rPr>
            </w:pPr>
            <w:r w:rsidRPr="007677F2">
              <w:rPr>
                <w:i/>
                <w:iCs/>
                <w:noProof/>
                <w:sz w:val="20"/>
                <w:szCs w:val="20"/>
              </w:rPr>
              <w:t xml:space="preserve">Source: </w:t>
            </w:r>
            <w:proofErr w:type="spellStart"/>
            <w:r w:rsidRPr="007677F2">
              <w:rPr>
                <w:sz w:val="20"/>
                <w:szCs w:val="20"/>
              </w:rPr>
              <w:t>RuFiGE</w:t>
            </w:r>
            <w:proofErr w:type="spellEnd"/>
            <w:r w:rsidRPr="007677F2">
              <w:rPr>
                <w:sz w:val="20"/>
                <w:szCs w:val="20"/>
              </w:rPr>
              <w:t xml:space="preserve"> 2014</w:t>
            </w:r>
          </w:p>
        </w:tc>
      </w:tr>
    </w:tbl>
    <w:p w14:paraId="1DADD57A" w14:textId="513299C6" w:rsidR="00F96E88" w:rsidRPr="00470E2A" w:rsidRDefault="00BF06EE" w:rsidP="00F96E88">
      <w:pPr>
        <w:pStyle w:val="Normal0"/>
        <w:numPr>
          <w:ilvl w:val="0"/>
          <w:numId w:val="21"/>
        </w:numPr>
        <w:spacing w:after="240" w:line="276" w:lineRule="auto"/>
        <w:ind w:left="0" w:firstLine="0"/>
        <w:jc w:val="both"/>
      </w:pPr>
      <w:r w:rsidRPr="002835E6">
        <w:rPr>
          <w:b/>
        </w:rPr>
        <w:t>SOEs are almost twice as likely to be shielded from competition than private domestic or expatriate firms</w:t>
      </w:r>
      <w:r w:rsidR="00F96E88">
        <w:rPr>
          <w:b/>
        </w:rPr>
        <w:t xml:space="preserve"> (</w:t>
      </w:r>
      <w:r w:rsidR="00305C96" w:rsidRPr="00305C96">
        <w:rPr>
          <w:b/>
        </w:rPr>
        <w:fldChar w:fldCharType="begin"/>
      </w:r>
      <w:r w:rsidR="00305C96" w:rsidRPr="00305C96">
        <w:rPr>
          <w:b/>
        </w:rPr>
        <w:instrText xml:space="preserve"> REF _Ref9379072 \h  \* MERGEFORMAT </w:instrText>
      </w:r>
      <w:r w:rsidR="00305C96" w:rsidRPr="00305C96">
        <w:rPr>
          <w:b/>
        </w:rPr>
      </w:r>
      <w:r w:rsidR="00305C96" w:rsidRPr="00305C96">
        <w:rPr>
          <w:b/>
        </w:rPr>
        <w:fldChar w:fldCharType="separate"/>
      </w:r>
      <w:r w:rsidR="00384800" w:rsidRPr="008A2662">
        <w:rPr>
          <w:b/>
        </w:rPr>
        <w:t xml:space="preserve">Figure 5. </w:t>
      </w:r>
      <w:r w:rsidR="00384800" w:rsidRPr="008A2662">
        <w:rPr>
          <w:b/>
          <w:noProof/>
        </w:rPr>
        <w:t>2</w:t>
      </w:r>
      <w:r w:rsidR="00305C96" w:rsidRPr="00305C96">
        <w:rPr>
          <w:b/>
        </w:rPr>
        <w:fldChar w:fldCharType="end"/>
      </w:r>
      <w:r w:rsidR="00F96E88">
        <w:rPr>
          <w:b/>
        </w:rPr>
        <w:t>)</w:t>
      </w:r>
      <w:r w:rsidRPr="002835E6">
        <w:rPr>
          <w:b/>
        </w:rPr>
        <w:t>.</w:t>
      </w:r>
      <w:r>
        <w:t xml:space="preserve"> State SOEs are significantly more shielded than mixed, but the fact that mixed are significantly more protected than private firms is noteworthy because these mixed SOEs compete more directly in the market and, besides partial state ownership, are supposed to be in every way like private firms.</w:t>
      </w:r>
    </w:p>
    <w:p w14:paraId="7D7B82E1" w14:textId="6EEF635E" w:rsidR="00352A74" w:rsidRDefault="007677F2" w:rsidP="004E0F0B">
      <w:pPr>
        <w:pStyle w:val="Figure"/>
        <w:jc w:val="left"/>
      </w:pPr>
      <w:bookmarkStart w:id="122" w:name="_Ref9379072"/>
      <w:bookmarkStart w:id="123" w:name="_Toc11259367"/>
      <w:r>
        <w:t xml:space="preserve">Figure 5. </w:t>
      </w:r>
      <w:r w:rsidR="00320D6E">
        <w:rPr>
          <w:noProof/>
        </w:rPr>
        <w:fldChar w:fldCharType="begin"/>
      </w:r>
      <w:r w:rsidR="00320D6E">
        <w:rPr>
          <w:noProof/>
        </w:rPr>
        <w:instrText xml:space="preserve"> SEQ Figure_5. \* ARABIC </w:instrText>
      </w:r>
      <w:r w:rsidR="00320D6E">
        <w:rPr>
          <w:noProof/>
        </w:rPr>
        <w:fldChar w:fldCharType="separate"/>
      </w:r>
      <w:r w:rsidR="00384800">
        <w:rPr>
          <w:noProof/>
        </w:rPr>
        <w:t>2</w:t>
      </w:r>
      <w:r w:rsidR="00320D6E">
        <w:rPr>
          <w:noProof/>
        </w:rPr>
        <w:fldChar w:fldCharType="end"/>
      </w:r>
      <w:bookmarkEnd w:id="122"/>
      <w:r>
        <w:t xml:space="preserve"> </w:t>
      </w:r>
      <w:r w:rsidR="00352A74" w:rsidRPr="00907D19">
        <w:t xml:space="preserve">Share of firms </w:t>
      </w:r>
      <w:r w:rsidR="00352A74">
        <w:t>whose prices of main products/services do not depend on competition.</w:t>
      </w:r>
      <w:bookmarkEnd w:id="123"/>
    </w:p>
    <w:p w14:paraId="0658E85B" w14:textId="0AA6F773" w:rsidR="00352A74" w:rsidRDefault="00753838" w:rsidP="00753838">
      <w:pPr>
        <w:spacing w:after="0" w:line="240" w:lineRule="auto"/>
        <w:jc w:val="center"/>
      </w:pPr>
      <w:r w:rsidRPr="00753838">
        <w:rPr>
          <w:noProof/>
        </w:rPr>
        <w:drawing>
          <wp:inline distT="0" distB="0" distL="0" distR="0" wp14:anchorId="0C3A417F" wp14:editId="77D346FE">
            <wp:extent cx="5968365" cy="279467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8365" cy="2794675"/>
                    </a:xfrm>
                    <a:prstGeom prst="rect">
                      <a:avLst/>
                    </a:prstGeom>
                    <a:noFill/>
                    <a:ln>
                      <a:noFill/>
                    </a:ln>
                  </pic:spPr>
                </pic:pic>
              </a:graphicData>
            </a:graphic>
          </wp:inline>
        </w:drawing>
      </w:r>
    </w:p>
    <w:p w14:paraId="1BD68CDB" w14:textId="090603F5" w:rsidR="00352A74" w:rsidRPr="007677F2" w:rsidRDefault="00352A74" w:rsidP="00052515">
      <w:pPr>
        <w:spacing w:after="0" w:line="240" w:lineRule="auto"/>
        <w:jc w:val="left"/>
        <w:rPr>
          <w:sz w:val="20"/>
          <w:szCs w:val="20"/>
        </w:rPr>
      </w:pPr>
      <w:r w:rsidRPr="007677F2">
        <w:rPr>
          <w:i/>
          <w:iCs/>
          <w:noProof/>
          <w:sz w:val="20"/>
          <w:szCs w:val="20"/>
        </w:rPr>
        <w:t xml:space="preserve">Source: </w:t>
      </w:r>
      <w:r w:rsidR="00D36A66">
        <w:rPr>
          <w:sz w:val="20"/>
          <w:szCs w:val="20"/>
        </w:rPr>
        <w:t>IIELM</w:t>
      </w:r>
      <w:r w:rsidRPr="007677F2">
        <w:rPr>
          <w:sz w:val="20"/>
          <w:szCs w:val="20"/>
        </w:rPr>
        <w:t xml:space="preserve"> 2017</w:t>
      </w:r>
    </w:p>
    <w:p w14:paraId="46C69FF1" w14:textId="39FC9A3F" w:rsidR="00E95E4F" w:rsidRDefault="00E95E4F" w:rsidP="00E83290">
      <w:pPr>
        <w:spacing w:after="0" w:line="240" w:lineRule="auto"/>
        <w:contextualSpacing/>
      </w:pPr>
    </w:p>
    <w:p w14:paraId="183B709D" w14:textId="77777777" w:rsidR="00E95E4F" w:rsidRDefault="00E95E4F" w:rsidP="00E83290">
      <w:pPr>
        <w:spacing w:after="0" w:line="240" w:lineRule="auto"/>
        <w:contextualSpacing/>
      </w:pPr>
    </w:p>
    <w:p w14:paraId="17BC0D07" w14:textId="4E80E8AC" w:rsidR="00527EF4" w:rsidRPr="00527EF4" w:rsidRDefault="00F85FEC" w:rsidP="00527EF4">
      <w:pPr>
        <w:pStyle w:val="Heading2"/>
        <w:rPr>
          <w:rFonts w:eastAsia="Times New Roman"/>
        </w:rPr>
      </w:pPr>
      <w:bookmarkStart w:id="124" w:name="_Toc11219081"/>
      <w:r w:rsidRPr="009A69FF">
        <w:rPr>
          <w:rFonts w:eastAsia="Times New Roman"/>
        </w:rPr>
        <w:t>State sup</w:t>
      </w:r>
      <w:r>
        <w:rPr>
          <w:rFonts w:eastAsia="Times New Roman"/>
        </w:rPr>
        <w:t>p</w:t>
      </w:r>
      <w:r w:rsidRPr="009A69FF">
        <w:rPr>
          <w:rFonts w:eastAsia="Times New Roman"/>
        </w:rPr>
        <w:t xml:space="preserve">ort </w:t>
      </w:r>
      <w:r w:rsidR="001933C9">
        <w:rPr>
          <w:rFonts w:eastAsia="Times New Roman"/>
        </w:rPr>
        <w:t>and SOE employment practices</w:t>
      </w:r>
      <w:bookmarkEnd w:id="124"/>
      <w:r>
        <w:rPr>
          <w:rFonts w:eastAsia="Times New Roman"/>
        </w:rPr>
        <w:t xml:space="preserve"> </w:t>
      </w:r>
    </w:p>
    <w:p w14:paraId="05580015" w14:textId="0BE09B6C" w:rsidR="00C2676E" w:rsidRDefault="0080332C" w:rsidP="00055D67">
      <w:pPr>
        <w:pStyle w:val="Normal0"/>
        <w:numPr>
          <w:ilvl w:val="0"/>
          <w:numId w:val="21"/>
        </w:numPr>
        <w:spacing w:after="240" w:line="276" w:lineRule="auto"/>
        <w:ind w:left="0" w:firstLine="0"/>
        <w:jc w:val="both"/>
      </w:pPr>
      <w:r>
        <w:rPr>
          <w:b/>
          <w:bCs/>
        </w:rPr>
        <w:t xml:space="preserve">State support appears to influence SOE compensation practices, as </w:t>
      </w:r>
      <w:r w:rsidR="00F96E88" w:rsidRPr="0080332C">
        <w:rPr>
          <w:b/>
        </w:rPr>
        <w:t xml:space="preserve">SOEs that receive </w:t>
      </w:r>
      <w:r>
        <w:rPr>
          <w:b/>
        </w:rPr>
        <w:t xml:space="preserve">it </w:t>
      </w:r>
      <w:r w:rsidR="00F96E88" w:rsidRPr="0080332C">
        <w:rPr>
          <w:b/>
        </w:rPr>
        <w:t>are more likely to offer higher wages to their employees</w:t>
      </w:r>
      <w:r w:rsidR="00F96E88" w:rsidRPr="002835E6">
        <w:t>.</w:t>
      </w:r>
      <w:r w:rsidR="00F96E88" w:rsidRPr="00BE5BAB">
        <w:t xml:space="preserve"> </w:t>
      </w:r>
      <w:r w:rsidR="00E24B7D">
        <w:t>We run a series of regressions using w</w:t>
      </w:r>
      <w:r w:rsidR="00E24B7D" w:rsidRPr="00BE5BAB">
        <w:t xml:space="preserve">age data from </w:t>
      </w:r>
      <w:proofErr w:type="spellStart"/>
      <w:r w:rsidR="00E24B7D" w:rsidRPr="00BE5BAB">
        <w:t>RuFiGE</w:t>
      </w:r>
      <w:proofErr w:type="spellEnd"/>
      <w:r w:rsidR="00E24B7D">
        <w:t xml:space="preserve">. Since </w:t>
      </w:r>
      <w:proofErr w:type="spellStart"/>
      <w:r w:rsidR="00E24B7D">
        <w:t>RuFiGE</w:t>
      </w:r>
      <w:proofErr w:type="spellEnd"/>
      <w:r w:rsidR="00E24B7D">
        <w:t xml:space="preserve"> is </w:t>
      </w:r>
      <w:r w:rsidR="008C40AC">
        <w:t xml:space="preserve">a firm </w:t>
      </w:r>
      <w:r w:rsidR="00E24B7D">
        <w:t>survey we cannot run standard</w:t>
      </w:r>
      <w:r w:rsidR="008C40AC">
        <w:t xml:space="preserve"> worker-level </w:t>
      </w:r>
      <w:r w:rsidR="00E24B7D">
        <w:t xml:space="preserve">wage regressions, and instead use firm average wage as our dependent variable and firm-level controls that approximate potential determinants of the average wage, such as average labor productivity, share of workers with tertiary education and in top management positions, firm size, and firm membership in a business union. Our first regression measures the SOE-private wage gap when the firms do not receive a state subsidy, the second when they receive a state subsidy, and two more when firms receive a subsidy disaggregated by firm size. We find that </w:t>
      </w:r>
      <w:r w:rsidR="00E24B7D" w:rsidRPr="00BE5BAB">
        <w:t xml:space="preserve">SOEs that do not receive subsides pay </w:t>
      </w:r>
      <w:r w:rsidR="00E24B7D">
        <w:t xml:space="preserve">statistically identical </w:t>
      </w:r>
      <w:r w:rsidR="00E24B7D" w:rsidRPr="00BE5BAB">
        <w:t xml:space="preserve">wages </w:t>
      </w:r>
      <w:r w:rsidR="00E24B7D">
        <w:t xml:space="preserve">to </w:t>
      </w:r>
      <w:r w:rsidR="00E24B7D" w:rsidRPr="00BE5BAB">
        <w:t>private sector firms</w:t>
      </w:r>
      <w:r w:rsidR="00E24B7D">
        <w:t xml:space="preserve">, but </w:t>
      </w:r>
      <w:r w:rsidR="00806A84">
        <w:t>those</w:t>
      </w:r>
      <w:r w:rsidR="00E24B7D" w:rsidRPr="00BE5BAB">
        <w:t xml:space="preserve"> that receive a subsidy </w:t>
      </w:r>
      <w:r w:rsidR="00E24B7D">
        <w:t xml:space="preserve">pay </w:t>
      </w:r>
      <w:r w:rsidR="00E24B7D" w:rsidRPr="00BE5BAB">
        <w:t xml:space="preserve">a </w:t>
      </w:r>
      <w:r w:rsidR="00E24B7D">
        <w:t xml:space="preserve">35 percent </w:t>
      </w:r>
      <w:r w:rsidR="00E24B7D" w:rsidRPr="00BE5BAB">
        <w:t xml:space="preserve">wage premium </w:t>
      </w:r>
      <w:r w:rsidR="00E24B7D">
        <w:t>over equivalent</w:t>
      </w:r>
      <w:r w:rsidR="00E24B7D" w:rsidRPr="00C5118B">
        <w:t xml:space="preserve"> </w:t>
      </w:r>
      <w:r w:rsidR="00E24B7D" w:rsidRPr="00BE5BAB">
        <w:t>private sector</w:t>
      </w:r>
      <w:r w:rsidR="00E24B7D">
        <w:t xml:space="preserve"> firms (</w:t>
      </w:r>
      <w:r w:rsidR="00E24B7D">
        <w:fldChar w:fldCharType="begin"/>
      </w:r>
      <w:r w:rsidR="00E24B7D">
        <w:instrText xml:space="preserve"> REF _Ref9379181 \h </w:instrText>
      </w:r>
      <w:r w:rsidR="00E24B7D">
        <w:fldChar w:fldCharType="separate"/>
      </w:r>
      <w:r w:rsidR="00E24B7D">
        <w:t xml:space="preserve">Figure 5. </w:t>
      </w:r>
      <w:r w:rsidR="00E24B7D">
        <w:rPr>
          <w:noProof/>
        </w:rPr>
        <w:t>3</w:t>
      </w:r>
      <w:r w:rsidR="00E24B7D">
        <w:fldChar w:fldCharType="end"/>
      </w:r>
      <w:r w:rsidR="00E24B7D">
        <w:t>)</w:t>
      </w:r>
      <w:r w:rsidR="00E24B7D" w:rsidRPr="00BE5BAB">
        <w:t>.</w:t>
      </w:r>
      <w:r w:rsidR="00E24B7D">
        <w:rPr>
          <w:rStyle w:val="FootnoteReference"/>
        </w:rPr>
        <w:footnoteReference w:id="34"/>
      </w:r>
      <w:r w:rsidR="00E24B7D" w:rsidRPr="00BE5BAB">
        <w:t xml:space="preserve"> </w:t>
      </w:r>
      <w:r w:rsidR="00806A84">
        <w:t>Probing further</w:t>
      </w:r>
      <w:r w:rsidR="00E24B7D">
        <w:t>, we find that the wage premium is in s</w:t>
      </w:r>
      <w:r w:rsidR="00E24B7D" w:rsidRPr="000A2238">
        <w:t>mall and medium</w:t>
      </w:r>
      <w:r w:rsidR="00E24B7D">
        <w:t>-</w:t>
      </w:r>
      <w:r w:rsidR="00E24B7D" w:rsidRPr="000A2238">
        <w:t>sized SOEs</w:t>
      </w:r>
      <w:r w:rsidR="00E24B7D">
        <w:t xml:space="preserve">, as </w:t>
      </w:r>
      <w:r w:rsidR="00E24B7D" w:rsidRPr="000A2238">
        <w:t xml:space="preserve">the wage gap remains </w:t>
      </w:r>
      <w:r w:rsidR="00E24B7D">
        <w:t>statistically in</w:t>
      </w:r>
      <w:r w:rsidR="00E24B7D" w:rsidRPr="000A2238">
        <w:t>significant for large firms</w:t>
      </w:r>
      <w:r w:rsidR="00E24B7D">
        <w:t xml:space="preserve"> (</w:t>
      </w:r>
      <w:r w:rsidR="00E24B7D">
        <w:fldChar w:fldCharType="begin"/>
      </w:r>
      <w:r w:rsidR="00E24B7D">
        <w:instrText xml:space="preserve"> REF _Ref9379181 \h </w:instrText>
      </w:r>
      <w:r w:rsidR="00E24B7D">
        <w:fldChar w:fldCharType="separate"/>
      </w:r>
      <w:r w:rsidR="00E24B7D">
        <w:t xml:space="preserve">Figure 5. </w:t>
      </w:r>
      <w:r w:rsidR="00E24B7D">
        <w:rPr>
          <w:noProof/>
        </w:rPr>
        <w:t>3</w:t>
      </w:r>
      <w:r w:rsidR="00E24B7D">
        <w:fldChar w:fldCharType="end"/>
      </w:r>
      <w:r w:rsidR="00E24B7D">
        <w:t xml:space="preserve">, regression tables are presented in Annex B). Further research is needed, but the data suggest that </w:t>
      </w:r>
      <w:r w:rsidR="00137C21">
        <w:t>state subsidies may serve to soften the budget constraints of small and medium sized SOEs, but not that of larger SOEs or private firms</w:t>
      </w:r>
      <w:r w:rsidR="00E24B7D">
        <w:t>.</w:t>
      </w:r>
      <w:r w:rsidR="00E24B7D">
        <w:rPr>
          <w:rStyle w:val="FootnoteReference"/>
        </w:rPr>
        <w:footnoteReference w:id="35"/>
      </w:r>
      <w:r w:rsidR="00E24B7D">
        <w:t xml:space="preserve">  </w:t>
      </w:r>
    </w:p>
    <w:p w14:paraId="77708C26" w14:textId="6BC0DA04" w:rsidR="00055D67" w:rsidRDefault="00B81202" w:rsidP="00C2676E">
      <w:pPr>
        <w:pStyle w:val="Normal0"/>
        <w:numPr>
          <w:ilvl w:val="0"/>
          <w:numId w:val="21"/>
        </w:numPr>
        <w:spacing w:after="240" w:line="276" w:lineRule="auto"/>
        <w:ind w:left="0" w:firstLine="0"/>
        <w:jc w:val="both"/>
      </w:pPr>
      <w:r w:rsidRPr="00C2676E">
        <w:rPr>
          <w:b/>
          <w:bCs/>
        </w:rPr>
        <w:t xml:space="preserve">State support </w:t>
      </w:r>
      <w:r w:rsidR="00512504">
        <w:rPr>
          <w:b/>
          <w:bCs/>
        </w:rPr>
        <w:t>is also</w:t>
      </w:r>
      <w:r w:rsidR="006852DC">
        <w:rPr>
          <w:b/>
          <w:bCs/>
        </w:rPr>
        <w:t xml:space="preserve"> </w:t>
      </w:r>
      <w:r w:rsidR="00512504">
        <w:rPr>
          <w:b/>
          <w:bCs/>
        </w:rPr>
        <w:t xml:space="preserve">not </w:t>
      </w:r>
      <w:r w:rsidRPr="00C2676E">
        <w:rPr>
          <w:b/>
          <w:bCs/>
        </w:rPr>
        <w:t>correlated with the quality of management practices</w:t>
      </w:r>
      <w:r w:rsidR="00E315F3" w:rsidRPr="00C2676E">
        <w:rPr>
          <w:b/>
          <w:bCs/>
        </w:rPr>
        <w:t>.</w:t>
      </w:r>
      <w:r w:rsidR="001E1A53" w:rsidRPr="00C2676E">
        <w:rPr>
          <w:b/>
          <w:bCs/>
        </w:rPr>
        <w:t xml:space="preserve"> </w:t>
      </w:r>
      <w:r w:rsidR="008F02E7" w:rsidRPr="001D2CCE">
        <w:t xml:space="preserve">In competitive markets, </w:t>
      </w:r>
      <w:r w:rsidR="001D2CCE" w:rsidRPr="001D2CCE">
        <w:t xml:space="preserve">profit maximizing </w:t>
      </w:r>
      <w:r w:rsidR="001E1A53" w:rsidRPr="001D2CCE">
        <w:t xml:space="preserve">firms </w:t>
      </w:r>
      <w:r w:rsidR="00BB5E1F">
        <w:t>receiving</w:t>
      </w:r>
      <w:r w:rsidR="00071036">
        <w:t xml:space="preserve"> government assistance</w:t>
      </w:r>
      <w:r w:rsidR="00CB6D19">
        <w:t xml:space="preserve"> would be expected to invest in </w:t>
      </w:r>
      <w:r w:rsidR="00D01A40">
        <w:t>improve</w:t>
      </w:r>
      <w:r w:rsidR="00CB6D19">
        <w:t>d</w:t>
      </w:r>
      <w:r w:rsidR="00D01A40">
        <w:t xml:space="preserve"> management practices</w:t>
      </w:r>
      <w:r w:rsidR="007C0238">
        <w:t xml:space="preserve">, </w:t>
      </w:r>
      <w:r w:rsidR="00CB6D19">
        <w:t xml:space="preserve">such as </w:t>
      </w:r>
      <w:r w:rsidR="007C0238">
        <w:t>more training for worker</w:t>
      </w:r>
      <w:r w:rsidR="001E3095">
        <w:t>s</w:t>
      </w:r>
      <w:r w:rsidR="007C0238">
        <w:t xml:space="preserve"> or </w:t>
      </w:r>
      <w:r w:rsidR="00CB6D19">
        <w:t>improved technologies</w:t>
      </w:r>
      <w:r w:rsidR="00D01A40">
        <w:t xml:space="preserve">. </w:t>
      </w:r>
      <w:r w:rsidR="000E2327">
        <w:t xml:space="preserve">Lack of panel </w:t>
      </w:r>
      <w:r w:rsidR="007C0238">
        <w:t xml:space="preserve">or even time-series </w:t>
      </w:r>
      <w:r w:rsidR="000E2327">
        <w:t xml:space="preserve">data </w:t>
      </w:r>
      <w:r w:rsidR="006852DC">
        <w:t xml:space="preserve">precludes </w:t>
      </w:r>
      <w:r w:rsidR="007C0238">
        <w:t xml:space="preserve">accurate </w:t>
      </w:r>
      <w:r w:rsidR="00E44A15">
        <w:t>measur</w:t>
      </w:r>
      <w:r w:rsidR="006852DC">
        <w:t>es</w:t>
      </w:r>
      <w:r w:rsidR="00E44A15">
        <w:t xml:space="preserve"> </w:t>
      </w:r>
      <w:r w:rsidR="00CF65A8">
        <w:t xml:space="preserve">of </w:t>
      </w:r>
      <w:r w:rsidR="00E44A15">
        <w:t xml:space="preserve">these dynamics </w:t>
      </w:r>
      <w:r w:rsidR="00BB5E1F">
        <w:t>for Russia</w:t>
      </w:r>
      <w:r w:rsidR="00FE679F">
        <w:t xml:space="preserve">, but what </w:t>
      </w:r>
      <w:r w:rsidR="00AA16C1">
        <w:t xml:space="preserve">we do see from the </w:t>
      </w:r>
      <w:proofErr w:type="spellStart"/>
      <w:r w:rsidR="00AA16C1">
        <w:t>RuFiGE</w:t>
      </w:r>
      <w:proofErr w:type="spellEnd"/>
      <w:r w:rsidR="00AA16C1">
        <w:t xml:space="preserve"> </w:t>
      </w:r>
      <w:r w:rsidR="00493F3B">
        <w:t xml:space="preserve">and </w:t>
      </w:r>
      <w:r w:rsidR="00D36A66">
        <w:t>IIELM</w:t>
      </w:r>
      <w:r w:rsidR="00493F3B">
        <w:t xml:space="preserve"> </w:t>
      </w:r>
      <w:r w:rsidR="00AA16C1">
        <w:t>cross-section</w:t>
      </w:r>
      <w:r w:rsidR="00493F3B">
        <w:t>s</w:t>
      </w:r>
      <w:r w:rsidR="00AA16C1">
        <w:t xml:space="preserve"> </w:t>
      </w:r>
      <w:r w:rsidR="00FE679F">
        <w:t xml:space="preserve">is that </w:t>
      </w:r>
      <w:r w:rsidR="00542F7C" w:rsidRPr="001D2CCE">
        <w:t xml:space="preserve">government support </w:t>
      </w:r>
      <w:r w:rsidR="00CF65A8">
        <w:t xml:space="preserve">for SOEs </w:t>
      </w:r>
      <w:r w:rsidR="00BB5E1F">
        <w:t xml:space="preserve">is </w:t>
      </w:r>
      <w:r w:rsidR="00FE679F">
        <w:t>un</w:t>
      </w:r>
      <w:r w:rsidR="00823006" w:rsidRPr="001D2CCE">
        <w:t>correlated with good management practices</w:t>
      </w:r>
      <w:r w:rsidR="008237BE">
        <w:t xml:space="preserve"> in </w:t>
      </w:r>
      <w:r w:rsidR="00CF65A8">
        <w:t>these firms</w:t>
      </w:r>
      <w:r w:rsidR="00823006" w:rsidRPr="001D2CCE">
        <w:t>.</w:t>
      </w:r>
      <w:r w:rsidR="00493F3B">
        <w:rPr>
          <w:rStyle w:val="FootnoteReference"/>
        </w:rPr>
        <w:footnoteReference w:id="36"/>
      </w:r>
      <w:r w:rsidR="00823006" w:rsidRPr="001D2CCE">
        <w:t xml:space="preserve"> There is no difference </w:t>
      </w:r>
      <w:r w:rsidR="00BB5E1F">
        <w:t xml:space="preserve">in these practices </w:t>
      </w:r>
      <w:r w:rsidR="00823006" w:rsidRPr="001D2CCE">
        <w:t xml:space="preserve">between SOEs </w:t>
      </w:r>
      <w:r w:rsidR="00BB5E1F">
        <w:t xml:space="preserve">(irrespective of size) </w:t>
      </w:r>
      <w:r w:rsidR="00823006" w:rsidRPr="001D2CCE">
        <w:t xml:space="preserve">that receive </w:t>
      </w:r>
      <w:r w:rsidR="008237BE">
        <w:t xml:space="preserve">state </w:t>
      </w:r>
      <w:r w:rsidR="008237BE" w:rsidRPr="001D2CCE">
        <w:t xml:space="preserve">subsidies, non-financial assistance, access to contracts, </w:t>
      </w:r>
      <w:r w:rsidR="008237BE">
        <w:t xml:space="preserve">or </w:t>
      </w:r>
      <w:r w:rsidR="008237BE" w:rsidRPr="001D2CCE">
        <w:t>protection from competition</w:t>
      </w:r>
      <w:r w:rsidR="008237BE">
        <w:t xml:space="preserve">, </w:t>
      </w:r>
      <w:r w:rsidR="00823006" w:rsidRPr="001D2CCE">
        <w:t>and those that do not</w:t>
      </w:r>
      <w:r w:rsidR="008237BE">
        <w:t xml:space="preserve">. </w:t>
      </w:r>
    </w:p>
    <w:tbl>
      <w:tblPr>
        <w:tblStyle w:val="TableGrid0"/>
        <w:tblpPr w:leftFromText="187" w:rightFromText="187" w:topFromText="14" w:vertAnchor="page" w:horzAnchor="margin" w:tblpXSpec="right" w:tblpY="265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tblGrid>
      <w:tr w:rsidR="00055D67" w14:paraId="09205E83" w14:textId="77777777" w:rsidTr="00055D67">
        <w:tc>
          <w:tcPr>
            <w:tcW w:w="4626" w:type="dxa"/>
          </w:tcPr>
          <w:p w14:paraId="33BD883D" w14:textId="77777777" w:rsidR="00055D67" w:rsidRPr="00CF21A6" w:rsidRDefault="00055D67" w:rsidP="00055D67">
            <w:pPr>
              <w:pStyle w:val="Figure"/>
            </w:pPr>
            <w:bookmarkStart w:id="125" w:name="_Toc11259368"/>
            <w:r>
              <w:rPr>
                <w:noProof/>
              </w:rPr>
              <w:drawing>
                <wp:anchor distT="0" distB="0" distL="114300" distR="114300" simplePos="0" relativeHeight="251682816" behindDoc="1" locked="0" layoutInCell="1" allowOverlap="1" wp14:anchorId="4CC1EECD" wp14:editId="46F2FF18">
                  <wp:simplePos x="0" y="0"/>
                  <wp:positionH relativeFrom="column">
                    <wp:posOffset>38100</wp:posOffset>
                  </wp:positionH>
                  <wp:positionV relativeFrom="paragraph">
                    <wp:posOffset>409575</wp:posOffset>
                  </wp:positionV>
                  <wp:extent cx="2798064" cy="1901952"/>
                  <wp:effectExtent l="0" t="0" r="2540" b="3175"/>
                  <wp:wrapTight wrapText="bothSides">
                    <wp:wrapPolygon edited="0">
                      <wp:start x="0" y="0"/>
                      <wp:lineTo x="0" y="21420"/>
                      <wp:lineTo x="21473" y="21420"/>
                      <wp:lineTo x="2147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8064" cy="1901952"/>
                          </a:xfrm>
                          <a:prstGeom prst="rect">
                            <a:avLst/>
                          </a:prstGeom>
                          <a:noFill/>
                        </pic:spPr>
                      </pic:pic>
                    </a:graphicData>
                  </a:graphic>
                  <wp14:sizeRelH relativeFrom="margin">
                    <wp14:pctWidth>0</wp14:pctWidth>
                  </wp14:sizeRelH>
                  <wp14:sizeRelV relativeFrom="margin">
                    <wp14:pctHeight>0</wp14:pctHeight>
                  </wp14:sizeRelV>
                </wp:anchor>
              </w:drawing>
            </w:r>
            <w:r w:rsidRPr="00CF21A6">
              <w:t xml:space="preserve">Figure 5. </w:t>
            </w:r>
            <w:fldSimple w:instr=" SEQ Figure_5. \* ARABIC ">
              <w:r w:rsidRPr="00CF21A6">
                <w:t>3</w:t>
              </w:r>
            </w:fldSimple>
            <w:r w:rsidRPr="00CF21A6">
              <w:t xml:space="preserve"> SOE-private wage gap, with and without government subsidy</w:t>
            </w:r>
            <w:bookmarkEnd w:id="125"/>
          </w:p>
        </w:tc>
      </w:tr>
      <w:tr w:rsidR="00055D67" w14:paraId="721145CE" w14:textId="77777777" w:rsidTr="00055D67">
        <w:tc>
          <w:tcPr>
            <w:tcW w:w="4626" w:type="dxa"/>
          </w:tcPr>
          <w:p w14:paraId="39D66C9B" w14:textId="77777777" w:rsidR="00055D67" w:rsidRDefault="00055D67" w:rsidP="00055D67">
            <w:pPr>
              <w:spacing w:after="0" w:line="240" w:lineRule="auto"/>
              <w:contextualSpacing/>
            </w:pPr>
          </w:p>
        </w:tc>
      </w:tr>
      <w:tr w:rsidR="00055D67" w14:paraId="2750405D" w14:textId="77777777" w:rsidTr="00055D67">
        <w:tc>
          <w:tcPr>
            <w:tcW w:w="4626" w:type="dxa"/>
          </w:tcPr>
          <w:p w14:paraId="1BAFE553" w14:textId="77777777" w:rsidR="00055D67" w:rsidRDefault="00055D67" w:rsidP="00055D67">
            <w:pPr>
              <w:spacing w:after="0" w:line="240" w:lineRule="auto"/>
              <w:contextualSpacing/>
              <w:rPr>
                <w:noProof/>
                <w:sz w:val="20"/>
                <w:szCs w:val="20"/>
              </w:rPr>
            </w:pPr>
            <w:r w:rsidRPr="00AA1245">
              <w:rPr>
                <w:i/>
                <w:noProof/>
                <w:sz w:val="20"/>
                <w:szCs w:val="20"/>
              </w:rPr>
              <w:t>Source</w:t>
            </w:r>
            <w:r w:rsidRPr="00AA1245">
              <w:rPr>
                <w:noProof/>
                <w:sz w:val="20"/>
                <w:szCs w:val="20"/>
              </w:rPr>
              <w:t>: RuFiGE</w:t>
            </w:r>
          </w:p>
          <w:p w14:paraId="45FD73CC" w14:textId="77777777" w:rsidR="00055D67" w:rsidRPr="00AA1245" w:rsidRDefault="00055D67" w:rsidP="00055D67">
            <w:pPr>
              <w:spacing w:after="0" w:line="240" w:lineRule="auto"/>
              <w:contextualSpacing/>
              <w:rPr>
                <w:noProof/>
                <w:sz w:val="20"/>
                <w:szCs w:val="20"/>
              </w:rPr>
            </w:pPr>
          </w:p>
        </w:tc>
      </w:tr>
    </w:tbl>
    <w:p w14:paraId="1DBFE579" w14:textId="03B8FFC6" w:rsidR="00AF30A1" w:rsidRDefault="009E0526" w:rsidP="00AF30A1">
      <w:pPr>
        <w:pStyle w:val="Normal0"/>
        <w:numPr>
          <w:ilvl w:val="0"/>
          <w:numId w:val="21"/>
        </w:numPr>
        <w:spacing w:after="240" w:line="276" w:lineRule="auto"/>
        <w:ind w:left="0" w:firstLine="0"/>
        <w:jc w:val="both"/>
      </w:pPr>
      <w:r w:rsidRPr="00AF30A1">
        <w:rPr>
          <w:b/>
        </w:rPr>
        <w:t xml:space="preserve">These data suggest that </w:t>
      </w:r>
      <w:r w:rsidR="00C2676E" w:rsidRPr="00AF30A1">
        <w:rPr>
          <w:b/>
        </w:rPr>
        <w:t xml:space="preserve">the current manner of </w:t>
      </w:r>
      <w:r w:rsidRPr="00AF30A1">
        <w:rPr>
          <w:b/>
        </w:rPr>
        <w:t xml:space="preserve">government support </w:t>
      </w:r>
      <w:r w:rsidR="00A40FA6" w:rsidRPr="00AF30A1">
        <w:rPr>
          <w:b/>
        </w:rPr>
        <w:t xml:space="preserve">for SOEs </w:t>
      </w:r>
      <w:r w:rsidR="00C2676E" w:rsidRPr="00AF30A1">
        <w:rPr>
          <w:b/>
        </w:rPr>
        <w:t>may be</w:t>
      </w:r>
      <w:r w:rsidRPr="00AF30A1">
        <w:rPr>
          <w:b/>
        </w:rPr>
        <w:t xml:space="preserve"> compromising its goal to raise </w:t>
      </w:r>
      <w:r w:rsidR="00A40FA6" w:rsidRPr="00AF30A1">
        <w:rPr>
          <w:b/>
        </w:rPr>
        <w:t xml:space="preserve">overall </w:t>
      </w:r>
      <w:r w:rsidRPr="00AF30A1">
        <w:rPr>
          <w:b/>
        </w:rPr>
        <w:t>productivity</w:t>
      </w:r>
      <w:r w:rsidR="00A40FA6" w:rsidRPr="00AF30A1">
        <w:rPr>
          <w:b/>
        </w:rPr>
        <w:t xml:space="preserve"> in the economy</w:t>
      </w:r>
      <w:r w:rsidRPr="00AF30A1">
        <w:rPr>
          <w:b/>
        </w:rPr>
        <w:t>.</w:t>
      </w:r>
      <w:r w:rsidRPr="00AF30A1">
        <w:t xml:space="preserve"> </w:t>
      </w:r>
      <w:r w:rsidR="00457A21" w:rsidRPr="00AF30A1">
        <w:t>The total cost of subsidies, contracts, indirect assistance, and other measures is substantial</w:t>
      </w:r>
      <w:r w:rsidR="000831F3" w:rsidRPr="00AF30A1">
        <w:t>,</w:t>
      </w:r>
      <w:r w:rsidR="00DA4812">
        <w:rPr>
          <w:rStyle w:val="FootnoteReference"/>
        </w:rPr>
        <w:footnoteReference w:id="37"/>
      </w:r>
      <w:r w:rsidR="001A7BF8" w:rsidRPr="00AF30A1">
        <w:t xml:space="preserve"> </w:t>
      </w:r>
      <w:r w:rsidR="000831F3" w:rsidRPr="00AF30A1">
        <w:t xml:space="preserve">yet </w:t>
      </w:r>
      <w:r w:rsidR="009D0386" w:rsidRPr="00AF30A1">
        <w:t xml:space="preserve">our tentative analyses suggest that this support is </w:t>
      </w:r>
      <w:r w:rsidR="000831F3" w:rsidRPr="00AF30A1">
        <w:t>un</w:t>
      </w:r>
      <w:r w:rsidR="001A7BF8" w:rsidRPr="00AF30A1">
        <w:t xml:space="preserve">correlated with firm productivity. </w:t>
      </w:r>
      <w:r w:rsidR="00D639D9">
        <w:t>W</w:t>
      </w:r>
      <w:r w:rsidR="00C8381C" w:rsidRPr="00AF30A1">
        <w:t xml:space="preserve">e </w:t>
      </w:r>
      <w:r w:rsidR="008F1783" w:rsidRPr="00AF30A1">
        <w:t>estimate the marginal effect</w:t>
      </w:r>
      <w:r w:rsidR="00AD6EA6" w:rsidRPr="00AF30A1">
        <w:t>s</w:t>
      </w:r>
      <w:r w:rsidR="008F1783" w:rsidRPr="00AF30A1">
        <w:t xml:space="preserve"> of firm labor productivity on </w:t>
      </w:r>
      <w:r w:rsidR="004F2651" w:rsidRPr="00AF30A1">
        <w:t>the</w:t>
      </w:r>
      <w:r w:rsidR="00C8381C" w:rsidRPr="00AF30A1">
        <w:t xml:space="preserve"> </w:t>
      </w:r>
      <w:r w:rsidR="004F2651" w:rsidRPr="00AF30A1">
        <w:t xml:space="preserve">probability </w:t>
      </w:r>
      <w:r w:rsidR="009B3A06" w:rsidRPr="00AF30A1">
        <w:t xml:space="preserve">of receiving </w:t>
      </w:r>
      <w:r w:rsidR="004F2651" w:rsidRPr="00AF30A1">
        <w:t>a subsidy</w:t>
      </w:r>
      <w:r w:rsidR="00D639D9">
        <w:t xml:space="preserve"> (since our measure of subsidy is binary)</w:t>
      </w:r>
      <w:r w:rsidR="009B3A06" w:rsidRPr="00AF30A1">
        <w:t xml:space="preserve">, with controls for observable factors that might affect </w:t>
      </w:r>
      <w:r w:rsidR="00D639D9">
        <w:t>this</w:t>
      </w:r>
      <w:r w:rsidR="00C242A1" w:rsidRPr="00AF30A1">
        <w:t xml:space="preserve"> probability</w:t>
      </w:r>
      <w:r w:rsidR="00D639D9">
        <w:t xml:space="preserve">, </w:t>
      </w:r>
      <w:r w:rsidR="00AD6EA6" w:rsidRPr="00AF30A1">
        <w:t xml:space="preserve">including the firm’s access to finance and its human and managerial capital. </w:t>
      </w:r>
      <w:r w:rsidR="00C242A1" w:rsidRPr="00AF30A1">
        <w:t xml:space="preserve">We find </w:t>
      </w:r>
      <w:r w:rsidR="0042659A" w:rsidRPr="00AF30A1">
        <w:t xml:space="preserve">a small but significant correlation between </w:t>
      </w:r>
      <w:r w:rsidR="00C242A1" w:rsidRPr="00AF30A1">
        <w:t>labor productivity</w:t>
      </w:r>
      <w:r w:rsidR="0042659A" w:rsidRPr="00AF30A1">
        <w:t xml:space="preserve"> (</w:t>
      </w:r>
      <w:r w:rsidR="00C242A1" w:rsidRPr="00AF30A1">
        <w:t>measured by revenue per worker</w:t>
      </w:r>
      <w:r w:rsidR="0042659A" w:rsidRPr="00AF30A1">
        <w:t>)</w:t>
      </w:r>
      <w:r w:rsidR="00A528BC" w:rsidRPr="00AF30A1">
        <w:t xml:space="preserve"> </w:t>
      </w:r>
      <w:r w:rsidR="0042659A" w:rsidRPr="00AF30A1">
        <w:t xml:space="preserve">and </w:t>
      </w:r>
      <w:r w:rsidR="006B04CE" w:rsidRPr="00AF30A1">
        <w:t>probability of a subsidy</w:t>
      </w:r>
      <w:r w:rsidR="0042659A" w:rsidRPr="00AF30A1">
        <w:t xml:space="preserve"> for non-SOEs, but no </w:t>
      </w:r>
      <w:r w:rsidR="00A528BC" w:rsidRPr="00AF30A1">
        <w:t xml:space="preserve">such </w:t>
      </w:r>
      <w:r w:rsidR="0042659A" w:rsidRPr="00AF30A1">
        <w:t>correlation for SOEs (see Annex B</w:t>
      </w:r>
      <w:r w:rsidR="00A528BC" w:rsidRPr="00AF30A1">
        <w:t xml:space="preserve"> for detailed regression table</w:t>
      </w:r>
      <w:r w:rsidR="0042659A" w:rsidRPr="00AF30A1">
        <w:t>)</w:t>
      </w:r>
      <w:r w:rsidR="006B04CE" w:rsidRPr="00AF30A1">
        <w:t xml:space="preserve">. </w:t>
      </w:r>
      <w:r w:rsidR="001F52E1" w:rsidRPr="00AF30A1">
        <w:t xml:space="preserve">Results presented earlier in this paper also seem to point to the same conclusion: </w:t>
      </w:r>
      <w:r w:rsidR="00457A21" w:rsidRPr="00AF30A1">
        <w:t xml:space="preserve">Small and medium-sized SOEs have the same access to state support as medium-large (between 250 and 500 employees) and large (over 500) SOEs despite having significantly lower productivity. Labor productivity and efficiency of medium-large and large SOEs is not statistically different from equivalent private firms, while small and medium SOEs perform measurably worse (see </w:t>
      </w:r>
      <w:r w:rsidR="00457A21" w:rsidRPr="00AF30A1">
        <w:fldChar w:fldCharType="begin"/>
      </w:r>
      <w:r w:rsidR="00457A21" w:rsidRPr="00AF30A1">
        <w:instrText xml:space="preserve"> REF _Ref9378808 \h </w:instrText>
      </w:r>
      <w:r w:rsidR="005C416C" w:rsidRPr="00AF30A1">
        <w:instrText xml:space="preserve"> \* MERGEFORMAT </w:instrText>
      </w:r>
      <w:r w:rsidR="00457A21" w:rsidRPr="00AF30A1">
        <w:fldChar w:fldCharType="separate"/>
      </w:r>
      <w:r w:rsidR="00457A21" w:rsidRPr="00AF30A1">
        <w:t>Figure 3. 13</w:t>
      </w:r>
      <w:r w:rsidR="00457A21" w:rsidRPr="00AF30A1">
        <w:fldChar w:fldCharType="end"/>
      </w:r>
      <w:r w:rsidR="00457A21" w:rsidRPr="00AF30A1">
        <w:t xml:space="preserve">). Their revenue per worker is, respectively, 54 and 13 percent lower than that of equivalent private firms, and their return on capital is 93-107 percent lower. </w:t>
      </w:r>
      <w:r w:rsidR="0059151D" w:rsidRPr="00AF30A1">
        <w:t xml:space="preserve">This </w:t>
      </w:r>
      <w:r w:rsidR="00C00826" w:rsidRPr="00AF30A1">
        <w:t xml:space="preserve">might </w:t>
      </w:r>
      <w:r w:rsidR="00345F59" w:rsidRPr="00AF30A1">
        <w:t xml:space="preserve">be </w:t>
      </w:r>
      <w:r w:rsidR="00AA16C1" w:rsidRPr="00AF30A1">
        <w:t>evidence of the government</w:t>
      </w:r>
      <w:r w:rsidR="00345F59" w:rsidRPr="00AF30A1">
        <w:t xml:space="preserve">’s </w:t>
      </w:r>
      <w:r w:rsidR="005C416C" w:rsidRPr="00AF30A1">
        <w:t xml:space="preserve">lack of selectivity in choosing SOEs for </w:t>
      </w:r>
      <w:r w:rsidR="005C416C">
        <w:t>contracts and assistance</w:t>
      </w:r>
      <w:r w:rsidR="00A62797">
        <w:t>,</w:t>
      </w:r>
      <w:r w:rsidR="00A617D2">
        <w:t xml:space="preserve"> or lack of information on the firms’ employment practices and productivity</w:t>
      </w:r>
      <w:r w:rsidR="00B347D3">
        <w:t xml:space="preserve">. </w:t>
      </w:r>
      <w:r w:rsidR="005C416C">
        <w:t>More research is needed to better understand this nexus.</w:t>
      </w:r>
      <w:bookmarkStart w:id="126" w:name="_Hlk8220662"/>
    </w:p>
    <w:p w14:paraId="70732AE7" w14:textId="77777777" w:rsidR="00AF30A1" w:rsidRDefault="00AF30A1">
      <w:pPr>
        <w:spacing w:after="160" w:line="259" w:lineRule="auto"/>
        <w:jc w:val="left"/>
        <w:rPr>
          <w:rStyle w:val="IntenseEmphasis"/>
          <w:rFonts w:ascii="Calibri" w:eastAsia="Calibri" w:hAnsi="Calibri"/>
          <w:i w:val="0"/>
          <w:color w:val="2E74B5" w:themeColor="accent1" w:themeShade="BF"/>
          <w:lang w:eastAsia="en-US"/>
        </w:rPr>
      </w:pPr>
      <w:r>
        <w:rPr>
          <w:rStyle w:val="IntenseEmphasis"/>
          <w:i w:val="0"/>
          <w:color w:val="2E74B5" w:themeColor="accent1" w:themeShade="BF"/>
        </w:rPr>
        <w:br w:type="page"/>
      </w:r>
    </w:p>
    <w:bookmarkStart w:id="127" w:name="_Toc11219082"/>
    <w:p w14:paraId="6279EDAF" w14:textId="65D3265A" w:rsidR="00104CF2" w:rsidRPr="000F3DCC" w:rsidRDefault="00104CF2" w:rsidP="00AF30A1">
      <w:pPr>
        <w:pStyle w:val="Heading1"/>
        <w:rPr>
          <w:rStyle w:val="IntenseEmphasis"/>
          <w:b w:val="0"/>
          <w:i w:val="0"/>
          <w:noProof w:val="0"/>
          <w:color w:val="2E74B5" w:themeColor="accent1" w:themeShade="BF"/>
          <w:sz w:val="22"/>
          <w:szCs w:val="22"/>
          <w:lang w:eastAsia="zh-CN"/>
        </w:rPr>
      </w:pPr>
      <w:r w:rsidRPr="000F3DCC">
        <mc:AlternateContent>
          <mc:Choice Requires="wps">
            <w:drawing>
              <wp:anchor distT="0" distB="0" distL="114300" distR="114300" simplePos="0" relativeHeight="251666432" behindDoc="0" locked="0" layoutInCell="1" allowOverlap="1" wp14:anchorId="7AA04570" wp14:editId="47BBD21C">
                <wp:simplePos x="0" y="0"/>
                <wp:positionH relativeFrom="margin">
                  <wp:posOffset>3067050</wp:posOffset>
                </wp:positionH>
                <wp:positionV relativeFrom="paragraph">
                  <wp:posOffset>69214</wp:posOffset>
                </wp:positionV>
                <wp:extent cx="2886075" cy="180975"/>
                <wp:effectExtent l="0" t="0" r="9525" b="9525"/>
                <wp:wrapNone/>
                <wp:docPr id="8" name="Rectangle 8"/>
                <wp:cNvGraphicFramePr/>
                <a:graphic xmlns:a="http://schemas.openxmlformats.org/drawingml/2006/main">
                  <a:graphicData uri="http://schemas.microsoft.com/office/word/2010/wordprocessingShape">
                    <wps:wsp>
                      <wps:cNvSpPr/>
                      <wps:spPr>
                        <a:xfrm>
                          <a:off x="0" y="0"/>
                          <a:ext cx="2886075" cy="180975"/>
                        </a:xfrm>
                        <a:prstGeom prst="rect">
                          <a:avLst/>
                        </a:prstGeom>
                        <a:solidFill>
                          <a:srgbClr val="00A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09E83" id="Rectangle 8" o:spid="_x0000_s1026" style="position:absolute;margin-left:241.5pt;margin-top:5.45pt;width:227.25pt;height:1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" fillcolor="#00aeef" stroked="f" strokeweight="1pt">
                <w10:wrap anchorx="margin"/>
              </v:rect>
            </w:pict>
          </mc:Fallback>
        </mc:AlternateContent>
      </w:r>
      <w:r w:rsidR="007B7786">
        <w:rPr>
          <w:rStyle w:val="IntenseEmphasis"/>
          <w:i w:val="0"/>
          <w:color w:val="2E74B5" w:themeColor="accent1" w:themeShade="BF"/>
        </w:rPr>
        <w:t>6</w:t>
      </w:r>
      <w:r w:rsidRPr="000F3DCC">
        <w:rPr>
          <w:rStyle w:val="IntenseEmphasis"/>
          <w:i w:val="0"/>
          <w:color w:val="2E74B5" w:themeColor="accent1" w:themeShade="BF"/>
        </w:rPr>
        <w:t xml:space="preserve">. </w:t>
      </w:r>
      <w:r>
        <w:rPr>
          <w:rStyle w:val="IntenseEmphasis"/>
          <w:i w:val="0"/>
          <w:color w:val="2E74B5" w:themeColor="accent1" w:themeShade="BF"/>
        </w:rPr>
        <w:t>POLICY RECOMMENDATIONS</w:t>
      </w:r>
      <w:bookmarkEnd w:id="127"/>
      <w:r w:rsidRPr="00A74767">
        <w:t xml:space="preserve"> </w:t>
      </w:r>
    </w:p>
    <w:p w14:paraId="1E4C8AFD" w14:textId="6A4CE90B" w:rsidR="002C6F22" w:rsidRDefault="002C6F22" w:rsidP="00CE1189">
      <w:pPr>
        <w:pStyle w:val="Heading2"/>
        <w:spacing w:after="0" w:line="240" w:lineRule="auto"/>
        <w:contextualSpacing/>
        <w:jc w:val="left"/>
      </w:pPr>
    </w:p>
    <w:bookmarkEnd w:id="126"/>
    <w:p w14:paraId="713DB3F9" w14:textId="699A4839" w:rsidR="004B25A0" w:rsidRDefault="004B25A0" w:rsidP="00911EEE">
      <w:pPr>
        <w:pStyle w:val="Normal0"/>
        <w:numPr>
          <w:ilvl w:val="0"/>
          <w:numId w:val="21"/>
        </w:numPr>
        <w:spacing w:after="240" w:line="276" w:lineRule="auto"/>
        <w:ind w:left="0" w:firstLine="0"/>
        <w:jc w:val="both"/>
      </w:pPr>
      <w:r w:rsidRPr="00BE41E4">
        <w:rPr>
          <w:b/>
          <w:bCs/>
        </w:rPr>
        <w:t xml:space="preserve">This report has shown </w:t>
      </w:r>
      <w:r w:rsidR="005E456A">
        <w:rPr>
          <w:b/>
          <w:bCs/>
        </w:rPr>
        <w:t xml:space="preserve">some </w:t>
      </w:r>
      <w:r w:rsidR="00A7365F">
        <w:rPr>
          <w:b/>
          <w:bCs/>
        </w:rPr>
        <w:t xml:space="preserve">strengths and </w:t>
      </w:r>
      <w:r w:rsidR="008E4C9B">
        <w:rPr>
          <w:b/>
          <w:bCs/>
        </w:rPr>
        <w:t xml:space="preserve">weaknesses in the </w:t>
      </w:r>
      <w:r w:rsidRPr="00BE41E4">
        <w:rPr>
          <w:b/>
          <w:bCs/>
        </w:rPr>
        <w:t xml:space="preserve">employment practices </w:t>
      </w:r>
      <w:r w:rsidR="008E4C9B">
        <w:rPr>
          <w:b/>
          <w:bCs/>
        </w:rPr>
        <w:t xml:space="preserve">of </w:t>
      </w:r>
      <w:r w:rsidRPr="00BE41E4">
        <w:rPr>
          <w:b/>
          <w:bCs/>
        </w:rPr>
        <w:t>the Russian SOE</w:t>
      </w:r>
      <w:r w:rsidR="00030BD9">
        <w:rPr>
          <w:b/>
          <w:bCs/>
        </w:rPr>
        <w:t xml:space="preserve">, and </w:t>
      </w:r>
      <w:r w:rsidR="001230F1">
        <w:rPr>
          <w:b/>
          <w:bCs/>
        </w:rPr>
        <w:t xml:space="preserve">their </w:t>
      </w:r>
      <w:r w:rsidR="00A7365F">
        <w:rPr>
          <w:b/>
          <w:bCs/>
        </w:rPr>
        <w:t xml:space="preserve">effects </w:t>
      </w:r>
      <w:r w:rsidR="001230F1">
        <w:rPr>
          <w:b/>
          <w:bCs/>
        </w:rPr>
        <w:t>on</w:t>
      </w:r>
      <w:r w:rsidR="00A7365F">
        <w:rPr>
          <w:b/>
          <w:bCs/>
        </w:rPr>
        <w:t xml:space="preserve"> the</w:t>
      </w:r>
      <w:r w:rsidRPr="00BE41E4">
        <w:rPr>
          <w:b/>
          <w:bCs/>
        </w:rPr>
        <w:t xml:space="preserve"> efficient allocation of labor</w:t>
      </w:r>
      <w:r w:rsidR="00585B29">
        <w:rPr>
          <w:b/>
          <w:bCs/>
        </w:rPr>
        <w:t xml:space="preserve"> and </w:t>
      </w:r>
      <w:r w:rsidRPr="00BE41E4">
        <w:rPr>
          <w:b/>
          <w:bCs/>
        </w:rPr>
        <w:t xml:space="preserve">within-SOE performance. </w:t>
      </w:r>
      <w:r w:rsidRPr="009B5768">
        <w:t xml:space="preserve">The natural question for policy makers and those who care about boosting Russia’s economic potential is what should be done to </w:t>
      </w:r>
      <w:r w:rsidR="00A36B9D">
        <w:t xml:space="preserve">address </w:t>
      </w:r>
      <w:r w:rsidR="0011592A">
        <w:t xml:space="preserve">some of the weaknesses that pose a potential </w:t>
      </w:r>
      <w:r w:rsidR="00E61C36">
        <w:t>obstacle to productivity growth</w:t>
      </w:r>
      <w:r w:rsidR="008F2871">
        <w:t xml:space="preserve">. </w:t>
      </w:r>
      <w:r w:rsidR="00A44ED4">
        <w:t>Additional</w:t>
      </w:r>
      <w:r w:rsidR="009751C0">
        <w:t>, more granular</w:t>
      </w:r>
      <w:r w:rsidR="00A44ED4">
        <w:t xml:space="preserve"> analytical work wo</w:t>
      </w:r>
      <w:r w:rsidR="009751C0">
        <w:t xml:space="preserve">uld be needed to identify concrete policy options. </w:t>
      </w:r>
      <w:r w:rsidRPr="009B5768">
        <w:t xml:space="preserve">Here we </w:t>
      </w:r>
      <w:r w:rsidR="00D9435D">
        <w:t xml:space="preserve">present </w:t>
      </w:r>
      <w:r w:rsidR="009751C0">
        <w:t xml:space="preserve">preliminary </w:t>
      </w:r>
      <w:r w:rsidRPr="009B5768">
        <w:t xml:space="preserve">recommendations </w:t>
      </w:r>
      <w:r w:rsidR="00D9435D">
        <w:t xml:space="preserve">in </w:t>
      </w:r>
      <w:r w:rsidRPr="009B5768">
        <w:t>four policy areas, depicted in</w:t>
      </w:r>
      <w:r w:rsidR="0025518F">
        <w:t xml:space="preserve"> </w:t>
      </w:r>
      <w:r w:rsidR="0025518F">
        <w:fldChar w:fldCharType="begin"/>
      </w:r>
      <w:r w:rsidR="0025518F">
        <w:instrText xml:space="preserve"> REF _Ref9379236 \h </w:instrText>
      </w:r>
      <w:r w:rsidR="0025518F">
        <w:fldChar w:fldCharType="separate"/>
      </w:r>
      <w:r w:rsidR="00384800">
        <w:t xml:space="preserve">Figure 6. </w:t>
      </w:r>
      <w:r w:rsidR="00384800">
        <w:rPr>
          <w:noProof/>
        </w:rPr>
        <w:t>1</w:t>
      </w:r>
      <w:r w:rsidR="0025518F">
        <w:fldChar w:fldCharType="end"/>
      </w:r>
      <w:r w:rsidRPr="009B5768">
        <w:t xml:space="preserve">, that the Government can focus on to improve SOE employment practices. These pillars are informed partly by the study’s empirical findings and partly by initial consultations with stakeholders in Russia. The main message is that relatively modest changes could lead to substantial </w:t>
      </w:r>
      <w:r w:rsidR="007C57B4">
        <w:t xml:space="preserve">positive spillovers and </w:t>
      </w:r>
      <w:r w:rsidRPr="009B5768">
        <w:t>improvements in SOE performance.</w:t>
      </w:r>
    </w:p>
    <w:p w14:paraId="0FFEF463" w14:textId="674729CD" w:rsidR="00463A7F" w:rsidRDefault="004B25A0" w:rsidP="0011592A">
      <w:pPr>
        <w:pStyle w:val="Normal0"/>
        <w:numPr>
          <w:ilvl w:val="0"/>
          <w:numId w:val="21"/>
        </w:numPr>
        <w:spacing w:after="240" w:line="276" w:lineRule="auto"/>
        <w:ind w:left="0" w:firstLine="0"/>
        <w:jc w:val="both"/>
      </w:pPr>
      <w:r w:rsidRPr="005918DB">
        <w:rPr>
          <w:b/>
        </w:rPr>
        <w:t xml:space="preserve">The Government can improve SOE employment practices through a combination of support, incentives, and regulation, </w:t>
      </w:r>
      <w:r>
        <w:rPr>
          <w:b/>
        </w:rPr>
        <w:t>underlaid</w:t>
      </w:r>
      <w:r w:rsidRPr="005918DB">
        <w:rPr>
          <w:b/>
        </w:rPr>
        <w:t xml:space="preserve"> by a foundation of </w:t>
      </w:r>
      <w:r>
        <w:rPr>
          <w:b/>
        </w:rPr>
        <w:t>good</w:t>
      </w:r>
      <w:r w:rsidRPr="005918DB">
        <w:rPr>
          <w:b/>
        </w:rPr>
        <w:t xml:space="preserve"> data on SOE employment practices </w:t>
      </w:r>
      <w:r>
        <w:rPr>
          <w:b/>
        </w:rPr>
        <w:t>which would enable better</w:t>
      </w:r>
      <w:r w:rsidRPr="005918DB">
        <w:rPr>
          <w:b/>
        </w:rPr>
        <w:t xml:space="preserve"> monitoring and evaluation</w:t>
      </w:r>
      <w:r>
        <w:t xml:space="preserve">. Support would be business development services, or business training, for SOEs, with a focus on management training. This capacity building would need to be accompanied by improved incentives for SOE performance, through hardening the soft budget constraint for SOEs through more competitive public procurement </w:t>
      </w:r>
      <w:r w:rsidR="00774463">
        <w:t xml:space="preserve">and allocation of subsidies </w:t>
      </w:r>
      <w:r>
        <w:t xml:space="preserve">and awards and recognition for good SOE managers. The government can also explore more regulatory oversight over SOE compensation, though this will need to be modest as there is a tradeoff between regulation and autonomy, particularly for commercial SOEs. Finally, and most importantly, none of these interventions will be successful without better data, monitoring and evaluation. </w:t>
      </w:r>
    </w:p>
    <w:p w14:paraId="1AD9C722" w14:textId="0DCAA228" w:rsidR="00911EEE" w:rsidRDefault="000F321B" w:rsidP="00F01D99">
      <w:pPr>
        <w:pStyle w:val="Figure"/>
        <w:jc w:val="left"/>
      </w:pPr>
      <w:bookmarkStart w:id="128" w:name="_Ref9379236"/>
      <w:bookmarkStart w:id="129" w:name="_Toc11259369"/>
      <w:r>
        <w:t xml:space="preserve">Figure 6. </w:t>
      </w:r>
      <w:r w:rsidR="00320D6E">
        <w:rPr>
          <w:noProof/>
        </w:rPr>
        <w:fldChar w:fldCharType="begin"/>
      </w:r>
      <w:r w:rsidR="00320D6E">
        <w:rPr>
          <w:noProof/>
        </w:rPr>
        <w:instrText xml:space="preserve"> SEQ Figure_6. \* ARABIC </w:instrText>
      </w:r>
      <w:r w:rsidR="00320D6E">
        <w:rPr>
          <w:noProof/>
        </w:rPr>
        <w:fldChar w:fldCharType="separate"/>
      </w:r>
      <w:r w:rsidR="00384800">
        <w:rPr>
          <w:noProof/>
        </w:rPr>
        <w:t>1</w:t>
      </w:r>
      <w:r w:rsidR="00320D6E">
        <w:rPr>
          <w:noProof/>
        </w:rPr>
        <w:fldChar w:fldCharType="end"/>
      </w:r>
      <w:bookmarkEnd w:id="128"/>
      <w:r>
        <w:t xml:space="preserve"> </w:t>
      </w:r>
      <w:r w:rsidR="00F01D99">
        <w:t xml:space="preserve">Select </w:t>
      </w:r>
      <w:r>
        <w:t>Policy recommendations</w:t>
      </w:r>
      <w:bookmarkEnd w:id="129"/>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5"/>
      </w:tblGrid>
      <w:tr w:rsidR="004B25A0" w14:paraId="6420D821" w14:textId="77777777" w:rsidTr="00463A7F">
        <w:trPr>
          <w:trHeight w:val="3675"/>
          <w:jc w:val="center"/>
        </w:trPr>
        <w:tc>
          <w:tcPr>
            <w:tcW w:w="8735" w:type="dxa"/>
          </w:tcPr>
          <w:p w14:paraId="78A4C4DA" w14:textId="38564EAD" w:rsidR="004B25A0" w:rsidRDefault="00672CA1" w:rsidP="00CC58D0">
            <w:pPr>
              <w:spacing w:after="0" w:line="240" w:lineRule="auto"/>
              <w:jc w:val="center"/>
            </w:pPr>
            <w:r w:rsidRPr="00672CA1">
              <w:rPr>
                <w:noProof/>
              </w:rPr>
              <w:drawing>
                <wp:inline distT="0" distB="0" distL="0" distR="0" wp14:anchorId="7F28B9D2" wp14:editId="6BC53162">
                  <wp:extent cx="5324475" cy="283133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0520" cy="2834551"/>
                          </a:xfrm>
                          <a:prstGeom prst="rect">
                            <a:avLst/>
                          </a:prstGeom>
                        </pic:spPr>
                      </pic:pic>
                    </a:graphicData>
                  </a:graphic>
                </wp:inline>
              </w:drawing>
            </w:r>
          </w:p>
        </w:tc>
      </w:tr>
      <w:tr w:rsidR="004B25A0" w14:paraId="1B03E24F" w14:textId="77777777" w:rsidTr="00463A7F">
        <w:trPr>
          <w:trHeight w:val="165"/>
          <w:jc w:val="center"/>
        </w:trPr>
        <w:tc>
          <w:tcPr>
            <w:tcW w:w="8735" w:type="dxa"/>
          </w:tcPr>
          <w:p w14:paraId="5B104A6B" w14:textId="77777777" w:rsidR="004B25A0" w:rsidRPr="00F01D99" w:rsidRDefault="004B25A0" w:rsidP="00CC58D0">
            <w:pPr>
              <w:keepNext/>
              <w:spacing w:after="0" w:line="240" w:lineRule="auto"/>
              <w:rPr>
                <w:sz w:val="20"/>
                <w:szCs w:val="20"/>
              </w:rPr>
            </w:pPr>
            <w:r w:rsidRPr="00F01D99">
              <w:rPr>
                <w:i/>
                <w:sz w:val="20"/>
                <w:szCs w:val="20"/>
              </w:rPr>
              <w:t>Source</w:t>
            </w:r>
            <w:r w:rsidRPr="00F01D99">
              <w:rPr>
                <w:sz w:val="20"/>
                <w:szCs w:val="20"/>
              </w:rPr>
              <w:t xml:space="preserve">: Authors drawing on Grover, Medvedev, &amp; </w:t>
            </w:r>
            <w:proofErr w:type="spellStart"/>
            <w:r w:rsidRPr="00F01D99">
              <w:rPr>
                <w:sz w:val="20"/>
                <w:szCs w:val="20"/>
              </w:rPr>
              <w:t>Olafsen</w:t>
            </w:r>
            <w:proofErr w:type="spellEnd"/>
            <w:r w:rsidRPr="00F01D99">
              <w:rPr>
                <w:sz w:val="20"/>
                <w:szCs w:val="20"/>
              </w:rPr>
              <w:t xml:space="preserve"> (2018)</w:t>
            </w:r>
          </w:p>
        </w:tc>
      </w:tr>
    </w:tbl>
    <w:p w14:paraId="7F0DB8B4" w14:textId="77777777" w:rsidR="004B25A0" w:rsidRDefault="004B25A0" w:rsidP="004B25A0"/>
    <w:p w14:paraId="0FB00340" w14:textId="77777777" w:rsidR="004B25A0" w:rsidRDefault="004B25A0" w:rsidP="004B25A0">
      <w:pPr>
        <w:pStyle w:val="Heading2"/>
      </w:pPr>
      <w:bookmarkStart w:id="130" w:name="_Toc11219083"/>
      <w:r>
        <w:t>Better data and monitoring</w:t>
      </w:r>
      <w:bookmarkEnd w:id="130"/>
    </w:p>
    <w:p w14:paraId="3345BA1B" w14:textId="77777777" w:rsidR="00B15B08" w:rsidRDefault="00B15B08" w:rsidP="00B15B08">
      <w:pPr>
        <w:pStyle w:val="Normal0"/>
        <w:numPr>
          <w:ilvl w:val="0"/>
          <w:numId w:val="21"/>
        </w:numPr>
        <w:spacing w:after="240" w:line="276" w:lineRule="auto"/>
        <w:ind w:left="0" w:firstLine="0"/>
        <w:jc w:val="both"/>
      </w:pPr>
      <w:r w:rsidRPr="00F51E15">
        <w:rPr>
          <w:b/>
        </w:rPr>
        <w:t>To fulfill the</w:t>
      </w:r>
      <w:r w:rsidRPr="009D75A6">
        <w:rPr>
          <w:b/>
        </w:rPr>
        <w:t xml:space="preserve"> </w:t>
      </w:r>
      <w:r w:rsidRPr="003800EC">
        <w:rPr>
          <w:b/>
        </w:rPr>
        <w:t xml:space="preserve">ambitious </w:t>
      </w:r>
      <w:proofErr w:type="gramStart"/>
      <w:r w:rsidRPr="003800EC">
        <w:rPr>
          <w:b/>
        </w:rPr>
        <w:t>goals</w:t>
      </w:r>
      <w:proofErr w:type="gramEnd"/>
      <w:r w:rsidRPr="003800EC">
        <w:rPr>
          <w:b/>
        </w:rPr>
        <w:t xml:space="preserve"> </w:t>
      </w:r>
      <w:r>
        <w:rPr>
          <w:b/>
        </w:rPr>
        <w:t xml:space="preserve">it set itself under the </w:t>
      </w:r>
      <w:r w:rsidRPr="003800EC">
        <w:rPr>
          <w:b/>
        </w:rPr>
        <w:t>May Decrees, the National Labor Productivity Project, and Plan for Competition Development, the Russian Government needs more and better data on performance and performance drivers of the country’s firms, especially SOEs</w:t>
      </w:r>
      <w:r>
        <w:t xml:space="preserve">. Better and more detailed data is critical for helping the Government make informed, evidence-based decisions as it embarks on its ambitious new projects. It will give decision-makers an accurate “baseline” snapshot of challenges before the projects start; it will help guide or refine interventions under the projects; and at the end of implementation, it will give an accurate measure of the projects’ impact to inform future interventions. In addition to improving internal decision-making, more accurate data can help the Government to more credibly showcase its good achievements under the projects to the public, and rally momentum for future reforms. </w:t>
      </w:r>
    </w:p>
    <w:p w14:paraId="150178D9" w14:textId="505CD750" w:rsidR="00B15B08" w:rsidRPr="00AE0F03" w:rsidRDefault="00B15B08" w:rsidP="00B15B08">
      <w:pPr>
        <w:pStyle w:val="Normal0"/>
        <w:numPr>
          <w:ilvl w:val="0"/>
          <w:numId w:val="21"/>
        </w:numPr>
        <w:spacing w:after="240" w:line="276" w:lineRule="auto"/>
        <w:ind w:left="0" w:firstLine="0"/>
        <w:jc w:val="both"/>
      </w:pPr>
      <w:r w:rsidRPr="00E81E38">
        <w:rPr>
          <w:b/>
        </w:rPr>
        <w:t>The</w:t>
      </w:r>
      <w:r>
        <w:rPr>
          <w:b/>
        </w:rPr>
        <w:t>re is currently limited administrative data collected on SOEs</w:t>
      </w:r>
      <w:r w:rsidRPr="00E81E38">
        <w:rPr>
          <w:b/>
        </w:rPr>
        <w:t>.</w:t>
      </w:r>
      <w:r>
        <w:t xml:space="preserve">  Ideally, there should be a centralized database of key indicators for SOEs, though this will be difficult in practice given the federal structure of Russia and the very large number of SOEs, many of them small and medium size municipal level entities. The Ministry of Economic Development (MED) through Federal Agency for State Property Management (FASPM) keeps a database of federally owned companies, while information on those founded or owned by regional or municipal authorities is kept by those founding institutions and not consolidated with MED’s/FASPM’s database. It is difficult to assess whether FASPM’s registry of federally-owned SOEs is collected and stored in a way that allows meaningful analysis. The information available publicly from FASPM does not show the total number of companies with state ownership, whether subsidiaries are included, or breakdown by company size or share of state ownership. </w:t>
      </w:r>
      <w:r w:rsidRPr="00AE0F03">
        <w:t>A more thorough assessment would be required, but analyses by researchers working with FASPM</w:t>
      </w:r>
      <w:r>
        <w:t xml:space="preserve">, </w:t>
      </w:r>
      <w:r w:rsidRPr="00AE0F03">
        <w:t xml:space="preserve">including former FASPM employees, </w:t>
      </w:r>
      <w:r>
        <w:t xml:space="preserve">point to certain </w:t>
      </w:r>
      <w:r w:rsidRPr="00AE0F03">
        <w:t>data gaps within the Agency’s internal data system</w:t>
      </w:r>
      <w:r>
        <w:t>s, and confirm that subsidiaries of SOEs are not tracked</w:t>
      </w:r>
      <w:r w:rsidRPr="00AE0F03">
        <w:t xml:space="preserve">. </w:t>
      </w:r>
    </w:p>
    <w:p w14:paraId="7485EAE8" w14:textId="77777777" w:rsidR="00B15B08" w:rsidRDefault="00B15B08" w:rsidP="00B15B08">
      <w:pPr>
        <w:pStyle w:val="Normal0"/>
        <w:numPr>
          <w:ilvl w:val="0"/>
          <w:numId w:val="21"/>
        </w:numPr>
        <w:spacing w:after="240" w:line="276" w:lineRule="auto"/>
        <w:ind w:left="0" w:firstLine="0"/>
        <w:jc w:val="both"/>
      </w:pPr>
      <w:r>
        <w:rPr>
          <w:b/>
        </w:rPr>
        <w:t>F</w:t>
      </w:r>
      <w:r w:rsidRPr="00256095">
        <w:rPr>
          <w:b/>
        </w:rPr>
        <w:t>or SOEs that are tracked, only basic information is collected and little systematic monitoring and evaluation (M&amp;E) is done on performance and employment practices.</w:t>
      </w:r>
      <w:r>
        <w:t xml:space="preserve"> By law, owners of SOEs (FAPSM, or other) have the responsibility to approve and monitor economic KPIs for the companies,</w:t>
      </w:r>
      <w:r>
        <w:rPr>
          <w:rStyle w:val="FootnoteReference"/>
        </w:rPr>
        <w:footnoteReference w:id="38"/>
      </w:r>
      <w:r>
        <w:t xml:space="preserve"> but de facto less than 50 percent of SOEs report using KPIs, suggesting poor monitoring. Similarly, poor monitoring was one frequent criticism of the Government’s 2012-2015 Plan for Raising Firm Productivity,</w:t>
      </w:r>
      <w:r>
        <w:rPr>
          <w:rStyle w:val="FootnoteReference"/>
        </w:rPr>
        <w:footnoteReference w:id="39"/>
      </w:r>
      <w:r>
        <w:t xml:space="preserve"> which invested in firm-level management interventions, but did not track any outcomes or impacts. </w:t>
      </w:r>
    </w:p>
    <w:p w14:paraId="5091AA76" w14:textId="429E34CE" w:rsidR="00B15B08" w:rsidRDefault="00B15B08" w:rsidP="00B15B08">
      <w:pPr>
        <w:pStyle w:val="Normal0"/>
        <w:numPr>
          <w:ilvl w:val="0"/>
          <w:numId w:val="21"/>
        </w:numPr>
        <w:spacing w:after="240" w:line="276" w:lineRule="auto"/>
        <w:ind w:left="0" w:firstLine="0"/>
        <w:jc w:val="both"/>
      </w:pPr>
      <w:r>
        <w:rPr>
          <w:b/>
        </w:rPr>
        <w:t>The Government can take several measures to improve administrative data on SOEs, particularly for</w:t>
      </w:r>
      <w:r w:rsidR="00B92885">
        <w:rPr>
          <w:b/>
        </w:rPr>
        <w:t xml:space="preserve"> large SOEs and for</w:t>
      </w:r>
      <w:r>
        <w:rPr>
          <w:b/>
        </w:rPr>
        <w:t xml:space="preserve"> firms </w:t>
      </w:r>
      <w:r w:rsidRPr="000E3CE0">
        <w:rPr>
          <w:b/>
        </w:rPr>
        <w:t>benefitting from government support</w:t>
      </w:r>
      <w:r w:rsidRPr="000E3CE0">
        <w:t>.</w:t>
      </w:r>
      <w:r>
        <w:t xml:space="preserve"> First the MED should review existing legislation to identify legal barriers to collecting and consolidating data in one place. As part of this review, it should consider amending existing regulations to have a unified definition of SOE that includes companies with both direct and indirect state ownership. Second, the Government should consider imposing a legal obligation on SOEs</w:t>
      </w:r>
      <w:r w:rsidR="00B92885">
        <w:t>—</w:t>
      </w:r>
      <w:r>
        <w:t xml:space="preserve">perhaps starting with </w:t>
      </w:r>
      <w:r w:rsidR="00B92885">
        <w:t xml:space="preserve">large </w:t>
      </w:r>
      <w:r>
        <w:t xml:space="preserve">federal </w:t>
      </w:r>
      <w:r w:rsidR="002B2A91">
        <w:t xml:space="preserve">SOEs </w:t>
      </w:r>
      <w:r>
        <w:t xml:space="preserve">and later broadening to other </w:t>
      </w:r>
      <w:r w:rsidR="002B2A91">
        <w:t xml:space="preserve">categories and </w:t>
      </w:r>
      <w:r>
        <w:t>levels</w:t>
      </w:r>
      <w:r w:rsidR="00B92885">
        <w:t>—</w:t>
      </w:r>
      <w:r>
        <w:t xml:space="preserve">to report the data deemed necessary for monitoring the effectiveness of state investment in them. Government Decree 738 of 2004 requires MED to collect and report key financial performance indicators of joint stock companies with over 50 percent state participation. This requirement could be broadened to other commercial SOEs with the state ownership over 50 percent. These data may include the size of subsidy received by SOEs; the list of KPIs adopted at the company level; the status of KPIs achievement; the dividends </w:t>
      </w:r>
      <w:proofErr w:type="gramStart"/>
      <w:r>
        <w:t>planned</w:t>
      </w:r>
      <w:proofErr w:type="gramEnd"/>
      <w:r>
        <w:t xml:space="preserve"> and amounts received; and other payments received from the company. Finally, the administrative data systems of MED can serve as a model for the regional and municipal authorities. For example, the Government Decree 447 of 12 July 2007, which required MED/FASPM to digitize its records of SOEs and other state properties, could be used as an example to be replicated by regional and municipal authorities.  </w:t>
      </w:r>
    </w:p>
    <w:p w14:paraId="7F454528" w14:textId="77777777" w:rsidR="00B15B08" w:rsidRPr="00873DCF" w:rsidRDefault="00B15B08" w:rsidP="00B15B08">
      <w:pPr>
        <w:pStyle w:val="Normal0"/>
        <w:numPr>
          <w:ilvl w:val="0"/>
          <w:numId w:val="21"/>
        </w:numPr>
        <w:spacing w:after="240" w:line="276" w:lineRule="auto"/>
        <w:ind w:left="0" w:firstLine="0"/>
        <w:jc w:val="both"/>
        <w:rPr>
          <w:b/>
          <w:bCs/>
        </w:rPr>
      </w:pPr>
      <w:r>
        <w:rPr>
          <w:b/>
          <w:bCs/>
        </w:rPr>
        <w:t xml:space="preserve">The </w:t>
      </w:r>
      <w:r w:rsidRPr="000E60F6">
        <w:rPr>
          <w:b/>
          <w:bCs/>
        </w:rPr>
        <w:t xml:space="preserve">Government </w:t>
      </w:r>
      <w:r>
        <w:rPr>
          <w:b/>
          <w:bCs/>
        </w:rPr>
        <w:t>should also expand and utilize its existing surveys for better monitoring</w:t>
      </w:r>
      <w:r w:rsidRPr="000E60F6">
        <w:rPr>
          <w:b/>
          <w:bCs/>
        </w:rPr>
        <w:t xml:space="preserve"> </w:t>
      </w:r>
      <w:r>
        <w:rPr>
          <w:b/>
          <w:bCs/>
        </w:rPr>
        <w:t xml:space="preserve">of SOE </w:t>
      </w:r>
      <w:r w:rsidRPr="000E60F6">
        <w:rPr>
          <w:b/>
          <w:bCs/>
        </w:rPr>
        <w:t xml:space="preserve">employment practices. </w:t>
      </w:r>
      <w:proofErr w:type="spellStart"/>
      <w:r>
        <w:t>Rosstat’s</w:t>
      </w:r>
      <w:proofErr w:type="spellEnd"/>
      <w:r>
        <w:t xml:space="preserve"> Survey of Occupational Wages (SOW) provides detailed information on compensation in establishments, including SOEs, with large coverage (700,000 workers in each wave) and representativeness at the subnational level, which if expanded and used could become a powerful instrument for M&amp;E. The SOW currently is limited to compensation and does not have any questions on other firm employment practices. The SOW should be broadened to include additional questions such as on target setting (KPIs), performance incentives and monitoring, talent management, and technology to better enable regular measurement and monitoring of the micro-foundations of firm productivity. The additional modules could come from the World Management Survey (applied in many OECD countries) or the Management and Organizational Practices Survey (used by the United States Census Bureau). The management data, if matched with objective data on firm performance such as from tax records or SPARK datasets, could also enable both government evaluators and researchers to measure the linkages between management practices, innovation, and productivity in Russian firms.  </w:t>
      </w:r>
    </w:p>
    <w:p w14:paraId="1F7B1D00" w14:textId="77777777" w:rsidR="00B15B08" w:rsidRDefault="00B15B08" w:rsidP="00B15B08">
      <w:pPr>
        <w:pStyle w:val="Heading2"/>
      </w:pPr>
      <w:bookmarkStart w:id="131" w:name="_Toc11219084"/>
      <w:r>
        <w:t>Support for improved management practices</w:t>
      </w:r>
      <w:bookmarkEnd w:id="131"/>
    </w:p>
    <w:p w14:paraId="51143A14" w14:textId="2DD261E6" w:rsidR="00B15B08" w:rsidRDefault="00B15B08" w:rsidP="00B15B08">
      <w:pPr>
        <w:pStyle w:val="Normal0"/>
        <w:numPr>
          <w:ilvl w:val="0"/>
          <w:numId w:val="21"/>
        </w:numPr>
        <w:spacing w:after="240" w:line="276" w:lineRule="auto"/>
        <w:ind w:left="0" w:firstLine="0"/>
        <w:jc w:val="both"/>
      </w:pPr>
      <w:r>
        <w:rPr>
          <w:b/>
        </w:rPr>
        <w:t>A growing body of</w:t>
      </w:r>
      <w:r w:rsidRPr="00AA6CC0">
        <w:rPr>
          <w:b/>
        </w:rPr>
        <w:t xml:space="preserve"> evidence </w:t>
      </w:r>
      <w:r>
        <w:rPr>
          <w:b/>
        </w:rPr>
        <w:t xml:space="preserve">suggests </w:t>
      </w:r>
      <w:r w:rsidRPr="00AA6CC0">
        <w:rPr>
          <w:b/>
        </w:rPr>
        <w:t>that direct support to firms to improve management practices can result in significant improvements in productivity</w:t>
      </w:r>
      <w:r>
        <w:rPr>
          <w:b/>
        </w:rPr>
        <w:t xml:space="preserve"> (Bandiera et al 2011, Bloom et al 2013, Anderson et al 2016, Bruhn et al 2018)</w:t>
      </w:r>
      <w:r>
        <w:t>. Many countries have seen a broad range of successful government-supported business training and advisory programs over many years. These programs include training in setting performance targets, talent management including workforce training, supply chain development, customer acquisition, and use of information technology. They can be delivered in a cost-effective way through classroom training or targeted consulting services, the first usually for small and medium enterprises while the second for larger firms (</w:t>
      </w:r>
      <w:proofErr w:type="spellStart"/>
      <w:r>
        <w:t>Mckenzie</w:t>
      </w:r>
      <w:proofErr w:type="spellEnd"/>
      <w:r>
        <w:t xml:space="preserve"> and Woodruff, 2012). The justification for these services is that firms, due to market failures and cognitive biases, can underappreciate their own lack of capabilities or the returns to improving their management practices, or are simply unable to invest in improvements. Government support helps to overcome these market failures and helps firms adopt improved practices. The menu of government interventions is large. One cost-effective intervention is management extension, a business development service which involves more individualized training of firm managers and workers by a management specialist. </w:t>
      </w:r>
      <w:r w:rsidR="00A2429A">
        <w:t>The service can be offered</w:t>
      </w:r>
      <w:r w:rsidR="00A7293E">
        <w:t>, for example,</w:t>
      </w:r>
      <w:r w:rsidR="00A2429A">
        <w:t xml:space="preserve"> through business support organizations contracted by the </w:t>
      </w:r>
      <w:r w:rsidR="00EF797A">
        <w:t xml:space="preserve">government through </w:t>
      </w:r>
      <w:proofErr w:type="gramStart"/>
      <w:r w:rsidR="00EF797A">
        <w:t>performance based</w:t>
      </w:r>
      <w:proofErr w:type="gramEnd"/>
      <w:r w:rsidR="00EF797A">
        <w:t xml:space="preserve"> contracts. </w:t>
      </w:r>
      <w:r>
        <w:t>Evidence from impact evaluations so far has shown very positive results, including measurable improvements in firm management practices and higher firm productivity, which more than pay for the cost of the training.</w:t>
      </w:r>
      <w:r>
        <w:rPr>
          <w:rStyle w:val="FootnoteReference"/>
        </w:rPr>
        <w:footnoteReference w:id="40"/>
      </w:r>
      <w:r>
        <w:t xml:space="preserve">  </w:t>
      </w:r>
    </w:p>
    <w:p w14:paraId="1004EA22" w14:textId="77777777" w:rsidR="00B15B08" w:rsidRDefault="00B15B08" w:rsidP="00B15B08">
      <w:pPr>
        <w:pStyle w:val="Normal0"/>
        <w:numPr>
          <w:ilvl w:val="0"/>
          <w:numId w:val="21"/>
        </w:numPr>
        <w:spacing w:after="240" w:line="276" w:lineRule="auto"/>
        <w:ind w:left="0" w:firstLine="0"/>
        <w:jc w:val="both"/>
      </w:pPr>
      <w:r>
        <w:rPr>
          <w:b/>
        </w:rPr>
        <w:t xml:space="preserve">The focus of the proposed training could be on small and medium sized SOEs which this report has shown to be the lowest performing and most distortionary. </w:t>
      </w:r>
      <w:r w:rsidRPr="009751C0">
        <w:rPr>
          <w:bCs/>
        </w:rPr>
        <w:t xml:space="preserve">Previous government efforts to improve firm productivity have focused on large companies. </w:t>
      </w:r>
      <w:r>
        <w:rPr>
          <w:bCs/>
        </w:rPr>
        <w:t>W</w:t>
      </w:r>
      <w:r w:rsidRPr="009751C0">
        <w:rPr>
          <w:bCs/>
        </w:rPr>
        <w:t xml:space="preserve">orking with smaller companies would </w:t>
      </w:r>
      <w:r>
        <w:rPr>
          <w:bCs/>
        </w:rPr>
        <w:t xml:space="preserve">both complement those previous engagements with the larger firms and </w:t>
      </w:r>
      <w:r w:rsidRPr="009751C0">
        <w:rPr>
          <w:bCs/>
        </w:rPr>
        <w:t xml:space="preserve">give </w:t>
      </w:r>
      <w:r>
        <w:rPr>
          <w:bCs/>
        </w:rPr>
        <w:t xml:space="preserve">the Government </w:t>
      </w:r>
      <w:r w:rsidRPr="009751C0">
        <w:rPr>
          <w:bCs/>
        </w:rPr>
        <w:t xml:space="preserve">more room for experimentation </w:t>
      </w:r>
      <w:r>
        <w:rPr>
          <w:bCs/>
        </w:rPr>
        <w:t xml:space="preserve">on </w:t>
      </w:r>
      <w:r w:rsidRPr="009751C0">
        <w:rPr>
          <w:bCs/>
        </w:rPr>
        <w:t>what works</w:t>
      </w:r>
      <w:r>
        <w:rPr>
          <w:bCs/>
        </w:rPr>
        <w:t>, given the lower stakes</w:t>
      </w:r>
      <w:r w:rsidRPr="009751C0">
        <w:rPr>
          <w:bCs/>
        </w:rPr>
        <w:t>.</w:t>
      </w:r>
      <w:r>
        <w:rPr>
          <w:b/>
        </w:rPr>
        <w:t xml:space="preserve"> </w:t>
      </w:r>
      <w:r>
        <w:t xml:space="preserve">  </w:t>
      </w:r>
    </w:p>
    <w:p w14:paraId="2796DE2A" w14:textId="77777777" w:rsidR="00B15B08" w:rsidRDefault="00B15B08" w:rsidP="00B15B08">
      <w:pPr>
        <w:pStyle w:val="Normal0"/>
        <w:numPr>
          <w:ilvl w:val="0"/>
          <w:numId w:val="21"/>
        </w:numPr>
        <w:spacing w:after="240" w:line="276" w:lineRule="auto"/>
        <w:ind w:left="0" w:firstLine="0"/>
        <w:jc w:val="both"/>
      </w:pPr>
      <w:r>
        <w:rPr>
          <w:b/>
        </w:rPr>
        <w:t>M</w:t>
      </w:r>
      <w:r w:rsidRPr="008572A7">
        <w:rPr>
          <w:b/>
        </w:rPr>
        <w:t xml:space="preserve">anagement extension services for SOEs </w:t>
      </w:r>
      <w:r>
        <w:rPr>
          <w:b/>
        </w:rPr>
        <w:t xml:space="preserve">could complement the </w:t>
      </w:r>
      <w:r w:rsidRPr="008572A7">
        <w:rPr>
          <w:b/>
        </w:rPr>
        <w:t>Government</w:t>
      </w:r>
      <w:r>
        <w:rPr>
          <w:b/>
        </w:rPr>
        <w:t>’s</w:t>
      </w:r>
      <w:r w:rsidRPr="008572A7">
        <w:rPr>
          <w:b/>
        </w:rPr>
        <w:t xml:space="preserve"> </w:t>
      </w:r>
      <w:r>
        <w:rPr>
          <w:b/>
        </w:rPr>
        <w:t xml:space="preserve">planned </w:t>
      </w:r>
      <w:r w:rsidRPr="008572A7">
        <w:rPr>
          <w:b/>
        </w:rPr>
        <w:t xml:space="preserve">business support programs under the National </w:t>
      </w:r>
      <w:r>
        <w:rPr>
          <w:b/>
        </w:rPr>
        <w:t xml:space="preserve">Project </w:t>
      </w:r>
      <w:r w:rsidRPr="008572A7">
        <w:rPr>
          <w:b/>
        </w:rPr>
        <w:t>for Labor Productivity</w:t>
      </w:r>
      <w:r>
        <w:t xml:space="preserve">.  While specific interventions under the Project, which started in January 2019, are still being defined, a heavy focus on training is expected. Some plans include training of hundreds of thousands of formal sector workers, and training for managers in business skills and management. </w:t>
      </w:r>
    </w:p>
    <w:p w14:paraId="61D5B37E" w14:textId="77777777" w:rsidR="00B15B08" w:rsidRDefault="00B15B08" w:rsidP="00B15B08">
      <w:pPr>
        <w:pStyle w:val="Heading2"/>
      </w:pPr>
      <w:bookmarkStart w:id="132" w:name="_Toc11219085"/>
      <w:r>
        <w:t>Incentives for improved compensation and management practices</w:t>
      </w:r>
      <w:bookmarkEnd w:id="132"/>
    </w:p>
    <w:p w14:paraId="5E53D87D" w14:textId="77777777" w:rsidR="00B15B08" w:rsidRDefault="00B15B08" w:rsidP="00B15B08">
      <w:pPr>
        <w:pStyle w:val="Normal0"/>
        <w:numPr>
          <w:ilvl w:val="0"/>
          <w:numId w:val="21"/>
        </w:numPr>
        <w:spacing w:after="240" w:line="276" w:lineRule="auto"/>
        <w:ind w:left="0" w:firstLine="0"/>
        <w:jc w:val="both"/>
      </w:pPr>
      <w:r w:rsidRPr="009752A9">
        <w:rPr>
          <w:b/>
          <w:bCs/>
        </w:rPr>
        <w:t xml:space="preserve">Our data support the view voiced by Russian economic observers that an important reason for the low adoption of good employment practices by Russian firms, and </w:t>
      </w:r>
      <w:proofErr w:type="gramStart"/>
      <w:r w:rsidRPr="009752A9">
        <w:rPr>
          <w:b/>
          <w:bCs/>
        </w:rPr>
        <w:t>SOEs in particular, is</w:t>
      </w:r>
      <w:proofErr w:type="gramEnd"/>
      <w:r w:rsidRPr="009752A9">
        <w:rPr>
          <w:b/>
          <w:bCs/>
        </w:rPr>
        <w:t xml:space="preserve"> the lack of incentives</w:t>
      </w:r>
      <w:r>
        <w:t xml:space="preserve">. The 2012-2015 Plan for Raising Productivity of Companies aimed to help 60 SOEs upgrade their management practices, but </w:t>
      </w:r>
      <w:proofErr w:type="gramStart"/>
      <w:r>
        <w:t>in light of</w:t>
      </w:r>
      <w:proofErr w:type="gramEnd"/>
      <w:r>
        <w:t xml:space="preserve"> neither a positive incentive from the program nor a punishment regime, by the end of the program few firms adopted the envisioned</w:t>
      </w:r>
      <w:r w:rsidRPr="00AE4D7A">
        <w:t xml:space="preserve"> </w:t>
      </w:r>
      <w:r>
        <w:t xml:space="preserve">practices. A similar challenge may face the new current National Project on Labor Productivity, which has few built-in carrots or sticks for nudging firms to adopt desired practices. The most effective nudges are not administrative requirements but incentives, and these should be used to encourage firms to </w:t>
      </w:r>
      <w:r w:rsidRPr="00AE2ED9">
        <w:rPr>
          <w:i/>
          <w:iCs/>
        </w:rPr>
        <w:t>willingly</w:t>
      </w:r>
      <w:r>
        <w:t xml:space="preserve"> adopt the desired practices.</w:t>
      </w:r>
    </w:p>
    <w:p w14:paraId="51A52CF1" w14:textId="77777777" w:rsidR="00B15B08" w:rsidRDefault="00B15B08" w:rsidP="00B15B08">
      <w:pPr>
        <w:pStyle w:val="Normal0"/>
        <w:numPr>
          <w:ilvl w:val="0"/>
          <w:numId w:val="21"/>
        </w:numPr>
        <w:spacing w:after="240" w:line="276" w:lineRule="auto"/>
        <w:ind w:left="0" w:firstLine="0"/>
        <w:jc w:val="both"/>
      </w:pPr>
      <w:r>
        <w:rPr>
          <w:b/>
        </w:rPr>
        <w:t xml:space="preserve">The Government of Russia provides significant financial assistance to SOEs and this gives it leverage to incentivize SOEs to take desired reform steps to improve their employment practices and performance. </w:t>
      </w:r>
      <w:r>
        <w:t xml:space="preserve">One of the main findings of this report is that SOEs are more likely to receive budget subsidies and government contracts than private sector firms, but that the benefits do not appear to be tied to good employment practices or overall firm performance. If SOE managers know they will continue receiving subsidies and government contracts no matter how poorly they manage their businesses and how low their productivity and efficiency, they may see no reason to change the status quo. </w:t>
      </w:r>
    </w:p>
    <w:p w14:paraId="48BA0B37" w14:textId="77777777" w:rsidR="00B15B08" w:rsidRDefault="00B15B08" w:rsidP="00B15B08">
      <w:pPr>
        <w:pStyle w:val="Normal0"/>
        <w:numPr>
          <w:ilvl w:val="0"/>
          <w:numId w:val="21"/>
        </w:numPr>
        <w:spacing w:after="240" w:line="276" w:lineRule="auto"/>
        <w:ind w:left="0" w:firstLine="0"/>
        <w:jc w:val="both"/>
      </w:pPr>
      <w:r w:rsidRPr="007A73D7">
        <w:rPr>
          <w:b/>
          <w:bCs/>
        </w:rPr>
        <w:t>Many governments across the world have linked financial incentives to improvements in management and other firm-level practices, through different instruments</w:t>
      </w:r>
      <w:r>
        <w:t xml:space="preserve">. These include vouchers, grants and matching grants, equity financing, public procurement, fiscal and tax incentives, and loan guarantees, and their effectiveness varies by context. </w:t>
      </w:r>
    </w:p>
    <w:p w14:paraId="244D2BE0" w14:textId="4866A334" w:rsidR="00B15B08" w:rsidRDefault="00B15B08" w:rsidP="00B15B08">
      <w:pPr>
        <w:pStyle w:val="Normal0"/>
        <w:numPr>
          <w:ilvl w:val="0"/>
          <w:numId w:val="21"/>
        </w:numPr>
        <w:spacing w:after="240" w:line="276" w:lineRule="auto"/>
        <w:ind w:left="0" w:firstLine="0"/>
        <w:jc w:val="both"/>
      </w:pPr>
      <w:r w:rsidRPr="004D1774">
        <w:rPr>
          <w:b/>
          <w:bCs/>
        </w:rPr>
        <w:t>In the context of the Russian SOE sector, we believe three complementary instruments could have significant impact</w:t>
      </w:r>
      <w:r>
        <w:rPr>
          <w:b/>
          <w:bCs/>
        </w:rPr>
        <w:t xml:space="preserve">, the first of which is </w:t>
      </w:r>
      <w:r w:rsidRPr="004D1774">
        <w:rPr>
          <w:b/>
          <w:bCs/>
        </w:rPr>
        <w:t>competitive public procurement</w:t>
      </w:r>
      <w:r w:rsidRPr="002F35A8">
        <w:t>.</w:t>
      </w:r>
      <w:r>
        <w:t xml:space="preserve"> In 2017 public procurement in </w:t>
      </w:r>
      <w:r w:rsidRPr="007D128A">
        <w:t xml:space="preserve">Russia </w:t>
      </w:r>
      <w:r>
        <w:t xml:space="preserve">made </w:t>
      </w:r>
      <w:r w:rsidRPr="007D128A">
        <w:rPr>
          <w:rFonts w:ascii="URWPalladioL-Roma" w:eastAsiaTheme="minorHAnsi" w:hAnsi="URWPalladioL-Roma" w:cs="URWPalladioL-Roma"/>
        </w:rPr>
        <w:t xml:space="preserve">up </w:t>
      </w:r>
      <w:r>
        <w:rPr>
          <w:rFonts w:ascii="URWPalladioL-Roma" w:eastAsiaTheme="minorHAnsi" w:hAnsi="URWPalladioL-Roma" w:cs="URWPalladioL-Roma"/>
        </w:rPr>
        <w:t xml:space="preserve">approximately </w:t>
      </w:r>
      <w:r w:rsidRPr="007D128A">
        <w:rPr>
          <w:rFonts w:ascii="URWPalladioL-Roma" w:eastAsiaTheme="minorHAnsi" w:hAnsi="URWPalladioL-Roma" w:cs="URWPalladioL-Roma"/>
        </w:rPr>
        <w:t xml:space="preserve">10 percent of </w:t>
      </w:r>
      <w:r>
        <w:rPr>
          <w:rFonts w:ascii="URWPalladioL-Roma" w:eastAsiaTheme="minorHAnsi" w:hAnsi="URWPalladioL-Roma" w:cs="URWPalladioL-Roma"/>
        </w:rPr>
        <w:t xml:space="preserve">the country’s </w:t>
      </w:r>
      <w:r w:rsidRPr="007D128A">
        <w:rPr>
          <w:rFonts w:ascii="URWPalladioL-Roma" w:eastAsiaTheme="minorHAnsi" w:hAnsi="URWPalladioL-Roma" w:cs="URWPalladioL-Roma"/>
        </w:rPr>
        <w:t>non-resource GDP (Best et al 2017)</w:t>
      </w:r>
      <w:r>
        <w:rPr>
          <w:bCs/>
        </w:rPr>
        <w:t xml:space="preserve">, with a lion’s share of contracts going to SOEs. </w:t>
      </w:r>
      <w:r>
        <w:t xml:space="preserve">Although systematic data is unavailable, </w:t>
      </w:r>
      <w:r w:rsidR="0043768F">
        <w:t>available evidence</w:t>
      </w:r>
      <w:r w:rsidR="0043768F">
        <w:t xml:space="preserve"> </w:t>
      </w:r>
      <w:r>
        <w:t xml:space="preserve">suggest that </w:t>
      </w:r>
      <w:r w:rsidR="008B3E1E">
        <w:t xml:space="preserve">over </w:t>
      </w:r>
      <w:r>
        <w:t>50 percent of all state contracts fall short of the competitive mark (are either single source or canceled competitive)</w:t>
      </w:r>
      <w:r>
        <w:rPr>
          <w:rStyle w:val="FootnoteReference"/>
        </w:rPr>
        <w:footnoteReference w:id="41"/>
      </w:r>
      <w:r>
        <w:t xml:space="preserve"> and this fraction is almost certainly higher for SOEs, since many have exclusive supplier relationships with their parent agencies (</w:t>
      </w:r>
      <w:proofErr w:type="spellStart"/>
      <w:r>
        <w:t>Kovaleva</w:t>
      </w:r>
      <w:proofErr w:type="spellEnd"/>
      <w:r>
        <w:t xml:space="preserve"> et al 2019). </w:t>
      </w:r>
      <w:r w:rsidRPr="00693A07">
        <w:rPr>
          <w:bCs/>
        </w:rPr>
        <w:t>Competitive public procurement is potentially a powerful policy instrument to induce improvements in firm capabilities for both SOEs and the private sector.</w:t>
      </w:r>
      <w:r>
        <w:t xml:space="preserve"> In addition to improving the quality of public goods and encourage greater firm participation, a transparent and competitive procurement system can create incentives for SOEs to upgrade their internal capacities to win more contracts. Many OECD and EU member countries use public procurement to incentivize improvements in firm capabilities by requiring demonstrated innovation as a criterion for winning a bid.</w:t>
      </w:r>
      <w:r>
        <w:rPr>
          <w:rStyle w:val="FootnoteReference"/>
        </w:rPr>
        <w:footnoteReference w:id="42"/>
      </w:r>
      <w:r>
        <w:t xml:space="preserve"> Recent cross-national studies have found strong positive correlations between the quality of public procurement systems and the number of firms bidding for contracts</w:t>
      </w:r>
      <w:r>
        <w:rPr>
          <w:rStyle w:val="FootnoteReference"/>
        </w:rPr>
        <w:footnoteReference w:id="43"/>
      </w:r>
      <w:r>
        <w:t>; and with different measures of firm innovation, such as product innovation, process innovation, R&amp;D spending, technology licensed from foreign firms, and internationally recognized quality certification.</w:t>
      </w:r>
      <w:r>
        <w:rPr>
          <w:rStyle w:val="FootnoteReference"/>
        </w:rPr>
        <w:footnoteReference w:id="44"/>
      </w:r>
    </w:p>
    <w:p w14:paraId="3F99039F" w14:textId="6EF2CB56" w:rsidR="00B15B08" w:rsidRDefault="00833F9B" w:rsidP="00B15B08">
      <w:pPr>
        <w:pStyle w:val="Normal0"/>
        <w:numPr>
          <w:ilvl w:val="0"/>
          <w:numId w:val="21"/>
        </w:numPr>
        <w:spacing w:after="240" w:line="276" w:lineRule="auto"/>
        <w:ind w:left="0" w:firstLine="0"/>
        <w:jc w:val="both"/>
      </w:pPr>
      <w:r>
        <w:rPr>
          <w:b/>
          <w:bCs/>
        </w:rPr>
        <w:t>Second,</w:t>
      </w:r>
      <w:r w:rsidR="00B15B08" w:rsidRPr="000F2C69">
        <w:rPr>
          <w:b/>
          <w:bCs/>
        </w:rPr>
        <w:t xml:space="preserve"> the Government </w:t>
      </w:r>
      <w:r>
        <w:rPr>
          <w:b/>
          <w:bCs/>
        </w:rPr>
        <w:t>should ensure that</w:t>
      </w:r>
      <w:r w:rsidR="00B15B08" w:rsidRPr="000F2C69">
        <w:rPr>
          <w:b/>
          <w:bCs/>
        </w:rPr>
        <w:t xml:space="preserve"> subsidies </w:t>
      </w:r>
      <w:r>
        <w:rPr>
          <w:b/>
          <w:bCs/>
        </w:rPr>
        <w:t>are clearly linked to SOE performance</w:t>
      </w:r>
      <w:r w:rsidR="00B15B08" w:rsidRPr="000F2C69">
        <w:rPr>
          <w:b/>
          <w:bCs/>
        </w:rPr>
        <w:t xml:space="preserve">. </w:t>
      </w:r>
      <w:r w:rsidR="00B15B08" w:rsidRPr="007314CC">
        <w:t xml:space="preserve">Like </w:t>
      </w:r>
      <w:r w:rsidR="00B15B08">
        <w:t xml:space="preserve">procurement </w:t>
      </w:r>
      <w:r w:rsidR="00B15B08" w:rsidRPr="007314CC">
        <w:t xml:space="preserve">contracts, subsidies can </w:t>
      </w:r>
      <w:r w:rsidR="00B15B08">
        <w:t xml:space="preserve">have distortionary effects if they are untied to </w:t>
      </w:r>
      <w:r w:rsidR="00B15B08" w:rsidRPr="007314CC">
        <w:t>performance incentive</w:t>
      </w:r>
      <w:r w:rsidR="00B15B08">
        <w:t xml:space="preserve">s; indeed, they can be even more distortionary </w:t>
      </w:r>
      <w:r w:rsidR="00A270E5">
        <w:t xml:space="preserve">than state contracts </w:t>
      </w:r>
      <w:r w:rsidR="00B15B08">
        <w:t xml:space="preserve">because they </w:t>
      </w:r>
      <w:r w:rsidR="00A270E5">
        <w:t xml:space="preserve">can be </w:t>
      </w:r>
      <w:r w:rsidR="00B15B08">
        <w:t xml:space="preserve">a form of pure budget support and thus more fungible. </w:t>
      </w:r>
      <w:r>
        <w:t>If there is an economic justification for subsides then these should be</w:t>
      </w:r>
      <w:r w:rsidR="00B15B08">
        <w:t xml:space="preserve"> conditioned on the SOEs’ continued good performance, perhaps even fulfillment of a performance</w:t>
      </w:r>
      <w:r>
        <w:t>-</w:t>
      </w:r>
      <w:r w:rsidR="00B15B08">
        <w:t>based contract. By tightening the firms’ budget constraint but making it possible to win additional funds through competition, the Government can encourage firms to invest in good employment practices voluntarily</w:t>
      </w:r>
      <w:r>
        <w:t>—</w:t>
      </w:r>
      <w:r w:rsidR="00B15B08">
        <w:t>to set competitive market-level compensation</w:t>
      </w:r>
      <w:r w:rsidR="00B2327E">
        <w:t xml:space="preserve">, </w:t>
      </w:r>
      <w:r w:rsidR="00B15B08">
        <w:t xml:space="preserve">avoid excessive spending on wages, and invest available </w:t>
      </w:r>
      <w:r w:rsidR="009B60B7">
        <w:t xml:space="preserve">capital </w:t>
      </w:r>
      <w:r w:rsidR="00B15B08">
        <w:t xml:space="preserve">in the company’s </w:t>
      </w:r>
      <w:r w:rsidR="009B60B7">
        <w:t xml:space="preserve">improved </w:t>
      </w:r>
      <w:r w:rsidR="00B15B08">
        <w:t>productive potential.</w:t>
      </w:r>
    </w:p>
    <w:p w14:paraId="66C982E5" w14:textId="77777777" w:rsidR="001C7932" w:rsidRDefault="00B15B08" w:rsidP="001C7932">
      <w:pPr>
        <w:pStyle w:val="Normal0"/>
        <w:numPr>
          <w:ilvl w:val="0"/>
          <w:numId w:val="21"/>
        </w:numPr>
        <w:spacing w:after="240" w:line="276" w:lineRule="auto"/>
        <w:ind w:left="0" w:firstLine="0"/>
        <w:jc w:val="both"/>
      </w:pPr>
      <w:r>
        <w:rPr>
          <w:b/>
          <w:bCs/>
        </w:rPr>
        <w:t>Finally, the Government can use a</w:t>
      </w:r>
      <w:r w:rsidRPr="004D1774">
        <w:rPr>
          <w:b/>
          <w:bCs/>
        </w:rPr>
        <w:t>wards and recognition for well-performing companies</w:t>
      </w:r>
      <w:r>
        <w:rPr>
          <w:b/>
          <w:bCs/>
        </w:rPr>
        <w:t xml:space="preserve"> to spur improvements in firm performance. </w:t>
      </w:r>
      <w:r>
        <w:t>The Government has an ongoing program that recognizes firms that are ‘productivity leaders’ though this program has been largely limited to private sector firms.  International experience suggests that prizes and awards, which are commonly used in many countries, can be successful in improving firm capabilities provided that the governance of the awards is transparent and fair, and if firms are not otherwise financially and institutionally constrained.</w:t>
      </w:r>
      <w:r>
        <w:rPr>
          <w:rStyle w:val="FootnoteReference"/>
        </w:rPr>
        <w:footnoteReference w:id="45"/>
      </w:r>
      <w:r>
        <w:t xml:space="preserve"> The award can be non-monetary, as research shows that simple recognition and prestige attached to the award can be </w:t>
      </w:r>
      <w:proofErr w:type="gramStart"/>
      <w:r>
        <w:t>sufficient</w:t>
      </w:r>
      <w:proofErr w:type="gramEnd"/>
      <w:r>
        <w:t xml:space="preserve"> to motivate performance. Drawing on this evidence, the Government can devise an award that is tailor-made for SOEs, and that emphasizes improvements in employment practices, such as management, use of digital technologies, and investments in employee training. </w:t>
      </w:r>
    </w:p>
    <w:p w14:paraId="6FB92E89" w14:textId="3A100154" w:rsidR="0043768F" w:rsidRDefault="0043768F" w:rsidP="001C7932">
      <w:pPr>
        <w:pStyle w:val="Normal0"/>
        <w:numPr>
          <w:ilvl w:val="0"/>
          <w:numId w:val="21"/>
        </w:numPr>
        <w:spacing w:after="240" w:line="276" w:lineRule="auto"/>
        <w:ind w:left="0" w:firstLine="0"/>
        <w:jc w:val="both"/>
      </w:pPr>
      <w:r w:rsidRPr="001C7932">
        <w:rPr>
          <w:b/>
          <w:bCs/>
        </w:rPr>
        <w:t xml:space="preserve">These three measures would complement </w:t>
      </w:r>
      <w:r w:rsidRPr="001C7932">
        <w:rPr>
          <w:b/>
        </w:rPr>
        <w:t>Government of Russia’s reforms on competition policy</w:t>
      </w:r>
      <w:r>
        <w:t xml:space="preserve">. Russia has </w:t>
      </w:r>
      <w:r w:rsidR="00CF7E34">
        <w:t>streamlined</w:t>
      </w:r>
      <w:r>
        <w:t xml:space="preserve"> business regulations over the past five years and improved its Doing Business </w:t>
      </w:r>
      <w:r w:rsidR="00CF7E34">
        <w:t>r</w:t>
      </w:r>
      <w:r>
        <w:t>anking</w:t>
      </w:r>
      <w:r w:rsidR="00CF7E34">
        <w:t>, but declining investment trends point to continuing challenges to improving the investment climate that go beyond regulatory simplification and reflect systemic problems of competition.</w:t>
      </w:r>
      <w:r w:rsidR="00CF7E34">
        <w:rPr>
          <w:rStyle w:val="FootnoteReference"/>
        </w:rPr>
        <w:footnoteReference w:id="46"/>
      </w:r>
      <w:r w:rsidR="00CF7E34">
        <w:t xml:space="preserve"> </w:t>
      </w:r>
      <w:r w:rsidR="001C7932">
        <w:t>Competitive markets</w:t>
      </w:r>
      <w:r w:rsidR="001C7932">
        <w:t xml:space="preserve"> </w:t>
      </w:r>
      <w:r w:rsidR="001C7932">
        <w:t>encourage investment, innovation, higher productivity, and job creation</w:t>
      </w:r>
      <w:r w:rsidR="001C7932">
        <w:t xml:space="preserve">, and </w:t>
      </w:r>
      <w:r w:rsidR="005339B0">
        <w:t>improved state policy to</w:t>
      </w:r>
      <w:r w:rsidR="00566943">
        <w:t>wards</w:t>
      </w:r>
      <w:r w:rsidR="005339B0">
        <w:t xml:space="preserve"> SOEs can help level the playing field with the private sector and foster competition</w:t>
      </w:r>
      <w:r w:rsidR="001C7932">
        <w:t>.</w:t>
      </w:r>
      <w:r w:rsidR="00CF7E34">
        <w:t xml:space="preserve"> </w:t>
      </w:r>
      <w:r>
        <w:t xml:space="preserve"> </w:t>
      </w:r>
    </w:p>
    <w:p w14:paraId="0B5CC6AF" w14:textId="77777777" w:rsidR="00B15B08" w:rsidRDefault="00B15B08" w:rsidP="00B15B08">
      <w:pPr>
        <w:pStyle w:val="Heading2"/>
      </w:pPr>
      <w:bookmarkStart w:id="133" w:name="_Toc11219086"/>
      <w:r>
        <w:t>Regulation</w:t>
      </w:r>
      <w:bookmarkEnd w:id="133"/>
    </w:p>
    <w:p w14:paraId="013ED4E9" w14:textId="1E50DC75" w:rsidR="00B15B08" w:rsidRPr="00A96EE8" w:rsidRDefault="00B15B08" w:rsidP="00B15B08">
      <w:pPr>
        <w:pStyle w:val="Normal0"/>
        <w:spacing w:after="240" w:line="276" w:lineRule="auto"/>
        <w:jc w:val="both"/>
      </w:pPr>
      <w:r>
        <w:rPr>
          <w:b/>
        </w:rPr>
        <w:t xml:space="preserve">81. </w:t>
      </w:r>
      <w:r w:rsidRPr="008A311C">
        <w:rPr>
          <w:b/>
        </w:rPr>
        <w:t xml:space="preserve">The Government can consider </w:t>
      </w:r>
      <w:r>
        <w:rPr>
          <w:b/>
        </w:rPr>
        <w:t>some</w:t>
      </w:r>
      <w:r w:rsidRPr="008A311C">
        <w:rPr>
          <w:b/>
        </w:rPr>
        <w:t xml:space="preserve"> controls over SOE </w:t>
      </w:r>
      <w:r w:rsidR="00D16B7C">
        <w:rPr>
          <w:b/>
        </w:rPr>
        <w:t xml:space="preserve">compensation </w:t>
      </w:r>
      <w:r w:rsidRPr="008A311C">
        <w:rPr>
          <w:b/>
        </w:rPr>
        <w:t>for those SOEs that receive government support</w:t>
      </w:r>
      <w:r>
        <w:t xml:space="preserve">. As discussed earlier, SOEs in Russia have considerable discretion in setting their </w:t>
      </w:r>
      <w:r w:rsidR="00D16B7C">
        <w:t>compensation</w:t>
      </w:r>
      <w:r>
        <w:t xml:space="preserve">. </w:t>
      </w:r>
      <w:r w:rsidRPr="006A013C">
        <w:t xml:space="preserve">As commercial companies, mixed and unitary enterprises are not subject to government wage regulations beyond general minimum wage requirements </w:t>
      </w:r>
      <w:r w:rsidR="00D16B7C">
        <w:t xml:space="preserve">and mandatory benefits, such as annual leave, </w:t>
      </w:r>
      <w:r w:rsidRPr="006A013C">
        <w:t>of Labor Code</w:t>
      </w:r>
      <w:r>
        <w:t xml:space="preserve">. This autonomy is appropriate provided SOEs </w:t>
      </w:r>
      <w:r w:rsidR="008171DE">
        <w:t xml:space="preserve">that </w:t>
      </w:r>
      <w:r>
        <w:t xml:space="preserve">are </w:t>
      </w:r>
      <w:r w:rsidR="008171DE">
        <w:t>financially independent from the government and</w:t>
      </w:r>
      <w:r>
        <w:t xml:space="preserve"> do not receive significant state support. For those companies that receive </w:t>
      </w:r>
      <w:r w:rsidR="008171DE">
        <w:t xml:space="preserve">government subsidies </w:t>
      </w:r>
      <w:r>
        <w:t xml:space="preserve">from the </w:t>
      </w:r>
      <w:r w:rsidR="008171DE">
        <w:t xml:space="preserve">general </w:t>
      </w:r>
      <w:r>
        <w:t xml:space="preserve">budget it is justifiable for the government to </w:t>
      </w:r>
      <w:r w:rsidR="00D16B7C">
        <w:t>set a framework for compensation</w:t>
      </w:r>
      <w:r>
        <w:t xml:space="preserve">, such as limits on </w:t>
      </w:r>
      <w:r w:rsidR="00D16B7C">
        <w:t>executive pay and</w:t>
      </w:r>
      <w:r>
        <w:t xml:space="preserve"> requirements for disclosure of salaries. The government already sets limits on </w:t>
      </w:r>
      <w:r w:rsidRPr="003575AB">
        <w:t>salaries of senior management of federal and municipal unitary enterprises, state corporations, and companies with state participation exceeding 50</w:t>
      </w:r>
      <w:r>
        <w:t xml:space="preserve"> percent. The same logic can be more generally applied to SOEs that receive state support above a certain threshold. Furthermore, it could be beneficial to link total remuneration (including bonuses) received by top management of top 200 companies to the companies’ achievement of KPIs, and to make this information public.</w:t>
      </w:r>
      <w:r w:rsidRPr="00C31A8D">
        <w:t xml:space="preserve"> </w:t>
      </w:r>
      <w:r>
        <w:t xml:space="preserve">Doing so would reinforce incentives for SOE performance and increase public trust in the good management of state resources. </w:t>
      </w:r>
    </w:p>
    <w:p w14:paraId="51F69252" w14:textId="77777777" w:rsidR="00390B7D" w:rsidRDefault="00390B7D" w:rsidP="00CE1189">
      <w:pPr>
        <w:spacing w:after="0" w:line="240" w:lineRule="auto"/>
        <w:contextualSpacing/>
        <w:jc w:val="left"/>
      </w:pPr>
    </w:p>
    <w:p w14:paraId="009C0E02" w14:textId="22576B9A" w:rsidR="00390B7D" w:rsidRDefault="00390B7D" w:rsidP="00CE1189">
      <w:pPr>
        <w:spacing w:after="0" w:line="240" w:lineRule="auto"/>
        <w:contextualSpacing/>
        <w:jc w:val="left"/>
      </w:pPr>
    </w:p>
    <w:p w14:paraId="4DC8337A" w14:textId="77777777" w:rsidR="001B72C6" w:rsidRDefault="001B72C6" w:rsidP="001B72C6">
      <w:pPr>
        <w:spacing w:after="0" w:line="240" w:lineRule="auto"/>
        <w:contextualSpacing/>
      </w:pPr>
    </w:p>
    <w:p w14:paraId="7259A963" w14:textId="434176A6" w:rsidR="00EB2E17" w:rsidRDefault="00EB2E17" w:rsidP="00CE1189">
      <w:pPr>
        <w:spacing w:after="0" w:line="240" w:lineRule="auto"/>
        <w:contextualSpacing/>
        <w:jc w:val="left"/>
      </w:pPr>
      <w:r>
        <w:br w:type="page"/>
      </w:r>
    </w:p>
    <w:p w14:paraId="243913BC" w14:textId="19DB90C6" w:rsidR="00EB2E17" w:rsidRDefault="00EB2E17" w:rsidP="00CE1189">
      <w:pPr>
        <w:pStyle w:val="Heading1"/>
        <w:spacing w:after="0" w:line="240" w:lineRule="auto"/>
        <w:contextualSpacing/>
        <w:rPr>
          <w:rStyle w:val="IntenseEmphasis"/>
          <w:bCs/>
          <w:i w:val="0"/>
          <w:iCs w:val="0"/>
          <w:color w:val="2E74B5" w:themeColor="accent1" w:themeShade="BF"/>
        </w:rPr>
      </w:pPr>
      <w:bookmarkStart w:id="134" w:name="_Toc11219087"/>
      <w:r w:rsidRPr="00F76654">
        <w:rPr>
          <w:rStyle w:val="IntenseEmphasis"/>
          <w:bCs/>
          <w:i w:val="0"/>
          <w:iCs w:val="0"/>
          <w:color w:val="2E74B5" w:themeColor="accent1" w:themeShade="BF"/>
        </w:rPr>
        <w:t>A</w:t>
      </w:r>
      <w:r w:rsidR="00B6119A" w:rsidRPr="00F76654">
        <w:rPr>
          <w:rStyle w:val="IntenseEmphasis"/>
          <w:bCs/>
          <w:i w:val="0"/>
          <w:iCs w:val="0"/>
          <w:color w:val="2E74B5" w:themeColor="accent1" w:themeShade="BF"/>
        </w:rPr>
        <w:t>NN</w:t>
      </w:r>
      <w:r w:rsidRPr="00F76654">
        <w:rPr>
          <w:rStyle w:val="IntenseEmphasis"/>
          <w:bCs/>
          <w:i w:val="0"/>
          <w:iCs w:val="0"/>
          <w:color w:val="2E74B5" w:themeColor="accent1" w:themeShade="BF"/>
        </w:rPr>
        <w:t>E</w:t>
      </w:r>
      <w:r w:rsidR="00B6119A" w:rsidRPr="00F76654">
        <w:rPr>
          <w:rStyle w:val="IntenseEmphasis"/>
          <w:bCs/>
          <w:i w:val="0"/>
          <w:iCs w:val="0"/>
          <w:color w:val="2E74B5" w:themeColor="accent1" w:themeShade="BF"/>
        </w:rPr>
        <w:t>X</w:t>
      </w:r>
      <w:r w:rsidR="00B41930">
        <w:rPr>
          <w:rStyle w:val="IntenseEmphasis"/>
          <w:bCs/>
          <w:i w:val="0"/>
          <w:iCs w:val="0"/>
          <w:color w:val="2E74B5" w:themeColor="accent1" w:themeShade="BF"/>
        </w:rPr>
        <w:t xml:space="preserve"> </w:t>
      </w:r>
      <w:r w:rsidR="00AC01C1">
        <w:rPr>
          <w:rStyle w:val="IntenseEmphasis"/>
          <w:bCs/>
          <w:i w:val="0"/>
          <w:iCs w:val="0"/>
          <w:color w:val="2E74B5" w:themeColor="accent1" w:themeShade="BF"/>
        </w:rPr>
        <w:t>A</w:t>
      </w:r>
      <w:r w:rsidR="00B6119A" w:rsidRPr="00F76654">
        <w:rPr>
          <w:rStyle w:val="IntenseEmphasis"/>
          <w:bCs/>
          <w:i w:val="0"/>
          <w:iCs w:val="0"/>
          <w:color w:val="2E74B5" w:themeColor="accent1" w:themeShade="BF"/>
        </w:rPr>
        <w:t xml:space="preserve"> - Data sources</w:t>
      </w:r>
      <w:bookmarkEnd w:id="134"/>
    </w:p>
    <w:p w14:paraId="4C7D1B50" w14:textId="5DC17149" w:rsidR="004F58F5" w:rsidRDefault="004F58F5" w:rsidP="00CE1189">
      <w:pPr>
        <w:spacing w:after="0" w:line="240" w:lineRule="auto"/>
        <w:contextualSpacing/>
        <w:rPr>
          <w:rFonts w:cstheme="minorHAnsi"/>
          <w:lang w:eastAsia="en-US"/>
        </w:rPr>
      </w:pPr>
    </w:p>
    <w:p w14:paraId="6123E8BD" w14:textId="77777777" w:rsidR="0050452B" w:rsidRPr="006E4C92" w:rsidRDefault="0050452B" w:rsidP="00CE1189">
      <w:pPr>
        <w:spacing w:after="0" w:line="240" w:lineRule="auto"/>
        <w:contextualSpacing/>
        <w:rPr>
          <w:rFonts w:cstheme="minorHAnsi"/>
          <w:b/>
          <w:bCs/>
          <w:iCs/>
          <w:color w:val="000000" w:themeColor="text1"/>
        </w:rPr>
      </w:pPr>
    </w:p>
    <w:p w14:paraId="0602B46E" w14:textId="686D8466" w:rsidR="00523FAC" w:rsidRPr="006E4C92" w:rsidRDefault="00523FAC" w:rsidP="00CE1189">
      <w:pPr>
        <w:spacing w:after="0" w:line="240" w:lineRule="auto"/>
        <w:contextualSpacing/>
        <w:rPr>
          <w:rFonts w:cstheme="minorHAnsi"/>
          <w:b/>
          <w:bCs/>
          <w:iCs/>
          <w:color w:val="000000" w:themeColor="text1"/>
        </w:rPr>
      </w:pPr>
      <w:r w:rsidRPr="006E4C92">
        <w:rPr>
          <w:rFonts w:cstheme="minorHAnsi"/>
          <w:b/>
          <w:bCs/>
          <w:iCs/>
          <w:color w:val="000000" w:themeColor="text1"/>
        </w:rPr>
        <w:t xml:space="preserve">Russia Longitudinal Monitoring Survey (RLMS) </w:t>
      </w:r>
    </w:p>
    <w:p w14:paraId="7890EF70" w14:textId="77777777" w:rsidR="006E4C92" w:rsidRDefault="006E4C92" w:rsidP="00CE1189">
      <w:pPr>
        <w:spacing w:after="0" w:line="240" w:lineRule="auto"/>
        <w:contextualSpacing/>
        <w:rPr>
          <w:rFonts w:cstheme="minorHAnsi"/>
          <w:iCs/>
          <w:color w:val="000000" w:themeColor="text1"/>
        </w:rPr>
      </w:pPr>
    </w:p>
    <w:p w14:paraId="199B22DE" w14:textId="4FDD519E" w:rsidR="00523FAC" w:rsidRPr="006E4C92" w:rsidRDefault="00523FAC" w:rsidP="00CE1189">
      <w:pPr>
        <w:spacing w:after="0" w:line="240" w:lineRule="auto"/>
        <w:contextualSpacing/>
        <w:rPr>
          <w:rFonts w:eastAsiaTheme="minorHAnsi" w:cstheme="minorHAnsi"/>
          <w:b/>
          <w:iCs/>
          <w:color w:val="000000" w:themeColor="text1"/>
          <w:lang w:eastAsia="en-US"/>
        </w:rPr>
      </w:pPr>
      <w:r w:rsidRPr="006E4C92">
        <w:rPr>
          <w:rFonts w:cstheme="minorHAnsi"/>
          <w:iCs/>
          <w:color w:val="000000" w:themeColor="text1"/>
        </w:rPr>
        <w:t>Nationally representative household survey 1994-2017, with panel structure, collected by the Higher School of Economics</w:t>
      </w:r>
      <w:r w:rsidR="007C65D3" w:rsidRPr="006E4C92">
        <w:rPr>
          <w:rFonts w:cstheme="minorHAnsi"/>
          <w:iCs/>
          <w:color w:val="000000" w:themeColor="text1"/>
        </w:rPr>
        <w:t>.</w:t>
      </w:r>
      <w:r w:rsidRPr="006E4C92">
        <w:rPr>
          <w:rFonts w:cstheme="minorHAnsi"/>
          <w:iCs/>
          <w:color w:val="000000" w:themeColor="text1"/>
        </w:rPr>
        <w:t xml:space="preserve"> </w:t>
      </w:r>
      <w:r w:rsidR="00D41630" w:rsidRPr="006E4C92">
        <w:rPr>
          <w:rFonts w:cstheme="minorHAnsi"/>
          <w:iCs/>
          <w:color w:val="000000" w:themeColor="text1"/>
        </w:rPr>
        <w:t xml:space="preserve">Contains </w:t>
      </w:r>
      <w:r w:rsidRPr="006E4C92">
        <w:rPr>
          <w:rFonts w:cstheme="minorHAnsi"/>
          <w:iCs/>
          <w:color w:val="000000" w:themeColor="text1"/>
        </w:rPr>
        <w:t>detailed information about individuals' demographic and human capital characteristics, occupational classification, hours of work, earnings, and wide range of job characteristics.</w:t>
      </w:r>
      <w:r w:rsidR="007C65D3" w:rsidRPr="006E4C92">
        <w:rPr>
          <w:rFonts w:cstheme="minorHAnsi"/>
          <w:iCs/>
          <w:color w:val="000000" w:themeColor="text1"/>
        </w:rPr>
        <w:t xml:space="preserve"> Publicly available at </w:t>
      </w:r>
      <w:hyperlink r:id="rId53" w:history="1">
        <w:r w:rsidRPr="006E4C92">
          <w:rPr>
            <w:rStyle w:val="Hyperlink"/>
            <w:rFonts w:cstheme="minorHAnsi"/>
            <w:iCs/>
          </w:rPr>
          <w:t>http://www.cpc.unc.edu/projects/rlms-hse/</w:t>
        </w:r>
      </w:hyperlink>
      <w:r w:rsidRPr="006E4C92">
        <w:rPr>
          <w:rFonts w:cstheme="minorHAnsi"/>
          <w:iCs/>
          <w:color w:val="000000" w:themeColor="text1"/>
        </w:rPr>
        <w:t xml:space="preserve"> and </w:t>
      </w:r>
      <w:hyperlink r:id="rId54" w:history="1">
        <w:r w:rsidRPr="006E4C92">
          <w:rPr>
            <w:rStyle w:val="Hyperlink"/>
            <w:rFonts w:cstheme="minorHAnsi"/>
            <w:iCs/>
          </w:rPr>
          <w:t>www.hse.ru/rlms</w:t>
        </w:r>
      </w:hyperlink>
      <w:r w:rsidRPr="006E4C92">
        <w:rPr>
          <w:rFonts w:cstheme="minorHAnsi"/>
          <w:iCs/>
          <w:color w:val="000000" w:themeColor="text1"/>
        </w:rPr>
        <w:t xml:space="preserve">. </w:t>
      </w:r>
    </w:p>
    <w:p w14:paraId="7C2FC674" w14:textId="77777777" w:rsidR="006E4C92" w:rsidRDefault="006E4C92" w:rsidP="006E4C92">
      <w:pPr>
        <w:spacing w:after="0" w:line="240" w:lineRule="auto"/>
        <w:contextualSpacing/>
        <w:rPr>
          <w:rFonts w:cstheme="minorHAnsi"/>
          <w:color w:val="000000" w:themeColor="text1"/>
        </w:rPr>
      </w:pPr>
    </w:p>
    <w:p w14:paraId="680A2DAE" w14:textId="1C336ED6" w:rsidR="004F12CF" w:rsidRPr="006E4C92" w:rsidRDefault="00885476" w:rsidP="006E4C92">
      <w:pPr>
        <w:spacing w:after="0" w:line="240" w:lineRule="auto"/>
        <w:contextualSpacing/>
        <w:rPr>
          <w:rFonts w:cstheme="minorHAnsi"/>
          <w:color w:val="000000" w:themeColor="text1"/>
        </w:rPr>
      </w:pPr>
      <w:r w:rsidRPr="006E4C92">
        <w:rPr>
          <w:rFonts w:cstheme="minorHAnsi"/>
          <w:color w:val="000000" w:themeColor="text1"/>
        </w:rPr>
        <w:t xml:space="preserve">For </w:t>
      </w:r>
      <w:r w:rsidR="00415C89" w:rsidRPr="006E4C92">
        <w:rPr>
          <w:rFonts w:cstheme="minorHAnsi"/>
          <w:color w:val="000000" w:themeColor="text1"/>
        </w:rPr>
        <w:t xml:space="preserve">the present study, </w:t>
      </w:r>
      <w:r w:rsidR="005F0147" w:rsidRPr="006E4C92">
        <w:rPr>
          <w:rFonts w:cstheme="minorHAnsi"/>
          <w:color w:val="000000" w:themeColor="text1"/>
        </w:rPr>
        <w:t>the sample</w:t>
      </w:r>
      <w:r w:rsidRPr="006E4C92">
        <w:rPr>
          <w:rFonts w:cstheme="minorHAnsi"/>
          <w:color w:val="000000" w:themeColor="text1"/>
        </w:rPr>
        <w:t xml:space="preserve"> </w:t>
      </w:r>
      <w:r w:rsidR="004B5C31" w:rsidRPr="006E4C92">
        <w:rPr>
          <w:rFonts w:cstheme="minorHAnsi"/>
          <w:color w:val="000000" w:themeColor="text1"/>
        </w:rPr>
        <w:t xml:space="preserve">is limited </w:t>
      </w:r>
      <w:r w:rsidR="0079722A" w:rsidRPr="006E4C92">
        <w:rPr>
          <w:rFonts w:cstheme="minorHAnsi"/>
          <w:color w:val="000000" w:themeColor="text1"/>
        </w:rPr>
        <w:t xml:space="preserve">to </w:t>
      </w:r>
      <w:r w:rsidR="00CA252E" w:rsidRPr="006E4C92">
        <w:rPr>
          <w:rFonts w:cstheme="minorHAnsi"/>
          <w:color w:val="000000" w:themeColor="text1"/>
        </w:rPr>
        <w:t xml:space="preserve">adults (16 and above) working in the </w:t>
      </w:r>
      <w:r w:rsidR="00523FAC" w:rsidRPr="006E4C92">
        <w:rPr>
          <w:rFonts w:cstheme="minorHAnsi"/>
          <w:color w:val="000000" w:themeColor="text1"/>
        </w:rPr>
        <w:t>formal sector</w:t>
      </w:r>
      <w:r w:rsidR="005F0147" w:rsidRPr="006E4C92">
        <w:rPr>
          <w:rFonts w:cstheme="minorHAnsi"/>
          <w:color w:val="000000" w:themeColor="text1"/>
        </w:rPr>
        <w:t xml:space="preserve">. </w:t>
      </w:r>
      <w:r w:rsidR="004B5C31" w:rsidRPr="006E4C92">
        <w:rPr>
          <w:rFonts w:cstheme="minorHAnsi"/>
          <w:color w:val="000000" w:themeColor="text1"/>
        </w:rPr>
        <w:t xml:space="preserve">The formal sector </w:t>
      </w:r>
      <w:r w:rsidR="0079722A" w:rsidRPr="006E4C92">
        <w:rPr>
          <w:rFonts w:cstheme="minorHAnsi"/>
          <w:color w:val="000000" w:themeColor="text1"/>
        </w:rPr>
        <w:t>inclu</w:t>
      </w:r>
      <w:r w:rsidR="005F0147" w:rsidRPr="006E4C92">
        <w:rPr>
          <w:rFonts w:cstheme="minorHAnsi"/>
          <w:color w:val="000000" w:themeColor="text1"/>
        </w:rPr>
        <w:t>des</w:t>
      </w:r>
      <w:r w:rsidR="00523FAC" w:rsidRPr="006E4C92">
        <w:rPr>
          <w:rFonts w:cstheme="minorHAnsi"/>
          <w:color w:val="000000" w:themeColor="text1"/>
        </w:rPr>
        <w:t xml:space="preserve"> </w:t>
      </w:r>
      <w:r w:rsidR="00CA252E" w:rsidRPr="006E4C92">
        <w:rPr>
          <w:rFonts w:cstheme="minorHAnsi"/>
          <w:color w:val="000000" w:themeColor="text1"/>
        </w:rPr>
        <w:t xml:space="preserve">those </w:t>
      </w:r>
      <w:r w:rsidR="00523FAC" w:rsidRPr="006E4C92">
        <w:rPr>
          <w:rFonts w:cstheme="minorHAnsi"/>
          <w:color w:val="000000" w:themeColor="text1"/>
        </w:rPr>
        <w:t>employed at enterprises or organizations full</w:t>
      </w:r>
      <w:r w:rsidRPr="006E4C92">
        <w:rPr>
          <w:rFonts w:cstheme="minorHAnsi"/>
          <w:color w:val="000000" w:themeColor="text1"/>
        </w:rPr>
        <w:t xml:space="preserve"> </w:t>
      </w:r>
      <w:r w:rsidR="00523FAC" w:rsidRPr="006E4C92">
        <w:rPr>
          <w:rFonts w:cstheme="minorHAnsi"/>
          <w:color w:val="000000" w:themeColor="text1"/>
        </w:rPr>
        <w:t>time or part</w:t>
      </w:r>
      <w:r w:rsidRPr="006E4C92">
        <w:rPr>
          <w:rFonts w:cstheme="minorHAnsi"/>
          <w:color w:val="000000" w:themeColor="text1"/>
        </w:rPr>
        <w:t xml:space="preserve"> </w:t>
      </w:r>
      <w:r w:rsidR="00523FAC" w:rsidRPr="006E4C92">
        <w:rPr>
          <w:rFonts w:cstheme="minorHAnsi"/>
          <w:color w:val="000000" w:themeColor="text1"/>
        </w:rPr>
        <w:t>time</w:t>
      </w:r>
      <w:r w:rsidRPr="006E4C92">
        <w:rPr>
          <w:rFonts w:cstheme="minorHAnsi"/>
          <w:color w:val="000000" w:themeColor="text1"/>
        </w:rPr>
        <w:t xml:space="preserve"> and exclud</w:t>
      </w:r>
      <w:r w:rsidR="005F0147" w:rsidRPr="006E4C92">
        <w:rPr>
          <w:rFonts w:cstheme="minorHAnsi"/>
          <w:color w:val="000000" w:themeColor="text1"/>
        </w:rPr>
        <w:t>es</w:t>
      </w:r>
      <w:r w:rsidRPr="006E4C92">
        <w:rPr>
          <w:rFonts w:cstheme="minorHAnsi"/>
          <w:color w:val="000000" w:themeColor="text1"/>
        </w:rPr>
        <w:t xml:space="preserve"> </w:t>
      </w:r>
      <w:r w:rsidR="005F0147" w:rsidRPr="006E4C92">
        <w:rPr>
          <w:rFonts w:cstheme="minorHAnsi"/>
          <w:color w:val="000000" w:themeColor="text1"/>
        </w:rPr>
        <w:t xml:space="preserve">the </w:t>
      </w:r>
      <w:r w:rsidRPr="006E4C92">
        <w:rPr>
          <w:rFonts w:cstheme="minorHAnsi"/>
          <w:color w:val="000000" w:themeColor="text1"/>
        </w:rPr>
        <w:t>self-employed and casual labor</w:t>
      </w:r>
      <w:r w:rsidR="00523FAC" w:rsidRPr="006E4C92">
        <w:rPr>
          <w:rFonts w:cstheme="minorHAnsi"/>
          <w:color w:val="000000" w:themeColor="text1"/>
        </w:rPr>
        <w:t xml:space="preserve">. </w:t>
      </w:r>
      <w:r w:rsidR="008921A2" w:rsidRPr="006E4C92">
        <w:rPr>
          <w:rFonts w:cstheme="minorHAnsi"/>
          <w:color w:val="000000" w:themeColor="text1"/>
        </w:rPr>
        <w:t xml:space="preserve">SOE employees </w:t>
      </w:r>
      <w:r w:rsidR="005F0147" w:rsidRPr="006E4C92">
        <w:rPr>
          <w:rFonts w:cstheme="minorHAnsi"/>
          <w:color w:val="000000" w:themeColor="text1"/>
        </w:rPr>
        <w:t xml:space="preserve">are </w:t>
      </w:r>
      <w:r w:rsidR="00523FAC" w:rsidRPr="006E4C92">
        <w:rPr>
          <w:rFonts w:cstheme="minorHAnsi"/>
          <w:color w:val="000000" w:themeColor="text1"/>
        </w:rPr>
        <w:t xml:space="preserve">defined </w:t>
      </w:r>
      <w:r w:rsidR="005F0147" w:rsidRPr="006E4C92">
        <w:rPr>
          <w:rFonts w:cstheme="minorHAnsi"/>
          <w:color w:val="000000" w:themeColor="text1"/>
        </w:rPr>
        <w:t xml:space="preserve">as </w:t>
      </w:r>
      <w:r w:rsidR="00523FAC" w:rsidRPr="006E4C92">
        <w:rPr>
          <w:rFonts w:cstheme="minorHAnsi"/>
          <w:color w:val="000000" w:themeColor="text1"/>
        </w:rPr>
        <w:t xml:space="preserve">workers </w:t>
      </w:r>
      <w:r w:rsidR="00D161FB" w:rsidRPr="006E4C92">
        <w:rPr>
          <w:rFonts w:cstheme="minorHAnsi"/>
          <w:color w:val="000000" w:themeColor="text1"/>
        </w:rPr>
        <w:t xml:space="preserve">in </w:t>
      </w:r>
      <w:r w:rsidR="00523FAC" w:rsidRPr="006E4C92">
        <w:rPr>
          <w:rFonts w:cstheme="minorHAnsi"/>
          <w:color w:val="000000" w:themeColor="text1"/>
        </w:rPr>
        <w:t xml:space="preserve">establishments </w:t>
      </w:r>
      <w:r w:rsidR="00D161FB" w:rsidRPr="006E4C92">
        <w:rPr>
          <w:rFonts w:cstheme="minorHAnsi"/>
          <w:color w:val="000000" w:themeColor="text1"/>
        </w:rPr>
        <w:t xml:space="preserve">owned or co-owned by the </w:t>
      </w:r>
      <w:r w:rsidR="00523FAC" w:rsidRPr="006E4C92">
        <w:rPr>
          <w:rFonts w:cstheme="minorHAnsi"/>
          <w:color w:val="000000" w:themeColor="text1"/>
        </w:rPr>
        <w:t>government</w:t>
      </w:r>
      <w:r w:rsidR="008921A2" w:rsidRPr="006E4C92">
        <w:rPr>
          <w:rFonts w:cstheme="minorHAnsi"/>
          <w:color w:val="000000" w:themeColor="text1"/>
        </w:rPr>
        <w:t xml:space="preserve"> who do not work for the general government (“budget” sector)</w:t>
      </w:r>
      <w:r w:rsidR="00056E0E" w:rsidRPr="006E4C92">
        <w:rPr>
          <w:rFonts w:cstheme="minorHAnsi"/>
          <w:color w:val="000000" w:themeColor="text1"/>
        </w:rPr>
        <w:t xml:space="preserve">, which </w:t>
      </w:r>
      <w:r w:rsidR="004B5C31" w:rsidRPr="006E4C92">
        <w:rPr>
          <w:rFonts w:cstheme="minorHAnsi"/>
          <w:color w:val="000000" w:themeColor="text1"/>
        </w:rPr>
        <w:t xml:space="preserve">in turn </w:t>
      </w:r>
      <w:r w:rsidR="00056E0E" w:rsidRPr="006E4C92">
        <w:rPr>
          <w:rFonts w:cstheme="minorHAnsi"/>
          <w:color w:val="000000" w:themeColor="text1"/>
        </w:rPr>
        <w:t xml:space="preserve">is defined as government-(co)owned establishments in </w:t>
      </w:r>
      <w:r w:rsidR="004F12CF" w:rsidRPr="006E4C92">
        <w:rPr>
          <w:rFonts w:cstheme="minorHAnsi"/>
          <w:color w:val="000000" w:themeColor="text1"/>
        </w:rPr>
        <w:t xml:space="preserve">education, health, government and public administration, science, culture, arts, army, police, or security </w:t>
      </w:r>
      <w:r w:rsidR="00056E0E" w:rsidRPr="006E4C92">
        <w:rPr>
          <w:rFonts w:cstheme="minorHAnsi"/>
          <w:color w:val="000000" w:themeColor="text1"/>
        </w:rPr>
        <w:t>sectors</w:t>
      </w:r>
      <w:r w:rsidR="004F12CF" w:rsidRPr="006E4C92">
        <w:rPr>
          <w:rFonts w:cstheme="minorHAnsi"/>
          <w:color w:val="000000" w:themeColor="text1"/>
        </w:rPr>
        <w:t>.</w:t>
      </w:r>
      <w:r w:rsidR="00056E0E" w:rsidRPr="006E4C92">
        <w:rPr>
          <w:rFonts w:cstheme="minorHAnsi"/>
          <w:color w:val="000000" w:themeColor="text1"/>
        </w:rPr>
        <w:t xml:space="preserve"> </w:t>
      </w:r>
      <w:r w:rsidR="00182882" w:rsidRPr="006E4C92">
        <w:rPr>
          <w:rFonts w:cstheme="minorHAnsi"/>
          <w:color w:val="000000" w:themeColor="text1"/>
        </w:rPr>
        <w:t>“</w:t>
      </w:r>
      <w:r w:rsidR="00056E0E" w:rsidRPr="006E4C92">
        <w:rPr>
          <w:rFonts w:cstheme="minorHAnsi"/>
          <w:color w:val="000000" w:themeColor="text1"/>
        </w:rPr>
        <w:t>State SOEs</w:t>
      </w:r>
      <w:r w:rsidR="00182882" w:rsidRPr="006E4C92">
        <w:rPr>
          <w:rFonts w:cstheme="minorHAnsi"/>
          <w:color w:val="000000" w:themeColor="text1"/>
        </w:rPr>
        <w:t>”</w:t>
      </w:r>
      <w:r w:rsidR="00056E0E" w:rsidRPr="006E4C92">
        <w:rPr>
          <w:rFonts w:cstheme="minorHAnsi"/>
          <w:color w:val="000000" w:themeColor="text1"/>
        </w:rPr>
        <w:t xml:space="preserve"> are establishments with no private owners. </w:t>
      </w:r>
      <w:r w:rsidR="00182882" w:rsidRPr="006E4C92">
        <w:rPr>
          <w:rFonts w:cstheme="minorHAnsi"/>
          <w:color w:val="000000" w:themeColor="text1"/>
        </w:rPr>
        <w:t>“</w:t>
      </w:r>
      <w:r w:rsidR="00056E0E" w:rsidRPr="006E4C92">
        <w:rPr>
          <w:rFonts w:cstheme="minorHAnsi"/>
          <w:color w:val="000000" w:themeColor="text1"/>
        </w:rPr>
        <w:t>Mixed SOEs</w:t>
      </w:r>
      <w:r w:rsidR="00182882" w:rsidRPr="006E4C92">
        <w:rPr>
          <w:rFonts w:cstheme="minorHAnsi"/>
          <w:color w:val="000000" w:themeColor="text1"/>
        </w:rPr>
        <w:t>”</w:t>
      </w:r>
      <w:r w:rsidR="00056E0E" w:rsidRPr="006E4C92">
        <w:rPr>
          <w:rFonts w:cstheme="minorHAnsi"/>
          <w:color w:val="000000" w:themeColor="text1"/>
        </w:rPr>
        <w:t xml:space="preserve"> are establishments with both private and state owners.</w:t>
      </w:r>
      <w:bookmarkStart w:id="135" w:name="_Hlk1137712"/>
      <w:r w:rsidR="0075667D" w:rsidRPr="006E4C92">
        <w:rPr>
          <w:rFonts w:cstheme="minorHAnsi"/>
          <w:color w:val="000000" w:themeColor="text1"/>
        </w:rPr>
        <w:t xml:space="preserve"> </w:t>
      </w:r>
      <w:r w:rsidR="004F12CF" w:rsidRPr="006E4C92">
        <w:rPr>
          <w:rFonts w:cstheme="minorHAnsi"/>
          <w:color w:val="000000" w:themeColor="text1"/>
        </w:rPr>
        <w:t xml:space="preserve">All monetary variables are adjusted for inflation using the data on annual CPIs from the World Bank online database (2010 = 100): </w:t>
      </w:r>
      <w:hyperlink r:id="rId55" w:history="1">
        <w:r w:rsidR="004F12CF" w:rsidRPr="006E4C92">
          <w:rPr>
            <w:rStyle w:val="Hyperlink"/>
            <w:rFonts w:cstheme="minorHAnsi"/>
          </w:rPr>
          <w:t>https://data.worldbank.org/indicator/FP.CPI.TOTL</w:t>
        </w:r>
      </w:hyperlink>
      <w:r w:rsidR="004F12CF" w:rsidRPr="006E4C92">
        <w:rPr>
          <w:rFonts w:cstheme="minorHAnsi"/>
          <w:color w:val="000000" w:themeColor="text1"/>
        </w:rPr>
        <w:t>.</w:t>
      </w:r>
      <w:bookmarkEnd w:id="135"/>
      <w:r w:rsidR="004F12CF" w:rsidRPr="006E4C92">
        <w:rPr>
          <w:rFonts w:cstheme="minorHAnsi"/>
          <w:color w:val="000000" w:themeColor="text1"/>
        </w:rPr>
        <w:t xml:space="preserve"> Survey weights constructed by the RLMS team are used in all estimations.</w:t>
      </w:r>
    </w:p>
    <w:p w14:paraId="088B844E" w14:textId="77777777" w:rsidR="00523FAC" w:rsidRPr="006E4C92" w:rsidRDefault="00523FAC" w:rsidP="00CE1189">
      <w:pPr>
        <w:spacing w:after="0" w:line="240" w:lineRule="auto"/>
        <w:contextualSpacing/>
        <w:rPr>
          <w:rFonts w:cstheme="minorHAnsi"/>
          <w:color w:val="000000" w:themeColor="text1"/>
        </w:rPr>
      </w:pPr>
    </w:p>
    <w:p w14:paraId="6B5F5915" w14:textId="77777777" w:rsidR="00523FAC" w:rsidRPr="006E4C92" w:rsidRDefault="00523FAC" w:rsidP="00CE1189">
      <w:pPr>
        <w:spacing w:after="0" w:line="240" w:lineRule="auto"/>
        <w:contextualSpacing/>
        <w:rPr>
          <w:rFonts w:cstheme="minorHAnsi"/>
          <w:b/>
          <w:color w:val="000000" w:themeColor="text1"/>
        </w:rPr>
      </w:pPr>
      <w:r w:rsidRPr="006E4C92">
        <w:rPr>
          <w:rFonts w:cstheme="minorHAnsi"/>
          <w:b/>
          <w:color w:val="000000" w:themeColor="text1"/>
        </w:rPr>
        <w:t>The Survey of Occupational Wages</w:t>
      </w:r>
    </w:p>
    <w:p w14:paraId="5CDDE0EA" w14:textId="77777777" w:rsidR="006E4C92" w:rsidRDefault="006E4C92" w:rsidP="00054022">
      <w:pPr>
        <w:spacing w:after="0" w:line="240" w:lineRule="auto"/>
        <w:contextualSpacing/>
        <w:rPr>
          <w:rFonts w:cstheme="minorHAnsi"/>
          <w:color w:val="000000" w:themeColor="text1"/>
        </w:rPr>
      </w:pPr>
    </w:p>
    <w:p w14:paraId="26F04982" w14:textId="6B3EA21B" w:rsidR="000D165F" w:rsidRPr="006E4C92" w:rsidRDefault="000D165F" w:rsidP="00054022">
      <w:pPr>
        <w:spacing w:after="0" w:line="240" w:lineRule="auto"/>
        <w:contextualSpacing/>
        <w:rPr>
          <w:rFonts w:cstheme="minorHAnsi"/>
          <w:color w:val="000000" w:themeColor="text1"/>
        </w:rPr>
      </w:pPr>
      <w:r w:rsidRPr="006E4C92">
        <w:rPr>
          <w:rFonts w:cstheme="minorHAnsi"/>
          <w:color w:val="000000" w:themeColor="text1"/>
        </w:rPr>
        <w:t>A repeated cross-section c</w:t>
      </w:r>
      <w:r w:rsidR="00523FAC" w:rsidRPr="006E4C92">
        <w:rPr>
          <w:rFonts w:cstheme="minorHAnsi"/>
          <w:color w:val="000000" w:themeColor="text1"/>
        </w:rPr>
        <w:t xml:space="preserve">onducted </w:t>
      </w:r>
      <w:r w:rsidR="00B1406E" w:rsidRPr="006E4C92">
        <w:rPr>
          <w:rFonts w:cstheme="minorHAnsi"/>
          <w:color w:val="000000" w:themeColor="text1"/>
        </w:rPr>
        <w:t xml:space="preserve">every two years </w:t>
      </w:r>
      <w:r w:rsidR="00523FAC" w:rsidRPr="006E4C92">
        <w:rPr>
          <w:rFonts w:cstheme="minorHAnsi"/>
          <w:color w:val="000000" w:themeColor="text1"/>
        </w:rPr>
        <w:t xml:space="preserve">by the Russian Statistical Office (Rosstat) </w:t>
      </w:r>
      <w:r w:rsidR="00B1406E" w:rsidRPr="006E4C92">
        <w:rPr>
          <w:rFonts w:cstheme="minorHAnsi"/>
          <w:color w:val="000000" w:themeColor="text1"/>
        </w:rPr>
        <w:t xml:space="preserve">and </w:t>
      </w:r>
      <w:r w:rsidR="00523FAC" w:rsidRPr="006E4C92">
        <w:rPr>
          <w:rFonts w:cstheme="minorHAnsi"/>
          <w:color w:val="000000" w:themeColor="text1"/>
        </w:rPr>
        <w:t xml:space="preserve">designed as an establishment survey. </w:t>
      </w:r>
      <w:r w:rsidRPr="006E4C92">
        <w:rPr>
          <w:rFonts w:cstheme="minorHAnsi"/>
          <w:color w:val="000000" w:themeColor="text1"/>
        </w:rPr>
        <w:t>The survey</w:t>
      </w:r>
      <w:r w:rsidR="00523FAC" w:rsidRPr="006E4C92">
        <w:rPr>
          <w:rFonts w:cstheme="minorHAnsi"/>
          <w:color w:val="000000" w:themeColor="text1"/>
        </w:rPr>
        <w:t xml:space="preserve"> first samples establishments and then workers within establishments. </w:t>
      </w:r>
      <w:r w:rsidR="00A94A17" w:rsidRPr="006E4C92">
        <w:rPr>
          <w:rFonts w:cstheme="minorHAnsi"/>
          <w:color w:val="000000" w:themeColor="text1"/>
        </w:rPr>
        <w:t xml:space="preserve">Data on wages, worker characteristics, and selected firm characteristics are provided by establishments. This design minimizes the number of missing observations and reporting errors which are common in household surveys. </w:t>
      </w:r>
      <w:r w:rsidRPr="006E4C92">
        <w:rPr>
          <w:rFonts w:cstheme="minorHAnsi"/>
          <w:color w:val="000000" w:themeColor="text1"/>
        </w:rPr>
        <w:t xml:space="preserve">Each wave covers approximately 700,000 workers and is representative at the regional level for all Russian regions. </w:t>
      </w:r>
    </w:p>
    <w:p w14:paraId="736A1B88" w14:textId="77777777" w:rsidR="006E4C92" w:rsidRDefault="006E4C92" w:rsidP="006E4C92">
      <w:pPr>
        <w:spacing w:after="0" w:line="240" w:lineRule="auto"/>
        <w:contextualSpacing/>
        <w:rPr>
          <w:rFonts w:cstheme="minorHAnsi"/>
          <w:color w:val="000000" w:themeColor="text1"/>
        </w:rPr>
      </w:pPr>
    </w:p>
    <w:p w14:paraId="6E621766" w14:textId="470A5BA1" w:rsidR="00523FAC" w:rsidRPr="006E4C92" w:rsidRDefault="00A85A11" w:rsidP="006E4C92">
      <w:pPr>
        <w:spacing w:after="0" w:line="240" w:lineRule="auto"/>
        <w:contextualSpacing/>
        <w:rPr>
          <w:rFonts w:cstheme="minorHAnsi"/>
          <w:color w:val="000000" w:themeColor="text1"/>
        </w:rPr>
      </w:pPr>
      <w:r w:rsidRPr="006E4C92">
        <w:rPr>
          <w:rFonts w:cstheme="minorHAnsi"/>
          <w:color w:val="000000" w:themeColor="text1"/>
        </w:rPr>
        <w:t xml:space="preserve">The sample is representative </w:t>
      </w:r>
      <w:r w:rsidR="00C65EF4" w:rsidRPr="006E4C92">
        <w:rPr>
          <w:rFonts w:cstheme="minorHAnsi"/>
          <w:color w:val="000000" w:themeColor="text1"/>
        </w:rPr>
        <w:t xml:space="preserve">of formal </w:t>
      </w:r>
      <w:r w:rsidRPr="006E4C92">
        <w:rPr>
          <w:rFonts w:cstheme="minorHAnsi"/>
          <w:color w:val="000000" w:themeColor="text1"/>
        </w:rPr>
        <w:t>medium and large sized firms; s</w:t>
      </w:r>
      <w:r w:rsidR="00523FAC" w:rsidRPr="006E4C92">
        <w:rPr>
          <w:rFonts w:cstheme="minorHAnsi"/>
          <w:color w:val="000000" w:themeColor="text1"/>
        </w:rPr>
        <w:t>mall and micro-</w:t>
      </w:r>
      <w:r w:rsidR="007F6CF7" w:rsidRPr="006E4C92">
        <w:rPr>
          <w:rFonts w:cstheme="minorHAnsi"/>
          <w:color w:val="000000" w:themeColor="text1"/>
        </w:rPr>
        <w:t>size</w:t>
      </w:r>
      <w:r w:rsidR="00523FAC" w:rsidRPr="006E4C92">
        <w:rPr>
          <w:rFonts w:cstheme="minorHAnsi"/>
          <w:color w:val="000000" w:themeColor="text1"/>
        </w:rPr>
        <w:t xml:space="preserve"> firms</w:t>
      </w:r>
      <w:r w:rsidR="007F6CF7" w:rsidRPr="006E4C92">
        <w:rPr>
          <w:rFonts w:cstheme="minorHAnsi"/>
          <w:color w:val="000000" w:themeColor="text1"/>
        </w:rPr>
        <w:t xml:space="preserve"> </w:t>
      </w:r>
      <w:r w:rsidRPr="006E4C92">
        <w:rPr>
          <w:rFonts w:cstheme="minorHAnsi"/>
          <w:color w:val="000000" w:themeColor="text1"/>
        </w:rPr>
        <w:t xml:space="preserve">are included (22 percent of sample) but not </w:t>
      </w:r>
      <w:r w:rsidR="007F6CF7" w:rsidRPr="006E4C92">
        <w:rPr>
          <w:rFonts w:cstheme="minorHAnsi"/>
          <w:color w:val="000000" w:themeColor="text1"/>
        </w:rPr>
        <w:t xml:space="preserve">considered representative because </w:t>
      </w:r>
      <w:r w:rsidR="007D761A" w:rsidRPr="006E4C92">
        <w:rPr>
          <w:rFonts w:cstheme="minorHAnsi"/>
          <w:color w:val="000000" w:themeColor="text1"/>
        </w:rPr>
        <w:t xml:space="preserve">Rosstat does not have a </w:t>
      </w:r>
      <w:r w:rsidRPr="006E4C92">
        <w:rPr>
          <w:rFonts w:cstheme="minorHAnsi"/>
          <w:color w:val="000000" w:themeColor="text1"/>
        </w:rPr>
        <w:t xml:space="preserve">reliable sampling frame </w:t>
      </w:r>
      <w:r w:rsidR="007D761A" w:rsidRPr="006E4C92">
        <w:rPr>
          <w:rFonts w:cstheme="minorHAnsi"/>
          <w:color w:val="000000" w:themeColor="text1"/>
        </w:rPr>
        <w:t>of such firms</w:t>
      </w:r>
      <w:r w:rsidR="00523FAC" w:rsidRPr="006E4C92">
        <w:rPr>
          <w:rFonts w:cstheme="minorHAnsi"/>
          <w:color w:val="000000" w:themeColor="text1"/>
        </w:rPr>
        <w:t xml:space="preserve">. For </w:t>
      </w:r>
      <w:r w:rsidR="00D92C71" w:rsidRPr="006E4C92">
        <w:rPr>
          <w:rFonts w:cstheme="minorHAnsi"/>
          <w:color w:val="000000" w:themeColor="text1"/>
        </w:rPr>
        <w:t>2015</w:t>
      </w:r>
      <w:r w:rsidR="00523FAC" w:rsidRPr="006E4C92">
        <w:rPr>
          <w:rFonts w:cstheme="minorHAnsi"/>
          <w:color w:val="000000" w:themeColor="text1"/>
        </w:rPr>
        <w:t>, the results are representative for 2</w:t>
      </w:r>
      <w:r w:rsidR="00D92C71" w:rsidRPr="006E4C92">
        <w:rPr>
          <w:rFonts w:cstheme="minorHAnsi"/>
          <w:color w:val="000000" w:themeColor="text1"/>
        </w:rPr>
        <w:t>7</w:t>
      </w:r>
      <w:r w:rsidR="00523FAC" w:rsidRPr="006E4C92">
        <w:rPr>
          <w:rFonts w:cstheme="minorHAnsi"/>
          <w:color w:val="000000" w:themeColor="text1"/>
        </w:rPr>
        <w:t>.</w:t>
      </w:r>
      <w:r w:rsidR="00D92C71" w:rsidRPr="006E4C92">
        <w:rPr>
          <w:rFonts w:cstheme="minorHAnsi"/>
          <w:color w:val="000000" w:themeColor="text1"/>
        </w:rPr>
        <w:t>7</w:t>
      </w:r>
      <w:r w:rsidR="00523FAC" w:rsidRPr="006E4C92">
        <w:rPr>
          <w:rFonts w:cstheme="minorHAnsi"/>
          <w:color w:val="000000" w:themeColor="text1"/>
        </w:rPr>
        <w:t xml:space="preserve"> </w:t>
      </w:r>
      <w:r w:rsidR="00D92C71" w:rsidRPr="006E4C92">
        <w:rPr>
          <w:rFonts w:cstheme="minorHAnsi"/>
          <w:color w:val="000000" w:themeColor="text1"/>
        </w:rPr>
        <w:t xml:space="preserve">million </w:t>
      </w:r>
      <w:r w:rsidR="00523FAC" w:rsidRPr="006E4C92">
        <w:rPr>
          <w:rFonts w:cstheme="minorHAnsi"/>
          <w:color w:val="000000" w:themeColor="text1"/>
        </w:rPr>
        <w:t>workers (</w:t>
      </w:r>
      <w:r w:rsidR="00D92C71" w:rsidRPr="006E4C92">
        <w:rPr>
          <w:rFonts w:cstheme="minorHAnsi"/>
          <w:color w:val="000000" w:themeColor="text1"/>
        </w:rPr>
        <w:t xml:space="preserve">38 percent </w:t>
      </w:r>
      <w:r w:rsidR="00523FAC" w:rsidRPr="006E4C92">
        <w:rPr>
          <w:rFonts w:cstheme="minorHAnsi"/>
          <w:color w:val="000000" w:themeColor="text1"/>
        </w:rPr>
        <w:t>of total employment and 8</w:t>
      </w:r>
      <w:r w:rsidR="00D92C71" w:rsidRPr="006E4C92">
        <w:rPr>
          <w:rFonts w:cstheme="minorHAnsi"/>
          <w:color w:val="000000" w:themeColor="text1"/>
        </w:rPr>
        <w:t xml:space="preserve">3 percent </w:t>
      </w:r>
      <w:r w:rsidR="00523FAC" w:rsidRPr="006E4C92">
        <w:rPr>
          <w:rFonts w:cstheme="minorHAnsi"/>
          <w:color w:val="000000" w:themeColor="text1"/>
        </w:rPr>
        <w:t xml:space="preserve">of payroll employment in large and medium-size establishments). </w:t>
      </w:r>
      <w:r w:rsidR="00C65EF4" w:rsidRPr="006E4C92">
        <w:rPr>
          <w:rFonts w:cstheme="minorHAnsi"/>
          <w:color w:val="000000" w:themeColor="text1"/>
        </w:rPr>
        <w:t>Public administration</w:t>
      </w:r>
      <w:r w:rsidR="00833115" w:rsidRPr="006E4C92">
        <w:rPr>
          <w:rFonts w:cstheme="minorHAnsi"/>
          <w:color w:val="000000" w:themeColor="text1"/>
        </w:rPr>
        <w:t xml:space="preserve"> </w:t>
      </w:r>
      <w:r w:rsidR="00C65EF4" w:rsidRPr="006E4C92">
        <w:rPr>
          <w:rFonts w:cstheme="minorHAnsi"/>
          <w:color w:val="000000" w:themeColor="text1"/>
        </w:rPr>
        <w:t>and financial sector</w:t>
      </w:r>
      <w:r w:rsidR="00833115" w:rsidRPr="006E4C92">
        <w:rPr>
          <w:rFonts w:cstheme="minorHAnsi"/>
          <w:color w:val="000000" w:themeColor="text1"/>
        </w:rPr>
        <w:t>s</w:t>
      </w:r>
      <w:r w:rsidR="00C65EF4" w:rsidRPr="006E4C92">
        <w:rPr>
          <w:rFonts w:cstheme="minorHAnsi"/>
          <w:color w:val="000000" w:themeColor="text1"/>
        </w:rPr>
        <w:t xml:space="preserve"> are </w:t>
      </w:r>
      <w:r w:rsidR="00833115" w:rsidRPr="006E4C92">
        <w:rPr>
          <w:rFonts w:cstheme="minorHAnsi"/>
          <w:color w:val="000000" w:themeColor="text1"/>
        </w:rPr>
        <w:t>not in the dataset, and we exclude agriculture because it is missing for most years</w:t>
      </w:r>
      <w:r w:rsidR="00C65EF4" w:rsidRPr="006E4C92">
        <w:rPr>
          <w:rFonts w:cstheme="minorHAnsi"/>
          <w:color w:val="000000" w:themeColor="text1"/>
        </w:rPr>
        <w:t xml:space="preserve">. </w:t>
      </w:r>
      <w:r w:rsidR="00523FAC" w:rsidRPr="006E4C92">
        <w:rPr>
          <w:rFonts w:cstheme="minorHAnsi"/>
          <w:color w:val="000000" w:themeColor="text1"/>
        </w:rPr>
        <w:t>We drop observations for Chechnya</w:t>
      </w:r>
      <w:r w:rsidR="00054022" w:rsidRPr="006E4C92">
        <w:rPr>
          <w:rFonts w:cstheme="minorHAnsi"/>
          <w:color w:val="000000" w:themeColor="text1"/>
        </w:rPr>
        <w:t>, Crimea, and Sevastopol as observations are missing for most years (</w:t>
      </w:r>
      <w:r w:rsidR="00523FAC" w:rsidRPr="006E4C92">
        <w:rPr>
          <w:rFonts w:cstheme="minorHAnsi"/>
          <w:color w:val="000000" w:themeColor="text1"/>
        </w:rPr>
        <w:t>Crimea and Sevastopol appear only in 2015</w:t>
      </w:r>
      <w:r w:rsidR="009461B1" w:rsidRPr="006E4C92">
        <w:rPr>
          <w:rFonts w:cstheme="minorHAnsi"/>
          <w:color w:val="000000" w:themeColor="text1"/>
        </w:rPr>
        <w:t>, and Chechnya after 2009</w:t>
      </w:r>
      <w:r w:rsidR="00054022" w:rsidRPr="006E4C92">
        <w:rPr>
          <w:rFonts w:cstheme="minorHAnsi"/>
          <w:color w:val="000000" w:themeColor="text1"/>
        </w:rPr>
        <w:t>)</w:t>
      </w:r>
      <w:r w:rsidR="00523FAC" w:rsidRPr="006E4C92">
        <w:rPr>
          <w:rFonts w:cstheme="minorHAnsi"/>
          <w:color w:val="000000" w:themeColor="text1"/>
        </w:rPr>
        <w:t xml:space="preserve">. Autonomous districts are distinguished within Arkhangelsk oblast’ and Tyumen’ oblast’ </w:t>
      </w:r>
      <w:r w:rsidR="009461B1" w:rsidRPr="006E4C92">
        <w:rPr>
          <w:rFonts w:cstheme="minorHAnsi"/>
          <w:color w:val="000000" w:themeColor="text1"/>
        </w:rPr>
        <w:t xml:space="preserve">due to </w:t>
      </w:r>
      <w:r w:rsidR="00523FAC" w:rsidRPr="006E4C92">
        <w:rPr>
          <w:rFonts w:cstheme="minorHAnsi"/>
          <w:color w:val="000000" w:themeColor="text1"/>
        </w:rPr>
        <w:t>inconsistences in aggregation of data within these regions across the surveyed years.</w:t>
      </w:r>
      <w:r w:rsidR="00024E53" w:rsidRPr="006E4C92">
        <w:rPr>
          <w:rFonts w:cstheme="minorHAnsi"/>
          <w:color w:val="000000" w:themeColor="text1"/>
        </w:rPr>
        <w:t xml:space="preserve"> </w:t>
      </w:r>
    </w:p>
    <w:p w14:paraId="037B6756" w14:textId="77777777" w:rsidR="006E4C92" w:rsidRDefault="006E4C92" w:rsidP="006E4C92">
      <w:pPr>
        <w:spacing w:after="0" w:line="240" w:lineRule="auto"/>
        <w:contextualSpacing/>
        <w:rPr>
          <w:rFonts w:cstheme="minorHAnsi"/>
          <w:color w:val="000000" w:themeColor="text1"/>
        </w:rPr>
      </w:pPr>
    </w:p>
    <w:p w14:paraId="667466D2" w14:textId="48AF2DC3" w:rsidR="00523FAC" w:rsidRPr="006E4C92" w:rsidRDefault="00523FAC" w:rsidP="006E4C92">
      <w:pPr>
        <w:spacing w:after="0" w:line="240" w:lineRule="auto"/>
        <w:contextualSpacing/>
        <w:rPr>
          <w:rFonts w:cstheme="minorHAnsi"/>
          <w:color w:val="000000" w:themeColor="text1"/>
        </w:rPr>
      </w:pPr>
      <w:r w:rsidRPr="006E4C92">
        <w:rPr>
          <w:rFonts w:cstheme="minorHAnsi"/>
          <w:color w:val="000000" w:themeColor="text1"/>
        </w:rPr>
        <w:t>The survey covers employees who worked all working days, regardless full-time or part-time, in the reference month (October). CEOs, independent contractors and other workers not on payroll are excluded. We use the rounds of the survey administered between 2005 and 2015.</w:t>
      </w:r>
      <w:r w:rsidR="00A94A17" w:rsidRPr="006E4C92">
        <w:rPr>
          <w:rFonts w:cstheme="minorHAnsi"/>
          <w:color w:val="000000" w:themeColor="text1"/>
        </w:rPr>
        <w:t xml:space="preserve"> </w:t>
      </w:r>
      <w:r w:rsidRPr="006E4C92">
        <w:rPr>
          <w:rFonts w:cstheme="minorHAnsi"/>
          <w:color w:val="000000" w:themeColor="text1"/>
        </w:rPr>
        <w:t xml:space="preserve">Survey weights used in all estimations are constructed by the Rosstat. </w:t>
      </w:r>
    </w:p>
    <w:p w14:paraId="711990D4" w14:textId="77777777" w:rsidR="006E4C92" w:rsidRDefault="006E4C92" w:rsidP="006E4C92">
      <w:pPr>
        <w:spacing w:after="0" w:line="240" w:lineRule="auto"/>
        <w:contextualSpacing/>
        <w:rPr>
          <w:rFonts w:cstheme="minorHAnsi"/>
          <w:iCs/>
          <w:color w:val="000000" w:themeColor="text1"/>
        </w:rPr>
      </w:pPr>
    </w:p>
    <w:p w14:paraId="0E1A0956" w14:textId="30380B63" w:rsidR="00523FAC" w:rsidRPr="006E4C92" w:rsidRDefault="00E14431" w:rsidP="006E4C92">
      <w:pPr>
        <w:spacing w:after="0" w:line="240" w:lineRule="auto"/>
        <w:contextualSpacing/>
        <w:rPr>
          <w:rFonts w:cstheme="minorHAnsi"/>
          <w:color w:val="000000" w:themeColor="text1"/>
        </w:rPr>
      </w:pPr>
      <w:r w:rsidRPr="006E4C92">
        <w:rPr>
          <w:rFonts w:cstheme="minorHAnsi"/>
          <w:iCs/>
          <w:color w:val="000000" w:themeColor="text1"/>
        </w:rPr>
        <w:t xml:space="preserve">The survey allows us to define </w:t>
      </w:r>
      <w:r w:rsidR="002E3AAC" w:rsidRPr="006E4C92">
        <w:rPr>
          <w:rFonts w:cstheme="minorHAnsi"/>
          <w:iCs/>
          <w:color w:val="000000" w:themeColor="text1"/>
        </w:rPr>
        <w:t xml:space="preserve">3 types of state ownership: </w:t>
      </w:r>
      <w:r w:rsidR="00523FAC" w:rsidRPr="006E4C92">
        <w:rPr>
          <w:rFonts w:cstheme="minorHAnsi"/>
          <w:color w:val="000000" w:themeColor="text1"/>
        </w:rPr>
        <w:t xml:space="preserve">private, state </w:t>
      </w:r>
      <w:r w:rsidR="002E3AAC" w:rsidRPr="006E4C92">
        <w:rPr>
          <w:rFonts w:cstheme="minorHAnsi"/>
          <w:color w:val="000000" w:themeColor="text1"/>
        </w:rPr>
        <w:t xml:space="preserve">(100 percent direct state ownership), </w:t>
      </w:r>
      <w:r w:rsidR="00523FAC" w:rsidRPr="006E4C92">
        <w:rPr>
          <w:rFonts w:cstheme="minorHAnsi"/>
          <w:color w:val="000000" w:themeColor="text1"/>
        </w:rPr>
        <w:t>and mixed (direct state stakes larger than 0% but less than 100% - exact share is unknown).</w:t>
      </w:r>
      <w:r w:rsidR="00523FAC" w:rsidRPr="006E4C92">
        <w:rPr>
          <w:rFonts w:cstheme="minorHAnsi"/>
        </w:rPr>
        <w:t xml:space="preserve"> </w:t>
      </w:r>
      <w:r w:rsidR="00523FAC" w:rsidRPr="006E4C92">
        <w:rPr>
          <w:rFonts w:cstheme="minorHAnsi"/>
          <w:color w:val="000000" w:themeColor="text1"/>
        </w:rPr>
        <w:t>State SOEs include establishments owned by the federal government and those owned by regional and municipal governments.</w:t>
      </w:r>
    </w:p>
    <w:p w14:paraId="17E4F07A" w14:textId="77777777" w:rsidR="00523FAC" w:rsidRPr="006E4C92" w:rsidRDefault="00523FAC" w:rsidP="00CE1189">
      <w:pPr>
        <w:spacing w:after="0" w:line="240" w:lineRule="auto"/>
        <w:contextualSpacing/>
        <w:rPr>
          <w:rFonts w:cstheme="minorHAnsi"/>
          <w:color w:val="000000" w:themeColor="text1"/>
        </w:rPr>
      </w:pPr>
    </w:p>
    <w:p w14:paraId="44EA2FB1" w14:textId="5C301AD5" w:rsidR="00523FAC" w:rsidRPr="006E4C92" w:rsidRDefault="00D36A66" w:rsidP="00CE1189">
      <w:pPr>
        <w:spacing w:after="0" w:line="240" w:lineRule="auto"/>
        <w:contextualSpacing/>
        <w:rPr>
          <w:rFonts w:cstheme="minorHAnsi"/>
          <w:b/>
          <w:color w:val="000000" w:themeColor="text1"/>
        </w:rPr>
      </w:pPr>
      <w:bookmarkStart w:id="136" w:name="_Hlk535518049"/>
      <w:bookmarkStart w:id="137" w:name="_Hlk535518283"/>
      <w:r>
        <w:rPr>
          <w:rFonts w:cstheme="minorHAnsi"/>
          <w:b/>
          <w:color w:val="000000" w:themeColor="text1"/>
        </w:rPr>
        <w:t>I</w:t>
      </w:r>
      <w:r w:rsidR="00523FAC" w:rsidRPr="006E4C92">
        <w:rPr>
          <w:rFonts w:cstheme="minorHAnsi"/>
          <w:b/>
          <w:color w:val="000000" w:themeColor="text1"/>
        </w:rPr>
        <w:t>IELM survey</w:t>
      </w:r>
      <w:bookmarkEnd w:id="136"/>
    </w:p>
    <w:bookmarkEnd w:id="137"/>
    <w:p w14:paraId="3F8139F9" w14:textId="77777777" w:rsidR="0050452B" w:rsidRDefault="0050452B" w:rsidP="00952C88">
      <w:pPr>
        <w:spacing w:after="0" w:line="240" w:lineRule="auto"/>
        <w:contextualSpacing/>
        <w:rPr>
          <w:rFonts w:cstheme="minorHAnsi"/>
          <w:color w:val="000000" w:themeColor="text1"/>
        </w:rPr>
      </w:pPr>
    </w:p>
    <w:p w14:paraId="61ADD10A" w14:textId="436CDE46" w:rsidR="00952C88" w:rsidRPr="006E4C92" w:rsidRDefault="004F58F5" w:rsidP="00952C88">
      <w:pPr>
        <w:spacing w:after="0" w:line="240" w:lineRule="auto"/>
        <w:contextualSpacing/>
        <w:rPr>
          <w:rFonts w:cstheme="minorHAnsi"/>
          <w:color w:val="000000" w:themeColor="text1"/>
        </w:rPr>
      </w:pPr>
      <w:r w:rsidRPr="006E4C92">
        <w:rPr>
          <w:rFonts w:cstheme="minorHAnsi"/>
          <w:color w:val="000000" w:themeColor="text1"/>
        </w:rPr>
        <w:t xml:space="preserve">A </w:t>
      </w:r>
      <w:r w:rsidR="00523FAC" w:rsidRPr="006E4C92">
        <w:rPr>
          <w:rFonts w:cstheme="minorHAnsi"/>
          <w:color w:val="000000" w:themeColor="text1"/>
        </w:rPr>
        <w:t xml:space="preserve">series of annual </w:t>
      </w:r>
      <w:r w:rsidRPr="006E4C92">
        <w:rPr>
          <w:rFonts w:cstheme="minorHAnsi"/>
          <w:color w:val="000000" w:themeColor="text1"/>
        </w:rPr>
        <w:t xml:space="preserve">cross-section </w:t>
      </w:r>
      <w:r w:rsidR="00523FAC" w:rsidRPr="006E4C92">
        <w:rPr>
          <w:rFonts w:cstheme="minorHAnsi"/>
          <w:color w:val="000000" w:themeColor="text1"/>
        </w:rPr>
        <w:t>surveys of a representative sample of Russian firms</w:t>
      </w:r>
      <w:r w:rsidR="000E7561" w:rsidRPr="006E4C92">
        <w:rPr>
          <w:rFonts w:cstheme="minorHAnsi"/>
          <w:color w:val="000000" w:themeColor="text1"/>
        </w:rPr>
        <w:t xml:space="preserve">, </w:t>
      </w:r>
      <w:r w:rsidR="00523FAC" w:rsidRPr="006E4C92">
        <w:rPr>
          <w:rFonts w:cstheme="minorHAnsi"/>
          <w:color w:val="000000" w:themeColor="text1"/>
        </w:rPr>
        <w:t xml:space="preserve">conducted </w:t>
      </w:r>
      <w:r w:rsidR="000E7561" w:rsidRPr="006E4C92">
        <w:rPr>
          <w:rFonts w:cstheme="minorHAnsi"/>
          <w:color w:val="000000" w:themeColor="text1"/>
        </w:rPr>
        <w:t xml:space="preserve">annually since </w:t>
      </w:r>
      <w:r w:rsidR="00523FAC" w:rsidRPr="006E4C92">
        <w:rPr>
          <w:rFonts w:cstheme="minorHAnsi"/>
          <w:color w:val="000000" w:themeColor="text1"/>
        </w:rPr>
        <w:t xml:space="preserve">2009 by the Laboratory for </w:t>
      </w:r>
      <w:proofErr w:type="spellStart"/>
      <w:r w:rsidR="00523FAC" w:rsidRPr="006E4C92">
        <w:rPr>
          <w:rFonts w:cstheme="minorHAnsi"/>
          <w:color w:val="000000" w:themeColor="text1"/>
        </w:rPr>
        <w:t>Labour</w:t>
      </w:r>
      <w:proofErr w:type="spellEnd"/>
      <w:r w:rsidR="00523FAC" w:rsidRPr="006E4C92">
        <w:rPr>
          <w:rFonts w:cstheme="minorHAnsi"/>
          <w:color w:val="000000" w:themeColor="text1"/>
        </w:rPr>
        <w:t xml:space="preserve"> Market Studies of Higher School of Economics. Each sample consists of 1000-2000 firms from different industries and different Russian regions. Topics covered include </w:t>
      </w:r>
      <w:r w:rsidR="002E3171" w:rsidRPr="006E4C92">
        <w:rPr>
          <w:rFonts w:cstheme="minorHAnsi"/>
          <w:color w:val="000000" w:themeColor="text1"/>
        </w:rPr>
        <w:t xml:space="preserve">compensation policies, human resource </w:t>
      </w:r>
      <w:r w:rsidR="006D10B2" w:rsidRPr="006E4C92">
        <w:rPr>
          <w:rFonts w:cstheme="minorHAnsi"/>
          <w:color w:val="000000" w:themeColor="text1"/>
        </w:rPr>
        <w:t xml:space="preserve">management </w:t>
      </w:r>
      <w:r w:rsidR="00523FAC" w:rsidRPr="006E4C92">
        <w:rPr>
          <w:rFonts w:cstheme="minorHAnsi"/>
          <w:color w:val="000000" w:themeColor="text1"/>
        </w:rPr>
        <w:t>practices, skill</w:t>
      </w:r>
      <w:r w:rsidR="006D10B2" w:rsidRPr="006E4C92">
        <w:rPr>
          <w:rFonts w:cstheme="minorHAnsi"/>
          <w:color w:val="000000" w:themeColor="text1"/>
        </w:rPr>
        <w:t xml:space="preserve"> shortages</w:t>
      </w:r>
      <w:r w:rsidR="00523FAC" w:rsidRPr="006E4C92">
        <w:rPr>
          <w:rFonts w:cstheme="minorHAnsi"/>
          <w:color w:val="000000" w:themeColor="text1"/>
        </w:rPr>
        <w:t xml:space="preserve">, compliance with labor protection legislation. Additional information at </w:t>
      </w:r>
      <w:hyperlink r:id="rId56" w:history="1">
        <w:r w:rsidR="00523FAC" w:rsidRPr="006E4C92">
          <w:rPr>
            <w:rStyle w:val="Hyperlink"/>
            <w:rFonts w:cstheme="minorHAnsi"/>
          </w:rPr>
          <w:t>https://www.hse.ru/en/org/projects/118524681</w:t>
        </w:r>
      </w:hyperlink>
      <w:r w:rsidR="00523FAC" w:rsidRPr="006E4C92">
        <w:rPr>
          <w:rFonts w:cstheme="minorHAnsi"/>
          <w:color w:val="000000" w:themeColor="text1"/>
        </w:rPr>
        <w:t xml:space="preserve"> and </w:t>
      </w:r>
      <w:hyperlink r:id="rId57" w:history="1">
        <w:r w:rsidR="00523FAC" w:rsidRPr="006E4C92">
          <w:rPr>
            <w:rStyle w:val="Hyperlink"/>
            <w:rFonts w:cstheme="minorHAnsi"/>
          </w:rPr>
          <w:t>https://lirt.hse.ru/ielm</w:t>
        </w:r>
      </w:hyperlink>
      <w:r w:rsidR="00523FAC" w:rsidRPr="006E4C92">
        <w:rPr>
          <w:rFonts w:cstheme="minorHAnsi"/>
          <w:color w:val="000000" w:themeColor="text1"/>
        </w:rPr>
        <w:t>.</w:t>
      </w:r>
      <w:r w:rsidR="00952C88" w:rsidRPr="006E4C92">
        <w:rPr>
          <w:rFonts w:cstheme="minorHAnsi"/>
          <w:color w:val="000000" w:themeColor="text1"/>
        </w:rPr>
        <w:t xml:space="preserve"> </w:t>
      </w:r>
    </w:p>
    <w:p w14:paraId="38B95C8D" w14:textId="77777777" w:rsidR="0050452B" w:rsidRDefault="0050452B" w:rsidP="0050452B">
      <w:pPr>
        <w:spacing w:after="0" w:line="240" w:lineRule="auto"/>
        <w:contextualSpacing/>
        <w:rPr>
          <w:rFonts w:cstheme="minorHAnsi"/>
          <w:color w:val="000000" w:themeColor="text1"/>
        </w:rPr>
      </w:pPr>
    </w:p>
    <w:p w14:paraId="759BC120" w14:textId="268F6C92" w:rsidR="00523FAC" w:rsidRPr="006E4C92" w:rsidRDefault="00523FAC" w:rsidP="0050452B">
      <w:pPr>
        <w:spacing w:after="0" w:line="240" w:lineRule="auto"/>
        <w:contextualSpacing/>
        <w:rPr>
          <w:rFonts w:cstheme="minorHAnsi"/>
          <w:color w:val="000000" w:themeColor="text1"/>
        </w:rPr>
      </w:pPr>
      <w:r w:rsidRPr="006E4C92">
        <w:rPr>
          <w:rFonts w:cstheme="minorHAnsi"/>
          <w:color w:val="000000" w:themeColor="text1"/>
        </w:rPr>
        <w:t>We use the data from the 2017 wave</w:t>
      </w:r>
      <w:r w:rsidR="000E7561" w:rsidRPr="006E4C92">
        <w:rPr>
          <w:rFonts w:cstheme="minorHAnsi"/>
          <w:color w:val="000000" w:themeColor="text1"/>
        </w:rPr>
        <w:t>.</w:t>
      </w:r>
      <w:r w:rsidRPr="006E4C92">
        <w:rPr>
          <w:rFonts w:cstheme="minorHAnsi"/>
          <w:color w:val="000000" w:themeColor="text1"/>
        </w:rPr>
        <w:t xml:space="preserve"> </w:t>
      </w:r>
      <w:r w:rsidR="00422292" w:rsidRPr="006E4C92">
        <w:rPr>
          <w:rFonts w:cstheme="minorHAnsi"/>
          <w:iCs/>
          <w:color w:val="000000" w:themeColor="text1"/>
        </w:rPr>
        <w:t xml:space="preserve">We classify </w:t>
      </w:r>
      <w:r w:rsidR="00B02C20" w:rsidRPr="006E4C92">
        <w:rPr>
          <w:rFonts w:cstheme="minorHAnsi"/>
          <w:iCs/>
          <w:color w:val="000000" w:themeColor="text1"/>
        </w:rPr>
        <w:t xml:space="preserve">firms </w:t>
      </w:r>
      <w:r w:rsidR="00246E81" w:rsidRPr="006E4C92">
        <w:rPr>
          <w:rFonts w:cstheme="minorHAnsi"/>
          <w:iCs/>
          <w:color w:val="000000" w:themeColor="text1"/>
        </w:rPr>
        <w:t xml:space="preserve">into </w:t>
      </w:r>
      <w:r w:rsidR="00B10604" w:rsidRPr="006E4C92">
        <w:rPr>
          <w:rFonts w:cstheme="minorHAnsi"/>
          <w:iCs/>
          <w:color w:val="000000" w:themeColor="text1"/>
        </w:rPr>
        <w:t>3</w:t>
      </w:r>
      <w:r w:rsidR="00246E81" w:rsidRPr="006E4C92">
        <w:rPr>
          <w:rFonts w:cstheme="minorHAnsi"/>
          <w:iCs/>
          <w:color w:val="000000" w:themeColor="text1"/>
        </w:rPr>
        <w:t xml:space="preserve"> categories: private, state SOEs (100 percent government owned), </w:t>
      </w:r>
      <w:r w:rsidR="00452585" w:rsidRPr="006E4C92">
        <w:rPr>
          <w:rFonts w:cstheme="minorHAnsi"/>
          <w:iCs/>
          <w:color w:val="000000" w:themeColor="text1"/>
        </w:rPr>
        <w:t xml:space="preserve">and </w:t>
      </w:r>
      <w:r w:rsidR="00246E81" w:rsidRPr="006E4C92">
        <w:rPr>
          <w:rFonts w:cstheme="minorHAnsi"/>
          <w:iCs/>
          <w:color w:val="000000" w:themeColor="text1"/>
        </w:rPr>
        <w:t xml:space="preserve">mixed SOEs. </w:t>
      </w:r>
      <w:r w:rsidR="00652AAA" w:rsidRPr="006E4C92">
        <w:rPr>
          <w:rFonts w:cstheme="minorHAnsi"/>
          <w:iCs/>
          <w:color w:val="000000" w:themeColor="text1"/>
        </w:rPr>
        <w:t xml:space="preserve">State and mixed </w:t>
      </w:r>
      <w:r w:rsidR="00344A40" w:rsidRPr="006E4C92">
        <w:rPr>
          <w:rFonts w:cstheme="minorHAnsi"/>
          <w:color w:val="000000" w:themeColor="text1"/>
        </w:rPr>
        <w:t xml:space="preserve">SOEs </w:t>
      </w:r>
      <w:r w:rsidR="00246E81" w:rsidRPr="006E4C92">
        <w:rPr>
          <w:rFonts w:cstheme="minorHAnsi"/>
          <w:color w:val="000000" w:themeColor="text1"/>
        </w:rPr>
        <w:t xml:space="preserve">are defined by </w:t>
      </w:r>
      <w:r w:rsidR="00BE4B18" w:rsidRPr="006E4C92">
        <w:rPr>
          <w:rFonts w:cstheme="minorHAnsi"/>
          <w:color w:val="000000" w:themeColor="text1"/>
        </w:rPr>
        <w:t>shares owned by the state (100 percent or less than 100 percent)</w:t>
      </w:r>
      <w:r w:rsidR="00B31745" w:rsidRPr="006E4C92">
        <w:rPr>
          <w:rFonts w:cstheme="minorHAnsi"/>
          <w:color w:val="000000" w:themeColor="text1"/>
        </w:rPr>
        <w:t>, legal status (unitary enterprises are defined as state SOEs),</w:t>
      </w:r>
      <w:r w:rsidR="00BE4B18" w:rsidRPr="006E4C92">
        <w:rPr>
          <w:rFonts w:cstheme="minorHAnsi"/>
          <w:color w:val="000000" w:themeColor="text1"/>
        </w:rPr>
        <w:t xml:space="preserve"> and </w:t>
      </w:r>
      <w:r w:rsidR="00246E81" w:rsidRPr="006E4C92">
        <w:rPr>
          <w:rFonts w:cstheme="minorHAnsi"/>
          <w:color w:val="000000" w:themeColor="text1"/>
        </w:rPr>
        <w:t>industry</w:t>
      </w:r>
      <w:r w:rsidR="00BE4B18" w:rsidRPr="006E4C92">
        <w:rPr>
          <w:rFonts w:cstheme="minorHAnsi"/>
          <w:color w:val="000000" w:themeColor="text1"/>
        </w:rPr>
        <w:t xml:space="preserve"> (not </w:t>
      </w:r>
      <w:r w:rsidR="0080471A" w:rsidRPr="006E4C92">
        <w:rPr>
          <w:rFonts w:cstheme="minorHAnsi"/>
          <w:color w:val="000000" w:themeColor="text1"/>
        </w:rPr>
        <w:t xml:space="preserve">public administration, health, education, culture, </w:t>
      </w:r>
      <w:r w:rsidR="00BE4B18" w:rsidRPr="006E4C92">
        <w:rPr>
          <w:rFonts w:cstheme="minorHAnsi"/>
          <w:color w:val="000000" w:themeColor="text1"/>
        </w:rPr>
        <w:t xml:space="preserve">and </w:t>
      </w:r>
      <w:r w:rsidR="0080471A" w:rsidRPr="006E4C92">
        <w:rPr>
          <w:rFonts w:cstheme="minorHAnsi"/>
          <w:color w:val="000000" w:themeColor="text1"/>
        </w:rPr>
        <w:t xml:space="preserve">science and technology, </w:t>
      </w:r>
      <w:r w:rsidR="00BE4B18" w:rsidRPr="006E4C92">
        <w:rPr>
          <w:rFonts w:cstheme="minorHAnsi"/>
          <w:color w:val="000000" w:themeColor="text1"/>
        </w:rPr>
        <w:t xml:space="preserve">which </w:t>
      </w:r>
      <w:r w:rsidR="0080471A" w:rsidRPr="006E4C92">
        <w:rPr>
          <w:rFonts w:cstheme="minorHAnsi"/>
          <w:color w:val="000000" w:themeColor="text1"/>
        </w:rPr>
        <w:t>are associated with general government</w:t>
      </w:r>
      <w:r w:rsidR="00BE4B18" w:rsidRPr="006E4C92">
        <w:rPr>
          <w:rFonts w:cstheme="minorHAnsi"/>
          <w:color w:val="000000" w:themeColor="text1"/>
        </w:rPr>
        <w:t>)</w:t>
      </w:r>
      <w:r w:rsidR="0080471A" w:rsidRPr="006E4C92">
        <w:rPr>
          <w:rFonts w:cstheme="minorHAnsi"/>
          <w:color w:val="000000" w:themeColor="text1"/>
        </w:rPr>
        <w:t xml:space="preserve">. </w:t>
      </w:r>
    </w:p>
    <w:p w14:paraId="734CE36E" w14:textId="77777777" w:rsidR="00523FAC" w:rsidRPr="006E4C92" w:rsidRDefault="00523FAC" w:rsidP="00CE1189">
      <w:pPr>
        <w:spacing w:after="0" w:line="240" w:lineRule="auto"/>
        <w:ind w:firstLine="709"/>
        <w:contextualSpacing/>
        <w:rPr>
          <w:rFonts w:cstheme="minorHAnsi"/>
          <w:color w:val="000000" w:themeColor="text1"/>
        </w:rPr>
      </w:pPr>
    </w:p>
    <w:p w14:paraId="67BDE812" w14:textId="77777777" w:rsidR="00523FAC" w:rsidRPr="006E4C92" w:rsidRDefault="00523FAC" w:rsidP="0050452B">
      <w:pPr>
        <w:keepNext/>
        <w:spacing w:after="0" w:line="240" w:lineRule="auto"/>
        <w:contextualSpacing/>
        <w:rPr>
          <w:rFonts w:cstheme="minorHAnsi"/>
          <w:b/>
          <w:color w:val="000000" w:themeColor="text1"/>
        </w:rPr>
      </w:pPr>
      <w:r w:rsidRPr="006E4C92">
        <w:rPr>
          <w:rFonts w:cstheme="minorHAnsi"/>
          <w:b/>
          <w:color w:val="000000" w:themeColor="text1"/>
        </w:rPr>
        <w:t xml:space="preserve">The </w:t>
      </w:r>
      <w:proofErr w:type="spellStart"/>
      <w:r w:rsidRPr="006E4C92">
        <w:rPr>
          <w:rFonts w:cstheme="minorHAnsi"/>
          <w:b/>
          <w:color w:val="000000" w:themeColor="text1"/>
        </w:rPr>
        <w:t>RuFiGE</w:t>
      </w:r>
      <w:proofErr w:type="spellEnd"/>
      <w:r w:rsidRPr="006E4C92">
        <w:rPr>
          <w:rFonts w:cstheme="minorHAnsi"/>
          <w:b/>
          <w:color w:val="000000" w:themeColor="text1"/>
        </w:rPr>
        <w:t xml:space="preserve"> survey</w:t>
      </w:r>
    </w:p>
    <w:p w14:paraId="5816D192" w14:textId="77777777" w:rsidR="0050452B" w:rsidRDefault="0050452B" w:rsidP="0054498C">
      <w:pPr>
        <w:spacing w:after="0" w:line="240" w:lineRule="auto"/>
        <w:contextualSpacing/>
        <w:rPr>
          <w:rFonts w:cstheme="minorHAnsi"/>
          <w:color w:val="000000" w:themeColor="text1"/>
        </w:rPr>
      </w:pPr>
    </w:p>
    <w:p w14:paraId="7B7CF724" w14:textId="6744DE73" w:rsidR="00523FAC" w:rsidRPr="006E4C92" w:rsidRDefault="0054498C" w:rsidP="0054498C">
      <w:pPr>
        <w:spacing w:after="0" w:line="240" w:lineRule="auto"/>
        <w:contextualSpacing/>
        <w:rPr>
          <w:rFonts w:cstheme="minorHAnsi"/>
          <w:color w:val="000000" w:themeColor="text1"/>
        </w:rPr>
      </w:pPr>
      <w:r w:rsidRPr="006E4C92">
        <w:rPr>
          <w:rFonts w:cstheme="minorHAnsi"/>
          <w:color w:val="000000" w:themeColor="text1"/>
        </w:rPr>
        <w:t>C</w:t>
      </w:r>
      <w:r w:rsidR="00523FAC" w:rsidRPr="006E4C92">
        <w:rPr>
          <w:rFonts w:cstheme="minorHAnsi"/>
          <w:color w:val="000000" w:themeColor="text1"/>
        </w:rPr>
        <w:t>onducted by the Institute for Industrial and Market Studies of Higher School of Economics</w:t>
      </w:r>
      <w:r w:rsidR="00ED1D2E" w:rsidRPr="006E4C92">
        <w:rPr>
          <w:rFonts w:cstheme="minorHAnsi"/>
          <w:color w:val="000000" w:themeColor="text1"/>
        </w:rPr>
        <w:t xml:space="preserve">, collected in </w:t>
      </w:r>
      <w:r w:rsidR="00523FAC" w:rsidRPr="006E4C92">
        <w:rPr>
          <w:rFonts w:cstheme="minorHAnsi"/>
          <w:color w:val="000000" w:themeColor="text1"/>
        </w:rPr>
        <w:t>2014 and 2018</w:t>
      </w:r>
      <w:r w:rsidR="00ED1D2E" w:rsidRPr="006E4C92">
        <w:rPr>
          <w:rFonts w:cstheme="minorHAnsi"/>
          <w:color w:val="000000" w:themeColor="text1"/>
        </w:rPr>
        <w:t xml:space="preserve"> (2018 data not yet available), </w:t>
      </w:r>
      <w:r w:rsidR="00523FAC" w:rsidRPr="006E4C92">
        <w:rPr>
          <w:rFonts w:cstheme="minorHAnsi"/>
          <w:color w:val="000000" w:themeColor="text1"/>
        </w:rPr>
        <w:t xml:space="preserve">covers only </w:t>
      </w:r>
      <w:r w:rsidR="00ED1D2E" w:rsidRPr="006E4C92">
        <w:rPr>
          <w:rFonts w:cstheme="minorHAnsi"/>
          <w:color w:val="000000" w:themeColor="text1"/>
        </w:rPr>
        <w:t xml:space="preserve">the </w:t>
      </w:r>
      <w:r w:rsidR="00523FAC" w:rsidRPr="006E4C92">
        <w:rPr>
          <w:rFonts w:cstheme="minorHAnsi"/>
          <w:color w:val="000000" w:themeColor="text1"/>
        </w:rPr>
        <w:t>manufacturing</w:t>
      </w:r>
      <w:r w:rsidR="00ED1D2E" w:rsidRPr="006E4C92">
        <w:rPr>
          <w:rFonts w:cstheme="minorHAnsi"/>
          <w:color w:val="000000" w:themeColor="text1"/>
        </w:rPr>
        <w:t xml:space="preserve"> sector</w:t>
      </w:r>
      <w:r w:rsidR="00523FAC" w:rsidRPr="006E4C92">
        <w:rPr>
          <w:rFonts w:cstheme="minorHAnsi"/>
          <w:color w:val="000000" w:themeColor="text1"/>
        </w:rPr>
        <w:t xml:space="preserve">. The survey sample is constructed with the use of RUSLANA. The sample is stratified by industry (11 NACE industry codes) and size (10-19; 20-49; 50-250; more than 250 employees). </w:t>
      </w:r>
      <w:r w:rsidR="007758C4" w:rsidRPr="006E4C92">
        <w:rPr>
          <w:rFonts w:cstheme="minorHAnsi"/>
          <w:color w:val="000000" w:themeColor="text1"/>
        </w:rPr>
        <w:t xml:space="preserve">The sample </w:t>
      </w:r>
      <w:r w:rsidR="00E36A7F" w:rsidRPr="006E4C92">
        <w:rPr>
          <w:rFonts w:cstheme="minorHAnsi"/>
          <w:color w:val="000000" w:themeColor="text1"/>
        </w:rPr>
        <w:t xml:space="preserve">relatively oversamples small firms. </w:t>
      </w:r>
      <w:r w:rsidR="00523FAC" w:rsidRPr="006E4C92">
        <w:rPr>
          <w:rFonts w:cstheme="minorHAnsi"/>
          <w:color w:val="000000" w:themeColor="text1"/>
        </w:rPr>
        <w:t xml:space="preserve">Additional information about the </w:t>
      </w:r>
      <w:proofErr w:type="spellStart"/>
      <w:r w:rsidR="00523FAC" w:rsidRPr="006E4C92">
        <w:rPr>
          <w:rFonts w:cstheme="minorHAnsi"/>
          <w:color w:val="000000" w:themeColor="text1"/>
        </w:rPr>
        <w:t>RuFiGE</w:t>
      </w:r>
      <w:proofErr w:type="spellEnd"/>
      <w:r w:rsidR="00523FAC" w:rsidRPr="006E4C92">
        <w:rPr>
          <w:rFonts w:cstheme="minorHAnsi"/>
          <w:color w:val="000000" w:themeColor="text1"/>
        </w:rPr>
        <w:t xml:space="preserve"> survey can found at </w:t>
      </w:r>
      <w:hyperlink r:id="rId58" w:history="1">
        <w:r w:rsidR="00523FAC" w:rsidRPr="006E4C92">
          <w:rPr>
            <w:rStyle w:val="Hyperlink"/>
            <w:rFonts w:cstheme="minorHAnsi"/>
          </w:rPr>
          <w:t>https://iims.hse.ru/en/rfge/about</w:t>
        </w:r>
      </w:hyperlink>
      <w:r w:rsidR="00523FAC" w:rsidRPr="006E4C92">
        <w:rPr>
          <w:rFonts w:cstheme="minorHAnsi"/>
          <w:color w:val="000000" w:themeColor="text1"/>
        </w:rPr>
        <w:t>.</w:t>
      </w:r>
    </w:p>
    <w:p w14:paraId="51B19B5E" w14:textId="77777777" w:rsidR="0050452B" w:rsidRDefault="0050452B" w:rsidP="0050452B">
      <w:pPr>
        <w:spacing w:after="0" w:line="240" w:lineRule="auto"/>
        <w:contextualSpacing/>
        <w:rPr>
          <w:rFonts w:cstheme="minorHAnsi"/>
          <w:color w:val="000000" w:themeColor="text1"/>
        </w:rPr>
      </w:pPr>
    </w:p>
    <w:p w14:paraId="57D34752" w14:textId="25A2486E" w:rsidR="00523FAC" w:rsidRPr="006E4C92" w:rsidRDefault="00523FAC" w:rsidP="0050452B">
      <w:pPr>
        <w:spacing w:after="0" w:line="240" w:lineRule="auto"/>
        <w:contextualSpacing/>
        <w:rPr>
          <w:rFonts w:cstheme="minorHAnsi"/>
          <w:color w:val="000000" w:themeColor="text1"/>
        </w:rPr>
      </w:pPr>
      <w:r w:rsidRPr="006E4C92">
        <w:rPr>
          <w:rFonts w:cstheme="minorHAnsi"/>
          <w:color w:val="000000" w:themeColor="text1"/>
        </w:rPr>
        <w:t xml:space="preserve">We use the data from the 2014 wave of the survey. Companies are classified </w:t>
      </w:r>
      <w:r w:rsidR="00B501B6" w:rsidRPr="006E4C92">
        <w:rPr>
          <w:rFonts w:cstheme="minorHAnsi"/>
          <w:color w:val="000000" w:themeColor="text1"/>
        </w:rPr>
        <w:t xml:space="preserve">as </w:t>
      </w:r>
      <w:r w:rsidR="00B501B6" w:rsidRPr="006E4C92">
        <w:rPr>
          <w:rFonts w:cstheme="minorHAnsi"/>
          <w:iCs/>
          <w:color w:val="000000" w:themeColor="text1"/>
        </w:rPr>
        <w:t xml:space="preserve">private, state SOE, and mixed SOEs. State and mixed </w:t>
      </w:r>
      <w:r w:rsidR="00B501B6" w:rsidRPr="006E4C92">
        <w:rPr>
          <w:rFonts w:cstheme="minorHAnsi"/>
          <w:color w:val="000000" w:themeColor="text1"/>
        </w:rPr>
        <w:t xml:space="preserve">SOEs are defined by shares owned by the state </w:t>
      </w:r>
      <w:r w:rsidR="007758C4" w:rsidRPr="006E4C92">
        <w:rPr>
          <w:rFonts w:cstheme="minorHAnsi"/>
          <w:color w:val="000000" w:themeColor="text1"/>
        </w:rPr>
        <w:t xml:space="preserve">and by legal status (unitary enterprises are defined as state SOEs). </w:t>
      </w:r>
    </w:p>
    <w:p w14:paraId="5F63E7E2" w14:textId="77777777" w:rsidR="00523FAC" w:rsidRPr="006E4C92" w:rsidRDefault="00523FAC" w:rsidP="00CE1189">
      <w:pPr>
        <w:spacing w:after="0" w:line="240" w:lineRule="auto"/>
        <w:ind w:firstLine="709"/>
        <w:contextualSpacing/>
        <w:rPr>
          <w:rFonts w:cstheme="minorHAnsi"/>
          <w:color w:val="000000" w:themeColor="text1"/>
        </w:rPr>
      </w:pPr>
    </w:p>
    <w:p w14:paraId="16C3B3CD" w14:textId="77777777" w:rsidR="00523FAC" w:rsidRPr="006E4C92" w:rsidRDefault="00523FAC" w:rsidP="00CE1189">
      <w:pPr>
        <w:spacing w:after="0" w:line="240" w:lineRule="auto"/>
        <w:contextualSpacing/>
        <w:rPr>
          <w:rFonts w:cstheme="minorHAnsi"/>
          <w:b/>
          <w:color w:val="000000" w:themeColor="text1"/>
        </w:rPr>
      </w:pPr>
      <w:r w:rsidRPr="006E4C92">
        <w:rPr>
          <w:rFonts w:cstheme="minorHAnsi"/>
          <w:b/>
          <w:color w:val="000000" w:themeColor="text1"/>
        </w:rPr>
        <w:t>Ruslana database</w:t>
      </w:r>
    </w:p>
    <w:p w14:paraId="0FAAB3E5" w14:textId="77777777" w:rsidR="0050452B" w:rsidRDefault="0050452B" w:rsidP="0050452B">
      <w:pPr>
        <w:spacing w:after="0" w:line="240" w:lineRule="auto"/>
        <w:contextualSpacing/>
        <w:rPr>
          <w:rFonts w:cstheme="minorHAnsi"/>
          <w:color w:val="000000" w:themeColor="text1"/>
        </w:rPr>
      </w:pPr>
    </w:p>
    <w:p w14:paraId="6CD58C1F" w14:textId="04EA4857" w:rsidR="00523FAC" w:rsidRPr="006E4C92" w:rsidRDefault="0050452B" w:rsidP="0050452B">
      <w:pPr>
        <w:spacing w:after="0" w:line="240" w:lineRule="auto"/>
        <w:contextualSpacing/>
        <w:rPr>
          <w:rFonts w:cstheme="minorHAnsi"/>
          <w:color w:val="000000" w:themeColor="text1"/>
        </w:rPr>
      </w:pPr>
      <w:r>
        <w:rPr>
          <w:rFonts w:cstheme="minorHAnsi"/>
          <w:color w:val="000000" w:themeColor="text1"/>
        </w:rPr>
        <w:t xml:space="preserve">The </w:t>
      </w:r>
      <w:r w:rsidR="00523FAC" w:rsidRPr="006E4C92">
        <w:rPr>
          <w:rFonts w:cstheme="minorHAnsi"/>
          <w:color w:val="000000" w:themeColor="text1"/>
        </w:rPr>
        <w:t xml:space="preserve">Ruslana database is compiled by </w:t>
      </w:r>
      <w:r w:rsidR="008A780A" w:rsidRPr="006E4C92">
        <w:rPr>
          <w:rFonts w:cstheme="minorHAnsi"/>
          <w:color w:val="000000" w:themeColor="text1"/>
        </w:rPr>
        <w:t>a commercial company (</w:t>
      </w:r>
      <w:r w:rsidR="00523FAC" w:rsidRPr="006E4C92">
        <w:rPr>
          <w:rFonts w:cstheme="minorHAnsi"/>
          <w:color w:val="000000" w:themeColor="text1"/>
        </w:rPr>
        <w:t xml:space="preserve">Bureau van Dijk Electronic Publishing, </w:t>
      </w:r>
      <w:proofErr w:type="spellStart"/>
      <w:r w:rsidR="00523FAC" w:rsidRPr="006E4C92">
        <w:rPr>
          <w:rFonts w:cstheme="minorHAnsi"/>
          <w:color w:val="000000" w:themeColor="text1"/>
        </w:rPr>
        <w:t>BvD</w:t>
      </w:r>
      <w:proofErr w:type="spellEnd"/>
      <w:r w:rsidR="008A780A" w:rsidRPr="006E4C92">
        <w:rPr>
          <w:rFonts w:cstheme="minorHAnsi"/>
          <w:color w:val="000000" w:themeColor="text1"/>
        </w:rPr>
        <w:t>) based on administrative and financial records, originally from government sources</w:t>
      </w:r>
      <w:r w:rsidR="00F76654" w:rsidRPr="006E4C92">
        <w:rPr>
          <w:rFonts w:cstheme="minorHAnsi"/>
          <w:color w:val="000000" w:themeColor="text1"/>
        </w:rPr>
        <w:t xml:space="preserve">. The database covers almost 10 million Russian companies. </w:t>
      </w:r>
      <w:r w:rsidR="00523FAC" w:rsidRPr="006E4C92">
        <w:rPr>
          <w:rFonts w:cstheme="minorHAnsi"/>
          <w:color w:val="000000" w:themeColor="text1"/>
        </w:rPr>
        <w:t>It collects data on company activity codes, employment and financials with up to ten years of history, stock data for listed companies, directors and contacts, ownership structures, shareholders and subsidiaries.</w:t>
      </w:r>
    </w:p>
    <w:p w14:paraId="576D7A7F" w14:textId="77777777" w:rsidR="00523FAC" w:rsidRPr="006E4C92" w:rsidRDefault="00523FAC" w:rsidP="00CE1189">
      <w:pPr>
        <w:spacing w:after="0" w:line="240" w:lineRule="auto"/>
        <w:ind w:firstLine="709"/>
        <w:contextualSpacing/>
        <w:rPr>
          <w:rFonts w:cstheme="minorHAnsi"/>
          <w:color w:val="000000" w:themeColor="text1"/>
        </w:rPr>
      </w:pPr>
    </w:p>
    <w:p w14:paraId="443715A9" w14:textId="4DDB2858" w:rsidR="00AC01C1" w:rsidRDefault="00AC01C1">
      <w:pPr>
        <w:spacing w:after="160" w:line="259" w:lineRule="auto"/>
        <w:jc w:val="left"/>
        <w:rPr>
          <w:rFonts w:cstheme="minorHAnsi"/>
          <w:lang w:eastAsia="en-US"/>
        </w:rPr>
      </w:pPr>
      <w:r>
        <w:rPr>
          <w:rFonts w:cstheme="minorHAnsi"/>
          <w:lang w:eastAsia="en-US"/>
        </w:rPr>
        <w:br w:type="page"/>
      </w:r>
    </w:p>
    <w:p w14:paraId="177784FE" w14:textId="77777777" w:rsidR="00AC01C1" w:rsidRDefault="00AC01C1" w:rsidP="00AC01C1">
      <w:pPr>
        <w:pStyle w:val="Heading1"/>
        <w:spacing w:after="0" w:line="240" w:lineRule="auto"/>
        <w:contextualSpacing/>
        <w:rPr>
          <w:rStyle w:val="IntenseEmphasis"/>
          <w:bCs/>
          <w:i w:val="0"/>
          <w:iCs w:val="0"/>
          <w:color w:val="2E74B5" w:themeColor="accent1" w:themeShade="BF"/>
        </w:rPr>
      </w:pPr>
      <w:bookmarkStart w:id="138" w:name="_Toc11219088"/>
      <w:bookmarkStart w:id="139" w:name="_Hlk11121157"/>
      <w:r w:rsidRPr="00F76654">
        <w:rPr>
          <w:rStyle w:val="IntenseEmphasis"/>
          <w:bCs/>
          <w:i w:val="0"/>
          <w:iCs w:val="0"/>
          <w:color w:val="2E74B5" w:themeColor="accent1" w:themeShade="BF"/>
        </w:rPr>
        <w:t xml:space="preserve">ANNEX </w:t>
      </w:r>
      <w:r>
        <w:rPr>
          <w:rStyle w:val="IntenseEmphasis"/>
          <w:bCs/>
          <w:i w:val="0"/>
          <w:iCs w:val="0"/>
          <w:color w:val="2E74B5" w:themeColor="accent1" w:themeShade="BF"/>
        </w:rPr>
        <w:t xml:space="preserve">B </w:t>
      </w:r>
      <w:r w:rsidRPr="00F76654">
        <w:rPr>
          <w:rStyle w:val="IntenseEmphasis"/>
          <w:bCs/>
          <w:i w:val="0"/>
          <w:iCs w:val="0"/>
          <w:color w:val="2E74B5" w:themeColor="accent1" w:themeShade="BF"/>
        </w:rPr>
        <w:t xml:space="preserve">- </w:t>
      </w:r>
      <w:r>
        <w:rPr>
          <w:rStyle w:val="IntenseEmphasis"/>
          <w:bCs/>
          <w:i w:val="0"/>
          <w:iCs w:val="0"/>
          <w:color w:val="2E74B5" w:themeColor="accent1" w:themeShade="BF"/>
        </w:rPr>
        <w:t>Regression Results</w:t>
      </w:r>
      <w:bookmarkEnd w:id="138"/>
    </w:p>
    <w:p w14:paraId="5F35BEF1" w14:textId="77777777" w:rsidR="00AC01C1" w:rsidRPr="006E4C92" w:rsidRDefault="00AC01C1" w:rsidP="00AC01C1">
      <w:pPr>
        <w:spacing w:after="0" w:line="240" w:lineRule="auto"/>
        <w:contextualSpacing/>
        <w:rPr>
          <w:rFonts w:cstheme="minorHAnsi"/>
          <w:b/>
          <w:bCs/>
          <w:iCs/>
          <w:color w:val="000000" w:themeColor="text1"/>
        </w:rPr>
      </w:pPr>
    </w:p>
    <w:p w14:paraId="2BEB0602" w14:textId="77777777" w:rsidR="00AC01C1" w:rsidRPr="00F65702" w:rsidRDefault="00AC01C1" w:rsidP="00AC01C1">
      <w:pPr>
        <w:pStyle w:val="ListParagraph"/>
        <w:numPr>
          <w:ilvl w:val="0"/>
          <w:numId w:val="29"/>
        </w:numPr>
        <w:spacing w:after="0" w:line="240" w:lineRule="auto"/>
        <w:rPr>
          <w:rFonts w:cstheme="minorHAnsi"/>
          <w:b/>
          <w:bCs/>
          <w:iCs/>
          <w:color w:val="000000" w:themeColor="text1"/>
          <w:sz w:val="22"/>
        </w:rPr>
      </w:pPr>
      <w:bookmarkStart w:id="140" w:name="_Hlk10984117"/>
      <w:r w:rsidRPr="00F65702">
        <w:rPr>
          <w:rFonts w:cstheme="minorHAnsi"/>
          <w:b/>
          <w:bCs/>
          <w:iCs/>
          <w:color w:val="000000" w:themeColor="text1"/>
          <w:sz w:val="22"/>
        </w:rPr>
        <w:t xml:space="preserve">Table 3.1 </w:t>
      </w:r>
      <w:r w:rsidRPr="00AF7D32">
        <w:rPr>
          <w:rFonts w:cstheme="minorHAnsi"/>
          <w:b/>
          <w:bCs/>
          <w:iCs/>
          <w:color w:val="000000" w:themeColor="text1"/>
          <w:sz w:val="22"/>
        </w:rPr>
        <w:t>Adjusted gaps in mean hourly wages, in percent (private=0)</w:t>
      </w:r>
    </w:p>
    <w:bookmarkEnd w:id="140"/>
    <w:p w14:paraId="72524820" w14:textId="77777777" w:rsidR="00AC01C1" w:rsidRDefault="00AC01C1" w:rsidP="00AC01C1">
      <w:pPr>
        <w:spacing w:after="0" w:line="240" w:lineRule="auto"/>
        <w:contextualSpacing/>
        <w:rPr>
          <w:rFonts w:cstheme="minorHAnsi"/>
          <w:iCs/>
          <w:color w:val="000000" w:themeColor="text1"/>
        </w:rPr>
      </w:pPr>
    </w:p>
    <w:tbl>
      <w:tblPr>
        <w:tblW w:w="5000" w:type="pct"/>
        <w:tblLook w:val="04A0" w:firstRow="1" w:lastRow="0" w:firstColumn="1" w:lastColumn="0" w:noHBand="0" w:noVBand="1"/>
      </w:tblPr>
      <w:tblGrid>
        <w:gridCol w:w="2203"/>
        <w:gridCol w:w="1033"/>
        <w:gridCol w:w="1006"/>
        <w:gridCol w:w="1033"/>
        <w:gridCol w:w="666"/>
        <w:gridCol w:w="1083"/>
        <w:gridCol w:w="666"/>
        <w:gridCol w:w="1033"/>
        <w:gridCol w:w="666"/>
      </w:tblGrid>
      <w:tr w:rsidR="00AC01C1" w:rsidRPr="00145B9B" w14:paraId="3FE128C6" w14:textId="77777777" w:rsidTr="00B25599">
        <w:tc>
          <w:tcPr>
            <w:tcW w:w="1181" w:type="pct"/>
            <w:tcBorders>
              <w:top w:val="single" w:sz="4" w:space="0" w:color="auto"/>
              <w:left w:val="single" w:sz="4" w:space="0" w:color="auto"/>
              <w:right w:val="single" w:sz="4" w:space="0" w:color="auto"/>
            </w:tcBorders>
            <w:shd w:val="clear" w:color="auto" w:fill="auto"/>
            <w:vAlign w:val="center"/>
            <w:hideMark/>
          </w:tcPr>
          <w:p w14:paraId="59A5E5D1"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3819"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C6E55DF" w14:textId="77777777" w:rsidR="00AC01C1" w:rsidRPr="00145B9B" w:rsidRDefault="00AC01C1" w:rsidP="00B2559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Dependent variable: log hourly wage in Rubles</w:t>
            </w:r>
          </w:p>
        </w:tc>
      </w:tr>
      <w:tr w:rsidR="00AC01C1" w:rsidRPr="00145B9B" w14:paraId="7D6E98DA" w14:textId="77777777" w:rsidTr="00B25599">
        <w:tc>
          <w:tcPr>
            <w:tcW w:w="1181" w:type="pct"/>
            <w:tcBorders>
              <w:top w:val="single" w:sz="4" w:space="0" w:color="auto"/>
              <w:left w:val="single" w:sz="4" w:space="0" w:color="auto"/>
              <w:right w:val="single" w:sz="4" w:space="0" w:color="auto"/>
            </w:tcBorders>
            <w:shd w:val="clear" w:color="auto" w:fill="auto"/>
            <w:vAlign w:val="center"/>
            <w:hideMark/>
          </w:tcPr>
          <w:p w14:paraId="3BE608D3"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10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ED58C7"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Specification 1</w:t>
            </w:r>
          </w:p>
        </w:tc>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7380C4"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Specification 2</w:t>
            </w:r>
          </w:p>
        </w:tc>
        <w:tc>
          <w:tcPr>
            <w:tcW w:w="937" w:type="pct"/>
            <w:gridSpan w:val="2"/>
            <w:tcBorders>
              <w:top w:val="single" w:sz="4" w:space="0" w:color="auto"/>
              <w:left w:val="single" w:sz="4" w:space="0" w:color="auto"/>
              <w:bottom w:val="single" w:sz="4" w:space="0" w:color="auto"/>
              <w:right w:val="single" w:sz="4" w:space="0" w:color="auto"/>
            </w:tcBorders>
            <w:vAlign w:val="center"/>
          </w:tcPr>
          <w:p w14:paraId="781FBB11"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Specification 3</w:t>
            </w:r>
          </w:p>
        </w:tc>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58602D"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Specification 4</w:t>
            </w:r>
          </w:p>
        </w:tc>
      </w:tr>
      <w:tr w:rsidR="00AC01C1" w:rsidRPr="00145B9B" w14:paraId="1F9AB262"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16EAE2CD" w14:textId="77777777" w:rsidR="00AC01C1" w:rsidRPr="00145B9B" w:rsidRDefault="00AC01C1" w:rsidP="00B25599">
            <w:pPr>
              <w:spacing w:after="0" w:line="240" w:lineRule="auto"/>
              <w:jc w:val="center"/>
              <w:rPr>
                <w:rFonts w:ascii="Times New Roman" w:eastAsia="Times New Roman" w:hAnsi="Times New Roman" w:cs="Times New Roman"/>
                <w:b/>
                <w:b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B92D6"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Coef.</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CF6B4"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144DC"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Coef.</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B944C"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se</w:t>
            </w:r>
          </w:p>
        </w:tc>
        <w:tc>
          <w:tcPr>
            <w:tcW w:w="584" w:type="pct"/>
            <w:tcBorders>
              <w:top w:val="single" w:sz="4" w:space="0" w:color="auto"/>
              <w:left w:val="single" w:sz="4" w:space="0" w:color="auto"/>
              <w:bottom w:val="single" w:sz="4" w:space="0" w:color="auto"/>
              <w:right w:val="single" w:sz="4" w:space="0" w:color="auto"/>
            </w:tcBorders>
            <w:vAlign w:val="center"/>
          </w:tcPr>
          <w:p w14:paraId="4C95026C"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Coef.</w:t>
            </w:r>
          </w:p>
        </w:tc>
        <w:tc>
          <w:tcPr>
            <w:tcW w:w="352" w:type="pct"/>
            <w:tcBorders>
              <w:top w:val="single" w:sz="4" w:space="0" w:color="auto"/>
              <w:left w:val="single" w:sz="4" w:space="0" w:color="auto"/>
              <w:bottom w:val="single" w:sz="4" w:space="0" w:color="auto"/>
              <w:right w:val="single" w:sz="4" w:space="0" w:color="auto"/>
            </w:tcBorders>
            <w:vAlign w:val="center"/>
          </w:tcPr>
          <w:p w14:paraId="0B8AC8C5"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4F7BE"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Coef.</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12D7B" w14:textId="77777777" w:rsidR="00AC01C1" w:rsidRPr="0007115A" w:rsidRDefault="00AC01C1" w:rsidP="00B25599">
            <w:pPr>
              <w:spacing w:after="0" w:line="240" w:lineRule="auto"/>
              <w:jc w:val="center"/>
              <w:rPr>
                <w:rFonts w:ascii="Times New Roman" w:eastAsia="Times New Roman" w:hAnsi="Times New Roman" w:cs="Times New Roman"/>
                <w:sz w:val="20"/>
                <w:szCs w:val="20"/>
              </w:rPr>
            </w:pPr>
            <w:r w:rsidRPr="0007115A">
              <w:rPr>
                <w:rFonts w:ascii="Times New Roman" w:eastAsia="Times New Roman" w:hAnsi="Times New Roman" w:cs="Times New Roman"/>
                <w:sz w:val="20"/>
                <w:szCs w:val="20"/>
              </w:rPr>
              <w:t>se</w:t>
            </w:r>
          </w:p>
        </w:tc>
      </w:tr>
      <w:tr w:rsidR="00AC01C1" w:rsidRPr="00145B9B" w14:paraId="46B3CE8D" w14:textId="77777777" w:rsidTr="00B25599">
        <w:tc>
          <w:tcPr>
            <w:tcW w:w="1181" w:type="pct"/>
            <w:tcBorders>
              <w:top w:val="single" w:sz="4" w:space="0" w:color="auto"/>
              <w:left w:val="single" w:sz="4" w:space="0" w:color="auto"/>
              <w:bottom w:val="nil"/>
              <w:right w:val="single" w:sz="4" w:space="0" w:color="auto"/>
            </w:tcBorders>
            <w:shd w:val="clear" w:color="auto" w:fill="auto"/>
            <w:vAlign w:val="center"/>
            <w:hideMark/>
          </w:tcPr>
          <w:p w14:paraId="0CBA2642"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Sector (private)</w:t>
            </w:r>
          </w:p>
        </w:tc>
        <w:tc>
          <w:tcPr>
            <w:tcW w:w="545" w:type="pct"/>
            <w:tcBorders>
              <w:top w:val="single" w:sz="4" w:space="0" w:color="auto"/>
              <w:left w:val="single" w:sz="4" w:space="0" w:color="auto"/>
              <w:bottom w:val="nil"/>
              <w:right w:val="single" w:sz="4" w:space="0" w:color="auto"/>
            </w:tcBorders>
            <w:shd w:val="clear" w:color="auto" w:fill="auto"/>
            <w:vAlign w:val="center"/>
            <w:hideMark/>
          </w:tcPr>
          <w:p w14:paraId="5C5A5E7C"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543" w:type="pct"/>
            <w:tcBorders>
              <w:top w:val="single" w:sz="4" w:space="0" w:color="auto"/>
              <w:left w:val="single" w:sz="4" w:space="0" w:color="auto"/>
              <w:bottom w:val="nil"/>
              <w:right w:val="single" w:sz="4" w:space="0" w:color="auto"/>
            </w:tcBorders>
            <w:shd w:val="clear" w:color="auto" w:fill="auto"/>
            <w:vAlign w:val="center"/>
            <w:hideMark/>
          </w:tcPr>
          <w:p w14:paraId="11E790D8"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vAlign w:val="center"/>
            <w:hideMark/>
          </w:tcPr>
          <w:p w14:paraId="7BAC611E"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vAlign w:val="center"/>
            <w:hideMark/>
          </w:tcPr>
          <w:p w14:paraId="1F16B403"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c>
          <w:tcPr>
            <w:tcW w:w="584" w:type="pct"/>
            <w:tcBorders>
              <w:top w:val="single" w:sz="4" w:space="0" w:color="auto"/>
              <w:left w:val="single" w:sz="4" w:space="0" w:color="auto"/>
              <w:right w:val="single" w:sz="4" w:space="0" w:color="auto"/>
            </w:tcBorders>
            <w:vAlign w:val="center"/>
          </w:tcPr>
          <w:p w14:paraId="45049129"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c>
          <w:tcPr>
            <w:tcW w:w="352" w:type="pct"/>
            <w:tcBorders>
              <w:top w:val="single" w:sz="4" w:space="0" w:color="auto"/>
              <w:left w:val="single" w:sz="4" w:space="0" w:color="auto"/>
              <w:right w:val="single" w:sz="4" w:space="0" w:color="auto"/>
            </w:tcBorders>
            <w:vAlign w:val="center"/>
          </w:tcPr>
          <w:p w14:paraId="5B41A2F7"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vAlign w:val="center"/>
            <w:hideMark/>
          </w:tcPr>
          <w:p w14:paraId="0015CC1B"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vAlign w:val="center"/>
            <w:hideMark/>
          </w:tcPr>
          <w:p w14:paraId="5F43CA46"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p>
        </w:tc>
      </w:tr>
      <w:tr w:rsidR="00AC01C1" w:rsidRPr="00145B9B" w14:paraId="0A8D507D"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7B07C6A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budgetary</w:t>
            </w:r>
          </w:p>
        </w:tc>
        <w:tc>
          <w:tcPr>
            <w:tcW w:w="545" w:type="pct"/>
            <w:tcBorders>
              <w:top w:val="nil"/>
              <w:left w:val="single" w:sz="4" w:space="0" w:color="auto"/>
              <w:bottom w:val="nil"/>
              <w:right w:val="single" w:sz="4" w:space="0" w:color="auto"/>
            </w:tcBorders>
            <w:shd w:val="clear" w:color="auto" w:fill="auto"/>
            <w:noWrap/>
            <w:vAlign w:val="center"/>
            <w:hideMark/>
          </w:tcPr>
          <w:p w14:paraId="745C967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-0.467***</w:t>
            </w:r>
          </w:p>
        </w:tc>
        <w:tc>
          <w:tcPr>
            <w:tcW w:w="543" w:type="pct"/>
            <w:tcBorders>
              <w:top w:val="nil"/>
              <w:left w:val="single" w:sz="4" w:space="0" w:color="auto"/>
              <w:bottom w:val="nil"/>
              <w:right w:val="single" w:sz="4" w:space="0" w:color="auto"/>
            </w:tcBorders>
            <w:shd w:val="clear" w:color="auto" w:fill="auto"/>
            <w:noWrap/>
            <w:vAlign w:val="center"/>
            <w:hideMark/>
          </w:tcPr>
          <w:p w14:paraId="1F0503B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1E6C24A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-0.393***</w:t>
            </w:r>
          </w:p>
        </w:tc>
        <w:tc>
          <w:tcPr>
            <w:tcW w:w="352" w:type="pct"/>
            <w:tcBorders>
              <w:top w:val="nil"/>
              <w:left w:val="single" w:sz="4" w:space="0" w:color="auto"/>
              <w:bottom w:val="nil"/>
              <w:right w:val="single" w:sz="4" w:space="0" w:color="auto"/>
            </w:tcBorders>
            <w:shd w:val="clear" w:color="auto" w:fill="auto"/>
            <w:noWrap/>
            <w:vAlign w:val="center"/>
            <w:hideMark/>
          </w:tcPr>
          <w:p w14:paraId="35C7C63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84" w:type="pct"/>
            <w:tcBorders>
              <w:left w:val="single" w:sz="4" w:space="0" w:color="auto"/>
              <w:right w:val="single" w:sz="4" w:space="0" w:color="auto"/>
            </w:tcBorders>
          </w:tcPr>
          <w:p w14:paraId="4C0CA6EA"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-0.323***</w:t>
            </w:r>
          </w:p>
        </w:tc>
        <w:tc>
          <w:tcPr>
            <w:tcW w:w="352" w:type="pct"/>
            <w:tcBorders>
              <w:left w:val="single" w:sz="4" w:space="0" w:color="auto"/>
              <w:right w:val="single" w:sz="4" w:space="0" w:color="auto"/>
            </w:tcBorders>
          </w:tcPr>
          <w:p w14:paraId="1C6C44EA"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bottom w:val="nil"/>
              <w:right w:val="single" w:sz="4" w:space="0" w:color="auto"/>
            </w:tcBorders>
            <w:shd w:val="clear" w:color="auto" w:fill="auto"/>
            <w:noWrap/>
            <w:vAlign w:val="center"/>
            <w:hideMark/>
          </w:tcPr>
          <w:p w14:paraId="009C79B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-0.134***</w:t>
            </w:r>
          </w:p>
        </w:tc>
        <w:tc>
          <w:tcPr>
            <w:tcW w:w="352" w:type="pct"/>
            <w:tcBorders>
              <w:top w:val="nil"/>
              <w:left w:val="single" w:sz="4" w:space="0" w:color="auto"/>
              <w:bottom w:val="nil"/>
              <w:right w:val="single" w:sz="4" w:space="0" w:color="auto"/>
            </w:tcBorders>
            <w:shd w:val="clear" w:color="auto" w:fill="auto"/>
            <w:noWrap/>
            <w:vAlign w:val="center"/>
            <w:hideMark/>
          </w:tcPr>
          <w:p w14:paraId="0DF4FCA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0.003</w:t>
            </w:r>
          </w:p>
        </w:tc>
      </w:tr>
      <w:tr w:rsidR="00AC01C1" w:rsidRPr="00145B9B" w14:paraId="2AA31B4C" w14:textId="77777777" w:rsidTr="00B25599">
        <w:tc>
          <w:tcPr>
            <w:tcW w:w="1181" w:type="pct"/>
            <w:tcBorders>
              <w:top w:val="nil"/>
              <w:left w:val="single" w:sz="4" w:space="0" w:color="auto"/>
              <w:right w:val="single" w:sz="4" w:space="0" w:color="auto"/>
            </w:tcBorders>
            <w:shd w:val="clear" w:color="auto" w:fill="auto"/>
            <w:vAlign w:val="center"/>
            <w:hideMark/>
          </w:tcPr>
          <w:p w14:paraId="6A5584C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state SOEs</w:t>
            </w:r>
          </w:p>
        </w:tc>
        <w:tc>
          <w:tcPr>
            <w:tcW w:w="545" w:type="pct"/>
            <w:tcBorders>
              <w:top w:val="nil"/>
              <w:left w:val="single" w:sz="4" w:space="0" w:color="auto"/>
              <w:right w:val="single" w:sz="4" w:space="0" w:color="auto"/>
            </w:tcBorders>
            <w:shd w:val="clear" w:color="auto" w:fill="auto"/>
            <w:noWrap/>
            <w:vAlign w:val="center"/>
            <w:hideMark/>
          </w:tcPr>
          <w:p w14:paraId="6DD341F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-0.072***</w:t>
            </w:r>
          </w:p>
        </w:tc>
        <w:tc>
          <w:tcPr>
            <w:tcW w:w="543" w:type="pct"/>
            <w:tcBorders>
              <w:top w:val="nil"/>
              <w:left w:val="single" w:sz="4" w:space="0" w:color="auto"/>
              <w:right w:val="single" w:sz="4" w:space="0" w:color="auto"/>
            </w:tcBorders>
            <w:shd w:val="clear" w:color="auto" w:fill="auto"/>
            <w:noWrap/>
            <w:vAlign w:val="center"/>
            <w:hideMark/>
          </w:tcPr>
          <w:p w14:paraId="5C973C8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45" w:type="pct"/>
            <w:tcBorders>
              <w:top w:val="nil"/>
              <w:left w:val="single" w:sz="4" w:space="0" w:color="auto"/>
              <w:right w:val="single" w:sz="4" w:space="0" w:color="auto"/>
            </w:tcBorders>
            <w:shd w:val="clear" w:color="auto" w:fill="auto"/>
            <w:noWrap/>
            <w:vAlign w:val="center"/>
            <w:hideMark/>
          </w:tcPr>
          <w:p w14:paraId="30FB15E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-0.044***</w:t>
            </w:r>
          </w:p>
        </w:tc>
        <w:tc>
          <w:tcPr>
            <w:tcW w:w="352" w:type="pct"/>
            <w:tcBorders>
              <w:top w:val="nil"/>
              <w:left w:val="single" w:sz="4" w:space="0" w:color="auto"/>
              <w:right w:val="single" w:sz="4" w:space="0" w:color="auto"/>
            </w:tcBorders>
            <w:shd w:val="clear" w:color="auto" w:fill="auto"/>
            <w:noWrap/>
            <w:vAlign w:val="center"/>
            <w:hideMark/>
          </w:tcPr>
          <w:p w14:paraId="2B837A6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84" w:type="pct"/>
            <w:tcBorders>
              <w:left w:val="single" w:sz="4" w:space="0" w:color="auto"/>
              <w:right w:val="single" w:sz="4" w:space="0" w:color="auto"/>
            </w:tcBorders>
          </w:tcPr>
          <w:p w14:paraId="6DFCCD6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-0.048***</w:t>
            </w:r>
          </w:p>
        </w:tc>
        <w:tc>
          <w:tcPr>
            <w:tcW w:w="352" w:type="pct"/>
            <w:tcBorders>
              <w:left w:val="single" w:sz="4" w:space="0" w:color="auto"/>
              <w:right w:val="single" w:sz="4" w:space="0" w:color="auto"/>
            </w:tcBorders>
          </w:tcPr>
          <w:p w14:paraId="1661343A"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right w:val="single" w:sz="4" w:space="0" w:color="auto"/>
            </w:tcBorders>
            <w:shd w:val="clear" w:color="auto" w:fill="auto"/>
            <w:noWrap/>
            <w:vAlign w:val="center"/>
            <w:hideMark/>
          </w:tcPr>
          <w:p w14:paraId="2A1D4AF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-0.069***</w:t>
            </w:r>
          </w:p>
        </w:tc>
        <w:tc>
          <w:tcPr>
            <w:tcW w:w="352" w:type="pct"/>
            <w:tcBorders>
              <w:top w:val="nil"/>
              <w:left w:val="single" w:sz="4" w:space="0" w:color="auto"/>
              <w:right w:val="single" w:sz="4" w:space="0" w:color="auto"/>
            </w:tcBorders>
            <w:shd w:val="clear" w:color="auto" w:fill="auto"/>
            <w:noWrap/>
            <w:vAlign w:val="center"/>
            <w:hideMark/>
          </w:tcPr>
          <w:p w14:paraId="40D0F06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r>
      <w:tr w:rsidR="00AC01C1" w:rsidRPr="00145B9B" w14:paraId="30BFFF7C"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4E5B0CD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mixed SOEs</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1607C8C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0.053***</w:t>
            </w: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AF4B9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36F4E2D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0.110***</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BAFF26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bottom w:val="single" w:sz="4" w:space="0" w:color="auto"/>
              <w:right w:val="single" w:sz="4" w:space="0" w:color="auto"/>
            </w:tcBorders>
          </w:tcPr>
          <w:p w14:paraId="57F43E00"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0.061***</w:t>
            </w:r>
          </w:p>
        </w:tc>
        <w:tc>
          <w:tcPr>
            <w:tcW w:w="352" w:type="pct"/>
            <w:tcBorders>
              <w:left w:val="single" w:sz="4" w:space="0" w:color="auto"/>
              <w:bottom w:val="single" w:sz="4" w:space="0" w:color="auto"/>
              <w:right w:val="single" w:sz="4" w:space="0" w:color="auto"/>
            </w:tcBorders>
          </w:tcPr>
          <w:p w14:paraId="4FFB7053"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7C10F05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0.052***</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0E087A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64AF17CF" w14:textId="77777777" w:rsidTr="00B25599">
        <w:tc>
          <w:tcPr>
            <w:tcW w:w="1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90346"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Male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F7C5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866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D57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0.250***</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A311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84" w:type="pct"/>
            <w:tcBorders>
              <w:top w:val="single" w:sz="4" w:space="0" w:color="auto"/>
              <w:left w:val="single" w:sz="4" w:space="0" w:color="auto"/>
              <w:bottom w:val="single" w:sz="4" w:space="0" w:color="auto"/>
              <w:right w:val="single" w:sz="4" w:space="0" w:color="auto"/>
            </w:tcBorders>
            <w:vAlign w:val="center"/>
          </w:tcPr>
          <w:p w14:paraId="27394167"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0.187***</w:t>
            </w:r>
          </w:p>
        </w:tc>
        <w:tc>
          <w:tcPr>
            <w:tcW w:w="352" w:type="pct"/>
            <w:tcBorders>
              <w:top w:val="single" w:sz="4" w:space="0" w:color="auto"/>
              <w:left w:val="single" w:sz="4" w:space="0" w:color="auto"/>
              <w:bottom w:val="single" w:sz="4" w:space="0" w:color="auto"/>
              <w:right w:val="single" w:sz="4" w:space="0" w:color="auto"/>
            </w:tcBorders>
            <w:vAlign w:val="center"/>
          </w:tcPr>
          <w:p w14:paraId="5A8ED94B"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FA0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0.176***</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E819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r>
      <w:tr w:rsidR="00AC01C1" w:rsidRPr="00145B9B" w14:paraId="35BD5582" w14:textId="77777777" w:rsidTr="00B25599">
        <w:tc>
          <w:tcPr>
            <w:tcW w:w="1181" w:type="pct"/>
            <w:tcBorders>
              <w:top w:val="single" w:sz="4" w:space="0" w:color="auto"/>
              <w:left w:val="single" w:sz="4" w:space="0" w:color="auto"/>
              <w:bottom w:val="nil"/>
              <w:right w:val="single" w:sz="4" w:space="0" w:color="auto"/>
            </w:tcBorders>
            <w:shd w:val="clear" w:color="auto" w:fill="auto"/>
            <w:vAlign w:val="center"/>
            <w:hideMark/>
          </w:tcPr>
          <w:p w14:paraId="2C314DD2"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Education (high school)</w:t>
            </w: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7A834129"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543" w:type="pct"/>
            <w:tcBorders>
              <w:top w:val="single" w:sz="4" w:space="0" w:color="auto"/>
              <w:left w:val="single" w:sz="4" w:space="0" w:color="auto"/>
              <w:bottom w:val="nil"/>
              <w:right w:val="single" w:sz="4" w:space="0" w:color="auto"/>
            </w:tcBorders>
            <w:shd w:val="clear" w:color="auto" w:fill="auto"/>
            <w:noWrap/>
            <w:vAlign w:val="center"/>
            <w:hideMark/>
          </w:tcPr>
          <w:p w14:paraId="1867B3D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bottom"/>
            <w:hideMark/>
          </w:tcPr>
          <w:p w14:paraId="5D6BE36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bottom"/>
            <w:hideMark/>
          </w:tcPr>
          <w:p w14:paraId="0EFFB027"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584" w:type="pct"/>
            <w:tcBorders>
              <w:top w:val="single" w:sz="4" w:space="0" w:color="auto"/>
              <w:left w:val="single" w:sz="4" w:space="0" w:color="auto"/>
              <w:right w:val="single" w:sz="4" w:space="0" w:color="auto"/>
            </w:tcBorders>
            <w:vAlign w:val="center"/>
          </w:tcPr>
          <w:p w14:paraId="0215717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right w:val="single" w:sz="4" w:space="0" w:color="auto"/>
            </w:tcBorders>
            <w:vAlign w:val="center"/>
          </w:tcPr>
          <w:p w14:paraId="0BAE4C3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bottom"/>
            <w:hideMark/>
          </w:tcPr>
          <w:p w14:paraId="38AE314C"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bottom"/>
            <w:hideMark/>
          </w:tcPr>
          <w:p w14:paraId="0DA6093E" w14:textId="77777777" w:rsidR="00AC01C1" w:rsidRPr="00145B9B" w:rsidRDefault="00AC01C1" w:rsidP="00B25599">
            <w:pPr>
              <w:spacing w:after="0" w:line="240" w:lineRule="auto"/>
              <w:rPr>
                <w:rFonts w:ascii="Times New Roman" w:eastAsia="Times New Roman" w:hAnsi="Times New Roman" w:cs="Times New Roman"/>
                <w:sz w:val="20"/>
                <w:szCs w:val="20"/>
              </w:rPr>
            </w:pPr>
          </w:p>
        </w:tc>
      </w:tr>
      <w:tr w:rsidR="00AC01C1" w:rsidRPr="00145B9B" w14:paraId="3254CDED"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3B8628B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University</w:t>
            </w:r>
          </w:p>
        </w:tc>
        <w:tc>
          <w:tcPr>
            <w:tcW w:w="545" w:type="pct"/>
            <w:tcBorders>
              <w:top w:val="nil"/>
              <w:left w:val="single" w:sz="4" w:space="0" w:color="auto"/>
              <w:bottom w:val="nil"/>
              <w:right w:val="single" w:sz="4" w:space="0" w:color="auto"/>
            </w:tcBorders>
            <w:shd w:val="clear" w:color="auto" w:fill="auto"/>
            <w:noWrap/>
            <w:vAlign w:val="center"/>
            <w:hideMark/>
          </w:tcPr>
          <w:p w14:paraId="24D552D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0.623***</w:t>
            </w:r>
          </w:p>
        </w:tc>
        <w:tc>
          <w:tcPr>
            <w:tcW w:w="543" w:type="pct"/>
            <w:tcBorders>
              <w:top w:val="nil"/>
              <w:left w:val="single" w:sz="4" w:space="0" w:color="auto"/>
              <w:bottom w:val="nil"/>
              <w:right w:val="single" w:sz="4" w:space="0" w:color="auto"/>
            </w:tcBorders>
            <w:shd w:val="clear" w:color="auto" w:fill="auto"/>
            <w:noWrap/>
            <w:vAlign w:val="center"/>
            <w:hideMark/>
          </w:tcPr>
          <w:p w14:paraId="26D8ECA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6AFCCDD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0.598***</w:t>
            </w:r>
          </w:p>
        </w:tc>
        <w:tc>
          <w:tcPr>
            <w:tcW w:w="352" w:type="pct"/>
            <w:tcBorders>
              <w:top w:val="nil"/>
              <w:left w:val="single" w:sz="4" w:space="0" w:color="auto"/>
              <w:bottom w:val="nil"/>
              <w:right w:val="single" w:sz="4" w:space="0" w:color="auto"/>
            </w:tcBorders>
            <w:shd w:val="clear" w:color="auto" w:fill="auto"/>
            <w:noWrap/>
            <w:vAlign w:val="center"/>
            <w:hideMark/>
          </w:tcPr>
          <w:p w14:paraId="7F7189E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84" w:type="pct"/>
            <w:tcBorders>
              <w:left w:val="single" w:sz="4" w:space="0" w:color="auto"/>
              <w:right w:val="single" w:sz="4" w:space="0" w:color="auto"/>
            </w:tcBorders>
            <w:vAlign w:val="center"/>
          </w:tcPr>
          <w:p w14:paraId="41C3F97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0.257***</w:t>
            </w:r>
          </w:p>
        </w:tc>
        <w:tc>
          <w:tcPr>
            <w:tcW w:w="352" w:type="pct"/>
            <w:tcBorders>
              <w:left w:val="single" w:sz="4" w:space="0" w:color="auto"/>
              <w:right w:val="single" w:sz="4" w:space="0" w:color="auto"/>
            </w:tcBorders>
            <w:vAlign w:val="center"/>
          </w:tcPr>
          <w:p w14:paraId="1646645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2584E94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0.270***</w:t>
            </w:r>
          </w:p>
        </w:tc>
        <w:tc>
          <w:tcPr>
            <w:tcW w:w="352" w:type="pct"/>
            <w:tcBorders>
              <w:top w:val="nil"/>
              <w:left w:val="single" w:sz="4" w:space="0" w:color="auto"/>
              <w:bottom w:val="nil"/>
              <w:right w:val="single" w:sz="4" w:space="0" w:color="auto"/>
            </w:tcBorders>
            <w:shd w:val="clear" w:color="auto" w:fill="auto"/>
            <w:noWrap/>
            <w:vAlign w:val="center"/>
            <w:hideMark/>
          </w:tcPr>
          <w:p w14:paraId="76F50F3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145E0349"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7A6CD22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Some university</w:t>
            </w:r>
          </w:p>
        </w:tc>
        <w:tc>
          <w:tcPr>
            <w:tcW w:w="545" w:type="pct"/>
            <w:tcBorders>
              <w:top w:val="nil"/>
              <w:left w:val="single" w:sz="4" w:space="0" w:color="auto"/>
              <w:bottom w:val="nil"/>
              <w:right w:val="single" w:sz="4" w:space="0" w:color="auto"/>
            </w:tcBorders>
            <w:shd w:val="clear" w:color="auto" w:fill="auto"/>
            <w:noWrap/>
            <w:vAlign w:val="center"/>
            <w:hideMark/>
          </w:tcPr>
          <w:p w14:paraId="3BC68F2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0.225***</w:t>
            </w:r>
          </w:p>
        </w:tc>
        <w:tc>
          <w:tcPr>
            <w:tcW w:w="543" w:type="pct"/>
            <w:tcBorders>
              <w:top w:val="nil"/>
              <w:left w:val="single" w:sz="4" w:space="0" w:color="auto"/>
              <w:bottom w:val="nil"/>
              <w:right w:val="single" w:sz="4" w:space="0" w:color="auto"/>
            </w:tcBorders>
            <w:shd w:val="clear" w:color="auto" w:fill="auto"/>
            <w:noWrap/>
            <w:vAlign w:val="center"/>
            <w:hideMark/>
          </w:tcPr>
          <w:p w14:paraId="4B6E067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0.005</w:t>
            </w:r>
          </w:p>
        </w:tc>
        <w:tc>
          <w:tcPr>
            <w:tcW w:w="545" w:type="pct"/>
            <w:tcBorders>
              <w:top w:val="nil"/>
              <w:left w:val="single" w:sz="4" w:space="0" w:color="auto"/>
              <w:bottom w:val="nil"/>
              <w:right w:val="single" w:sz="4" w:space="0" w:color="auto"/>
            </w:tcBorders>
            <w:shd w:val="clear" w:color="auto" w:fill="auto"/>
            <w:noWrap/>
            <w:vAlign w:val="center"/>
            <w:hideMark/>
          </w:tcPr>
          <w:p w14:paraId="56FAA10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0.214***</w:t>
            </w:r>
          </w:p>
        </w:tc>
        <w:tc>
          <w:tcPr>
            <w:tcW w:w="352" w:type="pct"/>
            <w:tcBorders>
              <w:top w:val="nil"/>
              <w:left w:val="single" w:sz="4" w:space="0" w:color="auto"/>
              <w:bottom w:val="nil"/>
              <w:right w:val="single" w:sz="4" w:space="0" w:color="auto"/>
            </w:tcBorders>
            <w:shd w:val="clear" w:color="auto" w:fill="auto"/>
            <w:noWrap/>
            <w:vAlign w:val="center"/>
            <w:hideMark/>
          </w:tcPr>
          <w:p w14:paraId="680154C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0.004</w:t>
            </w:r>
          </w:p>
        </w:tc>
        <w:tc>
          <w:tcPr>
            <w:tcW w:w="584" w:type="pct"/>
            <w:tcBorders>
              <w:left w:val="single" w:sz="4" w:space="0" w:color="auto"/>
              <w:right w:val="single" w:sz="4" w:space="0" w:color="auto"/>
            </w:tcBorders>
            <w:vAlign w:val="center"/>
          </w:tcPr>
          <w:p w14:paraId="161F1797"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0.033***</w:t>
            </w:r>
          </w:p>
        </w:tc>
        <w:tc>
          <w:tcPr>
            <w:tcW w:w="352" w:type="pct"/>
            <w:tcBorders>
              <w:left w:val="single" w:sz="4" w:space="0" w:color="auto"/>
              <w:right w:val="single" w:sz="4" w:space="0" w:color="auto"/>
            </w:tcBorders>
            <w:vAlign w:val="center"/>
          </w:tcPr>
          <w:p w14:paraId="41D8AA8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0.003</w:t>
            </w:r>
          </w:p>
        </w:tc>
        <w:tc>
          <w:tcPr>
            <w:tcW w:w="545" w:type="pct"/>
            <w:tcBorders>
              <w:top w:val="nil"/>
              <w:left w:val="single" w:sz="4" w:space="0" w:color="auto"/>
              <w:bottom w:val="nil"/>
              <w:right w:val="single" w:sz="4" w:space="0" w:color="auto"/>
            </w:tcBorders>
            <w:shd w:val="clear" w:color="auto" w:fill="auto"/>
            <w:noWrap/>
            <w:vAlign w:val="center"/>
            <w:hideMark/>
          </w:tcPr>
          <w:p w14:paraId="301329D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0.052***</w:t>
            </w:r>
          </w:p>
        </w:tc>
        <w:tc>
          <w:tcPr>
            <w:tcW w:w="352" w:type="pct"/>
            <w:tcBorders>
              <w:top w:val="nil"/>
              <w:left w:val="single" w:sz="4" w:space="0" w:color="auto"/>
              <w:bottom w:val="nil"/>
              <w:right w:val="single" w:sz="4" w:space="0" w:color="auto"/>
            </w:tcBorders>
            <w:shd w:val="clear" w:color="auto" w:fill="auto"/>
            <w:noWrap/>
            <w:vAlign w:val="center"/>
            <w:hideMark/>
          </w:tcPr>
          <w:p w14:paraId="6A387E9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0.003</w:t>
            </w:r>
          </w:p>
        </w:tc>
      </w:tr>
      <w:tr w:rsidR="00AC01C1" w:rsidRPr="00145B9B" w14:paraId="287388F0"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75B0CE7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Technical college</w:t>
            </w:r>
          </w:p>
        </w:tc>
        <w:tc>
          <w:tcPr>
            <w:tcW w:w="545" w:type="pct"/>
            <w:tcBorders>
              <w:top w:val="nil"/>
              <w:left w:val="single" w:sz="4" w:space="0" w:color="auto"/>
              <w:bottom w:val="nil"/>
              <w:right w:val="single" w:sz="4" w:space="0" w:color="auto"/>
            </w:tcBorders>
            <w:shd w:val="clear" w:color="auto" w:fill="auto"/>
            <w:noWrap/>
            <w:vAlign w:val="center"/>
            <w:hideMark/>
          </w:tcPr>
          <w:p w14:paraId="1AEDF8B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0.179***</w:t>
            </w:r>
          </w:p>
        </w:tc>
        <w:tc>
          <w:tcPr>
            <w:tcW w:w="543" w:type="pct"/>
            <w:tcBorders>
              <w:top w:val="nil"/>
              <w:left w:val="single" w:sz="4" w:space="0" w:color="auto"/>
              <w:bottom w:val="nil"/>
              <w:right w:val="single" w:sz="4" w:space="0" w:color="auto"/>
            </w:tcBorders>
            <w:shd w:val="clear" w:color="auto" w:fill="auto"/>
            <w:noWrap/>
            <w:vAlign w:val="center"/>
            <w:hideMark/>
          </w:tcPr>
          <w:p w14:paraId="366A2DD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226C4F0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0.191***</w:t>
            </w:r>
          </w:p>
        </w:tc>
        <w:tc>
          <w:tcPr>
            <w:tcW w:w="352" w:type="pct"/>
            <w:tcBorders>
              <w:top w:val="nil"/>
              <w:left w:val="single" w:sz="4" w:space="0" w:color="auto"/>
              <w:bottom w:val="nil"/>
              <w:right w:val="single" w:sz="4" w:space="0" w:color="auto"/>
            </w:tcBorders>
            <w:shd w:val="clear" w:color="auto" w:fill="auto"/>
            <w:noWrap/>
            <w:vAlign w:val="center"/>
            <w:hideMark/>
          </w:tcPr>
          <w:p w14:paraId="3021219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c>
          <w:tcPr>
            <w:tcW w:w="584" w:type="pct"/>
            <w:tcBorders>
              <w:left w:val="single" w:sz="4" w:space="0" w:color="auto"/>
              <w:right w:val="single" w:sz="4" w:space="0" w:color="auto"/>
            </w:tcBorders>
            <w:vAlign w:val="center"/>
          </w:tcPr>
          <w:p w14:paraId="0212EB2A"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0.055***</w:t>
            </w:r>
          </w:p>
        </w:tc>
        <w:tc>
          <w:tcPr>
            <w:tcW w:w="352" w:type="pct"/>
            <w:tcBorders>
              <w:left w:val="single" w:sz="4" w:space="0" w:color="auto"/>
              <w:right w:val="single" w:sz="4" w:space="0" w:color="auto"/>
            </w:tcBorders>
            <w:vAlign w:val="center"/>
          </w:tcPr>
          <w:p w14:paraId="2AD4520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bottom w:val="nil"/>
              <w:right w:val="single" w:sz="4" w:space="0" w:color="auto"/>
            </w:tcBorders>
            <w:shd w:val="clear" w:color="auto" w:fill="auto"/>
            <w:noWrap/>
            <w:vAlign w:val="center"/>
            <w:hideMark/>
          </w:tcPr>
          <w:p w14:paraId="2E5C5B2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0.058***</w:t>
            </w:r>
          </w:p>
        </w:tc>
        <w:tc>
          <w:tcPr>
            <w:tcW w:w="352" w:type="pct"/>
            <w:tcBorders>
              <w:top w:val="nil"/>
              <w:left w:val="single" w:sz="4" w:space="0" w:color="auto"/>
              <w:bottom w:val="nil"/>
              <w:right w:val="single" w:sz="4" w:space="0" w:color="auto"/>
            </w:tcBorders>
            <w:shd w:val="clear" w:color="auto" w:fill="auto"/>
            <w:noWrap/>
            <w:vAlign w:val="center"/>
            <w:hideMark/>
          </w:tcPr>
          <w:p w14:paraId="2821818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r>
      <w:tr w:rsidR="00AC01C1" w:rsidRPr="00145B9B" w14:paraId="419F7735" w14:textId="77777777" w:rsidTr="00B25599">
        <w:tc>
          <w:tcPr>
            <w:tcW w:w="1181" w:type="pct"/>
            <w:tcBorders>
              <w:top w:val="nil"/>
              <w:left w:val="single" w:sz="4" w:space="0" w:color="auto"/>
              <w:right w:val="single" w:sz="4" w:space="0" w:color="auto"/>
            </w:tcBorders>
            <w:shd w:val="clear" w:color="auto" w:fill="auto"/>
            <w:vAlign w:val="center"/>
            <w:hideMark/>
          </w:tcPr>
          <w:p w14:paraId="7359380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Vocational</w:t>
            </w:r>
          </w:p>
        </w:tc>
        <w:tc>
          <w:tcPr>
            <w:tcW w:w="545" w:type="pct"/>
            <w:tcBorders>
              <w:top w:val="nil"/>
              <w:left w:val="single" w:sz="4" w:space="0" w:color="auto"/>
              <w:right w:val="single" w:sz="4" w:space="0" w:color="auto"/>
            </w:tcBorders>
            <w:shd w:val="clear" w:color="auto" w:fill="auto"/>
            <w:noWrap/>
            <w:vAlign w:val="center"/>
            <w:hideMark/>
          </w:tcPr>
          <w:p w14:paraId="40C834E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0.039***</w:t>
            </w:r>
          </w:p>
        </w:tc>
        <w:tc>
          <w:tcPr>
            <w:tcW w:w="543" w:type="pct"/>
            <w:tcBorders>
              <w:top w:val="nil"/>
              <w:left w:val="single" w:sz="4" w:space="0" w:color="auto"/>
              <w:right w:val="single" w:sz="4" w:space="0" w:color="auto"/>
            </w:tcBorders>
            <w:shd w:val="clear" w:color="auto" w:fill="auto"/>
            <w:noWrap/>
            <w:vAlign w:val="center"/>
            <w:hideMark/>
          </w:tcPr>
          <w:p w14:paraId="5BA21DD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right w:val="single" w:sz="4" w:space="0" w:color="auto"/>
            </w:tcBorders>
            <w:shd w:val="clear" w:color="auto" w:fill="auto"/>
            <w:noWrap/>
            <w:vAlign w:val="center"/>
            <w:hideMark/>
          </w:tcPr>
          <w:p w14:paraId="75609DF8"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0.063***</w:t>
            </w:r>
          </w:p>
        </w:tc>
        <w:tc>
          <w:tcPr>
            <w:tcW w:w="352" w:type="pct"/>
            <w:tcBorders>
              <w:top w:val="nil"/>
              <w:left w:val="single" w:sz="4" w:space="0" w:color="auto"/>
              <w:right w:val="single" w:sz="4" w:space="0" w:color="auto"/>
            </w:tcBorders>
            <w:shd w:val="clear" w:color="auto" w:fill="auto"/>
            <w:noWrap/>
            <w:vAlign w:val="center"/>
            <w:hideMark/>
          </w:tcPr>
          <w:p w14:paraId="1699288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right w:val="single" w:sz="4" w:space="0" w:color="auto"/>
            </w:tcBorders>
            <w:vAlign w:val="center"/>
          </w:tcPr>
          <w:p w14:paraId="0CB3CEF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0.020***</w:t>
            </w:r>
          </w:p>
        </w:tc>
        <w:tc>
          <w:tcPr>
            <w:tcW w:w="352" w:type="pct"/>
            <w:tcBorders>
              <w:left w:val="single" w:sz="4" w:space="0" w:color="auto"/>
              <w:right w:val="single" w:sz="4" w:space="0" w:color="auto"/>
            </w:tcBorders>
            <w:vAlign w:val="center"/>
          </w:tcPr>
          <w:p w14:paraId="69183F2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right w:val="single" w:sz="4" w:space="0" w:color="auto"/>
            </w:tcBorders>
            <w:shd w:val="clear" w:color="auto" w:fill="auto"/>
            <w:noWrap/>
            <w:vAlign w:val="center"/>
            <w:hideMark/>
          </w:tcPr>
          <w:p w14:paraId="623BE8C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0.024***</w:t>
            </w:r>
          </w:p>
        </w:tc>
        <w:tc>
          <w:tcPr>
            <w:tcW w:w="352" w:type="pct"/>
            <w:tcBorders>
              <w:top w:val="nil"/>
              <w:left w:val="single" w:sz="4" w:space="0" w:color="auto"/>
              <w:right w:val="single" w:sz="4" w:space="0" w:color="auto"/>
            </w:tcBorders>
            <w:shd w:val="clear" w:color="auto" w:fill="auto"/>
            <w:noWrap/>
            <w:vAlign w:val="center"/>
            <w:hideMark/>
          </w:tcPr>
          <w:p w14:paraId="2F5DEED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r>
      <w:tr w:rsidR="00AC01C1" w:rsidRPr="00145B9B" w14:paraId="6DAEEED4"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1DACF75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HS drop-outs</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F9951D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-0.118***</w:t>
            </w: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E6914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0.003</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335F622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-0.101***</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D44349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bottom w:val="single" w:sz="4" w:space="0" w:color="auto"/>
              <w:right w:val="single" w:sz="4" w:space="0" w:color="auto"/>
            </w:tcBorders>
            <w:vAlign w:val="center"/>
          </w:tcPr>
          <w:p w14:paraId="6CA2BCA7"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-0.047***</w:t>
            </w:r>
          </w:p>
        </w:tc>
        <w:tc>
          <w:tcPr>
            <w:tcW w:w="352" w:type="pct"/>
            <w:tcBorders>
              <w:left w:val="single" w:sz="4" w:space="0" w:color="auto"/>
              <w:bottom w:val="single" w:sz="4" w:space="0" w:color="auto"/>
              <w:right w:val="single" w:sz="4" w:space="0" w:color="auto"/>
            </w:tcBorders>
            <w:vAlign w:val="center"/>
          </w:tcPr>
          <w:p w14:paraId="3A2C423D"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4EF5E378"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-0.046***</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4A244D1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3D7580EC" w14:textId="77777777" w:rsidTr="00B25599">
        <w:tc>
          <w:tcPr>
            <w:tcW w:w="1181" w:type="pct"/>
            <w:tcBorders>
              <w:top w:val="single" w:sz="4" w:space="0" w:color="auto"/>
              <w:left w:val="single" w:sz="4" w:space="0" w:color="auto"/>
              <w:right w:val="single" w:sz="4" w:space="0" w:color="auto"/>
            </w:tcBorders>
            <w:shd w:val="clear" w:color="auto" w:fill="auto"/>
            <w:vAlign w:val="center"/>
            <w:hideMark/>
          </w:tcPr>
          <w:p w14:paraId="6B0D3C0A"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Age</w:t>
            </w:r>
          </w:p>
        </w:tc>
        <w:tc>
          <w:tcPr>
            <w:tcW w:w="545" w:type="pct"/>
            <w:tcBorders>
              <w:top w:val="single" w:sz="4" w:space="0" w:color="auto"/>
              <w:left w:val="single" w:sz="4" w:space="0" w:color="auto"/>
              <w:right w:val="single" w:sz="4" w:space="0" w:color="auto"/>
            </w:tcBorders>
            <w:shd w:val="clear" w:color="auto" w:fill="auto"/>
            <w:noWrap/>
            <w:vAlign w:val="center"/>
            <w:hideMark/>
          </w:tcPr>
          <w:p w14:paraId="75C543B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0.029***</w:t>
            </w:r>
          </w:p>
        </w:tc>
        <w:tc>
          <w:tcPr>
            <w:tcW w:w="543" w:type="pct"/>
            <w:tcBorders>
              <w:top w:val="single" w:sz="4" w:space="0" w:color="auto"/>
              <w:left w:val="single" w:sz="4" w:space="0" w:color="auto"/>
              <w:right w:val="single" w:sz="4" w:space="0" w:color="auto"/>
            </w:tcBorders>
            <w:shd w:val="clear" w:color="auto" w:fill="auto"/>
            <w:noWrap/>
            <w:vAlign w:val="center"/>
            <w:hideMark/>
          </w:tcPr>
          <w:p w14:paraId="2BC4B07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545" w:type="pct"/>
            <w:tcBorders>
              <w:top w:val="single" w:sz="4" w:space="0" w:color="auto"/>
              <w:left w:val="single" w:sz="4" w:space="0" w:color="auto"/>
              <w:right w:val="single" w:sz="4" w:space="0" w:color="auto"/>
            </w:tcBorders>
            <w:shd w:val="clear" w:color="auto" w:fill="auto"/>
            <w:noWrap/>
            <w:vAlign w:val="center"/>
            <w:hideMark/>
          </w:tcPr>
          <w:p w14:paraId="33B249A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0.036***</w:t>
            </w:r>
          </w:p>
        </w:tc>
        <w:tc>
          <w:tcPr>
            <w:tcW w:w="352" w:type="pct"/>
            <w:tcBorders>
              <w:top w:val="single" w:sz="4" w:space="0" w:color="auto"/>
              <w:left w:val="single" w:sz="4" w:space="0" w:color="auto"/>
              <w:right w:val="single" w:sz="4" w:space="0" w:color="auto"/>
            </w:tcBorders>
            <w:shd w:val="clear" w:color="auto" w:fill="auto"/>
            <w:noWrap/>
            <w:vAlign w:val="center"/>
            <w:hideMark/>
          </w:tcPr>
          <w:p w14:paraId="59C05AA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584" w:type="pct"/>
            <w:tcBorders>
              <w:top w:val="single" w:sz="4" w:space="0" w:color="auto"/>
              <w:left w:val="single" w:sz="4" w:space="0" w:color="auto"/>
              <w:right w:val="single" w:sz="4" w:space="0" w:color="auto"/>
            </w:tcBorders>
            <w:vAlign w:val="center"/>
          </w:tcPr>
          <w:p w14:paraId="436230A7"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0.028***</w:t>
            </w:r>
          </w:p>
        </w:tc>
        <w:tc>
          <w:tcPr>
            <w:tcW w:w="352" w:type="pct"/>
            <w:tcBorders>
              <w:top w:val="single" w:sz="4" w:space="0" w:color="auto"/>
              <w:left w:val="single" w:sz="4" w:space="0" w:color="auto"/>
              <w:right w:val="single" w:sz="4" w:space="0" w:color="auto"/>
            </w:tcBorders>
            <w:vAlign w:val="center"/>
          </w:tcPr>
          <w:p w14:paraId="28F13FCD"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0.000</w:t>
            </w:r>
          </w:p>
        </w:tc>
        <w:tc>
          <w:tcPr>
            <w:tcW w:w="545" w:type="pct"/>
            <w:tcBorders>
              <w:top w:val="single" w:sz="4" w:space="0" w:color="auto"/>
              <w:left w:val="single" w:sz="4" w:space="0" w:color="auto"/>
              <w:right w:val="single" w:sz="4" w:space="0" w:color="auto"/>
            </w:tcBorders>
            <w:shd w:val="clear" w:color="auto" w:fill="auto"/>
            <w:noWrap/>
            <w:vAlign w:val="center"/>
            <w:hideMark/>
          </w:tcPr>
          <w:p w14:paraId="4A2959B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0.026***</w:t>
            </w:r>
          </w:p>
        </w:tc>
        <w:tc>
          <w:tcPr>
            <w:tcW w:w="352" w:type="pct"/>
            <w:tcBorders>
              <w:top w:val="single" w:sz="4" w:space="0" w:color="auto"/>
              <w:left w:val="single" w:sz="4" w:space="0" w:color="auto"/>
              <w:right w:val="single" w:sz="4" w:space="0" w:color="auto"/>
            </w:tcBorders>
            <w:shd w:val="clear" w:color="auto" w:fill="auto"/>
            <w:noWrap/>
            <w:vAlign w:val="center"/>
            <w:hideMark/>
          </w:tcPr>
          <w:p w14:paraId="2F647F5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r>
      <w:tr w:rsidR="00AC01C1" w:rsidRPr="00145B9B" w14:paraId="56FABEBA"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5FDFBB8B"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Age sq.</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52AAD3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144227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5DEC443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4C01E95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584" w:type="pct"/>
            <w:tcBorders>
              <w:left w:val="single" w:sz="4" w:space="0" w:color="auto"/>
              <w:bottom w:val="single" w:sz="4" w:space="0" w:color="auto"/>
              <w:right w:val="single" w:sz="4" w:space="0" w:color="auto"/>
            </w:tcBorders>
            <w:vAlign w:val="center"/>
          </w:tcPr>
          <w:p w14:paraId="00619603"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-0.315***</w:t>
            </w:r>
          </w:p>
        </w:tc>
        <w:tc>
          <w:tcPr>
            <w:tcW w:w="352" w:type="pct"/>
            <w:tcBorders>
              <w:left w:val="single" w:sz="4" w:space="0" w:color="auto"/>
              <w:bottom w:val="single" w:sz="4" w:space="0" w:color="auto"/>
              <w:right w:val="single" w:sz="4" w:space="0" w:color="auto"/>
            </w:tcBorders>
            <w:vAlign w:val="center"/>
          </w:tcPr>
          <w:p w14:paraId="3AC497AE"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0.003</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2FBB698"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D98B8E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0.000</w:t>
            </w:r>
          </w:p>
        </w:tc>
      </w:tr>
      <w:tr w:rsidR="00AC01C1" w:rsidRPr="00145B9B" w14:paraId="008402C1" w14:textId="77777777" w:rsidTr="00B25599">
        <w:tc>
          <w:tcPr>
            <w:tcW w:w="1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3B79D"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Part-time work</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7FE4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0.460***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256D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0.004</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2B4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0.503***</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C27D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0.003</w:t>
            </w:r>
          </w:p>
        </w:tc>
        <w:tc>
          <w:tcPr>
            <w:tcW w:w="584" w:type="pct"/>
            <w:tcBorders>
              <w:top w:val="single" w:sz="4" w:space="0" w:color="auto"/>
              <w:left w:val="single" w:sz="4" w:space="0" w:color="auto"/>
              <w:bottom w:val="single" w:sz="4" w:space="0" w:color="auto"/>
              <w:right w:val="single" w:sz="4" w:space="0" w:color="auto"/>
            </w:tcBorders>
            <w:vAlign w:val="center"/>
          </w:tcPr>
          <w:p w14:paraId="2480C2D0"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0.503***</w:t>
            </w:r>
          </w:p>
        </w:tc>
        <w:tc>
          <w:tcPr>
            <w:tcW w:w="352" w:type="pct"/>
            <w:tcBorders>
              <w:top w:val="single" w:sz="4" w:space="0" w:color="auto"/>
              <w:left w:val="single" w:sz="4" w:space="0" w:color="auto"/>
              <w:bottom w:val="single" w:sz="4" w:space="0" w:color="auto"/>
              <w:right w:val="single" w:sz="4" w:space="0" w:color="auto"/>
            </w:tcBorders>
            <w:vAlign w:val="center"/>
          </w:tcPr>
          <w:p w14:paraId="7ABE7462"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0.003</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3D71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0.545***</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D1E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0.003</w:t>
            </w:r>
          </w:p>
        </w:tc>
      </w:tr>
      <w:tr w:rsidR="00AC01C1" w:rsidRPr="00145B9B" w14:paraId="246A95E3" w14:textId="77777777" w:rsidTr="00B25599">
        <w:tc>
          <w:tcPr>
            <w:tcW w:w="1181" w:type="pct"/>
            <w:tcBorders>
              <w:top w:val="single" w:sz="4" w:space="0" w:color="auto"/>
              <w:left w:val="single" w:sz="4" w:space="0" w:color="auto"/>
              <w:bottom w:val="nil"/>
              <w:right w:val="single" w:sz="4" w:space="0" w:color="auto"/>
            </w:tcBorders>
            <w:shd w:val="clear" w:color="auto" w:fill="auto"/>
            <w:vAlign w:val="center"/>
            <w:hideMark/>
          </w:tcPr>
          <w:p w14:paraId="636A614E"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Year (2005)</w:t>
            </w: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0323DA36"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543" w:type="pct"/>
            <w:tcBorders>
              <w:top w:val="single" w:sz="4" w:space="0" w:color="auto"/>
              <w:left w:val="single" w:sz="4" w:space="0" w:color="auto"/>
              <w:bottom w:val="nil"/>
              <w:right w:val="single" w:sz="4" w:space="0" w:color="auto"/>
            </w:tcBorders>
            <w:shd w:val="clear" w:color="auto" w:fill="auto"/>
            <w:noWrap/>
            <w:vAlign w:val="center"/>
            <w:hideMark/>
          </w:tcPr>
          <w:p w14:paraId="117705A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1E2004A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center"/>
            <w:hideMark/>
          </w:tcPr>
          <w:p w14:paraId="4D5F3B4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top w:val="single" w:sz="4" w:space="0" w:color="auto"/>
              <w:left w:val="single" w:sz="4" w:space="0" w:color="auto"/>
              <w:right w:val="single" w:sz="4" w:space="0" w:color="auto"/>
            </w:tcBorders>
            <w:vAlign w:val="center"/>
          </w:tcPr>
          <w:p w14:paraId="59711C7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right w:val="single" w:sz="4" w:space="0" w:color="auto"/>
            </w:tcBorders>
            <w:vAlign w:val="center"/>
          </w:tcPr>
          <w:p w14:paraId="635E7BC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3ABFDDC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center"/>
            <w:hideMark/>
          </w:tcPr>
          <w:p w14:paraId="6DAD177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r>
      <w:tr w:rsidR="00AC01C1" w:rsidRPr="00145B9B" w14:paraId="22A3CB9D"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2804F4F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 xml:space="preserve">2007 </w:t>
            </w:r>
          </w:p>
        </w:tc>
        <w:tc>
          <w:tcPr>
            <w:tcW w:w="545" w:type="pct"/>
            <w:tcBorders>
              <w:top w:val="nil"/>
              <w:left w:val="single" w:sz="4" w:space="0" w:color="auto"/>
              <w:bottom w:val="nil"/>
              <w:right w:val="single" w:sz="4" w:space="0" w:color="auto"/>
            </w:tcBorders>
            <w:shd w:val="clear" w:color="auto" w:fill="auto"/>
            <w:noWrap/>
            <w:vAlign w:val="center"/>
            <w:hideMark/>
          </w:tcPr>
          <w:p w14:paraId="613676D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0.200***</w:t>
            </w:r>
          </w:p>
        </w:tc>
        <w:tc>
          <w:tcPr>
            <w:tcW w:w="543" w:type="pct"/>
            <w:tcBorders>
              <w:top w:val="nil"/>
              <w:left w:val="single" w:sz="4" w:space="0" w:color="auto"/>
              <w:bottom w:val="nil"/>
              <w:right w:val="single" w:sz="4" w:space="0" w:color="auto"/>
            </w:tcBorders>
            <w:shd w:val="clear" w:color="auto" w:fill="auto"/>
            <w:noWrap/>
            <w:vAlign w:val="center"/>
            <w:hideMark/>
          </w:tcPr>
          <w:p w14:paraId="017A823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53E1EC2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0.201***</w:t>
            </w:r>
          </w:p>
        </w:tc>
        <w:tc>
          <w:tcPr>
            <w:tcW w:w="352" w:type="pct"/>
            <w:tcBorders>
              <w:top w:val="nil"/>
              <w:left w:val="single" w:sz="4" w:space="0" w:color="auto"/>
              <w:bottom w:val="nil"/>
              <w:right w:val="single" w:sz="4" w:space="0" w:color="auto"/>
            </w:tcBorders>
            <w:shd w:val="clear" w:color="auto" w:fill="auto"/>
            <w:noWrap/>
            <w:vAlign w:val="center"/>
            <w:hideMark/>
          </w:tcPr>
          <w:p w14:paraId="1D2D067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right w:val="single" w:sz="4" w:space="0" w:color="auto"/>
            </w:tcBorders>
            <w:vAlign w:val="center"/>
          </w:tcPr>
          <w:p w14:paraId="635D9297"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0.060***</w:t>
            </w:r>
          </w:p>
        </w:tc>
        <w:tc>
          <w:tcPr>
            <w:tcW w:w="352" w:type="pct"/>
            <w:tcBorders>
              <w:left w:val="single" w:sz="4" w:space="0" w:color="auto"/>
              <w:right w:val="single" w:sz="4" w:space="0" w:color="auto"/>
            </w:tcBorders>
            <w:vAlign w:val="center"/>
          </w:tcPr>
          <w:p w14:paraId="17CD8DC3"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43C442B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0.110***</w:t>
            </w:r>
          </w:p>
        </w:tc>
        <w:tc>
          <w:tcPr>
            <w:tcW w:w="352" w:type="pct"/>
            <w:tcBorders>
              <w:top w:val="nil"/>
              <w:left w:val="single" w:sz="4" w:space="0" w:color="auto"/>
              <w:bottom w:val="nil"/>
              <w:right w:val="single" w:sz="4" w:space="0" w:color="auto"/>
            </w:tcBorders>
            <w:shd w:val="clear" w:color="auto" w:fill="auto"/>
            <w:noWrap/>
            <w:vAlign w:val="center"/>
            <w:hideMark/>
          </w:tcPr>
          <w:p w14:paraId="5B3F336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286B121C"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00C70DA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 xml:space="preserve">2009 </w:t>
            </w:r>
          </w:p>
        </w:tc>
        <w:tc>
          <w:tcPr>
            <w:tcW w:w="545" w:type="pct"/>
            <w:tcBorders>
              <w:top w:val="nil"/>
              <w:left w:val="single" w:sz="4" w:space="0" w:color="auto"/>
              <w:bottom w:val="nil"/>
              <w:right w:val="single" w:sz="4" w:space="0" w:color="auto"/>
            </w:tcBorders>
            <w:shd w:val="clear" w:color="auto" w:fill="auto"/>
            <w:noWrap/>
            <w:vAlign w:val="center"/>
            <w:hideMark/>
          </w:tcPr>
          <w:p w14:paraId="6F642578"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0.306***</w:t>
            </w:r>
          </w:p>
        </w:tc>
        <w:tc>
          <w:tcPr>
            <w:tcW w:w="543" w:type="pct"/>
            <w:tcBorders>
              <w:top w:val="nil"/>
              <w:left w:val="single" w:sz="4" w:space="0" w:color="auto"/>
              <w:bottom w:val="nil"/>
              <w:right w:val="single" w:sz="4" w:space="0" w:color="auto"/>
            </w:tcBorders>
            <w:shd w:val="clear" w:color="auto" w:fill="auto"/>
            <w:noWrap/>
            <w:vAlign w:val="center"/>
            <w:hideMark/>
          </w:tcPr>
          <w:p w14:paraId="6FFE705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0F27C53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0.304***</w:t>
            </w:r>
          </w:p>
        </w:tc>
        <w:tc>
          <w:tcPr>
            <w:tcW w:w="352" w:type="pct"/>
            <w:tcBorders>
              <w:top w:val="nil"/>
              <w:left w:val="single" w:sz="4" w:space="0" w:color="auto"/>
              <w:bottom w:val="nil"/>
              <w:right w:val="single" w:sz="4" w:space="0" w:color="auto"/>
            </w:tcBorders>
            <w:shd w:val="clear" w:color="auto" w:fill="auto"/>
            <w:noWrap/>
            <w:vAlign w:val="center"/>
            <w:hideMark/>
          </w:tcPr>
          <w:p w14:paraId="03C6B21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right w:val="single" w:sz="4" w:space="0" w:color="auto"/>
            </w:tcBorders>
            <w:vAlign w:val="center"/>
          </w:tcPr>
          <w:p w14:paraId="78AA0825"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0.164***</w:t>
            </w:r>
          </w:p>
        </w:tc>
        <w:tc>
          <w:tcPr>
            <w:tcW w:w="352" w:type="pct"/>
            <w:tcBorders>
              <w:left w:val="single" w:sz="4" w:space="0" w:color="auto"/>
              <w:right w:val="single" w:sz="4" w:space="0" w:color="auto"/>
            </w:tcBorders>
            <w:vAlign w:val="center"/>
          </w:tcPr>
          <w:p w14:paraId="2E0768B5"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6D48A59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0.213***</w:t>
            </w:r>
          </w:p>
        </w:tc>
        <w:tc>
          <w:tcPr>
            <w:tcW w:w="352" w:type="pct"/>
            <w:tcBorders>
              <w:top w:val="nil"/>
              <w:left w:val="single" w:sz="4" w:space="0" w:color="auto"/>
              <w:bottom w:val="nil"/>
              <w:right w:val="single" w:sz="4" w:space="0" w:color="auto"/>
            </w:tcBorders>
            <w:shd w:val="clear" w:color="auto" w:fill="auto"/>
            <w:noWrap/>
            <w:vAlign w:val="center"/>
            <w:hideMark/>
          </w:tcPr>
          <w:p w14:paraId="1704A64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54B3BB13"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2EA297B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 xml:space="preserve">2011 </w:t>
            </w:r>
          </w:p>
        </w:tc>
        <w:tc>
          <w:tcPr>
            <w:tcW w:w="545" w:type="pct"/>
            <w:tcBorders>
              <w:top w:val="nil"/>
              <w:left w:val="single" w:sz="4" w:space="0" w:color="auto"/>
              <w:bottom w:val="nil"/>
              <w:right w:val="single" w:sz="4" w:space="0" w:color="auto"/>
            </w:tcBorders>
            <w:shd w:val="clear" w:color="auto" w:fill="auto"/>
            <w:noWrap/>
            <w:vAlign w:val="center"/>
            <w:hideMark/>
          </w:tcPr>
          <w:p w14:paraId="2EA3DFC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0.427***</w:t>
            </w:r>
          </w:p>
        </w:tc>
        <w:tc>
          <w:tcPr>
            <w:tcW w:w="543" w:type="pct"/>
            <w:tcBorders>
              <w:top w:val="nil"/>
              <w:left w:val="single" w:sz="4" w:space="0" w:color="auto"/>
              <w:bottom w:val="nil"/>
              <w:right w:val="single" w:sz="4" w:space="0" w:color="auto"/>
            </w:tcBorders>
            <w:shd w:val="clear" w:color="auto" w:fill="auto"/>
            <w:noWrap/>
            <w:vAlign w:val="center"/>
            <w:hideMark/>
          </w:tcPr>
          <w:p w14:paraId="5FCD0FB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58E0B65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0.425***</w:t>
            </w:r>
          </w:p>
        </w:tc>
        <w:tc>
          <w:tcPr>
            <w:tcW w:w="352" w:type="pct"/>
            <w:tcBorders>
              <w:top w:val="nil"/>
              <w:left w:val="single" w:sz="4" w:space="0" w:color="auto"/>
              <w:bottom w:val="nil"/>
              <w:right w:val="single" w:sz="4" w:space="0" w:color="auto"/>
            </w:tcBorders>
            <w:shd w:val="clear" w:color="auto" w:fill="auto"/>
            <w:noWrap/>
            <w:vAlign w:val="center"/>
            <w:hideMark/>
          </w:tcPr>
          <w:p w14:paraId="3FBF55A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right w:val="single" w:sz="4" w:space="0" w:color="auto"/>
            </w:tcBorders>
            <w:vAlign w:val="center"/>
          </w:tcPr>
          <w:p w14:paraId="2A450CA2"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0.288***</w:t>
            </w:r>
          </w:p>
        </w:tc>
        <w:tc>
          <w:tcPr>
            <w:tcW w:w="352" w:type="pct"/>
            <w:tcBorders>
              <w:left w:val="single" w:sz="4" w:space="0" w:color="auto"/>
              <w:right w:val="single" w:sz="4" w:space="0" w:color="auto"/>
            </w:tcBorders>
            <w:vAlign w:val="center"/>
          </w:tcPr>
          <w:p w14:paraId="36026218"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1479F1E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0.337***</w:t>
            </w:r>
          </w:p>
        </w:tc>
        <w:tc>
          <w:tcPr>
            <w:tcW w:w="352" w:type="pct"/>
            <w:tcBorders>
              <w:top w:val="nil"/>
              <w:left w:val="single" w:sz="4" w:space="0" w:color="auto"/>
              <w:bottom w:val="nil"/>
              <w:right w:val="single" w:sz="4" w:space="0" w:color="auto"/>
            </w:tcBorders>
            <w:shd w:val="clear" w:color="auto" w:fill="auto"/>
            <w:noWrap/>
            <w:vAlign w:val="center"/>
            <w:hideMark/>
          </w:tcPr>
          <w:p w14:paraId="254149A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5D8D9A92" w14:textId="77777777" w:rsidTr="00B25599">
        <w:tc>
          <w:tcPr>
            <w:tcW w:w="1181" w:type="pct"/>
            <w:tcBorders>
              <w:top w:val="nil"/>
              <w:left w:val="single" w:sz="4" w:space="0" w:color="auto"/>
              <w:right w:val="single" w:sz="4" w:space="0" w:color="auto"/>
            </w:tcBorders>
            <w:shd w:val="clear" w:color="auto" w:fill="auto"/>
            <w:vAlign w:val="center"/>
            <w:hideMark/>
          </w:tcPr>
          <w:p w14:paraId="0E1CAA3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 xml:space="preserve">2013 </w:t>
            </w:r>
          </w:p>
        </w:tc>
        <w:tc>
          <w:tcPr>
            <w:tcW w:w="545" w:type="pct"/>
            <w:tcBorders>
              <w:top w:val="nil"/>
              <w:left w:val="single" w:sz="4" w:space="0" w:color="auto"/>
              <w:right w:val="single" w:sz="4" w:space="0" w:color="auto"/>
            </w:tcBorders>
            <w:shd w:val="clear" w:color="auto" w:fill="auto"/>
            <w:noWrap/>
            <w:vAlign w:val="center"/>
            <w:hideMark/>
          </w:tcPr>
          <w:p w14:paraId="7CBA991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0.500***</w:t>
            </w:r>
          </w:p>
        </w:tc>
        <w:tc>
          <w:tcPr>
            <w:tcW w:w="543" w:type="pct"/>
            <w:tcBorders>
              <w:top w:val="nil"/>
              <w:left w:val="single" w:sz="4" w:space="0" w:color="auto"/>
              <w:right w:val="single" w:sz="4" w:space="0" w:color="auto"/>
            </w:tcBorders>
            <w:shd w:val="clear" w:color="auto" w:fill="auto"/>
            <w:noWrap/>
            <w:vAlign w:val="center"/>
            <w:hideMark/>
          </w:tcPr>
          <w:p w14:paraId="1D8F8EB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right w:val="single" w:sz="4" w:space="0" w:color="auto"/>
            </w:tcBorders>
            <w:shd w:val="clear" w:color="auto" w:fill="auto"/>
            <w:noWrap/>
            <w:vAlign w:val="center"/>
            <w:hideMark/>
          </w:tcPr>
          <w:p w14:paraId="27623B6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0.492***</w:t>
            </w:r>
          </w:p>
        </w:tc>
        <w:tc>
          <w:tcPr>
            <w:tcW w:w="352" w:type="pct"/>
            <w:tcBorders>
              <w:top w:val="nil"/>
              <w:left w:val="single" w:sz="4" w:space="0" w:color="auto"/>
              <w:right w:val="single" w:sz="4" w:space="0" w:color="auto"/>
            </w:tcBorders>
            <w:shd w:val="clear" w:color="auto" w:fill="auto"/>
            <w:noWrap/>
            <w:vAlign w:val="center"/>
            <w:hideMark/>
          </w:tcPr>
          <w:p w14:paraId="7E8C9D4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right w:val="single" w:sz="4" w:space="0" w:color="auto"/>
            </w:tcBorders>
            <w:vAlign w:val="center"/>
          </w:tcPr>
          <w:p w14:paraId="7379961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0.351***</w:t>
            </w:r>
          </w:p>
        </w:tc>
        <w:tc>
          <w:tcPr>
            <w:tcW w:w="352" w:type="pct"/>
            <w:tcBorders>
              <w:left w:val="single" w:sz="4" w:space="0" w:color="auto"/>
              <w:right w:val="single" w:sz="4" w:space="0" w:color="auto"/>
            </w:tcBorders>
            <w:vAlign w:val="center"/>
          </w:tcPr>
          <w:p w14:paraId="1A80A5BD"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right w:val="single" w:sz="4" w:space="0" w:color="auto"/>
            </w:tcBorders>
            <w:shd w:val="clear" w:color="auto" w:fill="auto"/>
            <w:noWrap/>
            <w:vAlign w:val="center"/>
            <w:hideMark/>
          </w:tcPr>
          <w:p w14:paraId="5462F6F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0.400***</w:t>
            </w:r>
          </w:p>
        </w:tc>
        <w:tc>
          <w:tcPr>
            <w:tcW w:w="352" w:type="pct"/>
            <w:tcBorders>
              <w:top w:val="nil"/>
              <w:left w:val="single" w:sz="4" w:space="0" w:color="auto"/>
              <w:right w:val="single" w:sz="4" w:space="0" w:color="auto"/>
            </w:tcBorders>
            <w:shd w:val="clear" w:color="auto" w:fill="auto"/>
            <w:noWrap/>
            <w:vAlign w:val="center"/>
            <w:hideMark/>
          </w:tcPr>
          <w:p w14:paraId="73AA0BA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5418EC63"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1C6FC6F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 xml:space="preserve">2015 </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730586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0.418***</w:t>
            </w: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BC587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89B6A8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0.406***</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D53BDC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c>
          <w:tcPr>
            <w:tcW w:w="584" w:type="pct"/>
            <w:tcBorders>
              <w:left w:val="single" w:sz="4" w:space="0" w:color="auto"/>
              <w:bottom w:val="single" w:sz="4" w:space="0" w:color="auto"/>
              <w:right w:val="single" w:sz="4" w:space="0" w:color="auto"/>
            </w:tcBorders>
            <w:vAlign w:val="center"/>
          </w:tcPr>
          <w:p w14:paraId="40A530BF"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0.277***</w:t>
            </w:r>
          </w:p>
        </w:tc>
        <w:tc>
          <w:tcPr>
            <w:tcW w:w="352" w:type="pct"/>
            <w:tcBorders>
              <w:left w:val="single" w:sz="4" w:space="0" w:color="auto"/>
              <w:bottom w:val="single" w:sz="4" w:space="0" w:color="auto"/>
              <w:right w:val="single" w:sz="4" w:space="0" w:color="auto"/>
            </w:tcBorders>
            <w:vAlign w:val="center"/>
          </w:tcPr>
          <w:p w14:paraId="1C4BF01F"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8479BD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0.324***</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E328B5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60A9CD45" w14:textId="77777777" w:rsidTr="00B25599">
        <w:tc>
          <w:tcPr>
            <w:tcW w:w="1181" w:type="pct"/>
            <w:tcBorders>
              <w:top w:val="single" w:sz="4" w:space="0" w:color="auto"/>
              <w:left w:val="single" w:sz="4" w:space="0" w:color="auto"/>
              <w:bottom w:val="nil"/>
              <w:right w:val="single" w:sz="4" w:space="0" w:color="auto"/>
            </w:tcBorders>
            <w:shd w:val="clear" w:color="auto" w:fill="auto"/>
            <w:vAlign w:val="center"/>
            <w:hideMark/>
          </w:tcPr>
          <w:p w14:paraId="5B3172FF"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Firm size (less than 50 employees)</w:t>
            </w: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13158318"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543" w:type="pct"/>
            <w:tcBorders>
              <w:top w:val="single" w:sz="4" w:space="0" w:color="auto"/>
              <w:left w:val="single" w:sz="4" w:space="0" w:color="auto"/>
              <w:bottom w:val="nil"/>
              <w:right w:val="single" w:sz="4" w:space="0" w:color="auto"/>
            </w:tcBorders>
            <w:shd w:val="clear" w:color="auto" w:fill="auto"/>
            <w:noWrap/>
            <w:vAlign w:val="center"/>
            <w:hideMark/>
          </w:tcPr>
          <w:p w14:paraId="3B52FD1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79C55A1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center"/>
            <w:hideMark/>
          </w:tcPr>
          <w:p w14:paraId="231DF74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top w:val="single" w:sz="4" w:space="0" w:color="auto"/>
              <w:left w:val="single" w:sz="4" w:space="0" w:color="auto"/>
              <w:right w:val="single" w:sz="4" w:space="0" w:color="auto"/>
            </w:tcBorders>
            <w:vAlign w:val="center"/>
          </w:tcPr>
          <w:p w14:paraId="4FA521C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right w:val="single" w:sz="4" w:space="0" w:color="auto"/>
            </w:tcBorders>
            <w:vAlign w:val="center"/>
          </w:tcPr>
          <w:p w14:paraId="0D0EDE1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0E69D9D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center"/>
            <w:hideMark/>
          </w:tcPr>
          <w:p w14:paraId="0DD5DDC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r>
      <w:tr w:rsidR="00AC01C1" w:rsidRPr="00145B9B" w14:paraId="0492D171"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6D34AFD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50-99</w:t>
            </w:r>
          </w:p>
        </w:tc>
        <w:tc>
          <w:tcPr>
            <w:tcW w:w="545" w:type="pct"/>
            <w:tcBorders>
              <w:top w:val="nil"/>
              <w:left w:val="single" w:sz="4" w:space="0" w:color="auto"/>
              <w:bottom w:val="nil"/>
              <w:right w:val="single" w:sz="4" w:space="0" w:color="auto"/>
            </w:tcBorders>
            <w:shd w:val="clear" w:color="auto" w:fill="auto"/>
            <w:noWrap/>
            <w:vAlign w:val="center"/>
            <w:hideMark/>
          </w:tcPr>
          <w:p w14:paraId="194A10B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4970E978"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0BB96D0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63983D2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626E9698"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0.046***</w:t>
            </w:r>
          </w:p>
        </w:tc>
        <w:tc>
          <w:tcPr>
            <w:tcW w:w="352" w:type="pct"/>
            <w:tcBorders>
              <w:left w:val="single" w:sz="4" w:space="0" w:color="auto"/>
              <w:right w:val="single" w:sz="4" w:space="0" w:color="auto"/>
            </w:tcBorders>
            <w:vAlign w:val="center"/>
          </w:tcPr>
          <w:p w14:paraId="4794437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bottom w:val="nil"/>
              <w:right w:val="single" w:sz="4" w:space="0" w:color="auto"/>
            </w:tcBorders>
            <w:shd w:val="clear" w:color="auto" w:fill="auto"/>
            <w:noWrap/>
            <w:vAlign w:val="center"/>
            <w:hideMark/>
          </w:tcPr>
          <w:p w14:paraId="1DED554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0.027***</w:t>
            </w:r>
          </w:p>
        </w:tc>
        <w:tc>
          <w:tcPr>
            <w:tcW w:w="352" w:type="pct"/>
            <w:tcBorders>
              <w:top w:val="nil"/>
              <w:left w:val="single" w:sz="4" w:space="0" w:color="auto"/>
              <w:bottom w:val="nil"/>
              <w:right w:val="single" w:sz="4" w:space="0" w:color="auto"/>
            </w:tcBorders>
            <w:shd w:val="clear" w:color="auto" w:fill="auto"/>
            <w:noWrap/>
            <w:vAlign w:val="center"/>
            <w:hideMark/>
          </w:tcPr>
          <w:p w14:paraId="34ED098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r>
      <w:tr w:rsidR="00AC01C1" w:rsidRPr="00145B9B" w14:paraId="2F548E6D"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0F79904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100-249</w:t>
            </w:r>
          </w:p>
        </w:tc>
        <w:tc>
          <w:tcPr>
            <w:tcW w:w="545" w:type="pct"/>
            <w:tcBorders>
              <w:top w:val="nil"/>
              <w:left w:val="single" w:sz="4" w:space="0" w:color="auto"/>
              <w:bottom w:val="nil"/>
              <w:right w:val="single" w:sz="4" w:space="0" w:color="auto"/>
            </w:tcBorders>
            <w:shd w:val="clear" w:color="auto" w:fill="auto"/>
            <w:noWrap/>
            <w:vAlign w:val="center"/>
            <w:hideMark/>
          </w:tcPr>
          <w:p w14:paraId="45A0BE6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42B60BC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5CEEA34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49FA369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1F0D960D"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0.100***</w:t>
            </w:r>
          </w:p>
        </w:tc>
        <w:tc>
          <w:tcPr>
            <w:tcW w:w="352" w:type="pct"/>
            <w:tcBorders>
              <w:left w:val="single" w:sz="4" w:space="0" w:color="auto"/>
              <w:right w:val="single" w:sz="4" w:space="0" w:color="auto"/>
            </w:tcBorders>
            <w:vAlign w:val="center"/>
          </w:tcPr>
          <w:p w14:paraId="67423DF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bottom w:val="nil"/>
              <w:right w:val="single" w:sz="4" w:space="0" w:color="auto"/>
            </w:tcBorders>
            <w:shd w:val="clear" w:color="auto" w:fill="auto"/>
            <w:noWrap/>
            <w:vAlign w:val="center"/>
            <w:hideMark/>
          </w:tcPr>
          <w:p w14:paraId="73505DB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0.048***</w:t>
            </w:r>
          </w:p>
        </w:tc>
        <w:tc>
          <w:tcPr>
            <w:tcW w:w="352" w:type="pct"/>
            <w:tcBorders>
              <w:top w:val="nil"/>
              <w:left w:val="single" w:sz="4" w:space="0" w:color="auto"/>
              <w:bottom w:val="nil"/>
              <w:right w:val="single" w:sz="4" w:space="0" w:color="auto"/>
            </w:tcBorders>
            <w:shd w:val="clear" w:color="auto" w:fill="auto"/>
            <w:noWrap/>
            <w:vAlign w:val="center"/>
            <w:hideMark/>
          </w:tcPr>
          <w:p w14:paraId="6D27EA4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0.001</w:t>
            </w:r>
          </w:p>
        </w:tc>
      </w:tr>
      <w:tr w:rsidR="00AC01C1" w:rsidRPr="00145B9B" w14:paraId="28F7BAF4"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59E8A83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250-499</w:t>
            </w:r>
          </w:p>
        </w:tc>
        <w:tc>
          <w:tcPr>
            <w:tcW w:w="545" w:type="pct"/>
            <w:tcBorders>
              <w:top w:val="nil"/>
              <w:left w:val="single" w:sz="4" w:space="0" w:color="auto"/>
              <w:bottom w:val="nil"/>
              <w:right w:val="single" w:sz="4" w:space="0" w:color="auto"/>
            </w:tcBorders>
            <w:shd w:val="clear" w:color="auto" w:fill="auto"/>
            <w:noWrap/>
            <w:vAlign w:val="center"/>
            <w:hideMark/>
          </w:tcPr>
          <w:p w14:paraId="4D8A1DC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46A5F07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670667B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7BC5753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612F102E"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0.171***</w:t>
            </w:r>
          </w:p>
        </w:tc>
        <w:tc>
          <w:tcPr>
            <w:tcW w:w="352" w:type="pct"/>
            <w:tcBorders>
              <w:left w:val="single" w:sz="4" w:space="0" w:color="auto"/>
              <w:right w:val="single" w:sz="4" w:space="0" w:color="auto"/>
            </w:tcBorders>
            <w:vAlign w:val="center"/>
          </w:tcPr>
          <w:p w14:paraId="658C93F1"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5D147F9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0.101***</w:t>
            </w:r>
          </w:p>
        </w:tc>
        <w:tc>
          <w:tcPr>
            <w:tcW w:w="352" w:type="pct"/>
            <w:tcBorders>
              <w:top w:val="nil"/>
              <w:left w:val="single" w:sz="4" w:space="0" w:color="auto"/>
              <w:bottom w:val="nil"/>
              <w:right w:val="single" w:sz="4" w:space="0" w:color="auto"/>
            </w:tcBorders>
            <w:shd w:val="clear" w:color="auto" w:fill="auto"/>
            <w:noWrap/>
            <w:vAlign w:val="center"/>
            <w:hideMark/>
          </w:tcPr>
          <w:p w14:paraId="766F5AB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30783A71" w14:textId="77777777" w:rsidTr="00B25599">
        <w:tc>
          <w:tcPr>
            <w:tcW w:w="1181" w:type="pct"/>
            <w:tcBorders>
              <w:top w:val="nil"/>
              <w:left w:val="single" w:sz="4" w:space="0" w:color="auto"/>
              <w:right w:val="single" w:sz="4" w:space="0" w:color="auto"/>
            </w:tcBorders>
            <w:shd w:val="clear" w:color="auto" w:fill="auto"/>
            <w:vAlign w:val="center"/>
            <w:hideMark/>
          </w:tcPr>
          <w:p w14:paraId="42CBFD6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500-999</w:t>
            </w:r>
          </w:p>
        </w:tc>
        <w:tc>
          <w:tcPr>
            <w:tcW w:w="545" w:type="pct"/>
            <w:tcBorders>
              <w:top w:val="nil"/>
              <w:left w:val="single" w:sz="4" w:space="0" w:color="auto"/>
              <w:right w:val="single" w:sz="4" w:space="0" w:color="auto"/>
            </w:tcBorders>
            <w:shd w:val="clear" w:color="auto" w:fill="auto"/>
            <w:noWrap/>
            <w:vAlign w:val="center"/>
            <w:hideMark/>
          </w:tcPr>
          <w:p w14:paraId="26C44AC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right w:val="single" w:sz="4" w:space="0" w:color="auto"/>
            </w:tcBorders>
            <w:shd w:val="clear" w:color="auto" w:fill="auto"/>
            <w:noWrap/>
            <w:vAlign w:val="center"/>
            <w:hideMark/>
          </w:tcPr>
          <w:p w14:paraId="53768F2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right w:val="single" w:sz="4" w:space="0" w:color="auto"/>
            </w:tcBorders>
            <w:shd w:val="clear" w:color="auto" w:fill="auto"/>
            <w:noWrap/>
            <w:vAlign w:val="center"/>
            <w:hideMark/>
          </w:tcPr>
          <w:p w14:paraId="065E047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right w:val="single" w:sz="4" w:space="0" w:color="auto"/>
            </w:tcBorders>
            <w:shd w:val="clear" w:color="auto" w:fill="auto"/>
            <w:noWrap/>
            <w:vAlign w:val="center"/>
            <w:hideMark/>
          </w:tcPr>
          <w:p w14:paraId="5FDD048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3D0429C1"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0.206***</w:t>
            </w:r>
          </w:p>
        </w:tc>
        <w:tc>
          <w:tcPr>
            <w:tcW w:w="352" w:type="pct"/>
            <w:tcBorders>
              <w:left w:val="single" w:sz="4" w:space="0" w:color="auto"/>
              <w:right w:val="single" w:sz="4" w:space="0" w:color="auto"/>
            </w:tcBorders>
            <w:vAlign w:val="center"/>
          </w:tcPr>
          <w:p w14:paraId="63C2A21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0.001</w:t>
            </w:r>
          </w:p>
        </w:tc>
        <w:tc>
          <w:tcPr>
            <w:tcW w:w="545" w:type="pct"/>
            <w:tcBorders>
              <w:top w:val="nil"/>
              <w:left w:val="single" w:sz="4" w:space="0" w:color="auto"/>
              <w:right w:val="single" w:sz="4" w:space="0" w:color="auto"/>
            </w:tcBorders>
            <w:shd w:val="clear" w:color="auto" w:fill="auto"/>
            <w:noWrap/>
            <w:vAlign w:val="center"/>
            <w:hideMark/>
          </w:tcPr>
          <w:p w14:paraId="3CD1F39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0.134***</w:t>
            </w:r>
          </w:p>
        </w:tc>
        <w:tc>
          <w:tcPr>
            <w:tcW w:w="352" w:type="pct"/>
            <w:tcBorders>
              <w:top w:val="nil"/>
              <w:left w:val="single" w:sz="4" w:space="0" w:color="auto"/>
              <w:right w:val="single" w:sz="4" w:space="0" w:color="auto"/>
            </w:tcBorders>
            <w:shd w:val="clear" w:color="auto" w:fill="auto"/>
            <w:noWrap/>
            <w:vAlign w:val="center"/>
            <w:hideMark/>
          </w:tcPr>
          <w:p w14:paraId="5D7A1B5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35F15BC5"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0F66C65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1000+ employees</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74D491E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EF67D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106FCA9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BBB1B9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bottom w:val="single" w:sz="4" w:space="0" w:color="auto"/>
              <w:right w:val="single" w:sz="4" w:space="0" w:color="auto"/>
            </w:tcBorders>
            <w:vAlign w:val="center"/>
          </w:tcPr>
          <w:p w14:paraId="441ED79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0.281***</w:t>
            </w:r>
          </w:p>
        </w:tc>
        <w:tc>
          <w:tcPr>
            <w:tcW w:w="352" w:type="pct"/>
            <w:tcBorders>
              <w:left w:val="single" w:sz="4" w:space="0" w:color="auto"/>
              <w:bottom w:val="single" w:sz="4" w:space="0" w:color="auto"/>
              <w:right w:val="single" w:sz="4" w:space="0" w:color="auto"/>
            </w:tcBorders>
            <w:vAlign w:val="center"/>
          </w:tcPr>
          <w:p w14:paraId="6E424E64"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00C6408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0.214***</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0A71C3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00DAD1B7" w14:textId="77777777" w:rsidTr="00B25599">
        <w:tc>
          <w:tcPr>
            <w:tcW w:w="1181" w:type="pct"/>
            <w:tcBorders>
              <w:top w:val="single" w:sz="4" w:space="0" w:color="auto"/>
              <w:left w:val="single" w:sz="4" w:space="0" w:color="auto"/>
              <w:bottom w:val="nil"/>
              <w:right w:val="single" w:sz="4" w:space="0" w:color="auto"/>
            </w:tcBorders>
            <w:shd w:val="clear" w:color="auto" w:fill="auto"/>
            <w:vAlign w:val="center"/>
            <w:hideMark/>
          </w:tcPr>
          <w:p w14:paraId="075A5CF3"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Occupation (Managers)</w:t>
            </w: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30AC9B96" w14:textId="77777777" w:rsidR="00AC01C1" w:rsidRPr="00145B9B" w:rsidRDefault="00AC01C1" w:rsidP="00B25599">
            <w:pPr>
              <w:spacing w:after="0" w:line="240" w:lineRule="auto"/>
              <w:rPr>
                <w:rFonts w:ascii="Times New Roman" w:eastAsia="Times New Roman" w:hAnsi="Times New Roman" w:cs="Times New Roman"/>
                <w:sz w:val="20"/>
                <w:szCs w:val="20"/>
              </w:rPr>
            </w:pPr>
          </w:p>
        </w:tc>
        <w:tc>
          <w:tcPr>
            <w:tcW w:w="543" w:type="pct"/>
            <w:tcBorders>
              <w:top w:val="single" w:sz="4" w:space="0" w:color="auto"/>
              <w:left w:val="single" w:sz="4" w:space="0" w:color="auto"/>
              <w:bottom w:val="nil"/>
              <w:right w:val="single" w:sz="4" w:space="0" w:color="auto"/>
            </w:tcBorders>
            <w:shd w:val="clear" w:color="auto" w:fill="auto"/>
            <w:noWrap/>
            <w:vAlign w:val="center"/>
            <w:hideMark/>
          </w:tcPr>
          <w:p w14:paraId="68D9A40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0075A46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center"/>
            <w:hideMark/>
          </w:tcPr>
          <w:p w14:paraId="3C3044A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top w:val="single" w:sz="4" w:space="0" w:color="auto"/>
              <w:left w:val="single" w:sz="4" w:space="0" w:color="auto"/>
              <w:right w:val="single" w:sz="4" w:space="0" w:color="auto"/>
            </w:tcBorders>
            <w:vAlign w:val="center"/>
          </w:tcPr>
          <w:p w14:paraId="22C5A61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right w:val="single" w:sz="4" w:space="0" w:color="auto"/>
            </w:tcBorders>
            <w:vAlign w:val="center"/>
          </w:tcPr>
          <w:p w14:paraId="138177E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single" w:sz="4" w:space="0" w:color="auto"/>
              <w:left w:val="single" w:sz="4" w:space="0" w:color="auto"/>
              <w:bottom w:val="nil"/>
              <w:right w:val="single" w:sz="4" w:space="0" w:color="auto"/>
            </w:tcBorders>
            <w:shd w:val="clear" w:color="auto" w:fill="auto"/>
            <w:noWrap/>
            <w:vAlign w:val="center"/>
            <w:hideMark/>
          </w:tcPr>
          <w:p w14:paraId="68E0BD1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single" w:sz="4" w:space="0" w:color="auto"/>
              <w:left w:val="single" w:sz="4" w:space="0" w:color="auto"/>
              <w:bottom w:val="nil"/>
              <w:right w:val="single" w:sz="4" w:space="0" w:color="auto"/>
            </w:tcBorders>
            <w:shd w:val="clear" w:color="auto" w:fill="auto"/>
            <w:noWrap/>
            <w:vAlign w:val="center"/>
            <w:hideMark/>
          </w:tcPr>
          <w:p w14:paraId="10C2163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r>
      <w:tr w:rsidR="00AC01C1" w:rsidRPr="00145B9B" w14:paraId="69F0F99F"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65AC008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Professionals</w:t>
            </w:r>
          </w:p>
        </w:tc>
        <w:tc>
          <w:tcPr>
            <w:tcW w:w="545" w:type="pct"/>
            <w:tcBorders>
              <w:top w:val="nil"/>
              <w:left w:val="single" w:sz="4" w:space="0" w:color="auto"/>
              <w:bottom w:val="nil"/>
              <w:right w:val="single" w:sz="4" w:space="0" w:color="auto"/>
            </w:tcBorders>
            <w:shd w:val="clear" w:color="auto" w:fill="auto"/>
            <w:noWrap/>
            <w:vAlign w:val="center"/>
            <w:hideMark/>
          </w:tcPr>
          <w:p w14:paraId="129CBA2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219DFBD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44D3AEF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07EB17B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60FA6C60"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-0.259***</w:t>
            </w:r>
          </w:p>
        </w:tc>
        <w:tc>
          <w:tcPr>
            <w:tcW w:w="352" w:type="pct"/>
            <w:tcBorders>
              <w:left w:val="single" w:sz="4" w:space="0" w:color="auto"/>
              <w:right w:val="single" w:sz="4" w:space="0" w:color="auto"/>
            </w:tcBorders>
            <w:vAlign w:val="center"/>
          </w:tcPr>
          <w:p w14:paraId="021C79FE"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1980B3F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-0.249***</w:t>
            </w:r>
          </w:p>
        </w:tc>
        <w:tc>
          <w:tcPr>
            <w:tcW w:w="352" w:type="pct"/>
            <w:tcBorders>
              <w:top w:val="nil"/>
              <w:left w:val="single" w:sz="4" w:space="0" w:color="auto"/>
              <w:bottom w:val="nil"/>
              <w:right w:val="single" w:sz="4" w:space="0" w:color="auto"/>
            </w:tcBorders>
            <w:shd w:val="clear" w:color="auto" w:fill="auto"/>
            <w:noWrap/>
            <w:vAlign w:val="center"/>
            <w:hideMark/>
          </w:tcPr>
          <w:p w14:paraId="798477B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24E38559"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5CA542A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Tech</w:t>
            </w:r>
            <w:r>
              <w:rPr>
                <w:rFonts w:ascii="Times New Roman" w:eastAsia="Times New Roman" w:hAnsi="Times New Roman" w:cs="Times New Roman"/>
                <w:sz w:val="20"/>
                <w:szCs w:val="20"/>
              </w:rPr>
              <w:t>n</w:t>
            </w:r>
            <w:r w:rsidRPr="00145B9B">
              <w:rPr>
                <w:rFonts w:ascii="Times New Roman" w:eastAsia="Times New Roman" w:hAnsi="Times New Roman" w:cs="Times New Roman"/>
                <w:sz w:val="20"/>
                <w:szCs w:val="20"/>
              </w:rPr>
              <w:t>icians &amp; clerks</w:t>
            </w:r>
          </w:p>
        </w:tc>
        <w:tc>
          <w:tcPr>
            <w:tcW w:w="545" w:type="pct"/>
            <w:tcBorders>
              <w:top w:val="nil"/>
              <w:left w:val="single" w:sz="4" w:space="0" w:color="auto"/>
              <w:bottom w:val="nil"/>
              <w:right w:val="single" w:sz="4" w:space="0" w:color="auto"/>
            </w:tcBorders>
            <w:shd w:val="clear" w:color="auto" w:fill="auto"/>
            <w:noWrap/>
            <w:vAlign w:val="center"/>
            <w:hideMark/>
          </w:tcPr>
          <w:p w14:paraId="4AFB884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2EA772F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68F34F6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5939965A"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1149F189"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-0.419***</w:t>
            </w:r>
          </w:p>
        </w:tc>
        <w:tc>
          <w:tcPr>
            <w:tcW w:w="352" w:type="pct"/>
            <w:tcBorders>
              <w:left w:val="single" w:sz="4" w:space="0" w:color="auto"/>
              <w:right w:val="single" w:sz="4" w:space="0" w:color="auto"/>
            </w:tcBorders>
            <w:vAlign w:val="center"/>
          </w:tcPr>
          <w:p w14:paraId="5CC3CB64"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5E5EA52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-0.428***</w:t>
            </w:r>
          </w:p>
        </w:tc>
        <w:tc>
          <w:tcPr>
            <w:tcW w:w="352" w:type="pct"/>
            <w:tcBorders>
              <w:top w:val="nil"/>
              <w:left w:val="single" w:sz="4" w:space="0" w:color="auto"/>
              <w:bottom w:val="nil"/>
              <w:right w:val="single" w:sz="4" w:space="0" w:color="auto"/>
            </w:tcBorders>
            <w:shd w:val="clear" w:color="auto" w:fill="auto"/>
            <w:noWrap/>
            <w:vAlign w:val="center"/>
            <w:hideMark/>
          </w:tcPr>
          <w:p w14:paraId="6FF1A8BE"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6E9AB8D8"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477F78C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Services and sales workers</w:t>
            </w:r>
          </w:p>
        </w:tc>
        <w:tc>
          <w:tcPr>
            <w:tcW w:w="545" w:type="pct"/>
            <w:tcBorders>
              <w:top w:val="nil"/>
              <w:left w:val="single" w:sz="4" w:space="0" w:color="auto"/>
              <w:bottom w:val="nil"/>
              <w:right w:val="single" w:sz="4" w:space="0" w:color="auto"/>
            </w:tcBorders>
            <w:shd w:val="clear" w:color="auto" w:fill="auto"/>
            <w:noWrap/>
            <w:vAlign w:val="center"/>
            <w:hideMark/>
          </w:tcPr>
          <w:p w14:paraId="0049552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185420A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6E760AC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41874CA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7E94C46F"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-0.735***</w:t>
            </w:r>
          </w:p>
        </w:tc>
        <w:tc>
          <w:tcPr>
            <w:tcW w:w="352" w:type="pct"/>
            <w:tcBorders>
              <w:left w:val="single" w:sz="4" w:space="0" w:color="auto"/>
              <w:right w:val="single" w:sz="4" w:space="0" w:color="auto"/>
            </w:tcBorders>
            <w:vAlign w:val="center"/>
          </w:tcPr>
          <w:p w14:paraId="2C40DCBF"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4F61602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-0.694***</w:t>
            </w:r>
          </w:p>
        </w:tc>
        <w:tc>
          <w:tcPr>
            <w:tcW w:w="352" w:type="pct"/>
            <w:tcBorders>
              <w:top w:val="nil"/>
              <w:left w:val="single" w:sz="4" w:space="0" w:color="auto"/>
              <w:bottom w:val="nil"/>
              <w:right w:val="single" w:sz="4" w:space="0" w:color="auto"/>
            </w:tcBorders>
            <w:shd w:val="clear" w:color="auto" w:fill="auto"/>
            <w:noWrap/>
            <w:vAlign w:val="center"/>
            <w:hideMark/>
          </w:tcPr>
          <w:p w14:paraId="65B1BC89"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1D989A9E" w14:textId="77777777" w:rsidTr="00B25599">
        <w:tc>
          <w:tcPr>
            <w:tcW w:w="1181" w:type="pct"/>
            <w:tcBorders>
              <w:top w:val="nil"/>
              <w:left w:val="single" w:sz="4" w:space="0" w:color="auto"/>
              <w:bottom w:val="nil"/>
              <w:right w:val="single" w:sz="4" w:space="0" w:color="auto"/>
            </w:tcBorders>
            <w:shd w:val="clear" w:color="auto" w:fill="auto"/>
            <w:vAlign w:val="center"/>
            <w:hideMark/>
          </w:tcPr>
          <w:p w14:paraId="40B237F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Blue collars</w:t>
            </w:r>
          </w:p>
        </w:tc>
        <w:tc>
          <w:tcPr>
            <w:tcW w:w="545" w:type="pct"/>
            <w:tcBorders>
              <w:top w:val="nil"/>
              <w:left w:val="single" w:sz="4" w:space="0" w:color="auto"/>
              <w:bottom w:val="nil"/>
              <w:right w:val="single" w:sz="4" w:space="0" w:color="auto"/>
            </w:tcBorders>
            <w:shd w:val="clear" w:color="auto" w:fill="auto"/>
            <w:noWrap/>
            <w:vAlign w:val="center"/>
            <w:hideMark/>
          </w:tcPr>
          <w:p w14:paraId="101913F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nil"/>
              <w:right w:val="single" w:sz="4" w:space="0" w:color="auto"/>
            </w:tcBorders>
            <w:shd w:val="clear" w:color="auto" w:fill="auto"/>
            <w:noWrap/>
            <w:vAlign w:val="center"/>
            <w:hideMark/>
          </w:tcPr>
          <w:p w14:paraId="2D1F7E1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nil"/>
              <w:right w:val="single" w:sz="4" w:space="0" w:color="auto"/>
            </w:tcBorders>
            <w:shd w:val="clear" w:color="auto" w:fill="auto"/>
            <w:noWrap/>
            <w:vAlign w:val="center"/>
            <w:hideMark/>
          </w:tcPr>
          <w:p w14:paraId="2C340068"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nil"/>
              <w:right w:val="single" w:sz="4" w:space="0" w:color="auto"/>
            </w:tcBorders>
            <w:shd w:val="clear" w:color="auto" w:fill="auto"/>
            <w:noWrap/>
            <w:vAlign w:val="center"/>
            <w:hideMark/>
          </w:tcPr>
          <w:p w14:paraId="62007264"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right w:val="single" w:sz="4" w:space="0" w:color="auto"/>
            </w:tcBorders>
            <w:vAlign w:val="center"/>
          </w:tcPr>
          <w:p w14:paraId="463153A6"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-0.437***</w:t>
            </w:r>
          </w:p>
        </w:tc>
        <w:tc>
          <w:tcPr>
            <w:tcW w:w="352" w:type="pct"/>
            <w:tcBorders>
              <w:left w:val="single" w:sz="4" w:space="0" w:color="auto"/>
              <w:right w:val="single" w:sz="4" w:space="0" w:color="auto"/>
            </w:tcBorders>
            <w:vAlign w:val="center"/>
          </w:tcPr>
          <w:p w14:paraId="6D62E1AA"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nil"/>
              <w:right w:val="single" w:sz="4" w:space="0" w:color="auto"/>
            </w:tcBorders>
            <w:shd w:val="clear" w:color="auto" w:fill="auto"/>
            <w:noWrap/>
            <w:vAlign w:val="center"/>
            <w:hideMark/>
          </w:tcPr>
          <w:p w14:paraId="0578393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-0.457***</w:t>
            </w:r>
          </w:p>
        </w:tc>
        <w:tc>
          <w:tcPr>
            <w:tcW w:w="352" w:type="pct"/>
            <w:tcBorders>
              <w:top w:val="nil"/>
              <w:left w:val="single" w:sz="4" w:space="0" w:color="auto"/>
              <w:bottom w:val="nil"/>
              <w:right w:val="single" w:sz="4" w:space="0" w:color="auto"/>
            </w:tcBorders>
            <w:shd w:val="clear" w:color="auto" w:fill="auto"/>
            <w:noWrap/>
            <w:vAlign w:val="center"/>
            <w:hideMark/>
          </w:tcPr>
          <w:p w14:paraId="7037893B"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5A2A4EF1" w14:textId="77777777" w:rsidTr="00B25599">
        <w:tc>
          <w:tcPr>
            <w:tcW w:w="1181" w:type="pct"/>
            <w:tcBorders>
              <w:top w:val="nil"/>
              <w:left w:val="single" w:sz="4" w:space="0" w:color="auto"/>
              <w:bottom w:val="single" w:sz="4" w:space="0" w:color="auto"/>
              <w:right w:val="single" w:sz="4" w:space="0" w:color="auto"/>
            </w:tcBorders>
            <w:shd w:val="clear" w:color="auto" w:fill="auto"/>
            <w:vAlign w:val="center"/>
            <w:hideMark/>
          </w:tcPr>
          <w:p w14:paraId="02704E62"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Elementary occupations</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97BB4CF"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D42D51"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BDB24D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112015B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p>
        </w:tc>
        <w:tc>
          <w:tcPr>
            <w:tcW w:w="584" w:type="pct"/>
            <w:tcBorders>
              <w:left w:val="single" w:sz="4" w:space="0" w:color="auto"/>
              <w:bottom w:val="single" w:sz="4" w:space="0" w:color="auto"/>
              <w:right w:val="single" w:sz="4" w:space="0" w:color="auto"/>
            </w:tcBorders>
            <w:vAlign w:val="center"/>
          </w:tcPr>
          <w:p w14:paraId="16EE7C6E"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-0.925***</w:t>
            </w:r>
          </w:p>
        </w:tc>
        <w:tc>
          <w:tcPr>
            <w:tcW w:w="352" w:type="pct"/>
            <w:tcBorders>
              <w:left w:val="single" w:sz="4" w:space="0" w:color="auto"/>
              <w:bottom w:val="single" w:sz="4" w:space="0" w:color="auto"/>
              <w:right w:val="single" w:sz="4" w:space="0" w:color="auto"/>
            </w:tcBorders>
            <w:vAlign w:val="center"/>
          </w:tcPr>
          <w:p w14:paraId="5628451A"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0.002</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61EFD8AD"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-0.907***</w:t>
            </w: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495843B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0.002</w:t>
            </w:r>
          </w:p>
        </w:tc>
      </w:tr>
      <w:tr w:rsidR="00AC01C1" w:rsidRPr="00145B9B" w14:paraId="232F9758" w14:textId="77777777" w:rsidTr="00B25599">
        <w:tc>
          <w:tcPr>
            <w:tcW w:w="1181" w:type="pct"/>
            <w:tcBorders>
              <w:top w:val="single" w:sz="4" w:space="0" w:color="auto"/>
              <w:left w:val="single" w:sz="4" w:space="0" w:color="auto"/>
              <w:right w:val="single" w:sz="4" w:space="0" w:color="auto"/>
            </w:tcBorders>
            <w:shd w:val="clear" w:color="auto" w:fill="auto"/>
            <w:vAlign w:val="center"/>
          </w:tcPr>
          <w:p w14:paraId="24236BBD" w14:textId="77777777" w:rsidR="00AC01C1" w:rsidRPr="00145B9B" w:rsidRDefault="00AC01C1" w:rsidP="00B255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Industry dummies</w:t>
            </w:r>
          </w:p>
        </w:tc>
        <w:tc>
          <w:tcPr>
            <w:tcW w:w="1088" w:type="pct"/>
            <w:gridSpan w:val="2"/>
            <w:tcBorders>
              <w:top w:val="single" w:sz="4" w:space="0" w:color="auto"/>
              <w:left w:val="single" w:sz="4" w:space="0" w:color="auto"/>
              <w:right w:val="single" w:sz="4" w:space="0" w:color="auto"/>
            </w:tcBorders>
            <w:shd w:val="clear" w:color="auto" w:fill="auto"/>
            <w:noWrap/>
            <w:vAlign w:val="center"/>
          </w:tcPr>
          <w:p w14:paraId="7DE8F29F"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No</w:t>
            </w:r>
          </w:p>
        </w:tc>
        <w:tc>
          <w:tcPr>
            <w:tcW w:w="897" w:type="pct"/>
            <w:gridSpan w:val="2"/>
            <w:tcBorders>
              <w:top w:val="single" w:sz="4" w:space="0" w:color="auto"/>
              <w:left w:val="single" w:sz="4" w:space="0" w:color="auto"/>
              <w:right w:val="single" w:sz="4" w:space="0" w:color="auto"/>
            </w:tcBorders>
            <w:shd w:val="clear" w:color="auto" w:fill="auto"/>
            <w:noWrap/>
            <w:vAlign w:val="center"/>
          </w:tcPr>
          <w:p w14:paraId="6CB0AA1B"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No</w:t>
            </w:r>
          </w:p>
        </w:tc>
        <w:tc>
          <w:tcPr>
            <w:tcW w:w="937" w:type="pct"/>
            <w:gridSpan w:val="2"/>
            <w:tcBorders>
              <w:top w:val="single" w:sz="4" w:space="0" w:color="auto"/>
              <w:left w:val="single" w:sz="4" w:space="0" w:color="auto"/>
              <w:right w:val="single" w:sz="4" w:space="0" w:color="auto"/>
            </w:tcBorders>
            <w:vAlign w:val="center"/>
          </w:tcPr>
          <w:p w14:paraId="507AC0D3"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No</w:t>
            </w:r>
          </w:p>
        </w:tc>
        <w:tc>
          <w:tcPr>
            <w:tcW w:w="897" w:type="pct"/>
            <w:gridSpan w:val="2"/>
            <w:tcBorders>
              <w:top w:val="single" w:sz="4" w:space="0" w:color="auto"/>
              <w:left w:val="single" w:sz="4" w:space="0" w:color="auto"/>
              <w:right w:val="single" w:sz="4" w:space="0" w:color="auto"/>
            </w:tcBorders>
            <w:shd w:val="clear" w:color="auto" w:fill="auto"/>
            <w:noWrap/>
            <w:vAlign w:val="center"/>
          </w:tcPr>
          <w:p w14:paraId="1044319A"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AC01C1" w:rsidRPr="00145B9B" w14:paraId="30558CD1" w14:textId="77777777" w:rsidTr="00B25599">
        <w:tc>
          <w:tcPr>
            <w:tcW w:w="1181" w:type="pct"/>
            <w:tcBorders>
              <w:left w:val="single" w:sz="4" w:space="0" w:color="auto"/>
              <w:bottom w:val="single" w:sz="4" w:space="0" w:color="auto"/>
              <w:right w:val="single" w:sz="4" w:space="0" w:color="auto"/>
            </w:tcBorders>
            <w:shd w:val="clear" w:color="auto" w:fill="auto"/>
            <w:vAlign w:val="center"/>
            <w:hideMark/>
          </w:tcPr>
          <w:p w14:paraId="73CDDFDC"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Region FE</w:t>
            </w:r>
          </w:p>
        </w:tc>
        <w:tc>
          <w:tcPr>
            <w:tcW w:w="1088" w:type="pct"/>
            <w:gridSpan w:val="2"/>
            <w:tcBorders>
              <w:left w:val="single" w:sz="4" w:space="0" w:color="auto"/>
              <w:bottom w:val="single" w:sz="4" w:space="0" w:color="auto"/>
              <w:right w:val="single" w:sz="4" w:space="0" w:color="auto"/>
            </w:tcBorders>
            <w:shd w:val="clear" w:color="auto" w:fill="auto"/>
            <w:noWrap/>
            <w:vAlign w:val="center"/>
            <w:hideMark/>
          </w:tcPr>
          <w:p w14:paraId="3C11F368"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No</w:t>
            </w:r>
          </w:p>
        </w:tc>
        <w:tc>
          <w:tcPr>
            <w:tcW w:w="897" w:type="pct"/>
            <w:gridSpan w:val="2"/>
            <w:tcBorders>
              <w:left w:val="single" w:sz="4" w:space="0" w:color="auto"/>
              <w:bottom w:val="single" w:sz="4" w:space="0" w:color="auto"/>
              <w:right w:val="single" w:sz="4" w:space="0" w:color="auto"/>
            </w:tcBorders>
            <w:shd w:val="clear" w:color="auto" w:fill="auto"/>
            <w:noWrap/>
            <w:vAlign w:val="center"/>
            <w:hideMark/>
          </w:tcPr>
          <w:p w14:paraId="17B3B99F"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Yes</w:t>
            </w:r>
          </w:p>
        </w:tc>
        <w:tc>
          <w:tcPr>
            <w:tcW w:w="937" w:type="pct"/>
            <w:gridSpan w:val="2"/>
            <w:tcBorders>
              <w:left w:val="single" w:sz="4" w:space="0" w:color="auto"/>
              <w:bottom w:val="single" w:sz="4" w:space="0" w:color="auto"/>
              <w:right w:val="single" w:sz="4" w:space="0" w:color="auto"/>
            </w:tcBorders>
            <w:vAlign w:val="center"/>
          </w:tcPr>
          <w:p w14:paraId="64E4BE42"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Yes</w:t>
            </w:r>
          </w:p>
        </w:tc>
        <w:tc>
          <w:tcPr>
            <w:tcW w:w="897" w:type="pct"/>
            <w:gridSpan w:val="2"/>
            <w:tcBorders>
              <w:left w:val="single" w:sz="4" w:space="0" w:color="auto"/>
              <w:bottom w:val="single" w:sz="4" w:space="0" w:color="auto"/>
              <w:right w:val="single" w:sz="4" w:space="0" w:color="auto"/>
            </w:tcBorders>
            <w:shd w:val="clear" w:color="auto" w:fill="auto"/>
            <w:vAlign w:val="center"/>
            <w:hideMark/>
          </w:tcPr>
          <w:p w14:paraId="3663DE57"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Yes</w:t>
            </w:r>
          </w:p>
        </w:tc>
      </w:tr>
      <w:tr w:rsidR="00AC01C1" w:rsidRPr="00145B9B" w14:paraId="5EE685DF" w14:textId="77777777" w:rsidTr="00B25599">
        <w:trPr>
          <w:trHeight w:val="68"/>
        </w:trPr>
        <w:tc>
          <w:tcPr>
            <w:tcW w:w="1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80644" w14:textId="77777777" w:rsidR="00AC01C1" w:rsidRPr="00145B9B" w:rsidRDefault="00AC01C1" w:rsidP="00B255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Constant</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53E77"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2.868***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A13F3"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0.008</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C3E60"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2.529***</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1AE56"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0.007</w:t>
            </w:r>
          </w:p>
        </w:tc>
        <w:tc>
          <w:tcPr>
            <w:tcW w:w="584" w:type="pct"/>
            <w:tcBorders>
              <w:top w:val="single" w:sz="4" w:space="0" w:color="auto"/>
              <w:left w:val="single" w:sz="4" w:space="0" w:color="auto"/>
              <w:bottom w:val="single" w:sz="4" w:space="0" w:color="auto"/>
              <w:right w:val="single" w:sz="4" w:space="0" w:color="auto"/>
            </w:tcBorders>
            <w:vAlign w:val="center"/>
          </w:tcPr>
          <w:p w14:paraId="46B9DB54"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3.303***</w:t>
            </w:r>
          </w:p>
        </w:tc>
        <w:tc>
          <w:tcPr>
            <w:tcW w:w="352" w:type="pct"/>
            <w:tcBorders>
              <w:top w:val="single" w:sz="4" w:space="0" w:color="auto"/>
              <w:left w:val="single" w:sz="4" w:space="0" w:color="auto"/>
              <w:bottom w:val="single" w:sz="4" w:space="0" w:color="auto"/>
              <w:right w:val="single" w:sz="4" w:space="0" w:color="auto"/>
            </w:tcBorders>
            <w:vAlign w:val="center"/>
          </w:tcPr>
          <w:p w14:paraId="6320074C" w14:textId="77777777" w:rsidR="00AC01C1" w:rsidRPr="00CB5504" w:rsidRDefault="00AC01C1" w:rsidP="00B25599">
            <w:pPr>
              <w:spacing w:after="0" w:line="240" w:lineRule="auto"/>
              <w:jc w:val="right"/>
              <w:rPr>
                <w:rFonts w:ascii="Times New Roman" w:eastAsia="Times New Roman" w:hAnsi="Times New Roman" w:cs="Times New Roman"/>
                <w:sz w:val="20"/>
                <w:szCs w:val="20"/>
              </w:rPr>
            </w:pPr>
            <w:r w:rsidRPr="00CB5504">
              <w:rPr>
                <w:rFonts w:ascii="Times New Roman" w:eastAsia="Times New Roman" w:hAnsi="Times New Roman" w:cs="Times New Roman"/>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4CA05"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3.024***</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12BC" w14:textId="77777777" w:rsidR="00AC01C1" w:rsidRPr="00145B9B" w:rsidRDefault="00AC01C1" w:rsidP="00B25599">
            <w:pPr>
              <w:spacing w:after="0" w:line="240" w:lineRule="auto"/>
              <w:jc w:val="right"/>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0.007</w:t>
            </w:r>
          </w:p>
        </w:tc>
      </w:tr>
      <w:tr w:rsidR="00AC01C1" w:rsidRPr="00145B9B" w14:paraId="2D8D763F" w14:textId="77777777" w:rsidTr="00B25599">
        <w:tc>
          <w:tcPr>
            <w:tcW w:w="1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A921B" w14:textId="77777777" w:rsidR="00AC01C1" w:rsidRPr="00145B9B" w:rsidRDefault="00AC01C1" w:rsidP="00B25599">
            <w:pPr>
              <w:spacing w:after="0" w:line="240" w:lineRule="auto"/>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Adjusted R</w:t>
            </w:r>
            <w:r>
              <w:rPr>
                <w:rFonts w:ascii="Times New Roman" w:eastAsia="Times New Roman" w:hAnsi="Times New Roman" w:cs="Times New Roman"/>
                <w:sz w:val="20"/>
                <w:szCs w:val="20"/>
                <w:vertAlign w:val="superscript"/>
              </w:rPr>
              <w:t>2</w:t>
            </w:r>
          </w:p>
        </w:tc>
        <w:tc>
          <w:tcPr>
            <w:tcW w:w="10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3E455"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0.306</w:t>
            </w:r>
          </w:p>
        </w:tc>
        <w:tc>
          <w:tcPr>
            <w:tcW w:w="8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7880"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0.465</w:t>
            </w:r>
          </w:p>
        </w:tc>
        <w:tc>
          <w:tcPr>
            <w:tcW w:w="937" w:type="pct"/>
            <w:gridSpan w:val="2"/>
            <w:tcBorders>
              <w:top w:val="single" w:sz="4" w:space="0" w:color="auto"/>
              <w:left w:val="single" w:sz="4" w:space="0" w:color="auto"/>
              <w:bottom w:val="single" w:sz="4" w:space="0" w:color="auto"/>
              <w:right w:val="single" w:sz="4" w:space="0" w:color="auto"/>
            </w:tcBorders>
            <w:vAlign w:val="center"/>
          </w:tcPr>
          <w:p w14:paraId="305ACEB9"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0.557</w:t>
            </w:r>
          </w:p>
        </w:tc>
        <w:tc>
          <w:tcPr>
            <w:tcW w:w="8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94B60" w14:textId="77777777" w:rsidR="00AC01C1" w:rsidRPr="00145B9B" w:rsidRDefault="00AC01C1" w:rsidP="00B25599">
            <w:pPr>
              <w:spacing w:after="0" w:line="240" w:lineRule="auto"/>
              <w:jc w:val="center"/>
              <w:rPr>
                <w:rFonts w:ascii="Times New Roman" w:eastAsia="Times New Roman" w:hAnsi="Times New Roman" w:cs="Times New Roman"/>
                <w:sz w:val="20"/>
                <w:szCs w:val="20"/>
              </w:rPr>
            </w:pPr>
            <w:r w:rsidRPr="00145B9B">
              <w:rPr>
                <w:rFonts w:ascii="Times New Roman" w:eastAsia="Times New Roman" w:hAnsi="Times New Roman" w:cs="Times New Roman"/>
                <w:sz w:val="20"/>
                <w:szCs w:val="20"/>
              </w:rPr>
              <w:t>0.569</w:t>
            </w:r>
          </w:p>
        </w:tc>
      </w:tr>
    </w:tbl>
    <w:p w14:paraId="26FE1698" w14:textId="77777777" w:rsidR="00AC01C1" w:rsidRDefault="00AC01C1" w:rsidP="00AC01C1">
      <w:pPr>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sz w:val="20"/>
          <w:szCs w:val="20"/>
        </w:rPr>
        <w:t>N</w:t>
      </w:r>
      <w:r w:rsidRPr="00145B9B">
        <w:rPr>
          <w:rFonts w:ascii="Times New Roman" w:eastAsia="Times New Roman" w:hAnsi="Times New Roman" w:cs="Times New Roman"/>
          <w:sz w:val="20"/>
          <w:szCs w:val="20"/>
        </w:rPr>
        <w:t>ote:  *** p&lt;0.01, ** p&lt;0.05, * p&lt;0.1</w:t>
      </w:r>
      <w:r>
        <w:rPr>
          <w:rFonts w:ascii="Times New Roman" w:eastAsia="Times New Roman" w:hAnsi="Times New Roman" w:cs="Times New Roman"/>
          <w:sz w:val="20"/>
          <w:szCs w:val="20"/>
        </w:rPr>
        <w:t>. Robust standard errors.</w:t>
      </w:r>
    </w:p>
    <w:p w14:paraId="7CB59889" w14:textId="77777777" w:rsidR="00AC01C1" w:rsidRDefault="00AC01C1" w:rsidP="00AC01C1">
      <w:pPr>
        <w:spacing w:after="0" w:line="240" w:lineRule="auto"/>
        <w:contextualSpacing/>
        <w:rPr>
          <w:rFonts w:cstheme="minorHAnsi"/>
          <w:color w:val="000000" w:themeColor="text1"/>
        </w:rPr>
      </w:pPr>
    </w:p>
    <w:p w14:paraId="5DA9BF5F" w14:textId="77777777" w:rsidR="00AC01C1" w:rsidRDefault="00AC01C1" w:rsidP="00AC01C1">
      <w:pPr>
        <w:spacing w:after="160" w:line="259" w:lineRule="auto"/>
        <w:jc w:val="left"/>
        <w:rPr>
          <w:rFonts w:cstheme="minorHAnsi"/>
          <w:b/>
          <w:bCs/>
          <w:iCs/>
          <w:color w:val="000000" w:themeColor="text1"/>
        </w:rPr>
      </w:pPr>
      <w:r>
        <w:rPr>
          <w:rFonts w:cstheme="minorHAnsi"/>
          <w:b/>
          <w:bCs/>
          <w:iCs/>
          <w:color w:val="000000" w:themeColor="text1"/>
        </w:rPr>
        <w:br w:type="page"/>
      </w:r>
    </w:p>
    <w:p w14:paraId="541F863D" w14:textId="6CF53D30" w:rsidR="00AC01C1" w:rsidRPr="00F65702" w:rsidRDefault="00AC01C1" w:rsidP="00AC01C1">
      <w:pPr>
        <w:pStyle w:val="ListParagraph"/>
        <w:numPr>
          <w:ilvl w:val="0"/>
          <w:numId w:val="29"/>
        </w:numPr>
        <w:spacing w:after="0" w:line="240" w:lineRule="auto"/>
        <w:jc w:val="left"/>
        <w:rPr>
          <w:rFonts w:cstheme="minorHAnsi"/>
          <w:b/>
          <w:bCs/>
          <w:iCs/>
          <w:color w:val="000000" w:themeColor="text1"/>
          <w:sz w:val="22"/>
        </w:rPr>
      </w:pPr>
      <w:bookmarkStart w:id="141" w:name="_Hlk10984122"/>
      <w:r w:rsidRPr="00F65702">
        <w:rPr>
          <w:rFonts w:cstheme="minorHAnsi"/>
          <w:b/>
          <w:bCs/>
          <w:iCs/>
          <w:color w:val="000000" w:themeColor="text1"/>
          <w:sz w:val="22"/>
        </w:rPr>
        <w:t>Figure 3.</w:t>
      </w:r>
      <w:r w:rsidR="00ED6268">
        <w:rPr>
          <w:rFonts w:cstheme="minorHAnsi"/>
          <w:b/>
          <w:bCs/>
          <w:iCs/>
          <w:color w:val="000000" w:themeColor="text1"/>
          <w:sz w:val="22"/>
        </w:rPr>
        <w:t>3</w:t>
      </w:r>
      <w:r w:rsidRPr="00F65702">
        <w:rPr>
          <w:rFonts w:cstheme="minorHAnsi"/>
          <w:b/>
          <w:bCs/>
          <w:iCs/>
          <w:color w:val="000000" w:themeColor="text1"/>
          <w:sz w:val="22"/>
        </w:rPr>
        <w:t xml:space="preserve"> </w:t>
      </w:r>
      <w:r>
        <w:rPr>
          <w:rFonts w:cstheme="minorHAnsi"/>
          <w:b/>
          <w:bCs/>
          <w:iCs/>
          <w:color w:val="000000" w:themeColor="text1"/>
          <w:sz w:val="22"/>
        </w:rPr>
        <w:t>SOE-private w</w:t>
      </w:r>
      <w:r w:rsidRPr="00AF7D32">
        <w:rPr>
          <w:rFonts w:cstheme="minorHAnsi"/>
          <w:b/>
          <w:bCs/>
          <w:iCs/>
          <w:color w:val="000000" w:themeColor="text1"/>
          <w:sz w:val="22"/>
        </w:rPr>
        <w:t>age premium</w:t>
      </w:r>
      <w:r>
        <w:rPr>
          <w:rFonts w:cstheme="minorHAnsi"/>
          <w:b/>
          <w:bCs/>
          <w:iCs/>
          <w:color w:val="000000" w:themeColor="text1"/>
          <w:sz w:val="22"/>
        </w:rPr>
        <w:t xml:space="preserve">, </w:t>
      </w:r>
      <w:r w:rsidRPr="00AF7D32">
        <w:rPr>
          <w:rFonts w:cstheme="minorHAnsi"/>
          <w:b/>
          <w:bCs/>
          <w:iCs/>
          <w:color w:val="000000" w:themeColor="text1"/>
          <w:sz w:val="22"/>
        </w:rPr>
        <w:t>by firm size</w:t>
      </w:r>
    </w:p>
    <w:bookmarkEnd w:id="141"/>
    <w:p w14:paraId="586DAD1F" w14:textId="77777777" w:rsidR="00AC01C1" w:rsidRDefault="00AC01C1" w:rsidP="00AC01C1">
      <w:pPr>
        <w:spacing w:after="0" w:line="240" w:lineRule="auto"/>
        <w:jc w:val="left"/>
        <w:rPr>
          <w:rFonts w:cstheme="minorHAnsi"/>
          <w:b/>
          <w:bCs/>
          <w:iCs/>
          <w:color w:val="000000" w:themeColor="text1"/>
        </w:rPr>
      </w:pPr>
    </w:p>
    <w:tbl>
      <w:tblPr>
        <w:tblW w:w="5799" w:type="pct"/>
        <w:tblInd w:w="-725" w:type="dxa"/>
        <w:tblLook w:val="04A0" w:firstRow="1" w:lastRow="0" w:firstColumn="1" w:lastColumn="0" w:noHBand="0" w:noVBand="1"/>
      </w:tblPr>
      <w:tblGrid>
        <w:gridCol w:w="1319"/>
        <w:gridCol w:w="951"/>
        <w:gridCol w:w="623"/>
        <w:gridCol w:w="954"/>
        <w:gridCol w:w="625"/>
        <w:gridCol w:w="891"/>
        <w:gridCol w:w="625"/>
        <w:gridCol w:w="954"/>
        <w:gridCol w:w="625"/>
        <w:gridCol w:w="1017"/>
        <w:gridCol w:w="693"/>
        <w:gridCol w:w="991"/>
        <w:gridCol w:w="621"/>
      </w:tblGrid>
      <w:tr w:rsidR="00AC01C1" w:rsidRPr="00145B9B" w14:paraId="342A4AA5" w14:textId="77777777" w:rsidTr="00B25599">
        <w:tc>
          <w:tcPr>
            <w:tcW w:w="606" w:type="pct"/>
            <w:tcBorders>
              <w:top w:val="single" w:sz="4" w:space="0" w:color="auto"/>
              <w:left w:val="single" w:sz="4" w:space="0" w:color="auto"/>
              <w:right w:val="single" w:sz="4" w:space="0" w:color="auto"/>
            </w:tcBorders>
            <w:shd w:val="clear" w:color="auto" w:fill="auto"/>
            <w:vAlign w:val="center"/>
          </w:tcPr>
          <w:p w14:paraId="02976BBC" w14:textId="77777777" w:rsidR="00AC01C1" w:rsidRPr="0062624A" w:rsidRDefault="00AC01C1" w:rsidP="00B25599">
            <w:pPr>
              <w:spacing w:after="0" w:line="240" w:lineRule="auto"/>
              <w:ind w:right="-45"/>
              <w:rPr>
                <w:rFonts w:ascii="Times New Roman" w:eastAsia="Times New Roman" w:hAnsi="Times New Roman" w:cs="Times New Roman"/>
                <w:sz w:val="18"/>
                <w:szCs w:val="18"/>
              </w:rPr>
            </w:pPr>
          </w:p>
        </w:tc>
        <w:tc>
          <w:tcPr>
            <w:tcW w:w="4394"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0CCD3D" w14:textId="77777777" w:rsidR="00AC01C1" w:rsidRPr="0062624A" w:rsidRDefault="00AC01C1" w:rsidP="00B25599">
            <w:pPr>
              <w:spacing w:after="0" w:line="240" w:lineRule="auto"/>
              <w:jc w:val="center"/>
              <w:rPr>
                <w:rFonts w:ascii="Times New Roman" w:eastAsia="Times New Roman" w:hAnsi="Times New Roman" w:cs="Times New Roman"/>
                <w:b/>
                <w:bCs/>
                <w:sz w:val="18"/>
                <w:szCs w:val="18"/>
              </w:rPr>
            </w:pPr>
            <w:r w:rsidRPr="0062624A">
              <w:rPr>
                <w:rFonts w:ascii="Times New Roman" w:eastAsia="Times New Roman" w:hAnsi="Times New Roman" w:cs="Times New Roman"/>
                <w:b/>
                <w:bCs/>
                <w:sz w:val="18"/>
                <w:szCs w:val="18"/>
              </w:rPr>
              <w:t>Dependent variable: log hourly wage</w:t>
            </w:r>
            <w:r>
              <w:rPr>
                <w:rFonts w:ascii="Times New Roman" w:eastAsia="Times New Roman" w:hAnsi="Times New Roman" w:cs="Times New Roman"/>
                <w:b/>
                <w:bCs/>
                <w:sz w:val="18"/>
                <w:szCs w:val="18"/>
              </w:rPr>
              <w:t xml:space="preserve"> in Rubles</w:t>
            </w:r>
          </w:p>
        </w:tc>
      </w:tr>
      <w:tr w:rsidR="00AC01C1" w:rsidRPr="00647847" w14:paraId="5AF6CE93" w14:textId="77777777" w:rsidTr="00B25599">
        <w:tc>
          <w:tcPr>
            <w:tcW w:w="606" w:type="pct"/>
            <w:tcBorders>
              <w:top w:val="single" w:sz="4" w:space="0" w:color="auto"/>
              <w:left w:val="single" w:sz="4" w:space="0" w:color="auto"/>
              <w:right w:val="single" w:sz="4" w:space="0" w:color="auto"/>
            </w:tcBorders>
            <w:shd w:val="clear" w:color="auto" w:fill="auto"/>
            <w:vAlign w:val="center"/>
            <w:hideMark/>
          </w:tcPr>
          <w:p w14:paraId="557E703A"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A438EC"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 xml:space="preserve">Firm size </w:t>
            </w:r>
          </w:p>
          <w:p w14:paraId="2D28A1C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w:t>
            </w:r>
            <w:r w:rsidRPr="00647847">
              <w:rPr>
                <w:rFonts w:ascii="Times New Roman" w:eastAsia="Times New Roman" w:hAnsi="Times New Roman" w:cs="Times New Roman"/>
                <w:sz w:val="18"/>
                <w:szCs w:val="18"/>
              </w:rPr>
              <w:t>50</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D34CC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Firm size</w:t>
            </w:r>
          </w:p>
          <w:p w14:paraId="6736117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50-99</w:t>
            </w:r>
          </w:p>
        </w:tc>
        <w:tc>
          <w:tcPr>
            <w:tcW w:w="696" w:type="pct"/>
            <w:gridSpan w:val="2"/>
            <w:tcBorders>
              <w:top w:val="single" w:sz="4" w:space="0" w:color="auto"/>
              <w:left w:val="single" w:sz="4" w:space="0" w:color="auto"/>
              <w:bottom w:val="single" w:sz="4" w:space="0" w:color="auto"/>
              <w:right w:val="single" w:sz="4" w:space="0" w:color="auto"/>
            </w:tcBorders>
            <w:vAlign w:val="center"/>
          </w:tcPr>
          <w:p w14:paraId="2048D687"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Firm size</w:t>
            </w:r>
          </w:p>
          <w:p w14:paraId="255AB9C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100-249</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960519"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Firm size</w:t>
            </w:r>
          </w:p>
          <w:p w14:paraId="2A4E68F3"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250-499</w:t>
            </w:r>
          </w:p>
        </w:tc>
        <w:tc>
          <w:tcPr>
            <w:tcW w:w="785" w:type="pct"/>
            <w:gridSpan w:val="2"/>
            <w:tcBorders>
              <w:top w:val="single" w:sz="4" w:space="0" w:color="auto"/>
              <w:left w:val="single" w:sz="4" w:space="0" w:color="auto"/>
              <w:bottom w:val="single" w:sz="4" w:space="0" w:color="auto"/>
              <w:right w:val="single" w:sz="4" w:space="0" w:color="auto"/>
            </w:tcBorders>
          </w:tcPr>
          <w:p w14:paraId="1D1CF617"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Firm size</w:t>
            </w:r>
          </w:p>
          <w:p w14:paraId="7B199297"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500-999</w:t>
            </w:r>
          </w:p>
        </w:tc>
        <w:tc>
          <w:tcPr>
            <w:tcW w:w="740" w:type="pct"/>
            <w:gridSpan w:val="2"/>
            <w:tcBorders>
              <w:top w:val="single" w:sz="4" w:space="0" w:color="auto"/>
              <w:left w:val="single" w:sz="4" w:space="0" w:color="auto"/>
              <w:bottom w:val="single" w:sz="4" w:space="0" w:color="auto"/>
              <w:right w:val="single" w:sz="4" w:space="0" w:color="auto"/>
            </w:tcBorders>
          </w:tcPr>
          <w:p w14:paraId="1F199A93"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Firm size</w:t>
            </w:r>
          </w:p>
          <w:p w14:paraId="344BCCA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AC01C1" w:rsidRPr="00647847" w14:paraId="3E54B0F2" w14:textId="77777777" w:rsidTr="00B25599">
        <w:tc>
          <w:tcPr>
            <w:tcW w:w="606" w:type="pct"/>
            <w:tcBorders>
              <w:top w:val="nil"/>
              <w:left w:val="single" w:sz="4" w:space="0" w:color="auto"/>
              <w:bottom w:val="single" w:sz="4" w:space="0" w:color="auto"/>
              <w:right w:val="single" w:sz="4" w:space="0" w:color="auto"/>
            </w:tcBorders>
            <w:shd w:val="clear" w:color="auto" w:fill="auto"/>
            <w:vAlign w:val="center"/>
            <w:hideMark/>
          </w:tcPr>
          <w:p w14:paraId="495FC82D" w14:textId="77777777" w:rsidR="00AC01C1" w:rsidRPr="00647847" w:rsidRDefault="00AC01C1" w:rsidP="00B25599">
            <w:pPr>
              <w:spacing w:after="0" w:line="240" w:lineRule="auto"/>
              <w:ind w:right="-45"/>
              <w:jc w:val="center"/>
              <w:rPr>
                <w:rFonts w:ascii="Times New Roman" w:eastAsia="Times New Roman" w:hAnsi="Times New Roman" w:cs="Times New Roman"/>
                <w:b/>
                <w:bCs/>
                <w:sz w:val="18"/>
                <w:szCs w:val="18"/>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F39F7"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Coef.</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FADD7"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se</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D0DB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Coef.</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3DB94"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se</w:t>
            </w:r>
          </w:p>
        </w:tc>
        <w:tc>
          <w:tcPr>
            <w:tcW w:w="409" w:type="pct"/>
            <w:tcBorders>
              <w:top w:val="single" w:sz="4" w:space="0" w:color="auto"/>
              <w:left w:val="single" w:sz="4" w:space="0" w:color="auto"/>
              <w:bottom w:val="single" w:sz="4" w:space="0" w:color="auto"/>
              <w:right w:val="single" w:sz="4" w:space="0" w:color="auto"/>
            </w:tcBorders>
            <w:vAlign w:val="center"/>
          </w:tcPr>
          <w:p w14:paraId="383B9C2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Coef.</w:t>
            </w:r>
          </w:p>
        </w:tc>
        <w:tc>
          <w:tcPr>
            <w:tcW w:w="287" w:type="pct"/>
            <w:tcBorders>
              <w:top w:val="single" w:sz="4" w:space="0" w:color="auto"/>
              <w:left w:val="single" w:sz="4" w:space="0" w:color="auto"/>
              <w:bottom w:val="single" w:sz="4" w:space="0" w:color="auto"/>
              <w:right w:val="single" w:sz="4" w:space="0" w:color="auto"/>
            </w:tcBorders>
            <w:vAlign w:val="center"/>
          </w:tcPr>
          <w:p w14:paraId="61E24069"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se</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DD77C"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Coef.</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073A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se</w:t>
            </w:r>
          </w:p>
        </w:tc>
        <w:tc>
          <w:tcPr>
            <w:tcW w:w="467" w:type="pct"/>
            <w:tcBorders>
              <w:top w:val="single" w:sz="4" w:space="0" w:color="auto"/>
              <w:left w:val="single" w:sz="4" w:space="0" w:color="auto"/>
              <w:bottom w:val="single" w:sz="4" w:space="0" w:color="auto"/>
              <w:right w:val="single" w:sz="4" w:space="0" w:color="auto"/>
            </w:tcBorders>
            <w:vAlign w:val="center"/>
          </w:tcPr>
          <w:p w14:paraId="15F0E18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Coef.</w:t>
            </w:r>
          </w:p>
        </w:tc>
        <w:tc>
          <w:tcPr>
            <w:tcW w:w="318" w:type="pct"/>
            <w:tcBorders>
              <w:top w:val="single" w:sz="4" w:space="0" w:color="auto"/>
              <w:left w:val="single" w:sz="4" w:space="0" w:color="auto"/>
              <w:bottom w:val="single" w:sz="4" w:space="0" w:color="auto"/>
              <w:right w:val="single" w:sz="4" w:space="0" w:color="auto"/>
            </w:tcBorders>
            <w:vAlign w:val="center"/>
          </w:tcPr>
          <w:p w14:paraId="55098D94"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se</w:t>
            </w:r>
          </w:p>
        </w:tc>
        <w:tc>
          <w:tcPr>
            <w:tcW w:w="455" w:type="pct"/>
            <w:tcBorders>
              <w:top w:val="single" w:sz="4" w:space="0" w:color="auto"/>
              <w:left w:val="single" w:sz="4" w:space="0" w:color="auto"/>
              <w:bottom w:val="single" w:sz="4" w:space="0" w:color="auto"/>
              <w:right w:val="single" w:sz="4" w:space="0" w:color="auto"/>
            </w:tcBorders>
            <w:vAlign w:val="center"/>
          </w:tcPr>
          <w:p w14:paraId="6A8938C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Coef.</w:t>
            </w:r>
          </w:p>
        </w:tc>
        <w:tc>
          <w:tcPr>
            <w:tcW w:w="285" w:type="pct"/>
            <w:tcBorders>
              <w:top w:val="single" w:sz="4" w:space="0" w:color="auto"/>
              <w:left w:val="single" w:sz="4" w:space="0" w:color="auto"/>
              <w:bottom w:val="single" w:sz="4" w:space="0" w:color="auto"/>
              <w:right w:val="single" w:sz="4" w:space="0" w:color="auto"/>
            </w:tcBorders>
            <w:vAlign w:val="center"/>
          </w:tcPr>
          <w:p w14:paraId="2D55596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se</w:t>
            </w:r>
          </w:p>
        </w:tc>
      </w:tr>
      <w:tr w:rsidR="00AC01C1" w:rsidRPr="00647847" w14:paraId="2CCDDB29" w14:textId="77777777" w:rsidTr="00B25599">
        <w:tc>
          <w:tcPr>
            <w:tcW w:w="606" w:type="pct"/>
            <w:tcBorders>
              <w:top w:val="single" w:sz="4" w:space="0" w:color="auto"/>
              <w:left w:val="single" w:sz="4" w:space="0" w:color="auto"/>
              <w:bottom w:val="nil"/>
              <w:right w:val="single" w:sz="4" w:space="0" w:color="auto"/>
            </w:tcBorders>
            <w:shd w:val="clear" w:color="auto" w:fill="auto"/>
            <w:vAlign w:val="center"/>
            <w:hideMark/>
          </w:tcPr>
          <w:p w14:paraId="5215018A" w14:textId="77777777" w:rsidR="00AC01C1" w:rsidRPr="0001190A" w:rsidRDefault="00AC01C1" w:rsidP="00B25599">
            <w:pPr>
              <w:spacing w:after="0" w:line="240" w:lineRule="auto"/>
              <w:ind w:right="-45"/>
              <w:rPr>
                <w:rFonts w:ascii="Times New Roman" w:eastAsia="Times New Roman" w:hAnsi="Times New Roman" w:cs="Times New Roman"/>
                <w:sz w:val="18"/>
                <w:szCs w:val="18"/>
              </w:rPr>
            </w:pPr>
            <w:r w:rsidRPr="0001190A">
              <w:rPr>
                <w:rFonts w:ascii="Times New Roman" w:eastAsia="Times New Roman" w:hAnsi="Times New Roman" w:cs="Times New Roman"/>
                <w:sz w:val="18"/>
                <w:szCs w:val="18"/>
              </w:rPr>
              <w:t>Sector (private)</w:t>
            </w:r>
          </w:p>
        </w:tc>
        <w:tc>
          <w:tcPr>
            <w:tcW w:w="437" w:type="pct"/>
            <w:tcBorders>
              <w:top w:val="single" w:sz="4" w:space="0" w:color="auto"/>
              <w:left w:val="single" w:sz="4" w:space="0" w:color="auto"/>
              <w:bottom w:val="nil"/>
              <w:right w:val="single" w:sz="4" w:space="0" w:color="auto"/>
            </w:tcBorders>
            <w:shd w:val="clear" w:color="auto" w:fill="auto"/>
            <w:vAlign w:val="center"/>
            <w:hideMark/>
          </w:tcPr>
          <w:p w14:paraId="0AE8EBDE" w14:textId="77777777" w:rsidR="00AC01C1" w:rsidRPr="00647847" w:rsidRDefault="00AC01C1" w:rsidP="00B25599">
            <w:pPr>
              <w:spacing w:after="0" w:line="240" w:lineRule="auto"/>
              <w:rPr>
                <w:rFonts w:ascii="Times New Roman" w:eastAsia="Times New Roman" w:hAnsi="Times New Roman" w:cs="Times New Roman"/>
                <w:sz w:val="18"/>
                <w:szCs w:val="18"/>
              </w:rPr>
            </w:pPr>
          </w:p>
        </w:tc>
        <w:tc>
          <w:tcPr>
            <w:tcW w:w="286" w:type="pct"/>
            <w:tcBorders>
              <w:top w:val="single" w:sz="4" w:space="0" w:color="auto"/>
              <w:left w:val="single" w:sz="4" w:space="0" w:color="auto"/>
              <w:bottom w:val="nil"/>
              <w:right w:val="single" w:sz="4" w:space="0" w:color="auto"/>
            </w:tcBorders>
            <w:shd w:val="clear" w:color="auto" w:fill="auto"/>
            <w:vAlign w:val="center"/>
            <w:hideMark/>
          </w:tcPr>
          <w:p w14:paraId="24AD6A3C"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438" w:type="pct"/>
            <w:tcBorders>
              <w:top w:val="single" w:sz="4" w:space="0" w:color="auto"/>
              <w:left w:val="single" w:sz="4" w:space="0" w:color="auto"/>
              <w:bottom w:val="nil"/>
              <w:right w:val="single" w:sz="4" w:space="0" w:color="auto"/>
            </w:tcBorders>
            <w:shd w:val="clear" w:color="auto" w:fill="auto"/>
            <w:vAlign w:val="center"/>
            <w:hideMark/>
          </w:tcPr>
          <w:p w14:paraId="2BD1375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287" w:type="pct"/>
            <w:tcBorders>
              <w:top w:val="single" w:sz="4" w:space="0" w:color="auto"/>
              <w:left w:val="single" w:sz="4" w:space="0" w:color="auto"/>
              <w:bottom w:val="nil"/>
              <w:right w:val="single" w:sz="4" w:space="0" w:color="auto"/>
            </w:tcBorders>
            <w:shd w:val="clear" w:color="auto" w:fill="auto"/>
            <w:vAlign w:val="center"/>
            <w:hideMark/>
          </w:tcPr>
          <w:p w14:paraId="14440F1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409" w:type="pct"/>
            <w:tcBorders>
              <w:top w:val="single" w:sz="4" w:space="0" w:color="auto"/>
              <w:left w:val="single" w:sz="4" w:space="0" w:color="auto"/>
              <w:right w:val="single" w:sz="4" w:space="0" w:color="auto"/>
            </w:tcBorders>
            <w:vAlign w:val="center"/>
          </w:tcPr>
          <w:p w14:paraId="1204D2E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287" w:type="pct"/>
            <w:tcBorders>
              <w:top w:val="single" w:sz="4" w:space="0" w:color="auto"/>
              <w:left w:val="single" w:sz="4" w:space="0" w:color="auto"/>
              <w:right w:val="single" w:sz="4" w:space="0" w:color="auto"/>
            </w:tcBorders>
            <w:vAlign w:val="center"/>
          </w:tcPr>
          <w:p w14:paraId="5E1CD6EA"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438" w:type="pct"/>
            <w:tcBorders>
              <w:top w:val="single" w:sz="4" w:space="0" w:color="auto"/>
              <w:left w:val="single" w:sz="4" w:space="0" w:color="auto"/>
              <w:bottom w:val="nil"/>
              <w:right w:val="single" w:sz="4" w:space="0" w:color="auto"/>
            </w:tcBorders>
            <w:shd w:val="clear" w:color="auto" w:fill="auto"/>
            <w:vAlign w:val="center"/>
            <w:hideMark/>
          </w:tcPr>
          <w:p w14:paraId="136DC2C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287" w:type="pct"/>
            <w:tcBorders>
              <w:top w:val="single" w:sz="4" w:space="0" w:color="auto"/>
              <w:left w:val="single" w:sz="4" w:space="0" w:color="auto"/>
              <w:bottom w:val="nil"/>
              <w:right w:val="single" w:sz="4" w:space="0" w:color="auto"/>
            </w:tcBorders>
            <w:shd w:val="clear" w:color="auto" w:fill="auto"/>
            <w:vAlign w:val="center"/>
            <w:hideMark/>
          </w:tcPr>
          <w:p w14:paraId="74D5F1C1"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467" w:type="pct"/>
            <w:tcBorders>
              <w:top w:val="single" w:sz="4" w:space="0" w:color="auto"/>
              <w:left w:val="single" w:sz="4" w:space="0" w:color="auto"/>
              <w:bottom w:val="nil"/>
              <w:right w:val="single" w:sz="4" w:space="0" w:color="auto"/>
            </w:tcBorders>
          </w:tcPr>
          <w:p w14:paraId="4EA8726C"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318" w:type="pct"/>
            <w:tcBorders>
              <w:top w:val="single" w:sz="4" w:space="0" w:color="auto"/>
              <w:left w:val="single" w:sz="4" w:space="0" w:color="auto"/>
              <w:bottom w:val="nil"/>
              <w:right w:val="single" w:sz="4" w:space="0" w:color="auto"/>
            </w:tcBorders>
          </w:tcPr>
          <w:p w14:paraId="2F3A761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455" w:type="pct"/>
            <w:tcBorders>
              <w:top w:val="single" w:sz="4" w:space="0" w:color="auto"/>
              <w:left w:val="single" w:sz="4" w:space="0" w:color="auto"/>
              <w:bottom w:val="nil"/>
              <w:right w:val="single" w:sz="4" w:space="0" w:color="auto"/>
            </w:tcBorders>
          </w:tcPr>
          <w:p w14:paraId="70D06C6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c>
          <w:tcPr>
            <w:tcW w:w="285" w:type="pct"/>
            <w:tcBorders>
              <w:top w:val="single" w:sz="4" w:space="0" w:color="auto"/>
              <w:left w:val="single" w:sz="4" w:space="0" w:color="auto"/>
              <w:bottom w:val="nil"/>
              <w:right w:val="single" w:sz="4" w:space="0" w:color="auto"/>
            </w:tcBorders>
          </w:tcPr>
          <w:p w14:paraId="06DB796C"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p>
        </w:tc>
      </w:tr>
      <w:tr w:rsidR="00AC01C1" w:rsidRPr="00915F6F" w14:paraId="2BA6EF61" w14:textId="77777777" w:rsidTr="00B25599">
        <w:tc>
          <w:tcPr>
            <w:tcW w:w="606" w:type="pct"/>
            <w:tcBorders>
              <w:top w:val="nil"/>
              <w:left w:val="single" w:sz="4" w:space="0" w:color="auto"/>
              <w:right w:val="single" w:sz="4" w:space="0" w:color="auto"/>
            </w:tcBorders>
            <w:shd w:val="clear" w:color="auto" w:fill="auto"/>
            <w:vAlign w:val="center"/>
            <w:hideMark/>
          </w:tcPr>
          <w:p w14:paraId="705D6CD6" w14:textId="77777777" w:rsidR="00AC01C1" w:rsidRPr="00647847" w:rsidRDefault="00AC01C1" w:rsidP="00B25599">
            <w:pPr>
              <w:spacing w:after="0" w:line="240" w:lineRule="auto"/>
              <w:ind w:right="-45"/>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state SOEs</w:t>
            </w:r>
          </w:p>
        </w:tc>
        <w:tc>
          <w:tcPr>
            <w:tcW w:w="437" w:type="pct"/>
            <w:tcBorders>
              <w:top w:val="nil"/>
              <w:left w:val="single" w:sz="4" w:space="0" w:color="auto"/>
              <w:right w:val="single" w:sz="4" w:space="0" w:color="auto"/>
            </w:tcBorders>
            <w:shd w:val="clear" w:color="auto" w:fill="auto"/>
            <w:noWrap/>
            <w:vAlign w:val="center"/>
            <w:hideMark/>
          </w:tcPr>
          <w:p w14:paraId="4B254FBE"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2B76DB">
              <w:rPr>
                <w:rFonts w:ascii="Times New Roman" w:eastAsia="Times New Roman" w:hAnsi="Times New Roman" w:cs="Times New Roman"/>
                <w:sz w:val="18"/>
                <w:szCs w:val="18"/>
              </w:rPr>
              <w:t>-0.126***</w:t>
            </w:r>
          </w:p>
        </w:tc>
        <w:tc>
          <w:tcPr>
            <w:tcW w:w="286" w:type="pct"/>
            <w:tcBorders>
              <w:top w:val="nil"/>
              <w:left w:val="single" w:sz="4" w:space="0" w:color="auto"/>
              <w:right w:val="single" w:sz="4" w:space="0" w:color="auto"/>
            </w:tcBorders>
            <w:shd w:val="clear" w:color="auto" w:fill="auto"/>
            <w:noWrap/>
            <w:vAlign w:val="center"/>
            <w:hideMark/>
          </w:tcPr>
          <w:p w14:paraId="71710B8E" w14:textId="77777777" w:rsidR="00AC01C1" w:rsidRPr="00AD6FA8" w:rsidRDefault="00AC01C1" w:rsidP="00B25599">
            <w:pPr>
              <w:spacing w:after="0" w:line="240" w:lineRule="auto"/>
              <w:jc w:val="right"/>
              <w:rPr>
                <w:rFonts w:ascii="Times New Roman" w:eastAsia="Times New Roman" w:hAnsi="Times New Roman" w:cs="Times New Roman"/>
                <w:sz w:val="18"/>
                <w:szCs w:val="18"/>
              </w:rPr>
            </w:pPr>
            <w:r w:rsidRPr="00AD6FA8">
              <w:rPr>
                <w:rFonts w:ascii="Times New Roman" w:eastAsia="Times New Roman" w:hAnsi="Times New Roman" w:cs="Times New Roman"/>
                <w:sz w:val="18"/>
                <w:szCs w:val="18"/>
              </w:rPr>
              <w:t>0.003</w:t>
            </w:r>
          </w:p>
        </w:tc>
        <w:tc>
          <w:tcPr>
            <w:tcW w:w="438" w:type="pct"/>
            <w:tcBorders>
              <w:top w:val="nil"/>
              <w:left w:val="single" w:sz="4" w:space="0" w:color="auto"/>
              <w:right w:val="single" w:sz="4" w:space="0" w:color="auto"/>
            </w:tcBorders>
            <w:shd w:val="clear" w:color="auto" w:fill="auto"/>
            <w:noWrap/>
            <w:vAlign w:val="center"/>
          </w:tcPr>
          <w:p w14:paraId="18D53722"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905BF3">
              <w:rPr>
                <w:rFonts w:ascii="Times New Roman" w:eastAsia="Times New Roman" w:hAnsi="Times New Roman" w:cs="Times New Roman"/>
                <w:sz w:val="18"/>
                <w:szCs w:val="18"/>
              </w:rPr>
              <w:t>-</w:t>
            </w:r>
            <w:r>
              <w:rPr>
                <w:rFonts w:ascii="Times New Roman" w:eastAsia="Times New Roman" w:hAnsi="Times New Roman" w:cs="Times New Roman"/>
                <w:sz w:val="18"/>
                <w:szCs w:val="18"/>
              </w:rPr>
              <w:t>0</w:t>
            </w:r>
            <w:r w:rsidRPr="00905BF3">
              <w:rPr>
                <w:rFonts w:ascii="Times New Roman" w:eastAsia="Times New Roman" w:hAnsi="Times New Roman" w:cs="Times New Roman"/>
                <w:sz w:val="18"/>
                <w:szCs w:val="18"/>
              </w:rPr>
              <w:t>.04</w:t>
            </w:r>
            <w:r>
              <w:rPr>
                <w:rFonts w:ascii="Times New Roman" w:eastAsia="Times New Roman" w:hAnsi="Times New Roman" w:cs="Times New Roman"/>
                <w:sz w:val="18"/>
                <w:szCs w:val="18"/>
              </w:rPr>
              <w:t>6***</w:t>
            </w:r>
          </w:p>
        </w:tc>
        <w:tc>
          <w:tcPr>
            <w:tcW w:w="287" w:type="pct"/>
            <w:tcBorders>
              <w:top w:val="nil"/>
              <w:left w:val="single" w:sz="4" w:space="0" w:color="auto"/>
              <w:right w:val="single" w:sz="4" w:space="0" w:color="auto"/>
            </w:tcBorders>
            <w:shd w:val="clear" w:color="auto" w:fill="auto"/>
            <w:noWrap/>
            <w:vAlign w:val="center"/>
          </w:tcPr>
          <w:p w14:paraId="46B0C03C"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3</w:t>
            </w:r>
          </w:p>
        </w:tc>
        <w:tc>
          <w:tcPr>
            <w:tcW w:w="409" w:type="pct"/>
            <w:tcBorders>
              <w:left w:val="single" w:sz="4" w:space="0" w:color="auto"/>
              <w:right w:val="single" w:sz="4" w:space="0" w:color="auto"/>
            </w:tcBorders>
            <w:vAlign w:val="center"/>
          </w:tcPr>
          <w:p w14:paraId="05CB9012" w14:textId="77777777" w:rsidR="00AC01C1" w:rsidRPr="00647847" w:rsidRDefault="00AC01C1" w:rsidP="00B25599">
            <w:pPr>
              <w:spacing w:after="0" w:line="240" w:lineRule="auto"/>
              <w:ind w:left="-74"/>
              <w:jc w:val="right"/>
              <w:rPr>
                <w:rFonts w:ascii="Times New Roman" w:eastAsia="Times New Roman" w:hAnsi="Times New Roman" w:cs="Times New Roman"/>
                <w:sz w:val="18"/>
                <w:szCs w:val="18"/>
              </w:rPr>
            </w:pPr>
            <w:r w:rsidRPr="007F47D7">
              <w:rPr>
                <w:rFonts w:ascii="Times New Roman" w:eastAsia="Times New Roman" w:hAnsi="Times New Roman" w:cs="Times New Roman"/>
                <w:sz w:val="18"/>
                <w:szCs w:val="18"/>
              </w:rPr>
              <w:t>-</w:t>
            </w:r>
            <w:r>
              <w:rPr>
                <w:rFonts w:ascii="Times New Roman" w:eastAsia="Times New Roman" w:hAnsi="Times New Roman" w:cs="Times New Roman"/>
                <w:sz w:val="18"/>
                <w:szCs w:val="18"/>
              </w:rPr>
              <w:t>0</w:t>
            </w:r>
            <w:r w:rsidRPr="007F47D7">
              <w:rPr>
                <w:rFonts w:ascii="Times New Roman" w:eastAsia="Times New Roman" w:hAnsi="Times New Roman" w:cs="Times New Roman"/>
                <w:sz w:val="18"/>
                <w:szCs w:val="18"/>
              </w:rPr>
              <w:t>.02</w:t>
            </w:r>
            <w:r>
              <w:rPr>
                <w:rFonts w:ascii="Times New Roman" w:eastAsia="Times New Roman" w:hAnsi="Times New Roman" w:cs="Times New Roman"/>
                <w:sz w:val="18"/>
                <w:szCs w:val="18"/>
              </w:rPr>
              <w:t>7***</w:t>
            </w:r>
          </w:p>
        </w:tc>
        <w:tc>
          <w:tcPr>
            <w:tcW w:w="287" w:type="pct"/>
            <w:tcBorders>
              <w:left w:val="single" w:sz="4" w:space="0" w:color="auto"/>
              <w:right w:val="single" w:sz="4" w:space="0" w:color="auto"/>
            </w:tcBorders>
            <w:vAlign w:val="center"/>
          </w:tcPr>
          <w:p w14:paraId="6D62C6F2"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2</w:t>
            </w:r>
          </w:p>
        </w:tc>
        <w:tc>
          <w:tcPr>
            <w:tcW w:w="438" w:type="pct"/>
            <w:tcBorders>
              <w:top w:val="nil"/>
              <w:left w:val="single" w:sz="4" w:space="0" w:color="auto"/>
              <w:right w:val="single" w:sz="4" w:space="0" w:color="auto"/>
            </w:tcBorders>
            <w:shd w:val="clear" w:color="auto" w:fill="auto"/>
            <w:noWrap/>
            <w:vAlign w:val="center"/>
          </w:tcPr>
          <w:p w14:paraId="01772BE7"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FB5A8C">
              <w:rPr>
                <w:rFonts w:ascii="Times New Roman" w:eastAsia="Times New Roman" w:hAnsi="Times New Roman" w:cs="Times New Roman"/>
                <w:sz w:val="18"/>
                <w:szCs w:val="18"/>
              </w:rPr>
              <w:t>-</w:t>
            </w:r>
            <w:r>
              <w:rPr>
                <w:rFonts w:ascii="Times New Roman" w:eastAsia="Times New Roman" w:hAnsi="Times New Roman" w:cs="Times New Roman"/>
                <w:sz w:val="18"/>
                <w:szCs w:val="18"/>
              </w:rPr>
              <w:t>0</w:t>
            </w:r>
            <w:r w:rsidRPr="00FB5A8C">
              <w:rPr>
                <w:rFonts w:ascii="Times New Roman" w:eastAsia="Times New Roman" w:hAnsi="Times New Roman" w:cs="Times New Roman"/>
                <w:sz w:val="18"/>
                <w:szCs w:val="18"/>
              </w:rPr>
              <w:t>.04</w:t>
            </w:r>
            <w:r>
              <w:rPr>
                <w:rFonts w:ascii="Times New Roman" w:eastAsia="Times New Roman" w:hAnsi="Times New Roman" w:cs="Times New Roman"/>
                <w:sz w:val="18"/>
                <w:szCs w:val="18"/>
              </w:rPr>
              <w:t>3***</w:t>
            </w:r>
          </w:p>
        </w:tc>
        <w:tc>
          <w:tcPr>
            <w:tcW w:w="287" w:type="pct"/>
            <w:tcBorders>
              <w:top w:val="nil"/>
              <w:left w:val="single" w:sz="4" w:space="0" w:color="auto"/>
              <w:right w:val="single" w:sz="4" w:space="0" w:color="auto"/>
            </w:tcBorders>
            <w:shd w:val="clear" w:color="auto" w:fill="auto"/>
            <w:noWrap/>
            <w:vAlign w:val="center"/>
          </w:tcPr>
          <w:p w14:paraId="53DBE54E"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3</w:t>
            </w:r>
          </w:p>
        </w:tc>
        <w:tc>
          <w:tcPr>
            <w:tcW w:w="467" w:type="pct"/>
            <w:tcBorders>
              <w:top w:val="nil"/>
              <w:left w:val="single" w:sz="4" w:space="0" w:color="auto"/>
              <w:right w:val="single" w:sz="4" w:space="0" w:color="auto"/>
            </w:tcBorders>
            <w:vAlign w:val="center"/>
          </w:tcPr>
          <w:p w14:paraId="35F8B781"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915F6F">
              <w:rPr>
                <w:rFonts w:ascii="Times New Roman" w:eastAsia="Times New Roman" w:hAnsi="Times New Roman" w:cs="Times New Roman"/>
                <w:sz w:val="18"/>
                <w:szCs w:val="18"/>
              </w:rPr>
              <w:t>-</w:t>
            </w:r>
            <w:r>
              <w:rPr>
                <w:rFonts w:ascii="Times New Roman" w:eastAsia="Times New Roman" w:hAnsi="Times New Roman" w:cs="Times New Roman"/>
                <w:sz w:val="18"/>
                <w:szCs w:val="18"/>
              </w:rPr>
              <w:t>0</w:t>
            </w:r>
            <w:r w:rsidRPr="00915F6F">
              <w:rPr>
                <w:rFonts w:ascii="Times New Roman" w:eastAsia="Times New Roman" w:hAnsi="Times New Roman" w:cs="Times New Roman"/>
                <w:sz w:val="18"/>
                <w:szCs w:val="18"/>
              </w:rPr>
              <w:t>.08</w:t>
            </w:r>
            <w:r>
              <w:rPr>
                <w:rFonts w:ascii="Times New Roman" w:eastAsia="Times New Roman" w:hAnsi="Times New Roman" w:cs="Times New Roman"/>
                <w:sz w:val="18"/>
                <w:szCs w:val="18"/>
              </w:rPr>
              <w:t>8***</w:t>
            </w:r>
          </w:p>
        </w:tc>
        <w:tc>
          <w:tcPr>
            <w:tcW w:w="318" w:type="pct"/>
            <w:tcBorders>
              <w:top w:val="nil"/>
              <w:left w:val="single" w:sz="4" w:space="0" w:color="auto"/>
              <w:right w:val="single" w:sz="4" w:space="0" w:color="auto"/>
            </w:tcBorders>
            <w:vAlign w:val="center"/>
          </w:tcPr>
          <w:p w14:paraId="21A4B0D3"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2</w:t>
            </w:r>
          </w:p>
        </w:tc>
        <w:tc>
          <w:tcPr>
            <w:tcW w:w="455" w:type="pct"/>
            <w:tcBorders>
              <w:top w:val="nil"/>
              <w:left w:val="single" w:sz="4" w:space="0" w:color="auto"/>
              <w:right w:val="single" w:sz="4" w:space="0" w:color="auto"/>
            </w:tcBorders>
            <w:vAlign w:val="center"/>
          </w:tcPr>
          <w:p w14:paraId="462043C7"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0D321F">
              <w:rPr>
                <w:rFonts w:ascii="Times New Roman" w:eastAsia="Times New Roman" w:hAnsi="Times New Roman" w:cs="Times New Roman"/>
                <w:sz w:val="18"/>
                <w:szCs w:val="18"/>
              </w:rPr>
              <w:t>-0.087***</w:t>
            </w:r>
          </w:p>
        </w:tc>
        <w:tc>
          <w:tcPr>
            <w:tcW w:w="285" w:type="pct"/>
            <w:tcBorders>
              <w:top w:val="nil"/>
              <w:left w:val="single" w:sz="4" w:space="0" w:color="auto"/>
              <w:right w:val="single" w:sz="4" w:space="0" w:color="auto"/>
            </w:tcBorders>
            <w:vAlign w:val="center"/>
          </w:tcPr>
          <w:p w14:paraId="5ED4FAD0"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3</w:t>
            </w:r>
          </w:p>
        </w:tc>
      </w:tr>
      <w:tr w:rsidR="00AC01C1" w:rsidRPr="00915F6F" w14:paraId="35E728B0" w14:textId="77777777" w:rsidTr="00B25599">
        <w:tc>
          <w:tcPr>
            <w:tcW w:w="606" w:type="pct"/>
            <w:tcBorders>
              <w:top w:val="nil"/>
              <w:left w:val="single" w:sz="4" w:space="0" w:color="auto"/>
              <w:bottom w:val="single" w:sz="4" w:space="0" w:color="auto"/>
              <w:right w:val="single" w:sz="4" w:space="0" w:color="auto"/>
            </w:tcBorders>
            <w:shd w:val="clear" w:color="auto" w:fill="auto"/>
            <w:vAlign w:val="center"/>
            <w:hideMark/>
          </w:tcPr>
          <w:p w14:paraId="3E3A32B5" w14:textId="77777777" w:rsidR="00AC01C1" w:rsidRPr="00647847" w:rsidRDefault="00AC01C1" w:rsidP="00B25599">
            <w:pPr>
              <w:spacing w:after="0" w:line="240" w:lineRule="auto"/>
              <w:ind w:right="-45"/>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mixed SOEs</w:t>
            </w:r>
          </w:p>
        </w:tc>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59B814C2"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2B76DB">
              <w:rPr>
                <w:rFonts w:ascii="Times New Roman" w:eastAsia="Times New Roman" w:hAnsi="Times New Roman" w:cs="Times New Roman"/>
                <w:sz w:val="18"/>
                <w:szCs w:val="18"/>
              </w:rPr>
              <w:t>0.038***</w:t>
            </w:r>
          </w:p>
        </w:tc>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06012980" w14:textId="77777777" w:rsidR="00AC01C1" w:rsidRPr="00AD6FA8" w:rsidRDefault="00AC01C1" w:rsidP="00B25599">
            <w:pPr>
              <w:spacing w:after="0" w:line="240" w:lineRule="auto"/>
              <w:jc w:val="right"/>
              <w:rPr>
                <w:rFonts w:ascii="Times New Roman" w:eastAsia="Times New Roman" w:hAnsi="Times New Roman" w:cs="Times New Roman"/>
                <w:sz w:val="18"/>
                <w:szCs w:val="18"/>
              </w:rPr>
            </w:pPr>
            <w:r w:rsidRPr="00AD6FA8">
              <w:rPr>
                <w:rFonts w:ascii="Times New Roman" w:eastAsia="Times New Roman" w:hAnsi="Times New Roman" w:cs="Times New Roman"/>
                <w:sz w:val="18"/>
                <w:szCs w:val="18"/>
              </w:rPr>
              <w:t>0.004</w:t>
            </w:r>
          </w:p>
        </w:tc>
        <w:tc>
          <w:tcPr>
            <w:tcW w:w="438" w:type="pct"/>
            <w:tcBorders>
              <w:top w:val="nil"/>
              <w:left w:val="single" w:sz="4" w:space="0" w:color="auto"/>
              <w:bottom w:val="single" w:sz="4" w:space="0" w:color="auto"/>
              <w:right w:val="single" w:sz="4" w:space="0" w:color="auto"/>
            </w:tcBorders>
            <w:shd w:val="clear" w:color="auto" w:fill="auto"/>
            <w:noWrap/>
            <w:vAlign w:val="center"/>
          </w:tcPr>
          <w:p w14:paraId="75A1D0DD"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905BF3">
              <w:rPr>
                <w:rFonts w:ascii="Times New Roman" w:eastAsia="Times New Roman" w:hAnsi="Times New Roman" w:cs="Times New Roman"/>
                <w:sz w:val="18"/>
                <w:szCs w:val="18"/>
              </w:rPr>
              <w:t>.090</w:t>
            </w:r>
            <w:r>
              <w:rPr>
                <w:rFonts w:ascii="Times New Roman" w:eastAsia="Times New Roman" w:hAnsi="Times New Roman" w:cs="Times New Roman"/>
                <w:sz w:val="18"/>
                <w:szCs w:val="18"/>
              </w:rPr>
              <w:t>***</w:t>
            </w:r>
          </w:p>
        </w:tc>
        <w:tc>
          <w:tcPr>
            <w:tcW w:w="287" w:type="pct"/>
            <w:tcBorders>
              <w:top w:val="nil"/>
              <w:left w:val="single" w:sz="4" w:space="0" w:color="auto"/>
              <w:bottom w:val="single" w:sz="4" w:space="0" w:color="auto"/>
              <w:right w:val="single" w:sz="4" w:space="0" w:color="auto"/>
            </w:tcBorders>
            <w:shd w:val="clear" w:color="auto" w:fill="auto"/>
            <w:noWrap/>
            <w:vAlign w:val="center"/>
          </w:tcPr>
          <w:p w14:paraId="5BD6A56B"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6</w:t>
            </w:r>
          </w:p>
        </w:tc>
        <w:tc>
          <w:tcPr>
            <w:tcW w:w="409" w:type="pct"/>
            <w:tcBorders>
              <w:left w:val="single" w:sz="4" w:space="0" w:color="auto"/>
              <w:bottom w:val="single" w:sz="4" w:space="0" w:color="auto"/>
              <w:right w:val="single" w:sz="4" w:space="0" w:color="auto"/>
            </w:tcBorders>
            <w:vAlign w:val="center"/>
          </w:tcPr>
          <w:p w14:paraId="5494F2E1"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7F47D7">
              <w:rPr>
                <w:rFonts w:ascii="Times New Roman" w:eastAsia="Times New Roman" w:hAnsi="Times New Roman" w:cs="Times New Roman"/>
                <w:sz w:val="18"/>
                <w:szCs w:val="18"/>
              </w:rPr>
              <w:t>.083</w:t>
            </w:r>
            <w:r>
              <w:rPr>
                <w:rFonts w:ascii="Times New Roman" w:eastAsia="Times New Roman" w:hAnsi="Times New Roman" w:cs="Times New Roman"/>
                <w:sz w:val="18"/>
                <w:szCs w:val="18"/>
              </w:rPr>
              <w:t>***</w:t>
            </w:r>
          </w:p>
        </w:tc>
        <w:tc>
          <w:tcPr>
            <w:tcW w:w="287" w:type="pct"/>
            <w:tcBorders>
              <w:left w:val="single" w:sz="4" w:space="0" w:color="auto"/>
              <w:bottom w:val="single" w:sz="4" w:space="0" w:color="auto"/>
              <w:right w:val="single" w:sz="4" w:space="0" w:color="auto"/>
            </w:tcBorders>
            <w:vAlign w:val="center"/>
          </w:tcPr>
          <w:p w14:paraId="713688FD"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3</w:t>
            </w:r>
          </w:p>
        </w:tc>
        <w:tc>
          <w:tcPr>
            <w:tcW w:w="438" w:type="pct"/>
            <w:tcBorders>
              <w:top w:val="nil"/>
              <w:left w:val="single" w:sz="4" w:space="0" w:color="auto"/>
              <w:bottom w:val="single" w:sz="4" w:space="0" w:color="auto"/>
              <w:right w:val="single" w:sz="4" w:space="0" w:color="auto"/>
            </w:tcBorders>
            <w:shd w:val="clear" w:color="auto" w:fill="auto"/>
            <w:noWrap/>
            <w:vAlign w:val="center"/>
          </w:tcPr>
          <w:p w14:paraId="5432374A"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FB5A8C">
              <w:rPr>
                <w:rFonts w:ascii="Times New Roman" w:eastAsia="Times New Roman" w:hAnsi="Times New Roman" w:cs="Times New Roman"/>
                <w:sz w:val="18"/>
                <w:szCs w:val="18"/>
              </w:rPr>
              <w:t>.04</w:t>
            </w:r>
            <w:r>
              <w:rPr>
                <w:rFonts w:ascii="Times New Roman" w:eastAsia="Times New Roman" w:hAnsi="Times New Roman" w:cs="Times New Roman"/>
                <w:sz w:val="18"/>
                <w:szCs w:val="18"/>
              </w:rPr>
              <w:t>8***</w:t>
            </w:r>
          </w:p>
        </w:tc>
        <w:tc>
          <w:tcPr>
            <w:tcW w:w="287" w:type="pct"/>
            <w:tcBorders>
              <w:top w:val="nil"/>
              <w:left w:val="single" w:sz="4" w:space="0" w:color="auto"/>
              <w:bottom w:val="single" w:sz="4" w:space="0" w:color="auto"/>
              <w:right w:val="single" w:sz="4" w:space="0" w:color="auto"/>
            </w:tcBorders>
            <w:shd w:val="clear" w:color="auto" w:fill="auto"/>
            <w:noWrap/>
            <w:vAlign w:val="center"/>
          </w:tcPr>
          <w:p w14:paraId="257FE295"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0.00</w:t>
            </w:r>
            <w:r>
              <w:rPr>
                <w:rFonts w:ascii="Times New Roman" w:eastAsia="Times New Roman" w:hAnsi="Times New Roman" w:cs="Times New Roman"/>
                <w:sz w:val="18"/>
                <w:szCs w:val="18"/>
              </w:rPr>
              <w:t>3</w:t>
            </w:r>
          </w:p>
        </w:tc>
        <w:tc>
          <w:tcPr>
            <w:tcW w:w="467" w:type="pct"/>
            <w:tcBorders>
              <w:top w:val="nil"/>
              <w:left w:val="single" w:sz="4" w:space="0" w:color="auto"/>
              <w:bottom w:val="single" w:sz="4" w:space="0" w:color="auto"/>
              <w:right w:val="single" w:sz="4" w:space="0" w:color="auto"/>
            </w:tcBorders>
            <w:vAlign w:val="center"/>
          </w:tcPr>
          <w:p w14:paraId="362439A8"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915F6F">
              <w:rPr>
                <w:rFonts w:ascii="Times New Roman" w:eastAsia="Times New Roman" w:hAnsi="Times New Roman" w:cs="Times New Roman"/>
                <w:sz w:val="18"/>
                <w:szCs w:val="18"/>
              </w:rPr>
              <w:t>-</w:t>
            </w:r>
            <w:r>
              <w:rPr>
                <w:rFonts w:ascii="Times New Roman" w:eastAsia="Times New Roman" w:hAnsi="Times New Roman" w:cs="Times New Roman"/>
                <w:sz w:val="18"/>
                <w:szCs w:val="18"/>
              </w:rPr>
              <w:t>0</w:t>
            </w:r>
            <w:r w:rsidRPr="00915F6F">
              <w:rPr>
                <w:rFonts w:ascii="Times New Roman" w:eastAsia="Times New Roman" w:hAnsi="Times New Roman" w:cs="Times New Roman"/>
                <w:sz w:val="18"/>
                <w:szCs w:val="18"/>
              </w:rPr>
              <w:t>.00</w:t>
            </w:r>
            <w:r>
              <w:rPr>
                <w:rFonts w:ascii="Times New Roman" w:eastAsia="Times New Roman" w:hAnsi="Times New Roman" w:cs="Times New Roman"/>
                <w:sz w:val="18"/>
                <w:szCs w:val="18"/>
              </w:rPr>
              <w:t>3</w:t>
            </w:r>
          </w:p>
        </w:tc>
        <w:tc>
          <w:tcPr>
            <w:tcW w:w="318" w:type="pct"/>
            <w:tcBorders>
              <w:top w:val="nil"/>
              <w:left w:val="single" w:sz="4" w:space="0" w:color="auto"/>
              <w:bottom w:val="single" w:sz="4" w:space="0" w:color="auto"/>
              <w:right w:val="single" w:sz="4" w:space="0" w:color="auto"/>
            </w:tcBorders>
            <w:vAlign w:val="center"/>
          </w:tcPr>
          <w:p w14:paraId="26C4BF78"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w:t>
            </w:r>
            <w:r>
              <w:rPr>
                <w:rFonts w:ascii="Times New Roman" w:eastAsia="Times New Roman" w:hAnsi="Times New Roman" w:cs="Times New Roman"/>
                <w:sz w:val="18"/>
                <w:szCs w:val="18"/>
              </w:rPr>
              <w:t>003</w:t>
            </w:r>
          </w:p>
        </w:tc>
        <w:tc>
          <w:tcPr>
            <w:tcW w:w="455" w:type="pct"/>
            <w:tcBorders>
              <w:top w:val="nil"/>
              <w:left w:val="single" w:sz="4" w:space="0" w:color="auto"/>
              <w:bottom w:val="single" w:sz="4" w:space="0" w:color="auto"/>
              <w:right w:val="single" w:sz="4" w:space="0" w:color="auto"/>
            </w:tcBorders>
            <w:vAlign w:val="center"/>
          </w:tcPr>
          <w:p w14:paraId="64F22579"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0D321F">
              <w:rPr>
                <w:rFonts w:ascii="Times New Roman" w:eastAsia="Times New Roman" w:hAnsi="Times New Roman" w:cs="Times New Roman"/>
                <w:sz w:val="18"/>
                <w:szCs w:val="18"/>
              </w:rPr>
              <w:t>-0.001***</w:t>
            </w:r>
          </w:p>
        </w:tc>
        <w:tc>
          <w:tcPr>
            <w:tcW w:w="285" w:type="pct"/>
            <w:tcBorders>
              <w:top w:val="nil"/>
              <w:left w:val="single" w:sz="4" w:space="0" w:color="auto"/>
              <w:bottom w:val="single" w:sz="4" w:space="0" w:color="auto"/>
              <w:right w:val="single" w:sz="4" w:space="0" w:color="auto"/>
            </w:tcBorders>
            <w:vAlign w:val="center"/>
          </w:tcPr>
          <w:p w14:paraId="38948CB7"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0D321F">
              <w:rPr>
                <w:rFonts w:ascii="Times New Roman" w:eastAsia="Times New Roman" w:hAnsi="Times New Roman" w:cs="Times New Roman"/>
                <w:sz w:val="18"/>
                <w:szCs w:val="18"/>
              </w:rPr>
              <w:t>0.</w:t>
            </w:r>
            <w:r>
              <w:rPr>
                <w:rFonts w:ascii="Times New Roman" w:eastAsia="Times New Roman" w:hAnsi="Times New Roman" w:cs="Times New Roman"/>
                <w:sz w:val="18"/>
                <w:szCs w:val="18"/>
              </w:rPr>
              <w:t>003</w:t>
            </w:r>
          </w:p>
        </w:tc>
      </w:tr>
      <w:tr w:rsidR="00AC01C1" w:rsidRPr="00647847" w14:paraId="1F3431F7" w14:textId="77777777" w:rsidTr="00B25599">
        <w:trPr>
          <w:trHeight w:val="6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010CA79" w14:textId="77777777" w:rsidR="00AC01C1" w:rsidRPr="00647847" w:rsidRDefault="00AC01C1" w:rsidP="00B25599">
            <w:pPr>
              <w:spacing w:after="0" w:line="240" w:lineRule="auto"/>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Controls</w:t>
            </w:r>
          </w:p>
        </w:tc>
      </w:tr>
      <w:tr w:rsidR="00AC01C1" w:rsidRPr="00647847" w14:paraId="6822359F"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D9871"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Gender </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E1A4"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3346526E"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2BD5178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28F59B5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71565DDB"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195B8C4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3F6251BC"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FF1D4"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Education </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CF60E"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38985F1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4884AD54"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24FA3D4B"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2F0E2E8E"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4E1CBBE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22711A6D"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65C95"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18"/>
                <w:szCs w:val="18"/>
              </w:rPr>
              <w:t>Age</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9E50"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5C184943"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2ABF8641"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108E2935"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38CF959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0EA9C82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4F383881"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F844A"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18"/>
                <w:szCs w:val="18"/>
              </w:rPr>
              <w:t>Age sq.</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2E9AB"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25DB165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60F503E9"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32A3E899"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551EFF1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212CD01A"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18F74195"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C9C82"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18"/>
                <w:szCs w:val="18"/>
              </w:rPr>
              <w:t>Occupation</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36E"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3AC39263"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7BD3A81E"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01E5840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5D06E791"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6CEE9C83"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56E911F0"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BAB7F"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Pr>
                <w:rFonts w:ascii="Times New Roman" w:eastAsia="Times New Roman" w:hAnsi="Times New Roman" w:cs="Times New Roman"/>
                <w:sz w:val="18"/>
                <w:szCs w:val="18"/>
              </w:rPr>
              <w:t>Year FE (base 2005)</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1415"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10824784"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70FE5D4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694D7430"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5B6F37F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54C2F976"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7D8A68AB"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1F782"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Region FE</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10F7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219B2EE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96" w:type="pct"/>
            <w:gridSpan w:val="2"/>
            <w:tcBorders>
              <w:top w:val="single" w:sz="4" w:space="0" w:color="auto"/>
              <w:left w:val="single" w:sz="4" w:space="0" w:color="auto"/>
              <w:bottom w:val="single" w:sz="4" w:space="0" w:color="auto"/>
              <w:right w:val="single" w:sz="4" w:space="0" w:color="auto"/>
            </w:tcBorders>
          </w:tcPr>
          <w:p w14:paraId="5962681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2F405250"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85" w:type="pct"/>
            <w:gridSpan w:val="2"/>
            <w:tcBorders>
              <w:top w:val="single" w:sz="4" w:space="0" w:color="auto"/>
              <w:right w:val="single" w:sz="4" w:space="0" w:color="auto"/>
            </w:tcBorders>
          </w:tcPr>
          <w:p w14:paraId="51A288A0"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740" w:type="pct"/>
            <w:gridSpan w:val="2"/>
            <w:tcBorders>
              <w:top w:val="single" w:sz="4" w:space="0" w:color="auto"/>
              <w:left w:val="single" w:sz="4" w:space="0" w:color="auto"/>
              <w:bottom w:val="single" w:sz="4" w:space="0" w:color="auto"/>
              <w:right w:val="single" w:sz="4" w:space="0" w:color="auto"/>
            </w:tcBorders>
          </w:tcPr>
          <w:p w14:paraId="6360397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AC01C1" w:rsidRPr="00647847" w14:paraId="3F6F7386"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E566A"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Constant</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608BD"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56031">
              <w:rPr>
                <w:rFonts w:ascii="Times New Roman" w:eastAsia="Times New Roman" w:hAnsi="Times New Roman" w:cs="Times New Roman"/>
                <w:sz w:val="18"/>
                <w:szCs w:val="18"/>
              </w:rPr>
              <w:t>3.35</w:t>
            </w:r>
            <w:r>
              <w:rPr>
                <w:rFonts w:ascii="Times New Roman" w:eastAsia="Times New Roman" w:hAnsi="Times New Roman" w:cs="Times New Roman"/>
                <w:sz w:val="18"/>
                <w:szCs w:val="18"/>
              </w:rPr>
              <w:t>6</w:t>
            </w:r>
            <w:r w:rsidRPr="00647847">
              <w:rPr>
                <w:rFonts w:ascii="Times New Roman" w:eastAsia="Times New Roman" w:hAnsi="Times New Roman" w:cs="Times New Roman"/>
                <w:sz w:val="18"/>
                <w:szCs w:val="18"/>
              </w:rPr>
              <w:t>***</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E12C"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w:t>
            </w:r>
            <w:r>
              <w:rPr>
                <w:rFonts w:ascii="Times New Roman" w:eastAsia="Times New Roman" w:hAnsi="Times New Roman" w:cs="Times New Roman"/>
                <w:sz w:val="18"/>
                <w:szCs w:val="18"/>
              </w:rPr>
              <w:t>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2D303CC3"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905BF3">
              <w:rPr>
                <w:rFonts w:ascii="Times New Roman" w:eastAsia="Times New Roman" w:hAnsi="Times New Roman" w:cs="Times New Roman"/>
                <w:sz w:val="18"/>
                <w:szCs w:val="18"/>
              </w:rPr>
              <w:t>3.38</w:t>
            </w:r>
            <w:r>
              <w:rPr>
                <w:rFonts w:ascii="Times New Roman" w:eastAsia="Times New Roman" w:hAnsi="Times New Roman" w:cs="Times New Roman"/>
                <w:sz w:val="18"/>
                <w:szCs w:val="18"/>
              </w:rPr>
              <w:t>2***</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7CE45"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w:t>
            </w:r>
            <w:r>
              <w:rPr>
                <w:rFonts w:ascii="Times New Roman" w:eastAsia="Times New Roman" w:hAnsi="Times New Roman" w:cs="Times New Roman"/>
                <w:sz w:val="18"/>
                <w:szCs w:val="18"/>
              </w:rPr>
              <w:t>16</w:t>
            </w:r>
          </w:p>
        </w:tc>
        <w:tc>
          <w:tcPr>
            <w:tcW w:w="409" w:type="pct"/>
            <w:tcBorders>
              <w:top w:val="single" w:sz="4" w:space="0" w:color="auto"/>
              <w:left w:val="single" w:sz="4" w:space="0" w:color="auto"/>
              <w:bottom w:val="single" w:sz="4" w:space="0" w:color="auto"/>
              <w:right w:val="single" w:sz="4" w:space="0" w:color="auto"/>
            </w:tcBorders>
          </w:tcPr>
          <w:p w14:paraId="10D10735"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7F47D7">
              <w:rPr>
                <w:rFonts w:ascii="Times New Roman" w:eastAsia="Times New Roman" w:hAnsi="Times New Roman" w:cs="Times New Roman"/>
                <w:sz w:val="18"/>
                <w:szCs w:val="18"/>
              </w:rPr>
              <w:t>3.525***</w:t>
            </w:r>
          </w:p>
        </w:tc>
        <w:tc>
          <w:tcPr>
            <w:tcW w:w="287" w:type="pct"/>
            <w:tcBorders>
              <w:top w:val="single" w:sz="4" w:space="0" w:color="auto"/>
              <w:left w:val="single" w:sz="4" w:space="0" w:color="auto"/>
              <w:bottom w:val="single" w:sz="4" w:space="0" w:color="auto"/>
              <w:right w:val="single" w:sz="4" w:space="0" w:color="auto"/>
            </w:tcBorders>
            <w:vAlign w:val="center"/>
          </w:tcPr>
          <w:p w14:paraId="3E0E4370"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w:t>
            </w:r>
            <w:r>
              <w:rPr>
                <w:rFonts w:ascii="Times New Roman" w:eastAsia="Times New Roman" w:hAnsi="Times New Roman" w:cs="Times New Roman"/>
                <w:sz w:val="18"/>
                <w:szCs w:val="18"/>
              </w:rPr>
              <w:t>12</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443DE898"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FB5A8C">
              <w:rPr>
                <w:rFonts w:ascii="Times New Roman" w:eastAsia="Times New Roman" w:hAnsi="Times New Roman" w:cs="Times New Roman"/>
                <w:sz w:val="18"/>
                <w:szCs w:val="18"/>
              </w:rPr>
              <w:t>3.624***</w:t>
            </w:r>
          </w:p>
        </w:tc>
        <w:tc>
          <w:tcPr>
            <w:tcW w:w="287" w:type="pct"/>
            <w:tcBorders>
              <w:top w:val="single" w:sz="4" w:space="0" w:color="auto"/>
              <w:left w:val="single" w:sz="4" w:space="0" w:color="auto"/>
              <w:bottom w:val="single" w:sz="4" w:space="0" w:color="auto"/>
              <w:right w:val="single" w:sz="4" w:space="0" w:color="auto"/>
            </w:tcBorders>
            <w:noWrap/>
            <w:vAlign w:val="center"/>
            <w:hideMark/>
          </w:tcPr>
          <w:p w14:paraId="1610DEF2"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w:t>
            </w:r>
            <w:r>
              <w:rPr>
                <w:rFonts w:ascii="Times New Roman" w:eastAsia="Times New Roman" w:hAnsi="Times New Roman" w:cs="Times New Roman"/>
                <w:sz w:val="18"/>
                <w:szCs w:val="18"/>
              </w:rPr>
              <w:t>20</w:t>
            </w:r>
          </w:p>
        </w:tc>
        <w:tc>
          <w:tcPr>
            <w:tcW w:w="467" w:type="pct"/>
            <w:tcBorders>
              <w:top w:val="single" w:sz="4" w:space="0" w:color="auto"/>
            </w:tcBorders>
            <w:vAlign w:val="center"/>
          </w:tcPr>
          <w:p w14:paraId="2045A795"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915F6F">
              <w:rPr>
                <w:rFonts w:ascii="Times New Roman" w:eastAsia="Times New Roman" w:hAnsi="Times New Roman" w:cs="Times New Roman"/>
                <w:sz w:val="18"/>
                <w:szCs w:val="18"/>
              </w:rPr>
              <w:t>3.554***</w:t>
            </w:r>
          </w:p>
        </w:tc>
        <w:tc>
          <w:tcPr>
            <w:tcW w:w="318" w:type="pct"/>
            <w:tcBorders>
              <w:top w:val="single" w:sz="4" w:space="0" w:color="auto"/>
              <w:left w:val="single" w:sz="4" w:space="0" w:color="auto"/>
              <w:bottom w:val="single" w:sz="4" w:space="0" w:color="auto"/>
              <w:right w:val="single" w:sz="4" w:space="0" w:color="auto"/>
            </w:tcBorders>
            <w:vAlign w:val="center"/>
          </w:tcPr>
          <w:p w14:paraId="2B3AC56A"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0.0</w:t>
            </w:r>
            <w:r>
              <w:rPr>
                <w:rFonts w:ascii="Times New Roman" w:eastAsia="Times New Roman" w:hAnsi="Times New Roman" w:cs="Times New Roman"/>
                <w:sz w:val="18"/>
                <w:szCs w:val="18"/>
              </w:rPr>
              <w:t>15</w:t>
            </w:r>
          </w:p>
        </w:tc>
        <w:tc>
          <w:tcPr>
            <w:tcW w:w="455" w:type="pct"/>
            <w:tcBorders>
              <w:top w:val="single" w:sz="4" w:space="0" w:color="auto"/>
              <w:left w:val="single" w:sz="4" w:space="0" w:color="auto"/>
              <w:bottom w:val="single" w:sz="4" w:space="0" w:color="auto"/>
              <w:right w:val="single" w:sz="4" w:space="0" w:color="auto"/>
            </w:tcBorders>
            <w:vAlign w:val="center"/>
          </w:tcPr>
          <w:p w14:paraId="08B43586"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sidRPr="000D321F">
              <w:rPr>
                <w:rFonts w:ascii="Times New Roman" w:eastAsia="Times New Roman" w:hAnsi="Times New Roman" w:cs="Times New Roman"/>
                <w:sz w:val="18"/>
                <w:szCs w:val="18"/>
              </w:rPr>
              <w:t>3.608***</w:t>
            </w:r>
          </w:p>
        </w:tc>
        <w:tc>
          <w:tcPr>
            <w:tcW w:w="285" w:type="pct"/>
            <w:tcBorders>
              <w:top w:val="single" w:sz="4" w:space="0" w:color="auto"/>
              <w:left w:val="single" w:sz="4" w:space="0" w:color="auto"/>
              <w:bottom w:val="single" w:sz="4" w:space="0" w:color="auto"/>
              <w:right w:val="single" w:sz="4" w:space="0" w:color="auto"/>
            </w:tcBorders>
          </w:tcPr>
          <w:p w14:paraId="04760A22" w14:textId="77777777" w:rsidR="00AC01C1" w:rsidRPr="00647847" w:rsidRDefault="00AC01C1" w:rsidP="00B25599">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0.019</w:t>
            </w:r>
          </w:p>
        </w:tc>
      </w:tr>
      <w:tr w:rsidR="00AC01C1" w:rsidRPr="00647847" w14:paraId="6E11EF63" w14:textId="77777777" w:rsidTr="00B25599">
        <w:trPr>
          <w:trHeight w:val="68"/>
        </w:trPr>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5DC"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sidRPr="00C22460">
              <w:rPr>
                <w:rFonts w:ascii="Times New Roman" w:eastAsia="Times New Roman" w:hAnsi="Times New Roman" w:cs="Times New Roman"/>
                <w:sz w:val="18"/>
                <w:szCs w:val="18"/>
              </w:rPr>
              <w:t>N</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BC05"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0B5CED">
              <w:rPr>
                <w:rFonts w:ascii="Times New Roman" w:eastAsia="Times New Roman" w:hAnsi="Times New Roman" w:cs="Times New Roman"/>
                <w:sz w:val="18"/>
                <w:szCs w:val="18"/>
              </w:rPr>
              <w:t>693959</w:t>
            </w:r>
          </w:p>
        </w:tc>
        <w:tc>
          <w:tcPr>
            <w:tcW w:w="725" w:type="pct"/>
            <w:gridSpan w:val="2"/>
            <w:tcBorders>
              <w:top w:val="single" w:sz="4" w:space="0" w:color="auto"/>
              <w:left w:val="single" w:sz="4" w:space="0" w:color="auto"/>
              <w:bottom w:val="single" w:sz="4" w:space="0" w:color="auto"/>
              <w:right w:val="single" w:sz="4" w:space="0" w:color="auto"/>
            </w:tcBorders>
            <w:noWrap/>
            <w:vAlign w:val="center"/>
            <w:hideMark/>
          </w:tcPr>
          <w:p w14:paraId="118BD027"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0B5CED">
              <w:rPr>
                <w:rFonts w:ascii="Times New Roman" w:eastAsia="Times New Roman" w:hAnsi="Times New Roman" w:cs="Times New Roman"/>
                <w:sz w:val="18"/>
                <w:szCs w:val="18"/>
              </w:rPr>
              <w:t>622279</w:t>
            </w:r>
          </w:p>
        </w:tc>
        <w:tc>
          <w:tcPr>
            <w:tcW w:w="696" w:type="pct"/>
            <w:gridSpan w:val="2"/>
            <w:tcBorders>
              <w:top w:val="single" w:sz="4" w:space="0" w:color="auto"/>
              <w:left w:val="single" w:sz="4" w:space="0" w:color="auto"/>
              <w:bottom w:val="single" w:sz="4" w:space="0" w:color="auto"/>
              <w:right w:val="single" w:sz="4" w:space="0" w:color="auto"/>
            </w:tcBorders>
          </w:tcPr>
          <w:p w14:paraId="3BBD34D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905BF3">
              <w:rPr>
                <w:rFonts w:ascii="Times New Roman" w:eastAsia="Times New Roman" w:hAnsi="Times New Roman" w:cs="Times New Roman"/>
                <w:sz w:val="18"/>
                <w:szCs w:val="18"/>
              </w:rPr>
              <w:t>974894</w:t>
            </w:r>
          </w:p>
        </w:tc>
        <w:tc>
          <w:tcPr>
            <w:tcW w:w="725" w:type="pct"/>
            <w:gridSpan w:val="2"/>
            <w:tcBorders>
              <w:top w:val="single" w:sz="4" w:space="0" w:color="auto"/>
              <w:left w:val="single" w:sz="4" w:space="0" w:color="auto"/>
              <w:bottom w:val="single" w:sz="4" w:space="0" w:color="auto"/>
              <w:right w:val="single" w:sz="4" w:space="0" w:color="auto"/>
            </w:tcBorders>
            <w:noWrap/>
            <w:hideMark/>
          </w:tcPr>
          <w:p w14:paraId="64A02F2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A33EF">
              <w:rPr>
                <w:rFonts w:ascii="Times New Roman" w:eastAsia="Times New Roman" w:hAnsi="Times New Roman" w:cs="Times New Roman"/>
                <w:sz w:val="18"/>
                <w:szCs w:val="18"/>
              </w:rPr>
              <w:t>604501</w:t>
            </w:r>
          </w:p>
        </w:tc>
        <w:tc>
          <w:tcPr>
            <w:tcW w:w="785" w:type="pct"/>
            <w:gridSpan w:val="2"/>
            <w:tcBorders>
              <w:top w:val="single" w:sz="4" w:space="0" w:color="auto"/>
              <w:right w:val="single" w:sz="4" w:space="0" w:color="auto"/>
            </w:tcBorders>
          </w:tcPr>
          <w:p w14:paraId="703E0DAF"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F46D8E">
              <w:rPr>
                <w:rFonts w:ascii="Times New Roman" w:eastAsia="Times New Roman" w:hAnsi="Times New Roman" w:cs="Times New Roman"/>
                <w:sz w:val="18"/>
                <w:szCs w:val="18"/>
              </w:rPr>
              <w:t>452102</w:t>
            </w:r>
          </w:p>
        </w:tc>
        <w:tc>
          <w:tcPr>
            <w:tcW w:w="740" w:type="pct"/>
            <w:gridSpan w:val="2"/>
            <w:tcBorders>
              <w:top w:val="single" w:sz="4" w:space="0" w:color="auto"/>
              <w:left w:val="single" w:sz="4" w:space="0" w:color="auto"/>
              <w:bottom w:val="single" w:sz="4" w:space="0" w:color="auto"/>
              <w:right w:val="single" w:sz="4" w:space="0" w:color="auto"/>
            </w:tcBorders>
          </w:tcPr>
          <w:p w14:paraId="179FF1F5"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9D68B9">
              <w:rPr>
                <w:rFonts w:ascii="Times New Roman" w:eastAsia="Times New Roman" w:hAnsi="Times New Roman" w:cs="Times New Roman"/>
                <w:sz w:val="18"/>
                <w:szCs w:val="18"/>
              </w:rPr>
              <w:t>391281</w:t>
            </w:r>
          </w:p>
        </w:tc>
      </w:tr>
      <w:tr w:rsidR="00AC01C1" w:rsidRPr="00647847" w14:paraId="6DE2BEEC" w14:textId="77777777" w:rsidTr="00B25599">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1198953"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r w:rsidRPr="00647847">
              <w:rPr>
                <w:rFonts w:ascii="Times New Roman" w:eastAsia="Times New Roman" w:hAnsi="Times New Roman" w:cs="Times New Roman"/>
                <w:sz w:val="18"/>
                <w:szCs w:val="18"/>
              </w:rPr>
              <w:t>Adjusted R</w:t>
            </w:r>
            <w:r w:rsidRPr="00647847">
              <w:rPr>
                <w:rFonts w:ascii="Times New Roman" w:eastAsia="Times New Roman" w:hAnsi="Times New Roman" w:cs="Times New Roman"/>
                <w:sz w:val="18"/>
                <w:szCs w:val="18"/>
                <w:vertAlign w:val="superscript"/>
              </w:rPr>
              <w:t>2</w:t>
            </w:r>
          </w:p>
        </w:tc>
        <w:tc>
          <w:tcPr>
            <w:tcW w:w="7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B5FF69"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410194">
              <w:rPr>
                <w:rFonts w:ascii="Times New Roman" w:eastAsia="Times New Roman" w:hAnsi="Times New Roman" w:cs="Times New Roman"/>
                <w:sz w:val="18"/>
                <w:szCs w:val="18"/>
              </w:rPr>
              <w:t>0.5653</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1412D8"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410194">
              <w:rPr>
                <w:rFonts w:ascii="Times New Roman" w:eastAsia="Times New Roman" w:hAnsi="Times New Roman" w:cs="Times New Roman"/>
                <w:sz w:val="18"/>
                <w:szCs w:val="18"/>
              </w:rPr>
              <w:t>0.5346</w:t>
            </w:r>
          </w:p>
        </w:tc>
        <w:tc>
          <w:tcPr>
            <w:tcW w:w="696" w:type="pct"/>
            <w:gridSpan w:val="2"/>
            <w:tcBorders>
              <w:top w:val="single" w:sz="4" w:space="0" w:color="auto"/>
              <w:left w:val="single" w:sz="4" w:space="0" w:color="auto"/>
              <w:bottom w:val="single" w:sz="4" w:space="0" w:color="auto"/>
              <w:right w:val="single" w:sz="4" w:space="0" w:color="auto"/>
            </w:tcBorders>
            <w:vAlign w:val="center"/>
          </w:tcPr>
          <w:p w14:paraId="7D23CF0B"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905BF3">
              <w:rPr>
                <w:rFonts w:ascii="Times New Roman" w:eastAsia="Times New Roman" w:hAnsi="Times New Roman" w:cs="Times New Roman"/>
                <w:sz w:val="18"/>
                <w:szCs w:val="18"/>
              </w:rPr>
              <w:t>0.4874</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CACC62"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6A33EF">
              <w:rPr>
                <w:rFonts w:ascii="Times New Roman" w:eastAsia="Times New Roman" w:hAnsi="Times New Roman" w:cs="Times New Roman"/>
                <w:sz w:val="18"/>
                <w:szCs w:val="18"/>
              </w:rPr>
              <w:t>0.5040</w:t>
            </w:r>
          </w:p>
        </w:tc>
        <w:tc>
          <w:tcPr>
            <w:tcW w:w="785" w:type="pct"/>
            <w:gridSpan w:val="2"/>
            <w:tcBorders>
              <w:top w:val="single" w:sz="4" w:space="0" w:color="auto"/>
              <w:left w:val="single" w:sz="4" w:space="0" w:color="auto"/>
              <w:bottom w:val="single" w:sz="4" w:space="0" w:color="auto"/>
              <w:right w:val="single" w:sz="4" w:space="0" w:color="auto"/>
            </w:tcBorders>
          </w:tcPr>
          <w:p w14:paraId="3C0FC151"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27016F">
              <w:rPr>
                <w:rFonts w:ascii="Times New Roman" w:eastAsia="Times New Roman" w:hAnsi="Times New Roman" w:cs="Times New Roman"/>
                <w:sz w:val="18"/>
                <w:szCs w:val="18"/>
              </w:rPr>
              <w:t>0.5238</w:t>
            </w:r>
          </w:p>
        </w:tc>
        <w:tc>
          <w:tcPr>
            <w:tcW w:w="740" w:type="pct"/>
            <w:gridSpan w:val="2"/>
            <w:tcBorders>
              <w:top w:val="single" w:sz="4" w:space="0" w:color="auto"/>
              <w:left w:val="single" w:sz="4" w:space="0" w:color="auto"/>
              <w:bottom w:val="single" w:sz="4" w:space="0" w:color="auto"/>
              <w:right w:val="single" w:sz="4" w:space="0" w:color="auto"/>
            </w:tcBorders>
          </w:tcPr>
          <w:p w14:paraId="4378019D"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9D68B9">
              <w:rPr>
                <w:rFonts w:ascii="Times New Roman" w:eastAsia="Times New Roman" w:hAnsi="Times New Roman" w:cs="Times New Roman"/>
                <w:sz w:val="18"/>
                <w:szCs w:val="18"/>
              </w:rPr>
              <w:t>0.5031</w:t>
            </w:r>
          </w:p>
        </w:tc>
      </w:tr>
    </w:tbl>
    <w:p w14:paraId="2EC34A3D" w14:textId="77777777" w:rsidR="00AC01C1" w:rsidRDefault="00AC01C1" w:rsidP="00AC01C1">
      <w:pPr>
        <w:spacing w:after="160" w:line="259" w:lineRule="auto"/>
        <w:jc w:val="left"/>
        <w:rPr>
          <w:rFonts w:cstheme="minorHAnsi"/>
          <w:iCs/>
          <w:color w:val="000000" w:themeColor="text1"/>
        </w:rPr>
      </w:pPr>
    </w:p>
    <w:p w14:paraId="1503CC39" w14:textId="77777777" w:rsidR="00AC01C1" w:rsidRPr="0029082A" w:rsidRDefault="00AC01C1" w:rsidP="00AC01C1">
      <w:pPr>
        <w:spacing w:after="160" w:line="259" w:lineRule="auto"/>
        <w:jc w:val="left"/>
        <w:rPr>
          <w:rFonts w:cstheme="minorHAnsi"/>
          <w:iCs/>
          <w:color w:val="000000" w:themeColor="text1"/>
        </w:rPr>
      </w:pPr>
    </w:p>
    <w:p w14:paraId="4DBE53D0" w14:textId="163E0B16" w:rsidR="00AC01C1" w:rsidRPr="00F65702" w:rsidRDefault="00AC01C1" w:rsidP="00AC01C1">
      <w:pPr>
        <w:pStyle w:val="ListParagraph"/>
        <w:numPr>
          <w:ilvl w:val="0"/>
          <w:numId w:val="29"/>
        </w:numPr>
        <w:spacing w:after="0" w:line="240" w:lineRule="auto"/>
        <w:rPr>
          <w:rFonts w:cstheme="minorHAnsi"/>
          <w:b/>
          <w:bCs/>
          <w:iCs/>
          <w:color w:val="000000" w:themeColor="text1"/>
          <w:sz w:val="22"/>
        </w:rPr>
      </w:pPr>
      <w:bookmarkStart w:id="142" w:name="_Hlk10984125"/>
      <w:proofErr w:type="gramStart"/>
      <w:r w:rsidRPr="00F65702">
        <w:rPr>
          <w:rFonts w:cstheme="minorHAnsi"/>
          <w:b/>
          <w:bCs/>
          <w:iCs/>
          <w:color w:val="000000" w:themeColor="text1"/>
          <w:sz w:val="22"/>
        </w:rPr>
        <w:t>Figure 3.</w:t>
      </w:r>
      <w:r w:rsidR="00ED6268">
        <w:rPr>
          <w:rFonts w:cstheme="minorHAnsi"/>
          <w:b/>
          <w:bCs/>
          <w:iCs/>
          <w:color w:val="000000" w:themeColor="text1"/>
          <w:sz w:val="22"/>
        </w:rPr>
        <w:t>4</w:t>
      </w:r>
      <w:r w:rsidRPr="00F65702">
        <w:rPr>
          <w:rFonts w:cstheme="minorHAnsi"/>
          <w:b/>
          <w:bCs/>
          <w:iCs/>
          <w:color w:val="000000" w:themeColor="text1"/>
          <w:sz w:val="22"/>
        </w:rPr>
        <w:t xml:space="preserve"> </w:t>
      </w:r>
      <w:r>
        <w:rPr>
          <w:rFonts w:cstheme="minorHAnsi"/>
          <w:b/>
          <w:bCs/>
          <w:iCs/>
          <w:color w:val="000000" w:themeColor="text1"/>
          <w:sz w:val="22"/>
        </w:rPr>
        <w:t>SOE-private wage premium,</w:t>
      </w:r>
      <w:proofErr w:type="gramEnd"/>
      <w:r>
        <w:rPr>
          <w:rFonts w:cstheme="minorHAnsi"/>
          <w:b/>
          <w:bCs/>
          <w:iCs/>
          <w:color w:val="000000" w:themeColor="text1"/>
          <w:sz w:val="22"/>
        </w:rPr>
        <w:t xml:space="preserve"> interacted with market concentration</w:t>
      </w:r>
    </w:p>
    <w:bookmarkEnd w:id="142"/>
    <w:p w14:paraId="19A239BE" w14:textId="77777777" w:rsidR="00AC01C1" w:rsidRDefault="00AC01C1" w:rsidP="00AC01C1">
      <w:pPr>
        <w:spacing w:after="0" w:line="240" w:lineRule="auto"/>
        <w:contextualSpacing/>
        <w:rPr>
          <w:rFonts w:cstheme="minorHAnsi"/>
          <w:color w:val="000000" w:themeColor="text1"/>
        </w:rPr>
      </w:pPr>
    </w:p>
    <w:tbl>
      <w:tblPr>
        <w:tblW w:w="3161" w:type="pct"/>
        <w:tblLook w:val="04A0" w:firstRow="1" w:lastRow="0" w:firstColumn="1" w:lastColumn="0" w:noHBand="0" w:noVBand="1"/>
      </w:tblPr>
      <w:tblGrid>
        <w:gridCol w:w="2425"/>
        <w:gridCol w:w="1710"/>
        <w:gridCol w:w="1801"/>
      </w:tblGrid>
      <w:tr w:rsidR="00AC01C1" w:rsidRPr="00145B9B" w14:paraId="51D09F57" w14:textId="77777777" w:rsidTr="00B93FD2">
        <w:tc>
          <w:tcPr>
            <w:tcW w:w="2043" w:type="pct"/>
            <w:tcBorders>
              <w:top w:val="single" w:sz="4" w:space="0" w:color="auto"/>
              <w:left w:val="single" w:sz="4" w:space="0" w:color="auto"/>
              <w:right w:val="single" w:sz="4" w:space="0" w:color="auto"/>
            </w:tcBorders>
            <w:shd w:val="clear" w:color="auto" w:fill="auto"/>
            <w:vAlign w:val="center"/>
          </w:tcPr>
          <w:p w14:paraId="7F8DE611" w14:textId="77777777" w:rsidR="00AC01C1" w:rsidRPr="0079304F" w:rsidRDefault="00AC01C1" w:rsidP="00B25599">
            <w:pPr>
              <w:spacing w:after="0" w:line="240" w:lineRule="auto"/>
              <w:rPr>
                <w:rFonts w:ascii="Times New Roman" w:eastAsia="Times New Roman" w:hAnsi="Times New Roman" w:cs="Times New Roman"/>
                <w:sz w:val="20"/>
                <w:szCs w:val="20"/>
              </w:rPr>
            </w:pP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D55C8" w14:textId="65C74EEB" w:rsidR="00AC01C1" w:rsidRPr="00E7695F" w:rsidRDefault="00AC01C1" w:rsidP="00E7695F">
            <w:pPr>
              <w:spacing w:after="0" w:line="240" w:lineRule="auto"/>
              <w:jc w:val="center"/>
              <w:rPr>
                <w:rFonts w:ascii="Times New Roman" w:eastAsia="Times New Roman" w:hAnsi="Times New Roman" w:cs="Times New Roman"/>
                <w:b/>
                <w:bCs/>
                <w:sz w:val="20"/>
                <w:szCs w:val="20"/>
              </w:rPr>
            </w:pPr>
            <w:r w:rsidRPr="0079304F">
              <w:rPr>
                <w:rFonts w:ascii="Times New Roman" w:eastAsia="Times New Roman" w:hAnsi="Times New Roman" w:cs="Times New Roman"/>
                <w:b/>
                <w:bCs/>
                <w:sz w:val="20"/>
                <w:szCs w:val="20"/>
              </w:rPr>
              <w:t xml:space="preserve">Dependent variable: log hourly wage </w:t>
            </w:r>
          </w:p>
        </w:tc>
      </w:tr>
      <w:tr w:rsidR="00AC01C1" w:rsidRPr="00145B9B" w14:paraId="78D0D25E" w14:textId="77777777" w:rsidTr="00B93FD2">
        <w:tc>
          <w:tcPr>
            <w:tcW w:w="2043" w:type="pct"/>
            <w:tcBorders>
              <w:top w:val="nil"/>
              <w:left w:val="single" w:sz="4" w:space="0" w:color="auto"/>
              <w:bottom w:val="single" w:sz="4" w:space="0" w:color="auto"/>
              <w:right w:val="single" w:sz="4" w:space="0" w:color="auto"/>
            </w:tcBorders>
            <w:shd w:val="clear" w:color="auto" w:fill="auto"/>
            <w:vAlign w:val="center"/>
            <w:hideMark/>
          </w:tcPr>
          <w:p w14:paraId="4B7DBA9A" w14:textId="77777777" w:rsidR="00AC01C1" w:rsidRPr="0079304F" w:rsidRDefault="00AC01C1" w:rsidP="00B25599">
            <w:pPr>
              <w:spacing w:after="0" w:line="240" w:lineRule="auto"/>
              <w:jc w:val="center"/>
              <w:rPr>
                <w:rFonts w:ascii="Times New Roman" w:eastAsia="Times New Roman" w:hAnsi="Times New Roman" w:cs="Times New Roman"/>
                <w:b/>
                <w:bCs/>
                <w:sz w:val="20"/>
                <w:szCs w:val="20"/>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C724C"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Coef.</w:t>
            </w:r>
          </w:p>
        </w:tc>
        <w:tc>
          <w:tcPr>
            <w:tcW w:w="1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9AAF9"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se</w:t>
            </w:r>
          </w:p>
        </w:tc>
      </w:tr>
      <w:tr w:rsidR="00AC01C1" w:rsidRPr="00145B9B" w14:paraId="2C1796F2" w14:textId="77777777" w:rsidTr="00B93FD2">
        <w:tc>
          <w:tcPr>
            <w:tcW w:w="2043" w:type="pct"/>
            <w:tcBorders>
              <w:top w:val="single" w:sz="4" w:space="0" w:color="auto"/>
              <w:left w:val="single" w:sz="4" w:space="0" w:color="auto"/>
              <w:bottom w:val="nil"/>
              <w:right w:val="single" w:sz="4" w:space="0" w:color="auto"/>
            </w:tcBorders>
            <w:shd w:val="clear" w:color="auto" w:fill="auto"/>
            <w:vAlign w:val="center"/>
            <w:hideMark/>
          </w:tcPr>
          <w:p w14:paraId="7E235E06" w14:textId="77777777" w:rsidR="00AC01C1" w:rsidRPr="0079304F" w:rsidRDefault="00AC01C1" w:rsidP="00B25599">
            <w:pPr>
              <w:spacing w:after="0" w:line="240" w:lineRule="auto"/>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Sector (private)</w:t>
            </w:r>
          </w:p>
        </w:tc>
        <w:tc>
          <w:tcPr>
            <w:tcW w:w="1440" w:type="pct"/>
            <w:tcBorders>
              <w:top w:val="single" w:sz="4" w:space="0" w:color="auto"/>
              <w:left w:val="single" w:sz="4" w:space="0" w:color="auto"/>
              <w:bottom w:val="nil"/>
              <w:right w:val="single" w:sz="4" w:space="0" w:color="auto"/>
            </w:tcBorders>
            <w:shd w:val="clear" w:color="auto" w:fill="auto"/>
            <w:vAlign w:val="center"/>
            <w:hideMark/>
          </w:tcPr>
          <w:p w14:paraId="2DDB1261" w14:textId="77777777" w:rsidR="00AC01C1" w:rsidRPr="0079304F" w:rsidRDefault="00AC01C1" w:rsidP="00B25599">
            <w:pPr>
              <w:spacing w:after="0" w:line="240" w:lineRule="auto"/>
              <w:rPr>
                <w:rFonts w:ascii="Times New Roman" w:eastAsia="Times New Roman" w:hAnsi="Times New Roman" w:cs="Times New Roman"/>
                <w:sz w:val="20"/>
                <w:szCs w:val="20"/>
              </w:rPr>
            </w:pPr>
          </w:p>
        </w:tc>
        <w:tc>
          <w:tcPr>
            <w:tcW w:w="1517" w:type="pct"/>
            <w:tcBorders>
              <w:top w:val="single" w:sz="4" w:space="0" w:color="auto"/>
              <w:left w:val="single" w:sz="4" w:space="0" w:color="auto"/>
              <w:bottom w:val="nil"/>
              <w:right w:val="single" w:sz="4" w:space="0" w:color="auto"/>
            </w:tcBorders>
            <w:shd w:val="clear" w:color="auto" w:fill="auto"/>
            <w:vAlign w:val="center"/>
            <w:hideMark/>
          </w:tcPr>
          <w:p w14:paraId="485CD301"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p>
        </w:tc>
      </w:tr>
      <w:tr w:rsidR="00AC01C1" w:rsidRPr="00145B9B" w14:paraId="66132D14" w14:textId="77777777" w:rsidTr="00B93FD2">
        <w:tc>
          <w:tcPr>
            <w:tcW w:w="2043" w:type="pct"/>
            <w:tcBorders>
              <w:top w:val="nil"/>
              <w:left w:val="single" w:sz="4" w:space="0" w:color="auto"/>
              <w:right w:val="single" w:sz="4" w:space="0" w:color="auto"/>
            </w:tcBorders>
            <w:shd w:val="clear" w:color="auto" w:fill="auto"/>
            <w:vAlign w:val="center"/>
            <w:hideMark/>
          </w:tcPr>
          <w:p w14:paraId="200683A1" w14:textId="77777777" w:rsidR="00AC01C1" w:rsidRPr="0079304F" w:rsidRDefault="00AC01C1" w:rsidP="00B25599">
            <w:pPr>
              <w:spacing w:after="0" w:line="240" w:lineRule="auto"/>
              <w:jc w:val="right"/>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state SOEs</w:t>
            </w:r>
          </w:p>
        </w:tc>
        <w:tc>
          <w:tcPr>
            <w:tcW w:w="1440" w:type="pct"/>
            <w:tcBorders>
              <w:top w:val="nil"/>
              <w:left w:val="single" w:sz="4" w:space="0" w:color="auto"/>
              <w:right w:val="single" w:sz="4" w:space="0" w:color="auto"/>
            </w:tcBorders>
            <w:shd w:val="clear" w:color="auto" w:fill="auto"/>
            <w:noWrap/>
            <w:vAlign w:val="center"/>
            <w:hideMark/>
          </w:tcPr>
          <w:p w14:paraId="34F4766E"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0.174***</w:t>
            </w:r>
          </w:p>
        </w:tc>
        <w:tc>
          <w:tcPr>
            <w:tcW w:w="1517" w:type="pct"/>
            <w:tcBorders>
              <w:top w:val="nil"/>
              <w:left w:val="single" w:sz="4" w:space="0" w:color="auto"/>
              <w:right w:val="single" w:sz="4" w:space="0" w:color="auto"/>
            </w:tcBorders>
            <w:shd w:val="clear" w:color="auto" w:fill="auto"/>
            <w:noWrap/>
            <w:vAlign w:val="center"/>
            <w:hideMark/>
          </w:tcPr>
          <w:p w14:paraId="2170239E"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r w:rsidRPr="00DF6360">
              <w:rPr>
                <w:rFonts w:ascii="Times New Roman" w:eastAsia="Times New Roman" w:hAnsi="Times New Roman" w:cs="Times New Roman"/>
                <w:sz w:val="20"/>
                <w:szCs w:val="20"/>
              </w:rPr>
              <w:t>0.006</w:t>
            </w:r>
          </w:p>
        </w:tc>
      </w:tr>
      <w:tr w:rsidR="00AC01C1" w:rsidRPr="00145B9B" w14:paraId="645401FF" w14:textId="77777777" w:rsidTr="00B93FD2">
        <w:tc>
          <w:tcPr>
            <w:tcW w:w="2043" w:type="pct"/>
            <w:tcBorders>
              <w:top w:val="nil"/>
              <w:left w:val="single" w:sz="4" w:space="0" w:color="auto"/>
              <w:bottom w:val="single" w:sz="4" w:space="0" w:color="auto"/>
              <w:right w:val="single" w:sz="4" w:space="0" w:color="auto"/>
            </w:tcBorders>
            <w:shd w:val="clear" w:color="auto" w:fill="auto"/>
            <w:vAlign w:val="center"/>
            <w:hideMark/>
          </w:tcPr>
          <w:p w14:paraId="08B53974" w14:textId="77777777" w:rsidR="00AC01C1" w:rsidRPr="0079304F" w:rsidRDefault="00AC01C1" w:rsidP="00B25599">
            <w:pPr>
              <w:spacing w:after="0" w:line="240" w:lineRule="auto"/>
              <w:jc w:val="right"/>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mixed SOEs</w:t>
            </w:r>
          </w:p>
        </w:tc>
        <w:tc>
          <w:tcPr>
            <w:tcW w:w="1440" w:type="pct"/>
            <w:tcBorders>
              <w:top w:val="nil"/>
              <w:left w:val="single" w:sz="4" w:space="0" w:color="auto"/>
              <w:bottom w:val="single" w:sz="4" w:space="0" w:color="auto"/>
              <w:right w:val="single" w:sz="4" w:space="0" w:color="auto"/>
            </w:tcBorders>
            <w:shd w:val="clear" w:color="auto" w:fill="auto"/>
            <w:noWrap/>
            <w:vAlign w:val="center"/>
            <w:hideMark/>
          </w:tcPr>
          <w:p w14:paraId="2B69BACF"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0.054***</w:t>
            </w:r>
          </w:p>
        </w:tc>
        <w:tc>
          <w:tcPr>
            <w:tcW w:w="1517" w:type="pct"/>
            <w:tcBorders>
              <w:top w:val="nil"/>
              <w:left w:val="single" w:sz="4" w:space="0" w:color="auto"/>
              <w:bottom w:val="single" w:sz="4" w:space="0" w:color="auto"/>
              <w:right w:val="single" w:sz="4" w:space="0" w:color="auto"/>
            </w:tcBorders>
            <w:shd w:val="clear" w:color="auto" w:fill="auto"/>
            <w:noWrap/>
            <w:vAlign w:val="center"/>
            <w:hideMark/>
          </w:tcPr>
          <w:p w14:paraId="12305C5C"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r w:rsidRPr="00DF6360">
              <w:rPr>
                <w:rFonts w:ascii="Times New Roman" w:eastAsia="Times New Roman" w:hAnsi="Times New Roman" w:cs="Times New Roman"/>
                <w:sz w:val="20"/>
                <w:szCs w:val="20"/>
              </w:rPr>
              <w:t>0.008</w:t>
            </w:r>
          </w:p>
        </w:tc>
      </w:tr>
      <w:tr w:rsidR="00AC01C1" w:rsidRPr="00145B9B" w14:paraId="17C3D116" w14:textId="77777777" w:rsidTr="00B93FD2">
        <w:tc>
          <w:tcPr>
            <w:tcW w:w="2043" w:type="pct"/>
            <w:tcBorders>
              <w:top w:val="single" w:sz="4" w:space="0" w:color="auto"/>
              <w:left w:val="single" w:sz="4" w:space="0" w:color="auto"/>
              <w:bottom w:val="single" w:sz="4" w:space="0" w:color="auto"/>
              <w:right w:val="single" w:sz="4" w:space="0" w:color="auto"/>
            </w:tcBorders>
            <w:shd w:val="clear" w:color="auto" w:fill="auto"/>
            <w:vAlign w:val="center"/>
          </w:tcPr>
          <w:p w14:paraId="05DD85E8" w14:textId="77777777" w:rsidR="00AC01C1" w:rsidRPr="0079304F" w:rsidRDefault="00AC01C1" w:rsidP="00B25599">
            <w:pPr>
              <w:spacing w:after="0" w:line="240" w:lineRule="auto"/>
              <w:rPr>
                <w:rFonts w:ascii="Times New Roman" w:eastAsia="Times New Roman" w:hAnsi="Times New Roman" w:cs="Times New Roman"/>
                <w:sz w:val="20"/>
                <w:szCs w:val="20"/>
              </w:rPr>
            </w:pPr>
            <w:proofErr w:type="spellStart"/>
            <w:r w:rsidRPr="0079304F">
              <w:rPr>
                <w:rFonts w:ascii="Times New Roman" w:eastAsia="Times New Roman" w:hAnsi="Times New Roman" w:cs="Times New Roman"/>
                <w:sz w:val="20"/>
                <w:szCs w:val="20"/>
              </w:rPr>
              <w:t>Market_concentr</w:t>
            </w:r>
            <w:proofErr w:type="spellEnd"/>
          </w:p>
        </w:tc>
        <w:tc>
          <w:tcPr>
            <w:tcW w:w="1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6C8D6"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0.006***</w:t>
            </w:r>
          </w:p>
        </w:tc>
        <w:tc>
          <w:tcPr>
            <w:tcW w:w="1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36C04"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r w:rsidRPr="00DF6360">
              <w:rPr>
                <w:rFonts w:ascii="Times New Roman" w:eastAsia="Times New Roman" w:hAnsi="Times New Roman" w:cs="Times New Roman"/>
                <w:sz w:val="20"/>
                <w:szCs w:val="20"/>
              </w:rPr>
              <w:t>0.000</w:t>
            </w:r>
          </w:p>
        </w:tc>
      </w:tr>
      <w:tr w:rsidR="00AC01C1" w:rsidRPr="00145B9B" w14:paraId="06D9036D" w14:textId="77777777" w:rsidTr="00B93FD2">
        <w:tc>
          <w:tcPr>
            <w:tcW w:w="2043" w:type="pct"/>
            <w:tcBorders>
              <w:top w:val="single" w:sz="4" w:space="0" w:color="auto"/>
              <w:left w:val="single" w:sz="4" w:space="0" w:color="auto"/>
              <w:right w:val="single" w:sz="4" w:space="0" w:color="auto"/>
            </w:tcBorders>
            <w:shd w:val="clear" w:color="auto" w:fill="auto"/>
            <w:vAlign w:val="center"/>
            <w:hideMark/>
          </w:tcPr>
          <w:p w14:paraId="4E390797" w14:textId="77777777" w:rsidR="00AC01C1" w:rsidRPr="0079304F" w:rsidRDefault="00AC01C1" w:rsidP="00B25599">
            <w:pPr>
              <w:spacing w:after="0" w:line="240" w:lineRule="auto"/>
              <w:rPr>
                <w:rFonts w:ascii="Times New Roman" w:eastAsia="Times New Roman" w:hAnsi="Times New Roman" w:cs="Times New Roman"/>
                <w:sz w:val="20"/>
                <w:szCs w:val="20"/>
              </w:rPr>
            </w:pPr>
            <w:proofErr w:type="spellStart"/>
            <w:r w:rsidRPr="0079304F">
              <w:rPr>
                <w:rFonts w:ascii="Times New Roman" w:eastAsia="Times New Roman" w:hAnsi="Times New Roman" w:cs="Times New Roman"/>
                <w:sz w:val="20"/>
                <w:szCs w:val="20"/>
              </w:rPr>
              <w:t>Sector#</w:t>
            </w:r>
            <w:proofErr w:type="gramStart"/>
            <w:r w:rsidRPr="0079304F">
              <w:rPr>
                <w:rFonts w:ascii="Times New Roman" w:eastAsia="Times New Roman" w:hAnsi="Times New Roman" w:cs="Times New Roman"/>
                <w:sz w:val="20"/>
                <w:szCs w:val="20"/>
              </w:rPr>
              <w:t>c.market</w:t>
            </w:r>
            <w:proofErr w:type="gramEnd"/>
            <w:r w:rsidRPr="0079304F">
              <w:rPr>
                <w:rFonts w:ascii="Times New Roman" w:eastAsia="Times New Roman" w:hAnsi="Times New Roman" w:cs="Times New Roman"/>
                <w:sz w:val="20"/>
                <w:szCs w:val="20"/>
              </w:rPr>
              <w:t>_concentr</w:t>
            </w:r>
            <w:proofErr w:type="spellEnd"/>
          </w:p>
        </w:tc>
        <w:tc>
          <w:tcPr>
            <w:tcW w:w="1440" w:type="pct"/>
            <w:tcBorders>
              <w:top w:val="single" w:sz="4" w:space="0" w:color="auto"/>
              <w:left w:val="single" w:sz="4" w:space="0" w:color="auto"/>
              <w:right w:val="single" w:sz="4" w:space="0" w:color="auto"/>
            </w:tcBorders>
            <w:shd w:val="clear" w:color="auto" w:fill="auto"/>
            <w:noWrap/>
            <w:vAlign w:val="center"/>
          </w:tcPr>
          <w:p w14:paraId="7CE51A72"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p>
        </w:tc>
        <w:tc>
          <w:tcPr>
            <w:tcW w:w="1517" w:type="pct"/>
            <w:tcBorders>
              <w:top w:val="single" w:sz="4" w:space="0" w:color="auto"/>
              <w:left w:val="single" w:sz="4" w:space="0" w:color="auto"/>
              <w:right w:val="single" w:sz="4" w:space="0" w:color="auto"/>
            </w:tcBorders>
            <w:shd w:val="clear" w:color="auto" w:fill="auto"/>
            <w:noWrap/>
            <w:vAlign w:val="center"/>
          </w:tcPr>
          <w:p w14:paraId="7C348B82"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p>
        </w:tc>
      </w:tr>
      <w:tr w:rsidR="00AC01C1" w:rsidRPr="00145B9B" w14:paraId="77AC48FB" w14:textId="77777777" w:rsidTr="00B93FD2">
        <w:trPr>
          <w:trHeight w:val="153"/>
        </w:trPr>
        <w:tc>
          <w:tcPr>
            <w:tcW w:w="2043" w:type="pct"/>
            <w:tcBorders>
              <w:top w:val="nil"/>
              <w:left w:val="single" w:sz="4" w:space="0" w:color="auto"/>
              <w:bottom w:val="nil"/>
              <w:right w:val="single" w:sz="4" w:space="0" w:color="auto"/>
            </w:tcBorders>
            <w:shd w:val="clear" w:color="auto" w:fill="auto"/>
            <w:vAlign w:val="center"/>
            <w:hideMark/>
          </w:tcPr>
          <w:p w14:paraId="4E651030" w14:textId="77777777" w:rsidR="00AC01C1" w:rsidRPr="0079304F" w:rsidRDefault="00AC01C1" w:rsidP="00B25599">
            <w:pPr>
              <w:spacing w:after="0" w:line="240" w:lineRule="auto"/>
              <w:jc w:val="right"/>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budgetary</w:t>
            </w:r>
          </w:p>
        </w:tc>
        <w:tc>
          <w:tcPr>
            <w:tcW w:w="1440" w:type="pct"/>
            <w:tcBorders>
              <w:top w:val="nil"/>
              <w:left w:val="single" w:sz="4" w:space="0" w:color="auto"/>
              <w:bottom w:val="nil"/>
              <w:right w:val="single" w:sz="4" w:space="0" w:color="auto"/>
            </w:tcBorders>
            <w:shd w:val="clear" w:color="auto" w:fill="auto"/>
            <w:noWrap/>
            <w:vAlign w:val="center"/>
            <w:hideMark/>
          </w:tcPr>
          <w:p w14:paraId="162AE5FF"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w:t>
            </w:r>
          </w:p>
        </w:tc>
        <w:tc>
          <w:tcPr>
            <w:tcW w:w="1517" w:type="pct"/>
            <w:tcBorders>
              <w:top w:val="nil"/>
              <w:left w:val="single" w:sz="4" w:space="0" w:color="auto"/>
              <w:bottom w:val="nil"/>
              <w:right w:val="single" w:sz="4" w:space="0" w:color="auto"/>
            </w:tcBorders>
            <w:shd w:val="clear" w:color="auto" w:fill="auto"/>
            <w:noWrap/>
            <w:vAlign w:val="center"/>
            <w:hideMark/>
          </w:tcPr>
          <w:p w14:paraId="06C611FA"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r w:rsidRPr="00DF6360">
              <w:rPr>
                <w:rFonts w:ascii="Times New Roman" w:eastAsia="Times New Roman" w:hAnsi="Times New Roman" w:cs="Times New Roman"/>
                <w:sz w:val="20"/>
                <w:szCs w:val="20"/>
              </w:rPr>
              <w:t>(omitted)</w:t>
            </w:r>
          </w:p>
        </w:tc>
      </w:tr>
      <w:tr w:rsidR="00AC01C1" w:rsidRPr="00145B9B" w14:paraId="56ECE228" w14:textId="77777777" w:rsidTr="00B93FD2">
        <w:tc>
          <w:tcPr>
            <w:tcW w:w="2043" w:type="pct"/>
            <w:tcBorders>
              <w:top w:val="nil"/>
              <w:left w:val="single" w:sz="4" w:space="0" w:color="auto"/>
              <w:right w:val="single" w:sz="4" w:space="0" w:color="auto"/>
            </w:tcBorders>
            <w:shd w:val="clear" w:color="auto" w:fill="auto"/>
            <w:vAlign w:val="center"/>
            <w:hideMark/>
          </w:tcPr>
          <w:p w14:paraId="2778C8FC" w14:textId="77777777" w:rsidR="00AC01C1" w:rsidRPr="0079304F" w:rsidRDefault="00AC01C1" w:rsidP="00B25599">
            <w:pPr>
              <w:spacing w:after="0" w:line="240" w:lineRule="auto"/>
              <w:jc w:val="right"/>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state SOEs</w:t>
            </w:r>
          </w:p>
        </w:tc>
        <w:tc>
          <w:tcPr>
            <w:tcW w:w="1440" w:type="pct"/>
            <w:tcBorders>
              <w:top w:val="nil"/>
              <w:left w:val="single" w:sz="4" w:space="0" w:color="auto"/>
              <w:right w:val="single" w:sz="4" w:space="0" w:color="auto"/>
            </w:tcBorders>
            <w:shd w:val="clear" w:color="auto" w:fill="auto"/>
            <w:noWrap/>
            <w:vAlign w:val="center"/>
            <w:hideMark/>
          </w:tcPr>
          <w:p w14:paraId="5FC33281"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-0.021***</w:t>
            </w:r>
          </w:p>
        </w:tc>
        <w:tc>
          <w:tcPr>
            <w:tcW w:w="1517" w:type="pct"/>
            <w:tcBorders>
              <w:top w:val="nil"/>
              <w:left w:val="single" w:sz="4" w:space="0" w:color="auto"/>
              <w:right w:val="single" w:sz="4" w:space="0" w:color="auto"/>
            </w:tcBorders>
            <w:shd w:val="clear" w:color="auto" w:fill="auto"/>
            <w:noWrap/>
            <w:vAlign w:val="center"/>
            <w:hideMark/>
          </w:tcPr>
          <w:p w14:paraId="5E75593A"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r w:rsidRPr="00DF6360">
              <w:rPr>
                <w:rFonts w:ascii="Times New Roman" w:eastAsia="Times New Roman" w:hAnsi="Times New Roman" w:cs="Times New Roman"/>
                <w:sz w:val="20"/>
                <w:szCs w:val="20"/>
              </w:rPr>
              <w:t>0.000</w:t>
            </w:r>
          </w:p>
        </w:tc>
      </w:tr>
      <w:tr w:rsidR="00AC01C1" w:rsidRPr="00145B9B" w14:paraId="76471823" w14:textId="77777777" w:rsidTr="00B93FD2">
        <w:tc>
          <w:tcPr>
            <w:tcW w:w="2043" w:type="pct"/>
            <w:tcBorders>
              <w:top w:val="nil"/>
              <w:left w:val="single" w:sz="4" w:space="0" w:color="auto"/>
              <w:bottom w:val="single" w:sz="4" w:space="0" w:color="auto"/>
              <w:right w:val="single" w:sz="4" w:space="0" w:color="auto"/>
            </w:tcBorders>
            <w:shd w:val="clear" w:color="auto" w:fill="auto"/>
            <w:vAlign w:val="center"/>
            <w:hideMark/>
          </w:tcPr>
          <w:p w14:paraId="58ACFB6F" w14:textId="77777777" w:rsidR="00AC01C1" w:rsidRPr="0079304F" w:rsidRDefault="00AC01C1" w:rsidP="00B25599">
            <w:pPr>
              <w:spacing w:after="0" w:line="240" w:lineRule="auto"/>
              <w:jc w:val="right"/>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mixed SOEs</w:t>
            </w:r>
          </w:p>
        </w:tc>
        <w:tc>
          <w:tcPr>
            <w:tcW w:w="1440" w:type="pct"/>
            <w:tcBorders>
              <w:top w:val="nil"/>
              <w:left w:val="single" w:sz="4" w:space="0" w:color="auto"/>
              <w:bottom w:val="single" w:sz="4" w:space="0" w:color="auto"/>
              <w:right w:val="single" w:sz="4" w:space="0" w:color="auto"/>
            </w:tcBorders>
            <w:shd w:val="clear" w:color="auto" w:fill="auto"/>
            <w:noWrap/>
            <w:vAlign w:val="center"/>
            <w:hideMark/>
          </w:tcPr>
          <w:p w14:paraId="7F36C888"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0.002***</w:t>
            </w:r>
          </w:p>
        </w:tc>
        <w:tc>
          <w:tcPr>
            <w:tcW w:w="1517" w:type="pct"/>
            <w:tcBorders>
              <w:top w:val="nil"/>
              <w:left w:val="single" w:sz="4" w:space="0" w:color="auto"/>
              <w:bottom w:val="single" w:sz="4" w:space="0" w:color="auto"/>
              <w:right w:val="single" w:sz="4" w:space="0" w:color="auto"/>
            </w:tcBorders>
            <w:shd w:val="clear" w:color="auto" w:fill="auto"/>
            <w:noWrap/>
            <w:vAlign w:val="center"/>
            <w:hideMark/>
          </w:tcPr>
          <w:p w14:paraId="73B8093B" w14:textId="77777777" w:rsidR="00AC01C1" w:rsidRPr="00DF6360" w:rsidRDefault="00AC01C1" w:rsidP="00B25599">
            <w:pPr>
              <w:spacing w:after="0" w:line="240" w:lineRule="auto"/>
              <w:jc w:val="center"/>
              <w:rPr>
                <w:rFonts w:ascii="Times New Roman" w:eastAsia="Times New Roman" w:hAnsi="Times New Roman" w:cs="Times New Roman"/>
                <w:sz w:val="20"/>
                <w:szCs w:val="20"/>
              </w:rPr>
            </w:pPr>
            <w:r w:rsidRPr="00DF6360">
              <w:rPr>
                <w:rFonts w:ascii="Times New Roman" w:eastAsia="Times New Roman" w:hAnsi="Times New Roman" w:cs="Times New Roman"/>
                <w:sz w:val="20"/>
                <w:szCs w:val="20"/>
              </w:rPr>
              <w:t>0.001</w:t>
            </w:r>
          </w:p>
        </w:tc>
      </w:tr>
      <w:tr w:rsidR="00AC01C1" w:rsidRPr="00647847" w14:paraId="67ED6E5C" w14:textId="77777777" w:rsidTr="00B93FD2">
        <w:trPr>
          <w:trHeight w:val="6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75F2B9" w14:textId="77777777" w:rsidR="00AC01C1" w:rsidRPr="0079304F" w:rsidRDefault="00AC01C1" w:rsidP="00B25599">
            <w:pPr>
              <w:spacing w:after="0" w:line="240" w:lineRule="auto"/>
              <w:jc w:val="left"/>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Controls</w:t>
            </w:r>
          </w:p>
        </w:tc>
      </w:tr>
      <w:tr w:rsidR="00AC01C1" w:rsidRPr="00647847" w14:paraId="01F8A519"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FA062"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 xml:space="preserve">Gender </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884B9"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12F6F726"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2552C"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 xml:space="preserve">Education </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A4F75"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4413249B"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436C3"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Age</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9508"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3C591F98"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019D6"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Age sq.</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C042E"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37351D0E"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DDD9D"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Occupation</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B03F"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055AA0F1"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87675"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 xml:space="preserve">Firm size </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52E36"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2645A73F"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CF06E"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Region FE</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6C40"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Yes</w:t>
            </w:r>
          </w:p>
        </w:tc>
      </w:tr>
      <w:tr w:rsidR="00AC01C1" w:rsidRPr="00647847" w14:paraId="31D52FB8"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DF294"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Constant</w:t>
            </w:r>
          </w:p>
        </w:tc>
        <w:tc>
          <w:tcPr>
            <w:tcW w:w="1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FF7AC"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3.924***</w:t>
            </w:r>
          </w:p>
        </w:tc>
        <w:tc>
          <w:tcPr>
            <w:tcW w:w="1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6E82"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0.0</w:t>
            </w:r>
            <w:r>
              <w:rPr>
                <w:rFonts w:ascii="Times New Roman" w:eastAsia="Times New Roman" w:hAnsi="Times New Roman" w:cs="Times New Roman"/>
                <w:sz w:val="20"/>
                <w:szCs w:val="20"/>
              </w:rPr>
              <w:t>26</w:t>
            </w:r>
          </w:p>
        </w:tc>
      </w:tr>
      <w:tr w:rsidR="00AC01C1" w:rsidRPr="00647847" w14:paraId="6931A0EC" w14:textId="77777777" w:rsidTr="00B93FD2">
        <w:trPr>
          <w:trHeight w:val="68"/>
        </w:trPr>
        <w:tc>
          <w:tcPr>
            <w:tcW w:w="20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46C0D"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N</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21022"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570921</w:t>
            </w:r>
          </w:p>
        </w:tc>
      </w:tr>
      <w:tr w:rsidR="00AC01C1" w:rsidRPr="00647847" w14:paraId="65E43487" w14:textId="77777777" w:rsidTr="00B93FD2">
        <w:tc>
          <w:tcPr>
            <w:tcW w:w="2043" w:type="pct"/>
            <w:tcBorders>
              <w:top w:val="single" w:sz="4" w:space="0" w:color="auto"/>
              <w:left w:val="single" w:sz="4" w:space="0" w:color="auto"/>
              <w:bottom w:val="single" w:sz="4" w:space="0" w:color="auto"/>
              <w:right w:val="single" w:sz="4" w:space="0" w:color="auto"/>
            </w:tcBorders>
            <w:shd w:val="clear" w:color="auto" w:fill="auto"/>
            <w:vAlign w:val="center"/>
          </w:tcPr>
          <w:p w14:paraId="2FF75CE5" w14:textId="77777777" w:rsidR="00AC01C1" w:rsidRPr="0079304F" w:rsidRDefault="00AC01C1" w:rsidP="00B25599">
            <w:pPr>
              <w:spacing w:after="0" w:line="240" w:lineRule="auto"/>
              <w:ind w:right="-45"/>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Adjusted R</w:t>
            </w:r>
            <w:r w:rsidRPr="0079304F">
              <w:rPr>
                <w:rFonts w:ascii="Times New Roman" w:eastAsia="Times New Roman" w:hAnsi="Times New Roman" w:cs="Times New Roman"/>
                <w:sz w:val="20"/>
                <w:szCs w:val="20"/>
                <w:vertAlign w:val="superscript"/>
              </w:rPr>
              <w:t>2</w:t>
            </w:r>
          </w:p>
        </w:tc>
        <w:tc>
          <w:tcPr>
            <w:tcW w:w="29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B38AE4" w14:textId="77777777" w:rsidR="00AC01C1" w:rsidRPr="0079304F" w:rsidRDefault="00AC01C1" w:rsidP="00B25599">
            <w:pPr>
              <w:spacing w:after="0" w:line="240" w:lineRule="auto"/>
              <w:jc w:val="center"/>
              <w:rPr>
                <w:rFonts w:ascii="Times New Roman" w:eastAsia="Times New Roman" w:hAnsi="Times New Roman" w:cs="Times New Roman"/>
                <w:sz w:val="20"/>
                <w:szCs w:val="20"/>
              </w:rPr>
            </w:pPr>
            <w:r w:rsidRPr="0079304F">
              <w:rPr>
                <w:rFonts w:ascii="Times New Roman" w:eastAsia="Times New Roman" w:hAnsi="Times New Roman" w:cs="Times New Roman"/>
                <w:sz w:val="20"/>
                <w:szCs w:val="20"/>
              </w:rPr>
              <w:t>0.475</w:t>
            </w:r>
          </w:p>
        </w:tc>
      </w:tr>
    </w:tbl>
    <w:p w14:paraId="7EC007DD" w14:textId="77777777" w:rsidR="00AC01C1" w:rsidRDefault="00AC01C1" w:rsidP="00AC01C1">
      <w:pPr>
        <w:spacing w:after="0" w:line="240" w:lineRule="auto"/>
        <w:contextualSpacing/>
        <w:jc w:val="left"/>
        <w:rPr>
          <w:lang w:eastAsia="en-US"/>
        </w:rPr>
      </w:pPr>
    </w:p>
    <w:p w14:paraId="27FAADE9" w14:textId="77777777" w:rsidR="00AC01C1" w:rsidRDefault="00AC01C1" w:rsidP="00AC01C1">
      <w:pPr>
        <w:spacing w:after="0" w:line="240" w:lineRule="auto"/>
        <w:contextualSpacing/>
        <w:jc w:val="left"/>
        <w:rPr>
          <w:lang w:eastAsia="en-US"/>
        </w:rPr>
      </w:pPr>
    </w:p>
    <w:p w14:paraId="56EE8A9A" w14:textId="77777777" w:rsidR="00AC01C1" w:rsidRDefault="00AC01C1" w:rsidP="00AC01C1">
      <w:pPr>
        <w:spacing w:after="160" w:line="259" w:lineRule="auto"/>
        <w:jc w:val="left"/>
        <w:rPr>
          <w:rFonts w:cstheme="minorHAnsi"/>
          <w:b/>
          <w:bCs/>
          <w:iCs/>
          <w:color w:val="000000" w:themeColor="text1"/>
        </w:rPr>
      </w:pPr>
      <w:r>
        <w:rPr>
          <w:rFonts w:cstheme="minorHAnsi"/>
          <w:b/>
          <w:bCs/>
          <w:iCs/>
          <w:color w:val="000000" w:themeColor="text1"/>
        </w:rPr>
        <w:br w:type="page"/>
      </w:r>
    </w:p>
    <w:p w14:paraId="18481050" w14:textId="10E8318D" w:rsidR="00AC01C1" w:rsidRPr="00F65702" w:rsidRDefault="00AC01C1" w:rsidP="00AC01C1">
      <w:pPr>
        <w:pStyle w:val="ListParagraph"/>
        <w:numPr>
          <w:ilvl w:val="0"/>
          <w:numId w:val="29"/>
        </w:numPr>
        <w:tabs>
          <w:tab w:val="left" w:pos="1200"/>
        </w:tabs>
        <w:spacing w:after="0" w:line="240" w:lineRule="auto"/>
        <w:jc w:val="left"/>
        <w:rPr>
          <w:rFonts w:cstheme="minorHAnsi"/>
          <w:b/>
          <w:bCs/>
          <w:iCs/>
          <w:color w:val="000000" w:themeColor="text1"/>
          <w:sz w:val="22"/>
        </w:rPr>
      </w:pPr>
      <w:bookmarkStart w:id="143" w:name="_Hlk10984129"/>
      <w:r w:rsidRPr="00F65702">
        <w:rPr>
          <w:rFonts w:cstheme="minorHAnsi"/>
          <w:b/>
          <w:bCs/>
          <w:iCs/>
          <w:color w:val="000000" w:themeColor="text1"/>
          <w:sz w:val="22"/>
        </w:rPr>
        <w:t xml:space="preserve">Figure </w:t>
      </w:r>
      <w:proofErr w:type="gramStart"/>
      <w:r w:rsidRPr="00F65702">
        <w:rPr>
          <w:rFonts w:cstheme="minorHAnsi"/>
          <w:b/>
          <w:bCs/>
          <w:iCs/>
          <w:color w:val="000000" w:themeColor="text1"/>
          <w:sz w:val="22"/>
        </w:rPr>
        <w:t>3.</w:t>
      </w:r>
      <w:r w:rsidR="00ED6268">
        <w:rPr>
          <w:rFonts w:cstheme="minorHAnsi"/>
          <w:b/>
          <w:bCs/>
          <w:iCs/>
          <w:color w:val="000000" w:themeColor="text1"/>
          <w:sz w:val="22"/>
        </w:rPr>
        <w:t>5</w:t>
      </w:r>
      <w:r>
        <w:rPr>
          <w:rFonts w:cstheme="minorHAnsi"/>
          <w:b/>
          <w:bCs/>
          <w:iCs/>
          <w:color w:val="000000" w:themeColor="text1"/>
          <w:sz w:val="22"/>
        </w:rPr>
        <w:t xml:space="preserve">  SOE</w:t>
      </w:r>
      <w:proofErr w:type="gramEnd"/>
      <w:r>
        <w:rPr>
          <w:rFonts w:cstheme="minorHAnsi"/>
          <w:b/>
          <w:bCs/>
          <w:iCs/>
          <w:color w:val="000000" w:themeColor="text1"/>
          <w:sz w:val="22"/>
        </w:rPr>
        <w:t>-private w</w:t>
      </w:r>
      <w:r w:rsidRPr="00F65702">
        <w:rPr>
          <w:rFonts w:cstheme="minorHAnsi"/>
          <w:b/>
          <w:bCs/>
          <w:iCs/>
          <w:color w:val="000000" w:themeColor="text1"/>
          <w:sz w:val="22"/>
        </w:rPr>
        <w:t>age gaps by industry</w:t>
      </w:r>
      <w:r w:rsidR="00393C0A">
        <w:rPr>
          <w:rFonts w:cstheme="minorHAnsi"/>
          <w:b/>
          <w:bCs/>
          <w:iCs/>
          <w:color w:val="000000" w:themeColor="text1"/>
          <w:sz w:val="22"/>
        </w:rPr>
        <w:t>,</w:t>
      </w:r>
      <w:r>
        <w:rPr>
          <w:rFonts w:cstheme="minorHAnsi"/>
          <w:b/>
          <w:bCs/>
          <w:iCs/>
          <w:color w:val="000000" w:themeColor="text1"/>
          <w:sz w:val="22"/>
        </w:rPr>
        <w:t xml:space="preserve"> </w:t>
      </w:r>
      <w:r w:rsidRPr="00F65702">
        <w:rPr>
          <w:rFonts w:cstheme="minorHAnsi"/>
          <w:b/>
          <w:bCs/>
          <w:iCs/>
          <w:color w:val="000000" w:themeColor="text1"/>
          <w:sz w:val="22"/>
        </w:rPr>
        <w:t xml:space="preserve">and </w:t>
      </w:r>
      <w:proofErr w:type="spellStart"/>
      <w:r w:rsidR="00393C0A">
        <w:rPr>
          <w:rFonts w:cstheme="minorHAnsi"/>
          <w:b/>
          <w:bCs/>
          <w:iCs/>
          <w:color w:val="000000" w:themeColor="text1"/>
          <w:sz w:val="22"/>
        </w:rPr>
        <w:t>industry+</w:t>
      </w:r>
      <w:r w:rsidRPr="00F65702">
        <w:rPr>
          <w:rFonts w:cstheme="minorHAnsi"/>
          <w:b/>
          <w:bCs/>
          <w:iCs/>
          <w:color w:val="000000" w:themeColor="text1"/>
          <w:sz w:val="22"/>
        </w:rPr>
        <w:t>size</w:t>
      </w:r>
      <w:proofErr w:type="spellEnd"/>
      <w:r w:rsidRPr="00F65702">
        <w:rPr>
          <w:rFonts w:cstheme="minorHAnsi"/>
          <w:b/>
          <w:bCs/>
          <w:iCs/>
          <w:color w:val="000000" w:themeColor="text1"/>
          <w:sz w:val="22"/>
        </w:rPr>
        <w:t xml:space="preserve"> </w:t>
      </w:r>
    </w:p>
    <w:bookmarkEnd w:id="143"/>
    <w:p w14:paraId="1FA682CA" w14:textId="77777777" w:rsidR="00AC01C1" w:rsidRDefault="00AC01C1" w:rsidP="00AC01C1">
      <w:pPr>
        <w:spacing w:after="0" w:line="240" w:lineRule="auto"/>
        <w:ind w:left="1260"/>
        <w:contextualSpacing/>
        <w:jc w:val="left"/>
        <w:rPr>
          <w:lang w:eastAsia="en-US"/>
        </w:rPr>
      </w:pPr>
      <w:r>
        <w:rPr>
          <w:lang w:eastAsia="en-US"/>
        </w:rPr>
        <w:t>All regressions control for gender, education, age, age squared, occupation, region fixed effects, year fixed effects</w:t>
      </w:r>
    </w:p>
    <w:p w14:paraId="51F43BED" w14:textId="77777777" w:rsidR="00AC01C1" w:rsidRDefault="00AC01C1" w:rsidP="00AC01C1">
      <w:pPr>
        <w:spacing w:after="0" w:line="240" w:lineRule="auto"/>
        <w:contextualSpacing/>
        <w:jc w:val="left"/>
        <w:rPr>
          <w:lang w:eastAsia="en-US"/>
        </w:rPr>
      </w:pPr>
    </w:p>
    <w:tbl>
      <w:tblPr>
        <w:tblW w:w="5696" w:type="pct"/>
        <w:tblInd w:w="-725" w:type="dxa"/>
        <w:tblLook w:val="04A0" w:firstRow="1" w:lastRow="0" w:firstColumn="1" w:lastColumn="0" w:noHBand="0" w:noVBand="1"/>
      </w:tblPr>
      <w:tblGrid>
        <w:gridCol w:w="1406"/>
        <w:gridCol w:w="1383"/>
        <w:gridCol w:w="818"/>
        <w:gridCol w:w="622"/>
        <w:gridCol w:w="1041"/>
        <w:gridCol w:w="638"/>
        <w:gridCol w:w="891"/>
        <w:gridCol w:w="621"/>
        <w:gridCol w:w="952"/>
        <w:gridCol w:w="809"/>
        <w:gridCol w:w="892"/>
        <w:gridCol w:w="623"/>
      </w:tblGrid>
      <w:tr w:rsidR="00AC01C1" w:rsidRPr="00BE3491" w14:paraId="54AE23F4" w14:textId="77777777" w:rsidTr="007F3048">
        <w:tc>
          <w:tcPr>
            <w:tcW w:w="657" w:type="pct"/>
            <w:tcBorders>
              <w:top w:val="single" w:sz="4" w:space="0" w:color="auto"/>
              <w:left w:val="single" w:sz="4" w:space="0" w:color="auto"/>
            </w:tcBorders>
            <w:shd w:val="clear" w:color="auto" w:fill="F2F2F2" w:themeFill="background1" w:themeFillShade="F2"/>
          </w:tcPr>
          <w:p w14:paraId="21ABC3F3"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right w:val="single" w:sz="4" w:space="0" w:color="auto"/>
            </w:tcBorders>
            <w:shd w:val="clear" w:color="auto" w:fill="F2F2F2" w:themeFill="background1" w:themeFillShade="F2"/>
            <w:vAlign w:val="center"/>
          </w:tcPr>
          <w:p w14:paraId="5588F461" w14:textId="77777777" w:rsidR="00AC01C1" w:rsidRPr="00647847" w:rsidRDefault="00AC01C1" w:rsidP="00B25599">
            <w:pPr>
              <w:spacing w:after="0" w:line="240" w:lineRule="auto"/>
              <w:ind w:right="-45"/>
              <w:rPr>
                <w:rFonts w:ascii="Times New Roman" w:eastAsia="Times New Roman" w:hAnsi="Times New Roman" w:cs="Times New Roman"/>
                <w:sz w:val="18"/>
                <w:szCs w:val="18"/>
              </w:rPr>
            </w:pPr>
          </w:p>
        </w:tc>
        <w:tc>
          <w:tcPr>
            <w:tcW w:w="3696" w:type="pct"/>
            <w:gridSpan w:val="10"/>
            <w:tcBorders>
              <w:top w:val="single" w:sz="4" w:space="0" w:color="auto"/>
              <w:left w:val="single" w:sz="4" w:space="0" w:color="auto"/>
              <w:right w:val="single" w:sz="4" w:space="0" w:color="auto"/>
            </w:tcBorders>
            <w:shd w:val="clear" w:color="auto" w:fill="F2F2F2" w:themeFill="background1" w:themeFillShade="F2"/>
          </w:tcPr>
          <w:p w14:paraId="02140270" w14:textId="77777777" w:rsidR="00AC01C1" w:rsidRPr="00BE3491" w:rsidRDefault="00AC01C1" w:rsidP="00B25599">
            <w:pPr>
              <w:spacing w:after="0" w:line="240" w:lineRule="auto"/>
              <w:jc w:val="center"/>
              <w:rPr>
                <w:rFonts w:ascii="Times New Roman" w:eastAsia="Times New Roman" w:hAnsi="Times New Roman" w:cs="Times New Roman"/>
                <w:b/>
                <w:bCs/>
                <w:sz w:val="18"/>
                <w:szCs w:val="18"/>
              </w:rPr>
            </w:pPr>
            <w:r w:rsidRPr="00BE3491">
              <w:rPr>
                <w:rFonts w:ascii="Times New Roman" w:eastAsia="Times New Roman" w:hAnsi="Times New Roman" w:cs="Times New Roman"/>
                <w:b/>
                <w:bCs/>
                <w:sz w:val="18"/>
                <w:szCs w:val="18"/>
              </w:rPr>
              <w:t>Dependent variable: log hourly wage in Rubles</w:t>
            </w:r>
          </w:p>
        </w:tc>
      </w:tr>
      <w:tr w:rsidR="00AC01C1" w:rsidRPr="00BE3491" w14:paraId="1BC8F647" w14:textId="77777777" w:rsidTr="007F3048">
        <w:tc>
          <w:tcPr>
            <w:tcW w:w="657" w:type="pct"/>
            <w:tcBorders>
              <w:left w:val="single" w:sz="4" w:space="0" w:color="auto"/>
            </w:tcBorders>
            <w:shd w:val="clear" w:color="auto" w:fill="F2F2F2" w:themeFill="background1" w:themeFillShade="F2"/>
          </w:tcPr>
          <w:p w14:paraId="37A63A5C"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right w:val="single" w:sz="12" w:space="0" w:color="auto"/>
            </w:tcBorders>
            <w:shd w:val="clear" w:color="auto" w:fill="F2F2F2" w:themeFill="background1" w:themeFillShade="F2"/>
            <w:vAlign w:val="center"/>
            <w:hideMark/>
          </w:tcPr>
          <w:p w14:paraId="7F19A96B"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73" w:type="pct"/>
            <w:gridSpan w:val="2"/>
            <w:tcBorders>
              <w:left w:val="single" w:sz="12" w:space="0" w:color="auto"/>
              <w:right w:val="single" w:sz="12" w:space="0" w:color="auto"/>
            </w:tcBorders>
            <w:shd w:val="clear" w:color="auto" w:fill="F2F2F2" w:themeFill="background1" w:themeFillShade="F2"/>
          </w:tcPr>
          <w:p w14:paraId="7BAB0004" w14:textId="6A2CA112" w:rsidR="00393C0A" w:rsidRDefault="00393C0A"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p w14:paraId="16857173" w14:textId="08D20232"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Firm size</w:t>
            </w:r>
          </w:p>
          <w:p w14:paraId="185DFAC2"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All</w:t>
            </w:r>
          </w:p>
        </w:tc>
        <w:tc>
          <w:tcPr>
            <w:tcW w:w="785" w:type="pct"/>
            <w:gridSpan w:val="2"/>
            <w:tcBorders>
              <w:left w:val="single" w:sz="12" w:space="0" w:color="auto"/>
              <w:bottom w:val="single" w:sz="4" w:space="0" w:color="auto"/>
              <w:right w:val="single" w:sz="4" w:space="0" w:color="auto"/>
            </w:tcBorders>
            <w:shd w:val="clear" w:color="auto" w:fill="F2F2F2" w:themeFill="background1" w:themeFillShade="F2"/>
            <w:vAlign w:val="center"/>
            <w:hideMark/>
          </w:tcPr>
          <w:p w14:paraId="31E2ECB3" w14:textId="699F53BC" w:rsidR="00393C0A" w:rsidRDefault="00393C0A"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68699DDF" w14:textId="4D2C270D"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 xml:space="preserve">Firm size </w:t>
            </w:r>
          </w:p>
          <w:p w14:paraId="36DA531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&lt;100 (small-micro)</w:t>
            </w:r>
          </w:p>
        </w:tc>
        <w:tc>
          <w:tcPr>
            <w:tcW w:w="707"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0E7B2404" w14:textId="25215EC2" w:rsidR="00393C0A" w:rsidRDefault="00393C0A"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70B2ACD0" w14:textId="205C42CB"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Firm size</w:t>
            </w:r>
          </w:p>
          <w:p w14:paraId="119C936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100-249 (med)</w:t>
            </w:r>
          </w:p>
        </w:tc>
        <w:tc>
          <w:tcPr>
            <w:tcW w:w="823" w:type="pct"/>
            <w:gridSpan w:val="2"/>
            <w:tcBorders>
              <w:left w:val="single" w:sz="4" w:space="0" w:color="auto"/>
              <w:bottom w:val="single" w:sz="4" w:space="0" w:color="auto"/>
              <w:right w:val="single" w:sz="4" w:space="0" w:color="auto"/>
            </w:tcBorders>
            <w:shd w:val="clear" w:color="auto" w:fill="F2F2F2" w:themeFill="background1" w:themeFillShade="F2"/>
            <w:vAlign w:val="center"/>
            <w:hideMark/>
          </w:tcPr>
          <w:p w14:paraId="1B315EEA" w14:textId="5012FA5E" w:rsidR="00393C0A" w:rsidRDefault="00393C0A"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p w14:paraId="3ECEFF20" w14:textId="0C3CFFE3"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Firm size</w:t>
            </w:r>
          </w:p>
          <w:p w14:paraId="261E576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250-499 (med-large)</w:t>
            </w:r>
          </w:p>
        </w:tc>
        <w:tc>
          <w:tcPr>
            <w:tcW w:w="708" w:type="pct"/>
            <w:gridSpan w:val="2"/>
            <w:tcBorders>
              <w:left w:val="single" w:sz="4" w:space="0" w:color="auto"/>
              <w:bottom w:val="single" w:sz="4" w:space="0" w:color="auto"/>
              <w:right w:val="single" w:sz="4" w:space="0" w:color="auto"/>
            </w:tcBorders>
            <w:shd w:val="clear" w:color="auto" w:fill="F2F2F2" w:themeFill="background1" w:themeFillShade="F2"/>
          </w:tcPr>
          <w:p w14:paraId="5C9FE50D" w14:textId="7D231B02" w:rsidR="00393C0A" w:rsidRDefault="00393C0A" w:rsidP="00B2559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p w14:paraId="750AD52A" w14:textId="031BCD4E"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Firm size</w:t>
            </w:r>
          </w:p>
          <w:p w14:paraId="3BA09D8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500+ (large)</w:t>
            </w:r>
          </w:p>
        </w:tc>
      </w:tr>
      <w:tr w:rsidR="00AC01C1" w:rsidRPr="00BE3491" w14:paraId="23DE2B3C" w14:textId="77777777" w:rsidTr="007F3048">
        <w:tc>
          <w:tcPr>
            <w:tcW w:w="657" w:type="pct"/>
            <w:tcBorders>
              <w:top w:val="nil"/>
              <w:left w:val="single" w:sz="4" w:space="0" w:color="auto"/>
              <w:bottom w:val="single" w:sz="4" w:space="0" w:color="auto"/>
            </w:tcBorders>
            <w:shd w:val="clear" w:color="auto" w:fill="F2F2F2" w:themeFill="background1" w:themeFillShade="F2"/>
          </w:tcPr>
          <w:p w14:paraId="079CC349" w14:textId="77777777" w:rsidR="00AC01C1" w:rsidRPr="00BE3491" w:rsidRDefault="00AC01C1" w:rsidP="00B25599">
            <w:pPr>
              <w:spacing w:after="0" w:line="240" w:lineRule="auto"/>
              <w:ind w:right="-45"/>
              <w:jc w:val="center"/>
              <w:rPr>
                <w:rFonts w:ascii="Times New Roman" w:eastAsia="Times New Roman" w:hAnsi="Times New Roman" w:cs="Times New Roman"/>
                <w:b/>
                <w:bCs/>
                <w:sz w:val="18"/>
                <w:szCs w:val="18"/>
              </w:rPr>
            </w:pPr>
          </w:p>
        </w:tc>
        <w:tc>
          <w:tcPr>
            <w:tcW w:w="647" w:type="pct"/>
            <w:tcBorders>
              <w:top w:val="nil"/>
              <w:left w:val="nil"/>
              <w:bottom w:val="single" w:sz="4" w:space="0" w:color="auto"/>
              <w:right w:val="single" w:sz="12" w:space="0" w:color="auto"/>
            </w:tcBorders>
            <w:shd w:val="clear" w:color="auto" w:fill="F2F2F2" w:themeFill="background1" w:themeFillShade="F2"/>
            <w:vAlign w:val="center"/>
            <w:hideMark/>
          </w:tcPr>
          <w:p w14:paraId="23FC718E" w14:textId="77777777" w:rsidR="00AC01C1" w:rsidRPr="00BE3491" w:rsidRDefault="00AC01C1" w:rsidP="00B25599">
            <w:pPr>
              <w:spacing w:after="0" w:line="240" w:lineRule="auto"/>
              <w:ind w:right="-45"/>
              <w:jc w:val="center"/>
              <w:rPr>
                <w:rFonts w:ascii="Times New Roman" w:eastAsia="Times New Roman" w:hAnsi="Times New Roman" w:cs="Times New Roman"/>
                <w:b/>
                <w:bCs/>
                <w:sz w:val="18"/>
                <w:szCs w:val="18"/>
              </w:rPr>
            </w:pPr>
          </w:p>
        </w:tc>
        <w:tc>
          <w:tcPr>
            <w:tcW w:w="382" w:type="pct"/>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tcPr>
          <w:p w14:paraId="269D2A9B"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Coef.</w:t>
            </w:r>
          </w:p>
        </w:tc>
        <w:tc>
          <w:tcPr>
            <w:tcW w:w="291"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767843D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w:t>
            </w:r>
          </w:p>
        </w:tc>
        <w:tc>
          <w:tcPr>
            <w:tcW w:w="487" w:type="pct"/>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hideMark/>
          </w:tcPr>
          <w:p w14:paraId="7ED06107"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Coef.</w:t>
            </w:r>
          </w:p>
        </w:tc>
        <w:tc>
          <w:tcPr>
            <w:tcW w:w="2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27518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FE8A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Coef.</w:t>
            </w:r>
          </w:p>
        </w:tc>
        <w:tc>
          <w:tcPr>
            <w:tcW w:w="2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3E5B57"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42E35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Coef.</w:t>
            </w:r>
          </w:p>
        </w:tc>
        <w:tc>
          <w:tcPr>
            <w:tcW w:w="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172B36"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18477"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Coef.</w:t>
            </w:r>
          </w:p>
        </w:tc>
        <w:tc>
          <w:tcPr>
            <w:tcW w:w="2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A3BED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w:t>
            </w:r>
          </w:p>
        </w:tc>
      </w:tr>
      <w:tr w:rsidR="00AC01C1" w:rsidRPr="00BE3491" w14:paraId="6B20BE49" w14:textId="77777777" w:rsidTr="00C41A39">
        <w:tc>
          <w:tcPr>
            <w:tcW w:w="657" w:type="pct"/>
            <w:tcBorders>
              <w:top w:val="single" w:sz="4" w:space="0" w:color="auto"/>
              <w:left w:val="single" w:sz="4" w:space="0" w:color="auto"/>
              <w:right w:val="single" w:sz="4" w:space="0" w:color="auto"/>
            </w:tcBorders>
            <w:shd w:val="clear" w:color="auto" w:fill="F2F2F2" w:themeFill="background1" w:themeFillShade="F2"/>
          </w:tcPr>
          <w:p w14:paraId="1D2D5572"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Mining</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6F33B62D"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2DE0CC4B"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240A1B1C"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hideMark/>
          </w:tcPr>
          <w:p w14:paraId="32BECE0D"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hideMark/>
          </w:tcPr>
          <w:p w14:paraId="5CF38A22"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06072A26"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5BE8A79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hideMark/>
          </w:tcPr>
          <w:p w14:paraId="0771C65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hideMark/>
          </w:tcPr>
          <w:p w14:paraId="32D1B3F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31F200D2"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2C1635F5"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6A8913F2" w14:textId="77777777" w:rsidTr="00C41A39">
        <w:tc>
          <w:tcPr>
            <w:tcW w:w="657" w:type="pct"/>
            <w:tcBorders>
              <w:left w:val="single" w:sz="4" w:space="0" w:color="auto"/>
              <w:right w:val="single" w:sz="4" w:space="0" w:color="auto"/>
            </w:tcBorders>
            <w:shd w:val="clear" w:color="auto" w:fill="F2F2F2" w:themeFill="background1" w:themeFillShade="F2"/>
          </w:tcPr>
          <w:p w14:paraId="6230DEE5"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07E3D215"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49FF2FC4"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-0.067***</w:t>
            </w:r>
          </w:p>
        </w:tc>
        <w:tc>
          <w:tcPr>
            <w:tcW w:w="291" w:type="pct"/>
            <w:tcBorders>
              <w:top w:val="nil"/>
              <w:left w:val="single" w:sz="4" w:space="0" w:color="auto"/>
              <w:right w:val="single" w:sz="12" w:space="0" w:color="auto"/>
            </w:tcBorders>
            <w:shd w:val="clear" w:color="auto" w:fill="auto"/>
          </w:tcPr>
          <w:p w14:paraId="5DD85E9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0.009</w:t>
            </w:r>
          </w:p>
        </w:tc>
        <w:tc>
          <w:tcPr>
            <w:tcW w:w="487" w:type="pct"/>
            <w:tcBorders>
              <w:top w:val="nil"/>
              <w:left w:val="single" w:sz="12" w:space="0" w:color="auto"/>
              <w:right w:val="single" w:sz="4" w:space="0" w:color="auto"/>
            </w:tcBorders>
            <w:shd w:val="clear" w:color="auto" w:fill="auto"/>
            <w:noWrap/>
            <w:vAlign w:val="center"/>
          </w:tcPr>
          <w:p w14:paraId="50B2F39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-0.110***</w:t>
            </w:r>
          </w:p>
        </w:tc>
        <w:tc>
          <w:tcPr>
            <w:tcW w:w="298" w:type="pct"/>
            <w:tcBorders>
              <w:top w:val="nil"/>
              <w:left w:val="single" w:sz="4" w:space="0" w:color="auto"/>
              <w:right w:val="single" w:sz="4" w:space="0" w:color="auto"/>
            </w:tcBorders>
            <w:shd w:val="clear" w:color="auto" w:fill="auto"/>
            <w:noWrap/>
            <w:vAlign w:val="center"/>
          </w:tcPr>
          <w:p w14:paraId="7C37F56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0.015</w:t>
            </w:r>
          </w:p>
        </w:tc>
        <w:tc>
          <w:tcPr>
            <w:tcW w:w="417" w:type="pct"/>
            <w:tcBorders>
              <w:left w:val="single" w:sz="4" w:space="0" w:color="auto"/>
              <w:right w:val="single" w:sz="4" w:space="0" w:color="auto"/>
            </w:tcBorders>
            <w:shd w:val="clear" w:color="auto" w:fill="auto"/>
            <w:vAlign w:val="center"/>
          </w:tcPr>
          <w:p w14:paraId="09CE021B"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0.079***</w:t>
            </w:r>
          </w:p>
        </w:tc>
        <w:tc>
          <w:tcPr>
            <w:tcW w:w="290" w:type="pct"/>
            <w:tcBorders>
              <w:left w:val="single" w:sz="4" w:space="0" w:color="auto"/>
              <w:right w:val="single" w:sz="4" w:space="0" w:color="auto"/>
            </w:tcBorders>
            <w:shd w:val="clear" w:color="auto" w:fill="auto"/>
            <w:vAlign w:val="center"/>
          </w:tcPr>
          <w:p w14:paraId="3F33743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0.019</w:t>
            </w:r>
          </w:p>
        </w:tc>
        <w:tc>
          <w:tcPr>
            <w:tcW w:w="445" w:type="pct"/>
            <w:tcBorders>
              <w:top w:val="nil"/>
              <w:left w:val="single" w:sz="4" w:space="0" w:color="auto"/>
              <w:right w:val="single" w:sz="4" w:space="0" w:color="auto"/>
            </w:tcBorders>
            <w:shd w:val="clear" w:color="auto" w:fill="auto"/>
            <w:noWrap/>
            <w:vAlign w:val="center"/>
          </w:tcPr>
          <w:p w14:paraId="33FD3FF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-0.076***</w:t>
            </w:r>
          </w:p>
        </w:tc>
        <w:tc>
          <w:tcPr>
            <w:tcW w:w="378" w:type="pct"/>
            <w:tcBorders>
              <w:top w:val="nil"/>
              <w:left w:val="single" w:sz="4" w:space="0" w:color="auto"/>
              <w:right w:val="single" w:sz="4" w:space="0" w:color="auto"/>
            </w:tcBorders>
            <w:shd w:val="clear" w:color="auto" w:fill="auto"/>
            <w:noWrap/>
            <w:vAlign w:val="center"/>
          </w:tcPr>
          <w:p w14:paraId="158C8BA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0.024</w:t>
            </w:r>
          </w:p>
        </w:tc>
        <w:tc>
          <w:tcPr>
            <w:tcW w:w="417" w:type="pct"/>
            <w:tcBorders>
              <w:top w:val="nil"/>
              <w:left w:val="single" w:sz="4" w:space="0" w:color="auto"/>
              <w:right w:val="single" w:sz="4" w:space="0" w:color="auto"/>
            </w:tcBorders>
            <w:shd w:val="clear" w:color="auto" w:fill="auto"/>
            <w:vAlign w:val="center"/>
          </w:tcPr>
          <w:p w14:paraId="4BD5543D" w14:textId="77777777" w:rsidR="00AC01C1" w:rsidRPr="00BE3491" w:rsidRDefault="00AC01C1" w:rsidP="00B25599">
            <w:pPr>
              <w:spacing w:after="0" w:line="240" w:lineRule="auto"/>
              <w:ind w:left="-23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-0.141***</w:t>
            </w:r>
          </w:p>
        </w:tc>
        <w:tc>
          <w:tcPr>
            <w:tcW w:w="291" w:type="pct"/>
            <w:tcBorders>
              <w:top w:val="nil"/>
              <w:left w:val="single" w:sz="4" w:space="0" w:color="auto"/>
              <w:right w:val="single" w:sz="4" w:space="0" w:color="auto"/>
            </w:tcBorders>
            <w:shd w:val="clear" w:color="auto" w:fill="auto"/>
            <w:vAlign w:val="center"/>
          </w:tcPr>
          <w:p w14:paraId="520D7D3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0.027</w:t>
            </w:r>
          </w:p>
        </w:tc>
      </w:tr>
      <w:tr w:rsidR="00AC01C1" w:rsidRPr="00BE3491" w14:paraId="0ECA1D14" w14:textId="77777777" w:rsidTr="00C41A39">
        <w:tc>
          <w:tcPr>
            <w:tcW w:w="657" w:type="pct"/>
            <w:tcBorders>
              <w:left w:val="single" w:sz="4" w:space="0" w:color="auto"/>
              <w:right w:val="single" w:sz="4" w:space="0" w:color="auto"/>
            </w:tcBorders>
            <w:shd w:val="clear" w:color="auto" w:fill="F2F2F2" w:themeFill="background1" w:themeFillShade="F2"/>
          </w:tcPr>
          <w:p w14:paraId="27CF25E0"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50ECB89F"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24739916"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-0.015***</w:t>
            </w:r>
          </w:p>
        </w:tc>
        <w:tc>
          <w:tcPr>
            <w:tcW w:w="291" w:type="pct"/>
            <w:tcBorders>
              <w:top w:val="nil"/>
              <w:left w:val="single" w:sz="4" w:space="0" w:color="auto"/>
              <w:bottom w:val="single" w:sz="4" w:space="0" w:color="auto"/>
              <w:right w:val="single" w:sz="12" w:space="0" w:color="auto"/>
            </w:tcBorders>
            <w:shd w:val="clear" w:color="auto" w:fill="auto"/>
          </w:tcPr>
          <w:p w14:paraId="01C494F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6D94B05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-0.050***</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7C3E9C5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0.018</w:t>
            </w:r>
          </w:p>
        </w:tc>
        <w:tc>
          <w:tcPr>
            <w:tcW w:w="417" w:type="pct"/>
            <w:tcBorders>
              <w:left w:val="single" w:sz="4" w:space="0" w:color="auto"/>
              <w:bottom w:val="single" w:sz="4" w:space="0" w:color="auto"/>
              <w:right w:val="single" w:sz="4" w:space="0" w:color="auto"/>
            </w:tcBorders>
            <w:shd w:val="clear" w:color="auto" w:fill="auto"/>
            <w:vAlign w:val="center"/>
          </w:tcPr>
          <w:p w14:paraId="09002A7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0.085***</w:t>
            </w:r>
          </w:p>
        </w:tc>
        <w:tc>
          <w:tcPr>
            <w:tcW w:w="290" w:type="pct"/>
            <w:tcBorders>
              <w:left w:val="single" w:sz="4" w:space="0" w:color="auto"/>
              <w:bottom w:val="single" w:sz="4" w:space="0" w:color="auto"/>
              <w:right w:val="single" w:sz="4" w:space="0" w:color="auto"/>
            </w:tcBorders>
            <w:shd w:val="clear" w:color="auto" w:fill="auto"/>
            <w:vAlign w:val="center"/>
          </w:tcPr>
          <w:p w14:paraId="6669087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0.011</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6677A2A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-0.074***</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16A7316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0.013</w:t>
            </w:r>
          </w:p>
        </w:tc>
        <w:tc>
          <w:tcPr>
            <w:tcW w:w="417" w:type="pct"/>
            <w:tcBorders>
              <w:top w:val="nil"/>
              <w:left w:val="single" w:sz="4" w:space="0" w:color="auto"/>
              <w:bottom w:val="single" w:sz="4" w:space="0" w:color="auto"/>
              <w:right w:val="single" w:sz="4" w:space="0" w:color="auto"/>
            </w:tcBorders>
            <w:shd w:val="clear" w:color="auto" w:fill="auto"/>
            <w:vAlign w:val="center"/>
          </w:tcPr>
          <w:p w14:paraId="271E8B91"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-0.009</w:t>
            </w:r>
          </w:p>
        </w:tc>
        <w:tc>
          <w:tcPr>
            <w:tcW w:w="291" w:type="pct"/>
            <w:tcBorders>
              <w:top w:val="nil"/>
              <w:left w:val="single" w:sz="4" w:space="0" w:color="auto"/>
              <w:bottom w:val="single" w:sz="4" w:space="0" w:color="auto"/>
              <w:right w:val="single" w:sz="4" w:space="0" w:color="auto"/>
            </w:tcBorders>
            <w:shd w:val="clear" w:color="auto" w:fill="auto"/>
            <w:vAlign w:val="center"/>
          </w:tcPr>
          <w:p w14:paraId="59DD030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0.007</w:t>
            </w:r>
          </w:p>
        </w:tc>
      </w:tr>
      <w:tr w:rsidR="00AC01C1" w:rsidRPr="00BE3491" w14:paraId="2B18A895"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7ACA5391"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3EF4D092"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50F24449"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3.297***</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793276C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0.026</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0040E2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3.580***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FE83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0.120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F9CCEC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3.592***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4DB5ED6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0.061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26AD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4.362***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926F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0.066</w:t>
            </w:r>
          </w:p>
        </w:tc>
        <w:tc>
          <w:tcPr>
            <w:tcW w:w="417" w:type="pct"/>
            <w:tcBorders>
              <w:top w:val="single" w:sz="4" w:space="0" w:color="auto"/>
            </w:tcBorders>
            <w:shd w:val="clear" w:color="auto" w:fill="auto"/>
            <w:vAlign w:val="center"/>
          </w:tcPr>
          <w:p w14:paraId="7549F89F"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3.321***</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1D3F2D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0.034</w:t>
            </w:r>
          </w:p>
        </w:tc>
      </w:tr>
      <w:tr w:rsidR="00AC01C1" w:rsidRPr="00BE3491" w14:paraId="3650D8B9"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6C081A9E"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0DF20BF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19C20A94"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138451</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441C8F4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24292</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16B27E6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26458</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58A6F6F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21930</w:t>
            </w:r>
          </w:p>
        </w:tc>
        <w:tc>
          <w:tcPr>
            <w:tcW w:w="708" w:type="pct"/>
            <w:gridSpan w:val="2"/>
            <w:tcBorders>
              <w:top w:val="single" w:sz="4" w:space="0" w:color="auto"/>
              <w:right w:val="single" w:sz="4" w:space="0" w:color="auto"/>
            </w:tcBorders>
            <w:shd w:val="clear" w:color="auto" w:fill="auto"/>
          </w:tcPr>
          <w:p w14:paraId="185CAC76"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45289</w:t>
            </w:r>
          </w:p>
        </w:tc>
      </w:tr>
      <w:tr w:rsidR="00AC01C1" w:rsidRPr="00BE3491" w14:paraId="2DCEAE81"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56971157"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7C81122A"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7EA2D41C"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0.556</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47B023F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0.572</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FB27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0.577</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D3D05"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0.566</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7B2AA37B"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0.562</w:t>
            </w:r>
          </w:p>
        </w:tc>
      </w:tr>
      <w:tr w:rsidR="00AC01C1" w:rsidRPr="00BE3491" w14:paraId="4F32C771" w14:textId="77777777" w:rsidTr="00C41A39">
        <w:tc>
          <w:tcPr>
            <w:tcW w:w="657" w:type="pct"/>
            <w:tcBorders>
              <w:top w:val="single" w:sz="4" w:space="0" w:color="auto"/>
              <w:left w:val="single" w:sz="4" w:space="0" w:color="auto"/>
              <w:right w:val="single" w:sz="4" w:space="0" w:color="auto"/>
            </w:tcBorders>
            <w:shd w:val="clear" w:color="auto" w:fill="F2F2F2" w:themeFill="background1" w:themeFillShade="F2"/>
          </w:tcPr>
          <w:p w14:paraId="6D095869"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Manufacturing</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1A91B446"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62BDAC48"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2187319B"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5A86CCEA"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00702366"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690AB33B"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5A8ABA9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17254E8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0D4388A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tcPr>
          <w:p w14:paraId="72DE8486"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right w:val="single" w:sz="4" w:space="0" w:color="auto"/>
            </w:tcBorders>
            <w:shd w:val="clear" w:color="auto" w:fill="auto"/>
          </w:tcPr>
          <w:p w14:paraId="5D8EED4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02F363FC" w14:textId="77777777" w:rsidTr="00C41A39">
        <w:tc>
          <w:tcPr>
            <w:tcW w:w="657" w:type="pct"/>
            <w:tcBorders>
              <w:left w:val="single" w:sz="4" w:space="0" w:color="auto"/>
              <w:right w:val="single" w:sz="4" w:space="0" w:color="auto"/>
            </w:tcBorders>
            <w:shd w:val="clear" w:color="auto" w:fill="F2F2F2" w:themeFill="background1" w:themeFillShade="F2"/>
          </w:tcPr>
          <w:p w14:paraId="6A1A086C"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03C2174A"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4804359E"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291" w:type="pct"/>
            <w:tcBorders>
              <w:top w:val="nil"/>
              <w:left w:val="single" w:sz="4" w:space="0" w:color="auto"/>
              <w:right w:val="single" w:sz="12" w:space="0" w:color="auto"/>
            </w:tcBorders>
            <w:shd w:val="clear" w:color="auto" w:fill="auto"/>
          </w:tcPr>
          <w:p w14:paraId="6489D00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0.002</w:t>
            </w:r>
          </w:p>
        </w:tc>
        <w:tc>
          <w:tcPr>
            <w:tcW w:w="487" w:type="pct"/>
            <w:tcBorders>
              <w:top w:val="nil"/>
              <w:left w:val="single" w:sz="12" w:space="0" w:color="auto"/>
              <w:right w:val="single" w:sz="4" w:space="0" w:color="auto"/>
            </w:tcBorders>
            <w:shd w:val="clear" w:color="auto" w:fill="auto"/>
            <w:noWrap/>
            <w:vAlign w:val="center"/>
          </w:tcPr>
          <w:p w14:paraId="15FE906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 xml:space="preserve">0.025*** </w:t>
            </w:r>
          </w:p>
        </w:tc>
        <w:tc>
          <w:tcPr>
            <w:tcW w:w="298" w:type="pct"/>
            <w:tcBorders>
              <w:top w:val="nil"/>
              <w:left w:val="single" w:sz="4" w:space="0" w:color="auto"/>
              <w:right w:val="single" w:sz="4" w:space="0" w:color="auto"/>
            </w:tcBorders>
            <w:shd w:val="clear" w:color="auto" w:fill="auto"/>
            <w:noWrap/>
            <w:vAlign w:val="center"/>
          </w:tcPr>
          <w:p w14:paraId="61F5D265"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17" w:type="pct"/>
            <w:tcBorders>
              <w:left w:val="single" w:sz="4" w:space="0" w:color="auto"/>
              <w:right w:val="single" w:sz="4" w:space="0" w:color="auto"/>
            </w:tcBorders>
            <w:shd w:val="clear" w:color="auto" w:fill="auto"/>
            <w:vAlign w:val="center"/>
          </w:tcPr>
          <w:p w14:paraId="2E9561E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0.085***</w:t>
            </w:r>
          </w:p>
        </w:tc>
        <w:tc>
          <w:tcPr>
            <w:tcW w:w="290" w:type="pct"/>
            <w:tcBorders>
              <w:left w:val="single" w:sz="4" w:space="0" w:color="auto"/>
              <w:right w:val="single" w:sz="4" w:space="0" w:color="auto"/>
            </w:tcBorders>
            <w:shd w:val="clear" w:color="auto" w:fill="auto"/>
            <w:vAlign w:val="center"/>
          </w:tcPr>
          <w:p w14:paraId="33D8D1E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45" w:type="pct"/>
            <w:tcBorders>
              <w:top w:val="nil"/>
              <w:left w:val="single" w:sz="4" w:space="0" w:color="auto"/>
              <w:right w:val="single" w:sz="4" w:space="0" w:color="auto"/>
            </w:tcBorders>
            <w:shd w:val="clear" w:color="auto" w:fill="auto"/>
            <w:noWrap/>
            <w:vAlign w:val="center"/>
          </w:tcPr>
          <w:p w14:paraId="1FF84FC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0.024***</w:t>
            </w:r>
          </w:p>
        </w:tc>
        <w:tc>
          <w:tcPr>
            <w:tcW w:w="378" w:type="pct"/>
            <w:tcBorders>
              <w:top w:val="nil"/>
              <w:left w:val="single" w:sz="4" w:space="0" w:color="auto"/>
              <w:right w:val="single" w:sz="4" w:space="0" w:color="auto"/>
            </w:tcBorders>
            <w:shd w:val="clear" w:color="auto" w:fill="auto"/>
            <w:vAlign w:val="center"/>
          </w:tcPr>
          <w:p w14:paraId="14183645"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17" w:type="pct"/>
            <w:tcBorders>
              <w:left w:val="single" w:sz="4" w:space="0" w:color="auto"/>
              <w:right w:val="single" w:sz="4" w:space="0" w:color="auto"/>
            </w:tcBorders>
            <w:shd w:val="clear" w:color="auto" w:fill="auto"/>
            <w:vAlign w:val="center"/>
          </w:tcPr>
          <w:p w14:paraId="7FE6AD69" w14:textId="77777777" w:rsidR="00AC01C1" w:rsidRPr="00BE3491" w:rsidRDefault="00AC01C1" w:rsidP="00B25599">
            <w:pPr>
              <w:spacing w:after="0" w:line="240" w:lineRule="auto"/>
              <w:ind w:left="-5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-0.030***</w:t>
            </w:r>
          </w:p>
        </w:tc>
        <w:tc>
          <w:tcPr>
            <w:tcW w:w="291" w:type="pct"/>
            <w:tcBorders>
              <w:left w:val="single" w:sz="4" w:space="0" w:color="auto"/>
              <w:right w:val="single" w:sz="4" w:space="0" w:color="auto"/>
            </w:tcBorders>
            <w:shd w:val="clear" w:color="auto" w:fill="auto"/>
            <w:vAlign w:val="center"/>
          </w:tcPr>
          <w:p w14:paraId="4F9785C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0.003</w:t>
            </w:r>
          </w:p>
        </w:tc>
      </w:tr>
      <w:tr w:rsidR="00AC01C1" w:rsidRPr="00BE3491" w14:paraId="4CB01819" w14:textId="77777777" w:rsidTr="00C41A39">
        <w:tc>
          <w:tcPr>
            <w:tcW w:w="657" w:type="pct"/>
            <w:tcBorders>
              <w:left w:val="single" w:sz="4" w:space="0" w:color="auto"/>
              <w:right w:val="single" w:sz="4" w:space="0" w:color="auto"/>
            </w:tcBorders>
            <w:shd w:val="clear" w:color="auto" w:fill="F2F2F2" w:themeFill="background1" w:themeFillShade="F2"/>
          </w:tcPr>
          <w:p w14:paraId="4E4F5B5D"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5570EE0E"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686975CF"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0.024***</w:t>
            </w:r>
          </w:p>
        </w:tc>
        <w:tc>
          <w:tcPr>
            <w:tcW w:w="291" w:type="pct"/>
            <w:tcBorders>
              <w:top w:val="nil"/>
              <w:left w:val="single" w:sz="4" w:space="0" w:color="auto"/>
              <w:bottom w:val="single" w:sz="4" w:space="0" w:color="auto"/>
              <w:right w:val="single" w:sz="12" w:space="0" w:color="auto"/>
            </w:tcBorders>
            <w:shd w:val="clear" w:color="auto" w:fill="auto"/>
          </w:tcPr>
          <w:p w14:paraId="30D9878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0.002</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24310D2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0.021**</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08D2531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0.009</w:t>
            </w:r>
          </w:p>
        </w:tc>
        <w:tc>
          <w:tcPr>
            <w:tcW w:w="417" w:type="pct"/>
            <w:tcBorders>
              <w:left w:val="single" w:sz="4" w:space="0" w:color="auto"/>
              <w:bottom w:val="single" w:sz="4" w:space="0" w:color="auto"/>
              <w:right w:val="single" w:sz="4" w:space="0" w:color="auto"/>
            </w:tcBorders>
            <w:shd w:val="clear" w:color="auto" w:fill="auto"/>
            <w:vAlign w:val="center"/>
          </w:tcPr>
          <w:p w14:paraId="07CB06A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290" w:type="pct"/>
            <w:tcBorders>
              <w:left w:val="single" w:sz="4" w:space="0" w:color="auto"/>
              <w:bottom w:val="single" w:sz="4" w:space="0" w:color="auto"/>
              <w:right w:val="single" w:sz="4" w:space="0" w:color="auto"/>
            </w:tcBorders>
            <w:shd w:val="clear" w:color="auto" w:fill="auto"/>
            <w:vAlign w:val="center"/>
          </w:tcPr>
          <w:p w14:paraId="12CB185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1470F1F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0.015***</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4BFF1A9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17" w:type="pct"/>
            <w:tcBorders>
              <w:left w:val="single" w:sz="4" w:space="0" w:color="auto"/>
              <w:bottom w:val="single" w:sz="4" w:space="0" w:color="auto"/>
              <w:right w:val="single" w:sz="4" w:space="0" w:color="auto"/>
            </w:tcBorders>
            <w:shd w:val="clear" w:color="auto" w:fill="auto"/>
            <w:vAlign w:val="center"/>
          </w:tcPr>
          <w:p w14:paraId="14AD1EB4"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0.032***</w:t>
            </w:r>
          </w:p>
        </w:tc>
        <w:tc>
          <w:tcPr>
            <w:tcW w:w="291" w:type="pct"/>
            <w:tcBorders>
              <w:left w:val="single" w:sz="4" w:space="0" w:color="auto"/>
              <w:bottom w:val="single" w:sz="4" w:space="0" w:color="auto"/>
              <w:right w:val="single" w:sz="4" w:space="0" w:color="auto"/>
            </w:tcBorders>
            <w:shd w:val="clear" w:color="auto" w:fill="auto"/>
            <w:vAlign w:val="center"/>
          </w:tcPr>
          <w:p w14:paraId="507FAA2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0.003</w:t>
            </w:r>
          </w:p>
        </w:tc>
      </w:tr>
      <w:tr w:rsidR="00AC01C1" w:rsidRPr="00BE3491" w14:paraId="706BF2F6"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1A99672D"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0A17F900"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54B82BB2"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3.355***</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38713C6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0.010</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B282FF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3.472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4CEB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0.026</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C3A9D3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3.573***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2FAF22E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9AC8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3.640***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DEB3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0.020</w:t>
            </w:r>
          </w:p>
        </w:tc>
        <w:tc>
          <w:tcPr>
            <w:tcW w:w="417" w:type="pct"/>
            <w:tcBorders>
              <w:top w:val="single" w:sz="4" w:space="0" w:color="auto"/>
            </w:tcBorders>
            <w:shd w:val="clear" w:color="auto" w:fill="auto"/>
            <w:vAlign w:val="center"/>
          </w:tcPr>
          <w:p w14:paraId="11F4EA1B"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3.572***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BC5DAE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0.016</w:t>
            </w:r>
          </w:p>
        </w:tc>
      </w:tr>
      <w:tr w:rsidR="00AC01C1" w:rsidRPr="00BE3491" w14:paraId="39723AF9"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7854AACB"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63292F72"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3E0E1270"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989650</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3CE62D5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195983</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6566A74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221400</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2E2CBAAB"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154768</w:t>
            </w:r>
          </w:p>
        </w:tc>
        <w:tc>
          <w:tcPr>
            <w:tcW w:w="708" w:type="pct"/>
            <w:gridSpan w:val="2"/>
            <w:tcBorders>
              <w:top w:val="single" w:sz="4" w:space="0" w:color="auto"/>
              <w:right w:val="single" w:sz="4" w:space="0" w:color="auto"/>
            </w:tcBorders>
            <w:shd w:val="clear" w:color="auto" w:fill="auto"/>
          </w:tcPr>
          <w:p w14:paraId="05020479"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247123</w:t>
            </w:r>
          </w:p>
        </w:tc>
      </w:tr>
      <w:tr w:rsidR="00AC01C1" w:rsidRPr="00BE3491" w14:paraId="1E0CBC7A"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6E4D31F4"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22825321"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7CBBEBA1"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0.432</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504B8D1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0.418</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103F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0.390</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B2460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0.401</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1934EA49"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0.440</w:t>
            </w:r>
          </w:p>
        </w:tc>
      </w:tr>
      <w:tr w:rsidR="00AC01C1" w:rsidRPr="00BE3491" w14:paraId="329FCB57" w14:textId="77777777" w:rsidTr="00C41A39">
        <w:tc>
          <w:tcPr>
            <w:tcW w:w="657" w:type="pct"/>
            <w:tcBorders>
              <w:top w:val="single" w:sz="4" w:space="0" w:color="auto"/>
              <w:left w:val="single" w:sz="4" w:space="0" w:color="auto"/>
              <w:right w:val="single" w:sz="4" w:space="0" w:color="auto"/>
            </w:tcBorders>
            <w:shd w:val="clear" w:color="auto" w:fill="F2F2F2" w:themeFill="background1" w:themeFillShade="F2"/>
          </w:tcPr>
          <w:p w14:paraId="69A75282"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Electricity</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53153C4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70B6AE68"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2B4DCF95"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63214E16"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0FBD7C5C"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73588B25"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26DEED5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5144402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425EFE2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5149D98A"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192B712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4F5A76C0" w14:textId="77777777" w:rsidTr="00C41A39">
        <w:tc>
          <w:tcPr>
            <w:tcW w:w="657" w:type="pct"/>
            <w:tcBorders>
              <w:left w:val="single" w:sz="4" w:space="0" w:color="auto"/>
              <w:right w:val="single" w:sz="4" w:space="0" w:color="auto"/>
            </w:tcBorders>
            <w:shd w:val="clear" w:color="auto" w:fill="F2F2F2" w:themeFill="background1" w:themeFillShade="F2"/>
          </w:tcPr>
          <w:p w14:paraId="3748A5F8"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7913DB01"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09C5B33F"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-0.186***</w:t>
            </w:r>
          </w:p>
        </w:tc>
        <w:tc>
          <w:tcPr>
            <w:tcW w:w="291" w:type="pct"/>
            <w:tcBorders>
              <w:top w:val="nil"/>
              <w:left w:val="single" w:sz="4" w:space="0" w:color="auto"/>
              <w:right w:val="single" w:sz="12" w:space="0" w:color="auto"/>
            </w:tcBorders>
            <w:shd w:val="clear" w:color="auto" w:fill="auto"/>
          </w:tcPr>
          <w:p w14:paraId="007A315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0.002</w:t>
            </w:r>
          </w:p>
        </w:tc>
        <w:tc>
          <w:tcPr>
            <w:tcW w:w="487" w:type="pct"/>
            <w:tcBorders>
              <w:top w:val="nil"/>
              <w:left w:val="single" w:sz="12" w:space="0" w:color="auto"/>
              <w:right w:val="single" w:sz="4" w:space="0" w:color="auto"/>
            </w:tcBorders>
            <w:shd w:val="clear" w:color="auto" w:fill="auto"/>
            <w:noWrap/>
            <w:vAlign w:val="center"/>
          </w:tcPr>
          <w:p w14:paraId="6AC4561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-0.2363***</w:t>
            </w:r>
          </w:p>
        </w:tc>
        <w:tc>
          <w:tcPr>
            <w:tcW w:w="298" w:type="pct"/>
            <w:tcBorders>
              <w:top w:val="nil"/>
              <w:left w:val="single" w:sz="4" w:space="0" w:color="auto"/>
              <w:right w:val="single" w:sz="4" w:space="0" w:color="auto"/>
            </w:tcBorders>
            <w:shd w:val="clear" w:color="auto" w:fill="auto"/>
            <w:noWrap/>
            <w:vAlign w:val="center"/>
          </w:tcPr>
          <w:p w14:paraId="0928592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17" w:type="pct"/>
            <w:tcBorders>
              <w:left w:val="single" w:sz="4" w:space="0" w:color="auto"/>
              <w:right w:val="single" w:sz="4" w:space="0" w:color="auto"/>
            </w:tcBorders>
            <w:shd w:val="clear" w:color="auto" w:fill="auto"/>
            <w:vAlign w:val="center"/>
          </w:tcPr>
          <w:p w14:paraId="6BF0D819"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-0.181***</w:t>
            </w:r>
          </w:p>
        </w:tc>
        <w:tc>
          <w:tcPr>
            <w:tcW w:w="290" w:type="pct"/>
            <w:tcBorders>
              <w:left w:val="single" w:sz="4" w:space="0" w:color="auto"/>
              <w:right w:val="single" w:sz="4" w:space="0" w:color="auto"/>
            </w:tcBorders>
            <w:shd w:val="clear" w:color="auto" w:fill="auto"/>
            <w:vAlign w:val="center"/>
          </w:tcPr>
          <w:p w14:paraId="119F3A5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45" w:type="pct"/>
            <w:tcBorders>
              <w:top w:val="nil"/>
              <w:left w:val="single" w:sz="4" w:space="0" w:color="auto"/>
              <w:right w:val="single" w:sz="4" w:space="0" w:color="auto"/>
            </w:tcBorders>
            <w:shd w:val="clear" w:color="auto" w:fill="auto"/>
            <w:noWrap/>
            <w:vAlign w:val="center"/>
          </w:tcPr>
          <w:p w14:paraId="248E97E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-0.180***</w:t>
            </w:r>
          </w:p>
        </w:tc>
        <w:tc>
          <w:tcPr>
            <w:tcW w:w="378" w:type="pct"/>
            <w:tcBorders>
              <w:top w:val="nil"/>
              <w:left w:val="single" w:sz="4" w:space="0" w:color="auto"/>
              <w:right w:val="single" w:sz="4" w:space="0" w:color="auto"/>
            </w:tcBorders>
            <w:shd w:val="clear" w:color="auto" w:fill="auto"/>
            <w:noWrap/>
            <w:vAlign w:val="center"/>
          </w:tcPr>
          <w:p w14:paraId="0D65CFB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17" w:type="pct"/>
            <w:tcBorders>
              <w:top w:val="nil"/>
              <w:left w:val="single" w:sz="4" w:space="0" w:color="auto"/>
              <w:right w:val="single" w:sz="4" w:space="0" w:color="auto"/>
            </w:tcBorders>
            <w:shd w:val="clear" w:color="auto" w:fill="auto"/>
            <w:vAlign w:val="center"/>
          </w:tcPr>
          <w:p w14:paraId="15DE3058" w14:textId="77777777" w:rsidR="00AC01C1" w:rsidRPr="00BE3491" w:rsidRDefault="00AC01C1" w:rsidP="00B25599">
            <w:pPr>
              <w:spacing w:after="0" w:line="240" w:lineRule="auto"/>
              <w:ind w:left="-5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-0.138***</w:t>
            </w:r>
          </w:p>
        </w:tc>
        <w:tc>
          <w:tcPr>
            <w:tcW w:w="291" w:type="pct"/>
            <w:tcBorders>
              <w:top w:val="nil"/>
              <w:left w:val="single" w:sz="4" w:space="0" w:color="auto"/>
              <w:right w:val="single" w:sz="4" w:space="0" w:color="auto"/>
            </w:tcBorders>
            <w:shd w:val="clear" w:color="auto" w:fill="auto"/>
            <w:vAlign w:val="center"/>
          </w:tcPr>
          <w:p w14:paraId="07F14E6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r>
      <w:tr w:rsidR="00AC01C1" w:rsidRPr="00BE3491" w14:paraId="40062E19" w14:textId="77777777" w:rsidTr="00C41A39">
        <w:tc>
          <w:tcPr>
            <w:tcW w:w="657" w:type="pct"/>
            <w:tcBorders>
              <w:left w:val="single" w:sz="4" w:space="0" w:color="auto"/>
              <w:right w:val="single" w:sz="4" w:space="0" w:color="auto"/>
            </w:tcBorders>
            <w:shd w:val="clear" w:color="auto" w:fill="F2F2F2" w:themeFill="background1" w:themeFillShade="F2"/>
          </w:tcPr>
          <w:p w14:paraId="5C8A84B5"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4911EF3E"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5013EF0B"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0.037***</w:t>
            </w:r>
          </w:p>
        </w:tc>
        <w:tc>
          <w:tcPr>
            <w:tcW w:w="291" w:type="pct"/>
            <w:tcBorders>
              <w:top w:val="nil"/>
              <w:left w:val="single" w:sz="4" w:space="0" w:color="auto"/>
              <w:bottom w:val="single" w:sz="4" w:space="0" w:color="auto"/>
              <w:right w:val="single" w:sz="12" w:space="0" w:color="auto"/>
            </w:tcBorders>
            <w:shd w:val="clear" w:color="auto" w:fill="auto"/>
          </w:tcPr>
          <w:p w14:paraId="27C66AD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0.002</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01FC840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0.058***</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4F61F1E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c>
          <w:tcPr>
            <w:tcW w:w="417" w:type="pct"/>
            <w:tcBorders>
              <w:left w:val="single" w:sz="4" w:space="0" w:color="auto"/>
              <w:bottom w:val="single" w:sz="4" w:space="0" w:color="auto"/>
              <w:right w:val="single" w:sz="4" w:space="0" w:color="auto"/>
            </w:tcBorders>
            <w:shd w:val="clear" w:color="auto" w:fill="auto"/>
            <w:vAlign w:val="center"/>
          </w:tcPr>
          <w:p w14:paraId="7B8A4AA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0.079***</w:t>
            </w:r>
          </w:p>
        </w:tc>
        <w:tc>
          <w:tcPr>
            <w:tcW w:w="290" w:type="pct"/>
            <w:tcBorders>
              <w:left w:val="single" w:sz="4" w:space="0" w:color="auto"/>
              <w:bottom w:val="single" w:sz="4" w:space="0" w:color="auto"/>
              <w:right w:val="single" w:sz="4" w:space="0" w:color="auto"/>
            </w:tcBorders>
            <w:shd w:val="clear" w:color="auto" w:fill="auto"/>
            <w:vAlign w:val="center"/>
          </w:tcPr>
          <w:p w14:paraId="035F567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7B85E7A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0.057***</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5B13ECB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17" w:type="pct"/>
            <w:tcBorders>
              <w:top w:val="nil"/>
              <w:left w:val="single" w:sz="4" w:space="0" w:color="auto"/>
              <w:bottom w:val="single" w:sz="4" w:space="0" w:color="auto"/>
              <w:right w:val="single" w:sz="4" w:space="0" w:color="auto"/>
            </w:tcBorders>
            <w:shd w:val="clear" w:color="auto" w:fill="auto"/>
            <w:vAlign w:val="center"/>
          </w:tcPr>
          <w:p w14:paraId="266E2C89"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0.025***</w:t>
            </w:r>
          </w:p>
        </w:tc>
        <w:tc>
          <w:tcPr>
            <w:tcW w:w="291" w:type="pct"/>
            <w:tcBorders>
              <w:top w:val="nil"/>
              <w:left w:val="single" w:sz="4" w:space="0" w:color="auto"/>
              <w:bottom w:val="single" w:sz="4" w:space="0" w:color="auto"/>
              <w:right w:val="single" w:sz="4" w:space="0" w:color="auto"/>
            </w:tcBorders>
            <w:shd w:val="clear" w:color="auto" w:fill="auto"/>
            <w:vAlign w:val="center"/>
          </w:tcPr>
          <w:p w14:paraId="6BAF52B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r>
      <w:tr w:rsidR="00AC01C1" w:rsidRPr="00BE3491" w14:paraId="672C0CD7"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48233E4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0B19621F"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67D5EC71"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3.539***</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14DC993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0.015</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DEDED7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3.707</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B504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0.033</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C02DB0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3.585***</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549885D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0.029</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33FB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3.564***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0AC5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0.032</w:t>
            </w:r>
          </w:p>
        </w:tc>
        <w:tc>
          <w:tcPr>
            <w:tcW w:w="417" w:type="pct"/>
            <w:tcBorders>
              <w:top w:val="single" w:sz="4" w:space="0" w:color="auto"/>
            </w:tcBorders>
            <w:shd w:val="clear" w:color="auto" w:fill="auto"/>
            <w:vAlign w:val="center"/>
          </w:tcPr>
          <w:p w14:paraId="08A17E46"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3.602***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675FB0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0.025</w:t>
            </w:r>
          </w:p>
        </w:tc>
      </w:tr>
      <w:tr w:rsidR="00AC01C1" w:rsidRPr="00BE3491" w14:paraId="7685720C"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1FF57105"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25FD894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0A887F67"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334295</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318C49A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79836</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6DF1ED65"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80555</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752D2D3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57667</w:t>
            </w:r>
          </w:p>
        </w:tc>
        <w:tc>
          <w:tcPr>
            <w:tcW w:w="708" w:type="pct"/>
            <w:gridSpan w:val="2"/>
            <w:tcBorders>
              <w:top w:val="single" w:sz="4" w:space="0" w:color="auto"/>
              <w:right w:val="single" w:sz="4" w:space="0" w:color="auto"/>
            </w:tcBorders>
            <w:shd w:val="clear" w:color="auto" w:fill="auto"/>
          </w:tcPr>
          <w:p w14:paraId="612C2B49"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68558</w:t>
            </w:r>
          </w:p>
        </w:tc>
      </w:tr>
      <w:tr w:rsidR="00AC01C1" w:rsidRPr="00BE3491" w14:paraId="167B8B0D"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78753117"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42E92D93"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068641BD"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0.595</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6794A14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0.580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FB6A9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0.584</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362317"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0.583</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42ECEE37"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0.615</w:t>
            </w:r>
          </w:p>
        </w:tc>
      </w:tr>
      <w:tr w:rsidR="00AC01C1" w:rsidRPr="00BE3491" w14:paraId="7A5EB79C" w14:textId="77777777" w:rsidTr="00C41A39">
        <w:trPr>
          <w:trHeight w:val="170"/>
        </w:trPr>
        <w:tc>
          <w:tcPr>
            <w:tcW w:w="657" w:type="pct"/>
            <w:tcBorders>
              <w:top w:val="single" w:sz="4" w:space="0" w:color="auto"/>
              <w:left w:val="single" w:sz="4" w:space="0" w:color="auto"/>
              <w:right w:val="single" w:sz="4" w:space="0" w:color="auto"/>
            </w:tcBorders>
            <w:shd w:val="clear" w:color="auto" w:fill="F2F2F2" w:themeFill="background1" w:themeFillShade="F2"/>
          </w:tcPr>
          <w:p w14:paraId="1C9227C0"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Construction</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2E0BA2CE"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0F717934"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0F43747E"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29D8CCE2"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7D38BC0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04929F7B"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07FCEF0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0D6B968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737958A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114A182B"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628DF0E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602A11ED" w14:textId="77777777" w:rsidTr="00C41A39">
        <w:tc>
          <w:tcPr>
            <w:tcW w:w="657" w:type="pct"/>
            <w:tcBorders>
              <w:left w:val="single" w:sz="4" w:space="0" w:color="auto"/>
              <w:right w:val="single" w:sz="4" w:space="0" w:color="auto"/>
            </w:tcBorders>
            <w:shd w:val="clear" w:color="auto" w:fill="F2F2F2" w:themeFill="background1" w:themeFillShade="F2"/>
          </w:tcPr>
          <w:p w14:paraId="1EB6CDA4"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65FBCAB1"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079BD866"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0.018***</w:t>
            </w:r>
          </w:p>
        </w:tc>
        <w:tc>
          <w:tcPr>
            <w:tcW w:w="291" w:type="pct"/>
            <w:tcBorders>
              <w:top w:val="nil"/>
              <w:left w:val="single" w:sz="4" w:space="0" w:color="auto"/>
              <w:right w:val="single" w:sz="12" w:space="0" w:color="auto"/>
            </w:tcBorders>
            <w:shd w:val="clear" w:color="auto" w:fill="auto"/>
          </w:tcPr>
          <w:p w14:paraId="00C96A5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87" w:type="pct"/>
            <w:tcBorders>
              <w:top w:val="nil"/>
              <w:left w:val="single" w:sz="12" w:space="0" w:color="auto"/>
              <w:right w:val="single" w:sz="4" w:space="0" w:color="auto"/>
            </w:tcBorders>
            <w:shd w:val="clear" w:color="auto" w:fill="auto"/>
            <w:noWrap/>
            <w:vAlign w:val="center"/>
          </w:tcPr>
          <w:p w14:paraId="4A0168A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-0.036***</w:t>
            </w:r>
          </w:p>
        </w:tc>
        <w:tc>
          <w:tcPr>
            <w:tcW w:w="298" w:type="pct"/>
            <w:tcBorders>
              <w:top w:val="nil"/>
              <w:left w:val="single" w:sz="4" w:space="0" w:color="auto"/>
              <w:right w:val="single" w:sz="4" w:space="0" w:color="auto"/>
            </w:tcBorders>
            <w:shd w:val="clear" w:color="auto" w:fill="auto"/>
            <w:noWrap/>
            <w:vAlign w:val="center"/>
          </w:tcPr>
          <w:p w14:paraId="3319328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0.007</w:t>
            </w:r>
          </w:p>
        </w:tc>
        <w:tc>
          <w:tcPr>
            <w:tcW w:w="417" w:type="pct"/>
            <w:tcBorders>
              <w:left w:val="single" w:sz="4" w:space="0" w:color="auto"/>
              <w:right w:val="single" w:sz="4" w:space="0" w:color="auto"/>
            </w:tcBorders>
            <w:shd w:val="clear" w:color="auto" w:fill="auto"/>
            <w:vAlign w:val="center"/>
          </w:tcPr>
          <w:p w14:paraId="68B43224"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0.108***</w:t>
            </w:r>
          </w:p>
        </w:tc>
        <w:tc>
          <w:tcPr>
            <w:tcW w:w="290" w:type="pct"/>
            <w:tcBorders>
              <w:left w:val="single" w:sz="4" w:space="0" w:color="auto"/>
              <w:right w:val="single" w:sz="4" w:space="0" w:color="auto"/>
            </w:tcBorders>
            <w:shd w:val="clear" w:color="auto" w:fill="auto"/>
            <w:vAlign w:val="center"/>
          </w:tcPr>
          <w:p w14:paraId="63F48BC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c>
          <w:tcPr>
            <w:tcW w:w="445" w:type="pct"/>
            <w:tcBorders>
              <w:top w:val="nil"/>
              <w:left w:val="single" w:sz="4" w:space="0" w:color="auto"/>
              <w:right w:val="single" w:sz="4" w:space="0" w:color="auto"/>
            </w:tcBorders>
            <w:shd w:val="clear" w:color="auto" w:fill="auto"/>
            <w:noWrap/>
            <w:vAlign w:val="center"/>
          </w:tcPr>
          <w:p w14:paraId="37A274E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0.161***</w:t>
            </w:r>
          </w:p>
        </w:tc>
        <w:tc>
          <w:tcPr>
            <w:tcW w:w="378" w:type="pct"/>
            <w:tcBorders>
              <w:top w:val="nil"/>
              <w:left w:val="single" w:sz="4" w:space="0" w:color="auto"/>
              <w:right w:val="single" w:sz="4" w:space="0" w:color="auto"/>
            </w:tcBorders>
            <w:shd w:val="clear" w:color="auto" w:fill="auto"/>
            <w:noWrap/>
            <w:vAlign w:val="center"/>
          </w:tcPr>
          <w:p w14:paraId="6E6BC38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0.009</w:t>
            </w:r>
          </w:p>
        </w:tc>
        <w:tc>
          <w:tcPr>
            <w:tcW w:w="417" w:type="pct"/>
            <w:tcBorders>
              <w:top w:val="nil"/>
              <w:left w:val="single" w:sz="4" w:space="0" w:color="auto"/>
              <w:right w:val="single" w:sz="4" w:space="0" w:color="auto"/>
            </w:tcBorders>
            <w:shd w:val="clear" w:color="auto" w:fill="auto"/>
            <w:vAlign w:val="center"/>
          </w:tcPr>
          <w:p w14:paraId="37398E7A" w14:textId="77777777" w:rsidR="00AC01C1" w:rsidRPr="00BE3491" w:rsidRDefault="00AC01C1" w:rsidP="00B25599">
            <w:pPr>
              <w:spacing w:after="0" w:line="240" w:lineRule="auto"/>
              <w:ind w:left="-5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-0.182***</w:t>
            </w:r>
          </w:p>
        </w:tc>
        <w:tc>
          <w:tcPr>
            <w:tcW w:w="291" w:type="pct"/>
            <w:tcBorders>
              <w:top w:val="nil"/>
              <w:left w:val="single" w:sz="4" w:space="0" w:color="auto"/>
              <w:right w:val="single" w:sz="4" w:space="0" w:color="auto"/>
            </w:tcBorders>
            <w:shd w:val="clear" w:color="auto" w:fill="auto"/>
            <w:vAlign w:val="center"/>
          </w:tcPr>
          <w:p w14:paraId="361BB63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0.014</w:t>
            </w:r>
          </w:p>
        </w:tc>
      </w:tr>
      <w:tr w:rsidR="00AC01C1" w:rsidRPr="00BE3491" w14:paraId="72D0DA53" w14:textId="77777777" w:rsidTr="00C41A39">
        <w:tc>
          <w:tcPr>
            <w:tcW w:w="657" w:type="pct"/>
            <w:tcBorders>
              <w:left w:val="single" w:sz="4" w:space="0" w:color="auto"/>
              <w:right w:val="single" w:sz="4" w:space="0" w:color="auto"/>
            </w:tcBorders>
            <w:shd w:val="clear" w:color="auto" w:fill="F2F2F2" w:themeFill="background1" w:themeFillShade="F2"/>
          </w:tcPr>
          <w:p w14:paraId="48FEA8E8"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6CA2B720"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39584794"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0.060***</w:t>
            </w:r>
          </w:p>
        </w:tc>
        <w:tc>
          <w:tcPr>
            <w:tcW w:w="291" w:type="pct"/>
            <w:tcBorders>
              <w:top w:val="nil"/>
              <w:left w:val="single" w:sz="4" w:space="0" w:color="auto"/>
              <w:bottom w:val="single" w:sz="4" w:space="0" w:color="auto"/>
              <w:right w:val="single" w:sz="12" w:space="0" w:color="auto"/>
            </w:tcBorders>
            <w:shd w:val="clear" w:color="auto" w:fill="auto"/>
          </w:tcPr>
          <w:p w14:paraId="0ABEC37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0.007</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535DB01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0.029</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4C39C9A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0.023</w:t>
            </w:r>
          </w:p>
        </w:tc>
        <w:tc>
          <w:tcPr>
            <w:tcW w:w="417" w:type="pct"/>
            <w:tcBorders>
              <w:left w:val="single" w:sz="4" w:space="0" w:color="auto"/>
              <w:bottom w:val="single" w:sz="4" w:space="0" w:color="auto"/>
              <w:right w:val="single" w:sz="4" w:space="0" w:color="auto"/>
            </w:tcBorders>
            <w:shd w:val="clear" w:color="auto" w:fill="auto"/>
            <w:vAlign w:val="center"/>
          </w:tcPr>
          <w:p w14:paraId="5FFA27A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0.139***</w:t>
            </w:r>
          </w:p>
        </w:tc>
        <w:tc>
          <w:tcPr>
            <w:tcW w:w="290" w:type="pct"/>
            <w:tcBorders>
              <w:left w:val="single" w:sz="4" w:space="0" w:color="auto"/>
              <w:bottom w:val="single" w:sz="4" w:space="0" w:color="auto"/>
              <w:right w:val="single" w:sz="4" w:space="0" w:color="auto"/>
            </w:tcBorders>
            <w:shd w:val="clear" w:color="auto" w:fill="auto"/>
            <w:vAlign w:val="center"/>
          </w:tcPr>
          <w:p w14:paraId="1AD0ABB5"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0.014</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5257F76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0.074***</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13BAEA2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0.013</w:t>
            </w:r>
          </w:p>
        </w:tc>
        <w:tc>
          <w:tcPr>
            <w:tcW w:w="417" w:type="pct"/>
            <w:tcBorders>
              <w:top w:val="nil"/>
              <w:left w:val="single" w:sz="4" w:space="0" w:color="auto"/>
              <w:bottom w:val="single" w:sz="4" w:space="0" w:color="auto"/>
              <w:right w:val="single" w:sz="4" w:space="0" w:color="auto"/>
            </w:tcBorders>
            <w:shd w:val="clear" w:color="auto" w:fill="auto"/>
            <w:vAlign w:val="center"/>
          </w:tcPr>
          <w:p w14:paraId="04B6D6A8"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0.000</w:t>
            </w:r>
          </w:p>
        </w:tc>
        <w:tc>
          <w:tcPr>
            <w:tcW w:w="291" w:type="pct"/>
            <w:tcBorders>
              <w:top w:val="nil"/>
              <w:left w:val="single" w:sz="4" w:space="0" w:color="auto"/>
              <w:bottom w:val="single" w:sz="4" w:space="0" w:color="auto"/>
              <w:right w:val="single" w:sz="4" w:space="0" w:color="auto"/>
            </w:tcBorders>
            <w:shd w:val="clear" w:color="auto" w:fill="auto"/>
            <w:vAlign w:val="center"/>
          </w:tcPr>
          <w:p w14:paraId="7555ACB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0.010</w:t>
            </w:r>
          </w:p>
        </w:tc>
      </w:tr>
      <w:tr w:rsidR="00AC01C1" w:rsidRPr="00BE3491" w14:paraId="406AF38C"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5154922B"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34786ABE"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0AA3BCD0"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3.599***</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468F3D7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0.025</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036107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3.783***</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37AD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0.050</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D2BF4A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3.969***</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0A567B0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0.056</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A576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3.949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86D3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0.046</w:t>
            </w:r>
          </w:p>
        </w:tc>
        <w:tc>
          <w:tcPr>
            <w:tcW w:w="417" w:type="pct"/>
            <w:tcBorders>
              <w:top w:val="single" w:sz="4" w:space="0" w:color="auto"/>
            </w:tcBorders>
            <w:shd w:val="clear" w:color="auto" w:fill="auto"/>
            <w:vAlign w:val="center"/>
          </w:tcPr>
          <w:p w14:paraId="0B431D3F"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3.786</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8C59ED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0.043</w:t>
            </w:r>
          </w:p>
        </w:tc>
      </w:tr>
      <w:tr w:rsidR="00AC01C1" w:rsidRPr="00BE3491" w14:paraId="76C13EDA"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620E151A"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514C7F14"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7EB40D09"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253247</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5C650C4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65957</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2B93E85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73478</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64460DF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38943</w:t>
            </w:r>
          </w:p>
        </w:tc>
        <w:tc>
          <w:tcPr>
            <w:tcW w:w="708" w:type="pct"/>
            <w:gridSpan w:val="2"/>
            <w:tcBorders>
              <w:top w:val="single" w:sz="4" w:space="0" w:color="auto"/>
              <w:right w:val="single" w:sz="4" w:space="0" w:color="auto"/>
            </w:tcBorders>
            <w:shd w:val="clear" w:color="auto" w:fill="auto"/>
          </w:tcPr>
          <w:p w14:paraId="6E921F22"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35311</w:t>
            </w:r>
          </w:p>
        </w:tc>
      </w:tr>
      <w:tr w:rsidR="00AC01C1" w:rsidRPr="00BE3491" w14:paraId="7CF00A85"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6E9539C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6DD6D951"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665BD7A8"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0.386</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6C6D432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0.423</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5804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0.344</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066F9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0.333</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4DF2F6BA"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0.378</w:t>
            </w:r>
          </w:p>
        </w:tc>
      </w:tr>
      <w:tr w:rsidR="00AC01C1" w:rsidRPr="00BE3491" w14:paraId="1087A432" w14:textId="77777777" w:rsidTr="00C41A39">
        <w:tc>
          <w:tcPr>
            <w:tcW w:w="657" w:type="pct"/>
            <w:tcBorders>
              <w:top w:val="single" w:sz="4" w:space="0" w:color="auto"/>
              <w:left w:val="single" w:sz="4" w:space="0" w:color="auto"/>
              <w:right w:val="single" w:sz="4" w:space="0" w:color="auto"/>
            </w:tcBorders>
            <w:shd w:val="clear" w:color="auto" w:fill="F2F2F2" w:themeFill="background1" w:themeFillShade="F2"/>
          </w:tcPr>
          <w:p w14:paraId="1FD07F10"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Trade</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1CA74E46"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59729584"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1BDECABD"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4D1469B5"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232835AC"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589FD70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070A308C"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2CF51306"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50E78E7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5E5066E8"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4D88B4A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77A22466" w14:textId="77777777" w:rsidTr="00C41A39">
        <w:tc>
          <w:tcPr>
            <w:tcW w:w="657" w:type="pct"/>
            <w:tcBorders>
              <w:left w:val="single" w:sz="4" w:space="0" w:color="auto"/>
              <w:right w:val="single" w:sz="4" w:space="0" w:color="auto"/>
            </w:tcBorders>
            <w:shd w:val="clear" w:color="auto" w:fill="F2F2F2" w:themeFill="background1" w:themeFillShade="F2"/>
          </w:tcPr>
          <w:p w14:paraId="3EB2BBC0"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69D98752"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59293512"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0.058***</w:t>
            </w:r>
          </w:p>
        </w:tc>
        <w:tc>
          <w:tcPr>
            <w:tcW w:w="291" w:type="pct"/>
            <w:tcBorders>
              <w:top w:val="nil"/>
              <w:left w:val="single" w:sz="4" w:space="0" w:color="auto"/>
              <w:right w:val="single" w:sz="12" w:space="0" w:color="auto"/>
            </w:tcBorders>
            <w:shd w:val="clear" w:color="auto" w:fill="auto"/>
          </w:tcPr>
          <w:p w14:paraId="1CE5DD0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87" w:type="pct"/>
            <w:tcBorders>
              <w:top w:val="nil"/>
              <w:left w:val="single" w:sz="12" w:space="0" w:color="auto"/>
              <w:right w:val="single" w:sz="4" w:space="0" w:color="auto"/>
            </w:tcBorders>
            <w:shd w:val="clear" w:color="auto" w:fill="auto"/>
            <w:noWrap/>
            <w:vAlign w:val="center"/>
          </w:tcPr>
          <w:p w14:paraId="395D98E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0.016***</w:t>
            </w:r>
          </w:p>
        </w:tc>
        <w:tc>
          <w:tcPr>
            <w:tcW w:w="298" w:type="pct"/>
            <w:tcBorders>
              <w:top w:val="nil"/>
              <w:left w:val="single" w:sz="4" w:space="0" w:color="auto"/>
              <w:right w:val="single" w:sz="4" w:space="0" w:color="auto"/>
            </w:tcBorders>
            <w:shd w:val="clear" w:color="auto" w:fill="auto"/>
            <w:noWrap/>
            <w:vAlign w:val="center"/>
          </w:tcPr>
          <w:p w14:paraId="56BEDE2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c>
          <w:tcPr>
            <w:tcW w:w="417" w:type="pct"/>
            <w:tcBorders>
              <w:left w:val="single" w:sz="4" w:space="0" w:color="auto"/>
              <w:right w:val="single" w:sz="4" w:space="0" w:color="auto"/>
            </w:tcBorders>
            <w:shd w:val="clear" w:color="auto" w:fill="auto"/>
            <w:vAlign w:val="center"/>
          </w:tcPr>
          <w:p w14:paraId="735E80DF"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0.108***</w:t>
            </w:r>
          </w:p>
        </w:tc>
        <w:tc>
          <w:tcPr>
            <w:tcW w:w="290" w:type="pct"/>
            <w:tcBorders>
              <w:left w:val="single" w:sz="4" w:space="0" w:color="auto"/>
              <w:right w:val="single" w:sz="4" w:space="0" w:color="auto"/>
            </w:tcBorders>
            <w:shd w:val="clear" w:color="auto" w:fill="auto"/>
            <w:vAlign w:val="center"/>
          </w:tcPr>
          <w:p w14:paraId="0B82D60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0.011</w:t>
            </w:r>
          </w:p>
        </w:tc>
        <w:tc>
          <w:tcPr>
            <w:tcW w:w="445" w:type="pct"/>
            <w:tcBorders>
              <w:top w:val="nil"/>
              <w:left w:val="single" w:sz="4" w:space="0" w:color="auto"/>
              <w:right w:val="single" w:sz="4" w:space="0" w:color="auto"/>
            </w:tcBorders>
            <w:shd w:val="clear" w:color="auto" w:fill="auto"/>
            <w:noWrap/>
            <w:vAlign w:val="center"/>
          </w:tcPr>
          <w:p w14:paraId="3558F34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-0.024</w:t>
            </w:r>
          </w:p>
        </w:tc>
        <w:tc>
          <w:tcPr>
            <w:tcW w:w="378" w:type="pct"/>
            <w:tcBorders>
              <w:top w:val="nil"/>
              <w:left w:val="single" w:sz="4" w:space="0" w:color="auto"/>
              <w:right w:val="single" w:sz="4" w:space="0" w:color="auto"/>
            </w:tcBorders>
            <w:shd w:val="clear" w:color="auto" w:fill="auto"/>
            <w:noWrap/>
            <w:vAlign w:val="center"/>
          </w:tcPr>
          <w:p w14:paraId="3078C70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0.013</w:t>
            </w:r>
          </w:p>
        </w:tc>
        <w:tc>
          <w:tcPr>
            <w:tcW w:w="417" w:type="pct"/>
            <w:tcBorders>
              <w:top w:val="nil"/>
              <w:left w:val="single" w:sz="4" w:space="0" w:color="auto"/>
              <w:right w:val="single" w:sz="4" w:space="0" w:color="auto"/>
            </w:tcBorders>
            <w:shd w:val="clear" w:color="auto" w:fill="auto"/>
            <w:vAlign w:val="center"/>
          </w:tcPr>
          <w:p w14:paraId="2477224B" w14:textId="77777777" w:rsidR="00AC01C1" w:rsidRPr="00BE3491" w:rsidRDefault="00AC01C1" w:rsidP="00B25599">
            <w:pPr>
              <w:spacing w:after="0" w:line="240" w:lineRule="auto"/>
              <w:ind w:left="-5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-0.048***</w:t>
            </w:r>
          </w:p>
        </w:tc>
        <w:tc>
          <w:tcPr>
            <w:tcW w:w="291" w:type="pct"/>
            <w:tcBorders>
              <w:top w:val="nil"/>
              <w:left w:val="single" w:sz="4" w:space="0" w:color="auto"/>
              <w:right w:val="single" w:sz="4" w:space="0" w:color="auto"/>
            </w:tcBorders>
            <w:shd w:val="clear" w:color="auto" w:fill="auto"/>
            <w:vAlign w:val="center"/>
          </w:tcPr>
          <w:p w14:paraId="096B622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0.013</w:t>
            </w:r>
          </w:p>
        </w:tc>
      </w:tr>
      <w:tr w:rsidR="00AC01C1" w:rsidRPr="00BE3491" w14:paraId="3FC3AB7D" w14:textId="77777777" w:rsidTr="00C41A39">
        <w:tc>
          <w:tcPr>
            <w:tcW w:w="657" w:type="pct"/>
            <w:tcBorders>
              <w:left w:val="single" w:sz="4" w:space="0" w:color="auto"/>
              <w:right w:val="single" w:sz="4" w:space="0" w:color="auto"/>
            </w:tcBorders>
            <w:shd w:val="clear" w:color="auto" w:fill="F2F2F2" w:themeFill="background1" w:themeFillShade="F2"/>
          </w:tcPr>
          <w:p w14:paraId="225B44E8"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226F48D5"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2249D0F9"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0.174***</w:t>
            </w:r>
          </w:p>
        </w:tc>
        <w:tc>
          <w:tcPr>
            <w:tcW w:w="291" w:type="pct"/>
            <w:tcBorders>
              <w:top w:val="nil"/>
              <w:left w:val="single" w:sz="4" w:space="0" w:color="auto"/>
              <w:bottom w:val="single" w:sz="4" w:space="0" w:color="auto"/>
              <w:right w:val="single" w:sz="12" w:space="0" w:color="auto"/>
            </w:tcBorders>
            <w:shd w:val="clear" w:color="auto" w:fill="auto"/>
          </w:tcPr>
          <w:p w14:paraId="04E29FC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0.007</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0518351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0.060***</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0CB8814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0.012</w:t>
            </w:r>
          </w:p>
        </w:tc>
        <w:tc>
          <w:tcPr>
            <w:tcW w:w="417" w:type="pct"/>
            <w:tcBorders>
              <w:left w:val="single" w:sz="4" w:space="0" w:color="auto"/>
              <w:bottom w:val="single" w:sz="4" w:space="0" w:color="auto"/>
              <w:right w:val="single" w:sz="4" w:space="0" w:color="auto"/>
            </w:tcBorders>
            <w:shd w:val="clear" w:color="auto" w:fill="auto"/>
            <w:vAlign w:val="center"/>
          </w:tcPr>
          <w:p w14:paraId="1D43574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0.268***</w:t>
            </w:r>
          </w:p>
        </w:tc>
        <w:tc>
          <w:tcPr>
            <w:tcW w:w="290" w:type="pct"/>
            <w:tcBorders>
              <w:left w:val="single" w:sz="4" w:space="0" w:color="auto"/>
              <w:bottom w:val="single" w:sz="4" w:space="0" w:color="auto"/>
              <w:right w:val="single" w:sz="4" w:space="0" w:color="auto"/>
            </w:tcBorders>
            <w:shd w:val="clear" w:color="auto" w:fill="auto"/>
            <w:vAlign w:val="center"/>
          </w:tcPr>
          <w:p w14:paraId="3B792A1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0.014</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3251B87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0.345</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041F42F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0.024</w:t>
            </w:r>
          </w:p>
        </w:tc>
        <w:tc>
          <w:tcPr>
            <w:tcW w:w="417" w:type="pct"/>
            <w:tcBorders>
              <w:top w:val="nil"/>
              <w:left w:val="single" w:sz="4" w:space="0" w:color="auto"/>
              <w:bottom w:val="single" w:sz="4" w:space="0" w:color="auto"/>
              <w:right w:val="single" w:sz="4" w:space="0" w:color="auto"/>
            </w:tcBorders>
            <w:shd w:val="clear" w:color="auto" w:fill="auto"/>
            <w:vAlign w:val="center"/>
          </w:tcPr>
          <w:p w14:paraId="3E59CADD"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0.077***</w:t>
            </w:r>
          </w:p>
        </w:tc>
        <w:tc>
          <w:tcPr>
            <w:tcW w:w="291" w:type="pct"/>
            <w:tcBorders>
              <w:top w:val="nil"/>
              <w:left w:val="single" w:sz="4" w:space="0" w:color="auto"/>
              <w:bottom w:val="single" w:sz="4" w:space="0" w:color="auto"/>
              <w:right w:val="single" w:sz="4" w:space="0" w:color="auto"/>
            </w:tcBorders>
            <w:shd w:val="clear" w:color="auto" w:fill="auto"/>
            <w:vAlign w:val="center"/>
          </w:tcPr>
          <w:p w14:paraId="15C849C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0.018</w:t>
            </w:r>
          </w:p>
        </w:tc>
      </w:tr>
      <w:tr w:rsidR="00AC01C1" w:rsidRPr="00BE3491" w14:paraId="308E128D"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5096C3D5"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42E3B206"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34315C62"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3.287***</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64B1EB0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0.023</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89233B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3.755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630C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0.032</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31AC2A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3.465***</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54A936A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2D69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3.813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07AC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0.076</w:t>
            </w:r>
          </w:p>
        </w:tc>
        <w:tc>
          <w:tcPr>
            <w:tcW w:w="417" w:type="pct"/>
            <w:tcBorders>
              <w:top w:val="single" w:sz="4" w:space="0" w:color="auto"/>
            </w:tcBorders>
            <w:shd w:val="clear" w:color="auto" w:fill="auto"/>
            <w:vAlign w:val="center"/>
          </w:tcPr>
          <w:p w14:paraId="17444A84"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3.610***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1EB725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0.048</w:t>
            </w:r>
          </w:p>
        </w:tc>
      </w:tr>
      <w:tr w:rsidR="00AC01C1" w:rsidRPr="00BE3491" w14:paraId="41FCC733"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556A85BC"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72996751"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021D8F75"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342546</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431526E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123889</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1D81B2D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80000</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13B629C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40835</w:t>
            </w:r>
          </w:p>
        </w:tc>
        <w:tc>
          <w:tcPr>
            <w:tcW w:w="708" w:type="pct"/>
            <w:gridSpan w:val="2"/>
            <w:tcBorders>
              <w:top w:val="single" w:sz="4" w:space="0" w:color="auto"/>
              <w:right w:val="single" w:sz="4" w:space="0" w:color="auto"/>
            </w:tcBorders>
            <w:shd w:val="clear" w:color="auto" w:fill="auto"/>
          </w:tcPr>
          <w:p w14:paraId="4E6CE0E6"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49663</w:t>
            </w:r>
          </w:p>
        </w:tc>
      </w:tr>
      <w:tr w:rsidR="00AC01C1" w:rsidRPr="00BE3491" w14:paraId="3C59C430"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1972BBBB"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6198C45B"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3CB1C594"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0.479</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0AF5958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0.419</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6694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0.426</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B1D80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0.465</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70BA7650"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0.521</w:t>
            </w:r>
          </w:p>
        </w:tc>
      </w:tr>
      <w:tr w:rsidR="00AC01C1" w:rsidRPr="00BE3491" w14:paraId="3A6FA18E" w14:textId="77777777" w:rsidTr="00C41A39">
        <w:tc>
          <w:tcPr>
            <w:tcW w:w="657" w:type="pct"/>
            <w:vMerge w:val="restart"/>
            <w:tcBorders>
              <w:top w:val="single" w:sz="4" w:space="0" w:color="auto"/>
              <w:left w:val="single" w:sz="4" w:space="0" w:color="auto"/>
              <w:right w:val="single" w:sz="4" w:space="0" w:color="auto"/>
            </w:tcBorders>
            <w:shd w:val="clear" w:color="auto" w:fill="F2F2F2" w:themeFill="background1" w:themeFillShade="F2"/>
          </w:tcPr>
          <w:p w14:paraId="5AC83948"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Hotels &amp; restaurants</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4E4A62CF"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16BD8F5F"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0131DFC5"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71623B24"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6083C53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3A31E55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2738E97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4D615B6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2AFCBB8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3CB3624B"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48CEA3D3"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34B7A8A6" w14:textId="77777777" w:rsidTr="00C41A39">
        <w:tc>
          <w:tcPr>
            <w:tcW w:w="657" w:type="pct"/>
            <w:vMerge/>
            <w:tcBorders>
              <w:left w:val="single" w:sz="4" w:space="0" w:color="auto"/>
              <w:right w:val="single" w:sz="4" w:space="0" w:color="auto"/>
            </w:tcBorders>
            <w:shd w:val="clear" w:color="auto" w:fill="F2F2F2" w:themeFill="background1" w:themeFillShade="F2"/>
          </w:tcPr>
          <w:p w14:paraId="67959E7F"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71EE6D23"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62DDD358"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-0.053***</w:t>
            </w:r>
          </w:p>
        </w:tc>
        <w:tc>
          <w:tcPr>
            <w:tcW w:w="291" w:type="pct"/>
            <w:tcBorders>
              <w:top w:val="nil"/>
              <w:left w:val="single" w:sz="4" w:space="0" w:color="auto"/>
              <w:right w:val="single" w:sz="12" w:space="0" w:color="auto"/>
            </w:tcBorders>
            <w:shd w:val="clear" w:color="auto" w:fill="auto"/>
          </w:tcPr>
          <w:p w14:paraId="7301CC1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c>
          <w:tcPr>
            <w:tcW w:w="487" w:type="pct"/>
            <w:tcBorders>
              <w:top w:val="nil"/>
              <w:left w:val="single" w:sz="12" w:space="0" w:color="auto"/>
              <w:right w:val="single" w:sz="4" w:space="0" w:color="auto"/>
            </w:tcBorders>
            <w:shd w:val="clear" w:color="auto" w:fill="auto"/>
            <w:noWrap/>
            <w:vAlign w:val="center"/>
          </w:tcPr>
          <w:p w14:paraId="26FF17C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-0.092***</w:t>
            </w:r>
          </w:p>
        </w:tc>
        <w:tc>
          <w:tcPr>
            <w:tcW w:w="298" w:type="pct"/>
            <w:tcBorders>
              <w:top w:val="nil"/>
              <w:left w:val="single" w:sz="4" w:space="0" w:color="auto"/>
              <w:right w:val="single" w:sz="4" w:space="0" w:color="auto"/>
            </w:tcBorders>
            <w:shd w:val="clear" w:color="auto" w:fill="auto"/>
            <w:noWrap/>
            <w:vAlign w:val="center"/>
          </w:tcPr>
          <w:p w14:paraId="2340C2C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0.009</w:t>
            </w:r>
          </w:p>
        </w:tc>
        <w:tc>
          <w:tcPr>
            <w:tcW w:w="417" w:type="pct"/>
            <w:tcBorders>
              <w:left w:val="single" w:sz="4" w:space="0" w:color="auto"/>
              <w:right w:val="single" w:sz="4" w:space="0" w:color="auto"/>
            </w:tcBorders>
            <w:shd w:val="clear" w:color="auto" w:fill="auto"/>
            <w:vAlign w:val="center"/>
          </w:tcPr>
          <w:p w14:paraId="067C3132"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-0.065***</w:t>
            </w:r>
          </w:p>
        </w:tc>
        <w:tc>
          <w:tcPr>
            <w:tcW w:w="290" w:type="pct"/>
            <w:tcBorders>
              <w:left w:val="single" w:sz="4" w:space="0" w:color="auto"/>
              <w:right w:val="single" w:sz="4" w:space="0" w:color="auto"/>
            </w:tcBorders>
            <w:shd w:val="clear" w:color="auto" w:fill="auto"/>
            <w:vAlign w:val="center"/>
          </w:tcPr>
          <w:p w14:paraId="6577FEC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0.013</w:t>
            </w:r>
          </w:p>
        </w:tc>
        <w:tc>
          <w:tcPr>
            <w:tcW w:w="445" w:type="pct"/>
            <w:tcBorders>
              <w:top w:val="nil"/>
              <w:left w:val="single" w:sz="4" w:space="0" w:color="auto"/>
              <w:right w:val="single" w:sz="4" w:space="0" w:color="auto"/>
            </w:tcBorders>
            <w:shd w:val="clear" w:color="auto" w:fill="auto"/>
            <w:noWrap/>
            <w:vAlign w:val="center"/>
          </w:tcPr>
          <w:p w14:paraId="47766AF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-0.053***</w:t>
            </w:r>
          </w:p>
        </w:tc>
        <w:tc>
          <w:tcPr>
            <w:tcW w:w="378" w:type="pct"/>
            <w:tcBorders>
              <w:top w:val="nil"/>
              <w:left w:val="single" w:sz="4" w:space="0" w:color="auto"/>
              <w:right w:val="single" w:sz="4" w:space="0" w:color="auto"/>
            </w:tcBorders>
            <w:shd w:val="clear" w:color="auto" w:fill="auto"/>
            <w:noWrap/>
            <w:vAlign w:val="center"/>
          </w:tcPr>
          <w:p w14:paraId="24F3636C"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0.019</w:t>
            </w:r>
          </w:p>
        </w:tc>
        <w:tc>
          <w:tcPr>
            <w:tcW w:w="417" w:type="pct"/>
            <w:tcBorders>
              <w:top w:val="nil"/>
              <w:left w:val="single" w:sz="4" w:space="0" w:color="auto"/>
              <w:right w:val="single" w:sz="4" w:space="0" w:color="auto"/>
            </w:tcBorders>
            <w:shd w:val="clear" w:color="auto" w:fill="auto"/>
            <w:vAlign w:val="center"/>
          </w:tcPr>
          <w:p w14:paraId="2839F536"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-0.173***</w:t>
            </w:r>
          </w:p>
        </w:tc>
        <w:tc>
          <w:tcPr>
            <w:tcW w:w="291" w:type="pct"/>
            <w:tcBorders>
              <w:top w:val="nil"/>
              <w:left w:val="single" w:sz="4" w:space="0" w:color="auto"/>
              <w:right w:val="single" w:sz="4" w:space="0" w:color="auto"/>
            </w:tcBorders>
            <w:shd w:val="clear" w:color="auto" w:fill="auto"/>
            <w:vAlign w:val="center"/>
          </w:tcPr>
          <w:p w14:paraId="5280DD5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0.020</w:t>
            </w:r>
          </w:p>
        </w:tc>
      </w:tr>
      <w:tr w:rsidR="00AC01C1" w:rsidRPr="00BE3491" w14:paraId="32DB48AC" w14:textId="77777777" w:rsidTr="00C41A39">
        <w:tc>
          <w:tcPr>
            <w:tcW w:w="657" w:type="pct"/>
            <w:tcBorders>
              <w:left w:val="single" w:sz="4" w:space="0" w:color="auto"/>
              <w:right w:val="single" w:sz="4" w:space="0" w:color="auto"/>
            </w:tcBorders>
            <w:shd w:val="clear" w:color="auto" w:fill="F2F2F2" w:themeFill="background1" w:themeFillShade="F2"/>
          </w:tcPr>
          <w:p w14:paraId="04CDA693"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607C06B4"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111A152A"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0.110***</w:t>
            </w:r>
          </w:p>
        </w:tc>
        <w:tc>
          <w:tcPr>
            <w:tcW w:w="291" w:type="pct"/>
            <w:tcBorders>
              <w:top w:val="nil"/>
              <w:left w:val="single" w:sz="4" w:space="0" w:color="auto"/>
              <w:bottom w:val="single" w:sz="4" w:space="0" w:color="auto"/>
              <w:right w:val="single" w:sz="12" w:space="0" w:color="auto"/>
            </w:tcBorders>
            <w:shd w:val="clear" w:color="auto" w:fill="auto"/>
          </w:tcPr>
          <w:p w14:paraId="30AAA3B5"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0.013</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1D571A1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0.101***</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3191AFB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0.017</w:t>
            </w:r>
          </w:p>
        </w:tc>
        <w:tc>
          <w:tcPr>
            <w:tcW w:w="417" w:type="pct"/>
            <w:tcBorders>
              <w:left w:val="single" w:sz="4" w:space="0" w:color="auto"/>
              <w:bottom w:val="single" w:sz="4" w:space="0" w:color="auto"/>
              <w:right w:val="single" w:sz="4" w:space="0" w:color="auto"/>
            </w:tcBorders>
            <w:shd w:val="clear" w:color="auto" w:fill="auto"/>
            <w:vAlign w:val="center"/>
          </w:tcPr>
          <w:p w14:paraId="3D0DD505"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0.092***</w:t>
            </w:r>
          </w:p>
        </w:tc>
        <w:tc>
          <w:tcPr>
            <w:tcW w:w="290" w:type="pct"/>
            <w:tcBorders>
              <w:left w:val="single" w:sz="4" w:space="0" w:color="auto"/>
              <w:bottom w:val="single" w:sz="4" w:space="0" w:color="auto"/>
              <w:right w:val="single" w:sz="4" w:space="0" w:color="auto"/>
            </w:tcBorders>
            <w:shd w:val="clear" w:color="auto" w:fill="auto"/>
            <w:vAlign w:val="center"/>
          </w:tcPr>
          <w:p w14:paraId="56B1F1B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0.024</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0393C01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0.205***</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563D29C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0.031</w:t>
            </w:r>
          </w:p>
        </w:tc>
        <w:tc>
          <w:tcPr>
            <w:tcW w:w="417" w:type="pct"/>
            <w:tcBorders>
              <w:top w:val="nil"/>
              <w:left w:val="single" w:sz="4" w:space="0" w:color="auto"/>
              <w:bottom w:val="single" w:sz="4" w:space="0" w:color="auto"/>
              <w:right w:val="single" w:sz="4" w:space="0" w:color="auto"/>
            </w:tcBorders>
            <w:shd w:val="clear" w:color="auto" w:fill="auto"/>
            <w:vAlign w:val="center"/>
          </w:tcPr>
          <w:p w14:paraId="037918C2"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0.022</w:t>
            </w:r>
          </w:p>
        </w:tc>
        <w:tc>
          <w:tcPr>
            <w:tcW w:w="291" w:type="pct"/>
            <w:tcBorders>
              <w:top w:val="nil"/>
              <w:left w:val="single" w:sz="4" w:space="0" w:color="auto"/>
              <w:bottom w:val="single" w:sz="4" w:space="0" w:color="auto"/>
              <w:right w:val="single" w:sz="4" w:space="0" w:color="auto"/>
            </w:tcBorders>
            <w:shd w:val="clear" w:color="auto" w:fill="auto"/>
            <w:vAlign w:val="center"/>
          </w:tcPr>
          <w:p w14:paraId="57B76CF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0.036</w:t>
            </w:r>
          </w:p>
        </w:tc>
      </w:tr>
      <w:tr w:rsidR="00AC01C1" w:rsidRPr="00BE3491" w14:paraId="42A45AD2"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217FB046"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3A9A3357"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48B05624"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3.557***</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2FE56C2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0.045</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F72320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3.597***</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578E1"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0.054</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62B16C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3.879***</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5E1564E6"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0.078</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CA38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3.958***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A0899"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0.119</w:t>
            </w:r>
          </w:p>
        </w:tc>
        <w:tc>
          <w:tcPr>
            <w:tcW w:w="417" w:type="pct"/>
            <w:tcBorders>
              <w:top w:val="single" w:sz="4" w:space="0" w:color="auto"/>
            </w:tcBorders>
            <w:shd w:val="clear" w:color="auto" w:fill="auto"/>
            <w:vAlign w:val="center"/>
          </w:tcPr>
          <w:p w14:paraId="0418A2FD"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4.945***</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031696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0.132</w:t>
            </w:r>
          </w:p>
        </w:tc>
      </w:tr>
      <w:tr w:rsidR="00AC01C1" w:rsidRPr="00BE3491" w14:paraId="6D675B50"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363D070D"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5E44529D"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7E224984"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70403</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046B502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32689</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23EEC41B"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14655</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19E614C8"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6114</w:t>
            </w:r>
          </w:p>
        </w:tc>
        <w:tc>
          <w:tcPr>
            <w:tcW w:w="708" w:type="pct"/>
            <w:gridSpan w:val="2"/>
            <w:tcBorders>
              <w:top w:val="single" w:sz="4" w:space="0" w:color="auto"/>
              <w:right w:val="single" w:sz="4" w:space="0" w:color="auto"/>
            </w:tcBorders>
            <w:shd w:val="clear" w:color="auto" w:fill="auto"/>
          </w:tcPr>
          <w:p w14:paraId="2AB7EF62"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4491</w:t>
            </w:r>
          </w:p>
        </w:tc>
      </w:tr>
      <w:tr w:rsidR="00AC01C1" w:rsidRPr="00BE3491" w14:paraId="51F788AD"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31270EAA"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426A5A50"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05177EA4"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0.519</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7162094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0.503</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BEA3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0.560</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257455"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0.538</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6CECC2BC"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0.467</w:t>
            </w:r>
          </w:p>
        </w:tc>
      </w:tr>
      <w:tr w:rsidR="00AC01C1" w:rsidRPr="00BE3491" w14:paraId="76209BC9" w14:textId="77777777" w:rsidTr="00C41A39">
        <w:tc>
          <w:tcPr>
            <w:tcW w:w="657" w:type="pct"/>
            <w:vMerge w:val="restart"/>
            <w:tcBorders>
              <w:top w:val="single" w:sz="4" w:space="0" w:color="auto"/>
              <w:left w:val="single" w:sz="4" w:space="0" w:color="auto"/>
              <w:right w:val="single" w:sz="4" w:space="0" w:color="auto"/>
            </w:tcBorders>
            <w:shd w:val="clear" w:color="auto" w:fill="F2F2F2" w:themeFill="background1" w:themeFillShade="F2"/>
          </w:tcPr>
          <w:p w14:paraId="204341B9"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Transport &amp; communications</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4F3D06C3"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73393549" w14:textId="77777777" w:rsidR="00AC01C1" w:rsidRPr="00BE3491" w:rsidRDefault="00AC01C1" w:rsidP="00B25599">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74BE388A"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408BEC43" w14:textId="77777777" w:rsidR="00AC01C1" w:rsidRPr="00BE3491" w:rsidRDefault="00AC01C1" w:rsidP="00B25599">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52F38FF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64E7F25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3147EE9C"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2F99A0B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33B6DE8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098493CE"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3E26EB60"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p>
        </w:tc>
      </w:tr>
      <w:tr w:rsidR="00AC01C1" w:rsidRPr="00BE3491" w14:paraId="676F36D9" w14:textId="77777777" w:rsidTr="00C41A39">
        <w:tc>
          <w:tcPr>
            <w:tcW w:w="657" w:type="pct"/>
            <w:vMerge/>
            <w:tcBorders>
              <w:left w:val="single" w:sz="4" w:space="0" w:color="auto"/>
              <w:right w:val="single" w:sz="4" w:space="0" w:color="auto"/>
            </w:tcBorders>
            <w:shd w:val="clear" w:color="auto" w:fill="F2F2F2" w:themeFill="background1" w:themeFillShade="F2"/>
          </w:tcPr>
          <w:p w14:paraId="5C056D06"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57345486"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0D9B6E40"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-0.001</w:t>
            </w:r>
          </w:p>
        </w:tc>
        <w:tc>
          <w:tcPr>
            <w:tcW w:w="291" w:type="pct"/>
            <w:tcBorders>
              <w:top w:val="nil"/>
              <w:left w:val="single" w:sz="4" w:space="0" w:color="auto"/>
              <w:right w:val="single" w:sz="12" w:space="0" w:color="auto"/>
            </w:tcBorders>
            <w:shd w:val="clear" w:color="auto" w:fill="auto"/>
          </w:tcPr>
          <w:p w14:paraId="1EE1515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0.003</w:t>
            </w:r>
          </w:p>
        </w:tc>
        <w:tc>
          <w:tcPr>
            <w:tcW w:w="487" w:type="pct"/>
            <w:tcBorders>
              <w:top w:val="nil"/>
              <w:left w:val="single" w:sz="12" w:space="0" w:color="auto"/>
              <w:right w:val="single" w:sz="4" w:space="0" w:color="auto"/>
            </w:tcBorders>
            <w:shd w:val="clear" w:color="auto" w:fill="auto"/>
            <w:noWrap/>
            <w:vAlign w:val="center"/>
          </w:tcPr>
          <w:p w14:paraId="44FB1488"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-0.049***</w:t>
            </w:r>
          </w:p>
        </w:tc>
        <w:tc>
          <w:tcPr>
            <w:tcW w:w="298" w:type="pct"/>
            <w:tcBorders>
              <w:top w:val="nil"/>
              <w:left w:val="single" w:sz="4" w:space="0" w:color="auto"/>
              <w:right w:val="single" w:sz="4" w:space="0" w:color="auto"/>
            </w:tcBorders>
            <w:shd w:val="clear" w:color="auto" w:fill="auto"/>
            <w:noWrap/>
            <w:vAlign w:val="center"/>
          </w:tcPr>
          <w:p w14:paraId="6F4F84A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17" w:type="pct"/>
            <w:tcBorders>
              <w:left w:val="single" w:sz="4" w:space="0" w:color="auto"/>
              <w:right w:val="single" w:sz="4" w:space="0" w:color="auto"/>
            </w:tcBorders>
            <w:shd w:val="clear" w:color="auto" w:fill="auto"/>
            <w:vAlign w:val="center"/>
          </w:tcPr>
          <w:p w14:paraId="58A05C3F" w14:textId="77777777" w:rsidR="00AC01C1" w:rsidRPr="00BE3491" w:rsidRDefault="00AC01C1" w:rsidP="00B25599">
            <w:pPr>
              <w:spacing w:after="0" w:line="240" w:lineRule="auto"/>
              <w:ind w:left="-74"/>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-0.019***</w:t>
            </w:r>
          </w:p>
        </w:tc>
        <w:tc>
          <w:tcPr>
            <w:tcW w:w="290" w:type="pct"/>
            <w:tcBorders>
              <w:left w:val="single" w:sz="4" w:space="0" w:color="auto"/>
              <w:right w:val="single" w:sz="4" w:space="0" w:color="auto"/>
            </w:tcBorders>
            <w:shd w:val="clear" w:color="auto" w:fill="auto"/>
            <w:vAlign w:val="center"/>
          </w:tcPr>
          <w:p w14:paraId="1AFFC09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c>
          <w:tcPr>
            <w:tcW w:w="445" w:type="pct"/>
            <w:tcBorders>
              <w:top w:val="nil"/>
              <w:left w:val="single" w:sz="4" w:space="0" w:color="auto"/>
              <w:right w:val="single" w:sz="4" w:space="0" w:color="auto"/>
            </w:tcBorders>
            <w:shd w:val="clear" w:color="auto" w:fill="auto"/>
            <w:noWrap/>
            <w:vAlign w:val="center"/>
          </w:tcPr>
          <w:p w14:paraId="608D3E2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-0.002</w:t>
            </w:r>
          </w:p>
        </w:tc>
        <w:tc>
          <w:tcPr>
            <w:tcW w:w="378" w:type="pct"/>
            <w:tcBorders>
              <w:top w:val="nil"/>
              <w:left w:val="single" w:sz="4" w:space="0" w:color="auto"/>
              <w:right w:val="single" w:sz="4" w:space="0" w:color="auto"/>
            </w:tcBorders>
            <w:shd w:val="clear" w:color="auto" w:fill="auto"/>
            <w:noWrap/>
            <w:vAlign w:val="center"/>
          </w:tcPr>
          <w:p w14:paraId="2596F07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0.005</w:t>
            </w:r>
          </w:p>
        </w:tc>
        <w:tc>
          <w:tcPr>
            <w:tcW w:w="417" w:type="pct"/>
            <w:tcBorders>
              <w:top w:val="nil"/>
              <w:left w:val="single" w:sz="4" w:space="0" w:color="auto"/>
              <w:right w:val="single" w:sz="4" w:space="0" w:color="auto"/>
            </w:tcBorders>
            <w:shd w:val="clear" w:color="auto" w:fill="auto"/>
            <w:vAlign w:val="center"/>
          </w:tcPr>
          <w:p w14:paraId="2A947800" w14:textId="77777777" w:rsidR="00AC01C1" w:rsidRPr="00BE3491" w:rsidRDefault="00AC01C1" w:rsidP="00B25599">
            <w:pPr>
              <w:spacing w:after="0" w:line="240" w:lineRule="auto"/>
              <w:ind w:left="-14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0.002</w:t>
            </w:r>
          </w:p>
        </w:tc>
        <w:tc>
          <w:tcPr>
            <w:tcW w:w="291" w:type="pct"/>
            <w:tcBorders>
              <w:top w:val="nil"/>
              <w:left w:val="single" w:sz="4" w:space="0" w:color="auto"/>
              <w:right w:val="single" w:sz="4" w:space="0" w:color="auto"/>
            </w:tcBorders>
            <w:shd w:val="clear" w:color="auto" w:fill="auto"/>
            <w:vAlign w:val="center"/>
          </w:tcPr>
          <w:p w14:paraId="1CCC5F4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0.004</w:t>
            </w:r>
          </w:p>
        </w:tc>
      </w:tr>
      <w:tr w:rsidR="00AC01C1" w:rsidRPr="00BE3491" w14:paraId="1F7B3147" w14:textId="77777777" w:rsidTr="00C41A39">
        <w:tc>
          <w:tcPr>
            <w:tcW w:w="657" w:type="pct"/>
            <w:tcBorders>
              <w:left w:val="single" w:sz="4" w:space="0" w:color="auto"/>
              <w:right w:val="single" w:sz="4" w:space="0" w:color="auto"/>
            </w:tcBorders>
            <w:shd w:val="clear" w:color="auto" w:fill="F2F2F2" w:themeFill="background1" w:themeFillShade="F2"/>
          </w:tcPr>
          <w:p w14:paraId="309814CD"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5562BA83" w14:textId="77777777" w:rsidR="00AC01C1" w:rsidRPr="00BE3491" w:rsidRDefault="00AC01C1" w:rsidP="00B25599">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479A1CB7"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-0.007**</w:t>
            </w:r>
          </w:p>
        </w:tc>
        <w:tc>
          <w:tcPr>
            <w:tcW w:w="291" w:type="pct"/>
            <w:tcBorders>
              <w:top w:val="nil"/>
              <w:left w:val="single" w:sz="4" w:space="0" w:color="auto"/>
              <w:bottom w:val="single" w:sz="4" w:space="0" w:color="auto"/>
              <w:right w:val="single" w:sz="12" w:space="0" w:color="auto"/>
            </w:tcBorders>
            <w:shd w:val="clear" w:color="auto" w:fill="auto"/>
          </w:tcPr>
          <w:p w14:paraId="7E4C6C3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0.003</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54E1AFE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-0.017***</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7127582F"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c>
          <w:tcPr>
            <w:tcW w:w="417" w:type="pct"/>
            <w:tcBorders>
              <w:left w:val="single" w:sz="4" w:space="0" w:color="auto"/>
              <w:bottom w:val="single" w:sz="4" w:space="0" w:color="auto"/>
              <w:right w:val="single" w:sz="4" w:space="0" w:color="auto"/>
            </w:tcBorders>
            <w:shd w:val="clear" w:color="auto" w:fill="auto"/>
            <w:vAlign w:val="center"/>
          </w:tcPr>
          <w:p w14:paraId="0D6F06A7"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0.057***</w:t>
            </w:r>
          </w:p>
        </w:tc>
        <w:tc>
          <w:tcPr>
            <w:tcW w:w="290" w:type="pct"/>
            <w:tcBorders>
              <w:left w:val="single" w:sz="4" w:space="0" w:color="auto"/>
              <w:bottom w:val="single" w:sz="4" w:space="0" w:color="auto"/>
              <w:right w:val="single" w:sz="4" w:space="0" w:color="auto"/>
            </w:tcBorders>
            <w:shd w:val="clear" w:color="auto" w:fill="auto"/>
            <w:vAlign w:val="center"/>
          </w:tcPr>
          <w:p w14:paraId="775EE6A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0EC327B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0.023***</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6FD6DD4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0.007</w:t>
            </w:r>
          </w:p>
        </w:tc>
        <w:tc>
          <w:tcPr>
            <w:tcW w:w="417" w:type="pct"/>
            <w:tcBorders>
              <w:top w:val="nil"/>
              <w:left w:val="single" w:sz="4" w:space="0" w:color="auto"/>
              <w:bottom w:val="single" w:sz="4" w:space="0" w:color="auto"/>
              <w:right w:val="single" w:sz="4" w:space="0" w:color="auto"/>
            </w:tcBorders>
            <w:shd w:val="clear" w:color="auto" w:fill="auto"/>
            <w:vAlign w:val="center"/>
          </w:tcPr>
          <w:p w14:paraId="20F32803" w14:textId="77777777" w:rsidR="00AC01C1" w:rsidRPr="00BE3491" w:rsidRDefault="00AC01C1" w:rsidP="00B25599">
            <w:pPr>
              <w:spacing w:after="0" w:line="240" w:lineRule="auto"/>
              <w:ind w:left="-149"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-0.029***</w:t>
            </w:r>
          </w:p>
        </w:tc>
        <w:tc>
          <w:tcPr>
            <w:tcW w:w="291" w:type="pct"/>
            <w:tcBorders>
              <w:top w:val="nil"/>
              <w:left w:val="single" w:sz="4" w:space="0" w:color="auto"/>
              <w:bottom w:val="single" w:sz="4" w:space="0" w:color="auto"/>
              <w:right w:val="single" w:sz="4" w:space="0" w:color="auto"/>
            </w:tcBorders>
            <w:shd w:val="clear" w:color="auto" w:fill="auto"/>
            <w:vAlign w:val="center"/>
          </w:tcPr>
          <w:p w14:paraId="2B52B875"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0.006</w:t>
            </w:r>
          </w:p>
        </w:tc>
      </w:tr>
      <w:tr w:rsidR="00AC01C1" w:rsidRPr="00BE3491" w14:paraId="37270FCB"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541E434A"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28084733"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60A036C8"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3.105***</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7D628CE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0.016</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8C3F8CB"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3.143***</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C683A"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0.028</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FA742C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3.263***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0EBA8220"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EBC5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3.180***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B868E"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0.037</w:t>
            </w:r>
          </w:p>
        </w:tc>
        <w:tc>
          <w:tcPr>
            <w:tcW w:w="417" w:type="pct"/>
            <w:tcBorders>
              <w:top w:val="single" w:sz="4" w:space="0" w:color="auto"/>
            </w:tcBorders>
            <w:shd w:val="clear" w:color="auto" w:fill="auto"/>
            <w:vAlign w:val="center"/>
          </w:tcPr>
          <w:p w14:paraId="02D5DD97"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3.271***</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1A2A1D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0.029</w:t>
            </w:r>
          </w:p>
        </w:tc>
      </w:tr>
      <w:tr w:rsidR="00AC01C1" w:rsidRPr="00BE3491" w14:paraId="4B0D2E01"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7095BE0D"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3BA8FAB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5CA76ABD"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603600</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1DB6C534"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160137</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07B82EF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145625</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3FEF643F"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93915</w:t>
            </w:r>
          </w:p>
        </w:tc>
        <w:tc>
          <w:tcPr>
            <w:tcW w:w="708" w:type="pct"/>
            <w:gridSpan w:val="2"/>
            <w:tcBorders>
              <w:top w:val="single" w:sz="4" w:space="0" w:color="auto"/>
              <w:right w:val="single" w:sz="4" w:space="0" w:color="auto"/>
            </w:tcBorders>
            <w:shd w:val="clear" w:color="auto" w:fill="auto"/>
          </w:tcPr>
          <w:p w14:paraId="5DE59189"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108655</w:t>
            </w:r>
          </w:p>
        </w:tc>
      </w:tr>
      <w:tr w:rsidR="00AC01C1" w:rsidRPr="00BE3491" w14:paraId="7DDCB1E5"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53AAB228"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5681818C"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4153A99B" w14:textId="77777777" w:rsidR="00AC01C1" w:rsidRPr="00BE3491" w:rsidRDefault="00AC01C1" w:rsidP="00B25599">
            <w:pPr>
              <w:spacing w:after="0" w:line="240" w:lineRule="auto"/>
              <w:ind w:left="-74" w:right="-10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0.463</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419E7FAB"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0.472</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48D3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0.433</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FAB632"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0.452</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2E2C8AFC" w14:textId="77777777" w:rsidR="00AC01C1" w:rsidRPr="00BE3491" w:rsidRDefault="00AC01C1" w:rsidP="00B25599">
            <w:pPr>
              <w:spacing w:after="0" w:line="240" w:lineRule="auto"/>
              <w:ind w:right="-75"/>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0.481</w:t>
            </w:r>
          </w:p>
        </w:tc>
      </w:tr>
      <w:tr w:rsidR="0095605A" w:rsidRPr="00BE3491" w14:paraId="56ABBE04" w14:textId="77777777" w:rsidTr="00C41A39">
        <w:tc>
          <w:tcPr>
            <w:tcW w:w="657" w:type="pct"/>
            <w:tcBorders>
              <w:top w:val="single" w:sz="4" w:space="0" w:color="auto"/>
              <w:left w:val="single" w:sz="4" w:space="0" w:color="auto"/>
              <w:right w:val="single" w:sz="4" w:space="0" w:color="auto"/>
            </w:tcBorders>
            <w:shd w:val="clear" w:color="auto" w:fill="F2F2F2" w:themeFill="background1" w:themeFillShade="F2"/>
          </w:tcPr>
          <w:p w14:paraId="16A1A1EB" w14:textId="77777777" w:rsidR="0095605A" w:rsidRPr="00BE3491" w:rsidRDefault="0095605A" w:rsidP="0095605A">
            <w:pPr>
              <w:spacing w:after="0" w:line="240" w:lineRule="auto"/>
              <w:ind w:right="-4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Real estate</w:t>
            </w:r>
          </w:p>
        </w:tc>
        <w:tc>
          <w:tcPr>
            <w:tcW w:w="647" w:type="pct"/>
            <w:tcBorders>
              <w:top w:val="single" w:sz="4" w:space="0" w:color="auto"/>
              <w:left w:val="single" w:sz="4" w:space="0" w:color="auto"/>
              <w:bottom w:val="nil"/>
              <w:right w:val="single" w:sz="12" w:space="0" w:color="auto"/>
            </w:tcBorders>
            <w:shd w:val="clear" w:color="auto" w:fill="F2F2F2" w:themeFill="background1" w:themeFillShade="F2"/>
            <w:vAlign w:val="center"/>
            <w:hideMark/>
          </w:tcPr>
          <w:p w14:paraId="51CD746F" w14:textId="2FAE2704" w:rsidR="0095605A" w:rsidRPr="0095605A" w:rsidRDefault="0095605A" w:rsidP="0095605A">
            <w:pPr>
              <w:spacing w:after="0" w:line="240" w:lineRule="auto"/>
              <w:ind w:right="-45"/>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Sector (private)</w:t>
            </w:r>
          </w:p>
        </w:tc>
        <w:tc>
          <w:tcPr>
            <w:tcW w:w="382" w:type="pct"/>
            <w:tcBorders>
              <w:top w:val="single" w:sz="4" w:space="0" w:color="auto"/>
              <w:left w:val="single" w:sz="12" w:space="0" w:color="auto"/>
              <w:bottom w:val="nil"/>
              <w:right w:val="single" w:sz="4" w:space="0" w:color="auto"/>
            </w:tcBorders>
            <w:shd w:val="clear" w:color="auto" w:fill="auto"/>
          </w:tcPr>
          <w:p w14:paraId="51F8ABC7" w14:textId="77777777" w:rsidR="0095605A" w:rsidRPr="0095605A" w:rsidRDefault="0095605A" w:rsidP="0095605A">
            <w:pPr>
              <w:spacing w:after="0" w:line="240" w:lineRule="auto"/>
              <w:ind w:left="-74" w:right="-105"/>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12" w:space="0" w:color="auto"/>
            </w:tcBorders>
            <w:shd w:val="clear" w:color="auto" w:fill="auto"/>
          </w:tcPr>
          <w:p w14:paraId="4BE2C8E2" w14:textId="77777777" w:rsidR="0095605A" w:rsidRPr="0095605A" w:rsidRDefault="0095605A" w:rsidP="0095605A">
            <w:pPr>
              <w:spacing w:after="0" w:line="240" w:lineRule="auto"/>
              <w:rPr>
                <w:rFonts w:ascii="Times New Roman" w:eastAsia="Times New Roman" w:hAnsi="Times New Roman" w:cs="Times New Roman"/>
                <w:sz w:val="18"/>
                <w:szCs w:val="18"/>
              </w:rPr>
            </w:pPr>
          </w:p>
        </w:tc>
        <w:tc>
          <w:tcPr>
            <w:tcW w:w="487" w:type="pct"/>
            <w:tcBorders>
              <w:top w:val="single" w:sz="4" w:space="0" w:color="auto"/>
              <w:left w:val="single" w:sz="12" w:space="0" w:color="auto"/>
              <w:bottom w:val="nil"/>
              <w:right w:val="single" w:sz="4" w:space="0" w:color="auto"/>
            </w:tcBorders>
            <w:shd w:val="clear" w:color="auto" w:fill="auto"/>
            <w:vAlign w:val="center"/>
          </w:tcPr>
          <w:p w14:paraId="56416CE7" w14:textId="77777777" w:rsidR="0095605A" w:rsidRPr="0095605A" w:rsidRDefault="0095605A" w:rsidP="0095605A">
            <w:pPr>
              <w:spacing w:after="0" w:line="240" w:lineRule="auto"/>
              <w:rPr>
                <w:rFonts w:ascii="Times New Roman" w:eastAsia="Times New Roman" w:hAnsi="Times New Roman" w:cs="Times New Roman"/>
                <w:sz w:val="18"/>
                <w:szCs w:val="18"/>
              </w:rPr>
            </w:pPr>
          </w:p>
        </w:tc>
        <w:tc>
          <w:tcPr>
            <w:tcW w:w="298" w:type="pct"/>
            <w:tcBorders>
              <w:top w:val="single" w:sz="4" w:space="0" w:color="auto"/>
              <w:left w:val="single" w:sz="4" w:space="0" w:color="auto"/>
              <w:bottom w:val="nil"/>
              <w:right w:val="single" w:sz="4" w:space="0" w:color="auto"/>
            </w:tcBorders>
            <w:shd w:val="clear" w:color="auto" w:fill="auto"/>
            <w:vAlign w:val="center"/>
          </w:tcPr>
          <w:p w14:paraId="26FBBBDA" w14:textId="77777777" w:rsidR="0095605A" w:rsidRPr="0095605A" w:rsidRDefault="0095605A" w:rsidP="0095605A">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right w:val="single" w:sz="4" w:space="0" w:color="auto"/>
            </w:tcBorders>
            <w:shd w:val="clear" w:color="auto" w:fill="auto"/>
            <w:vAlign w:val="center"/>
          </w:tcPr>
          <w:p w14:paraId="22625D2F" w14:textId="77777777" w:rsidR="0095605A" w:rsidRPr="0095605A" w:rsidRDefault="0095605A" w:rsidP="0095605A">
            <w:pPr>
              <w:spacing w:after="0" w:line="240" w:lineRule="auto"/>
              <w:jc w:val="center"/>
              <w:rPr>
                <w:rFonts w:ascii="Times New Roman" w:eastAsia="Times New Roman" w:hAnsi="Times New Roman" w:cs="Times New Roman"/>
                <w:sz w:val="18"/>
                <w:szCs w:val="18"/>
              </w:rPr>
            </w:pPr>
          </w:p>
        </w:tc>
        <w:tc>
          <w:tcPr>
            <w:tcW w:w="290" w:type="pct"/>
            <w:tcBorders>
              <w:top w:val="single" w:sz="4" w:space="0" w:color="auto"/>
              <w:left w:val="single" w:sz="4" w:space="0" w:color="auto"/>
              <w:right w:val="single" w:sz="4" w:space="0" w:color="auto"/>
            </w:tcBorders>
            <w:shd w:val="clear" w:color="auto" w:fill="auto"/>
            <w:vAlign w:val="center"/>
          </w:tcPr>
          <w:p w14:paraId="329D9663" w14:textId="77777777" w:rsidR="0095605A" w:rsidRPr="0095605A" w:rsidRDefault="0095605A" w:rsidP="0095605A">
            <w:pPr>
              <w:spacing w:after="0" w:line="240" w:lineRule="auto"/>
              <w:jc w:val="center"/>
              <w:rPr>
                <w:rFonts w:ascii="Times New Roman" w:eastAsia="Times New Roman" w:hAnsi="Times New Roman" w:cs="Times New Roman"/>
                <w:sz w:val="18"/>
                <w:szCs w:val="18"/>
              </w:rPr>
            </w:pPr>
          </w:p>
        </w:tc>
        <w:tc>
          <w:tcPr>
            <w:tcW w:w="445" w:type="pct"/>
            <w:tcBorders>
              <w:top w:val="single" w:sz="4" w:space="0" w:color="auto"/>
              <w:left w:val="single" w:sz="4" w:space="0" w:color="auto"/>
              <w:bottom w:val="nil"/>
              <w:right w:val="single" w:sz="4" w:space="0" w:color="auto"/>
            </w:tcBorders>
            <w:shd w:val="clear" w:color="auto" w:fill="auto"/>
            <w:vAlign w:val="center"/>
          </w:tcPr>
          <w:p w14:paraId="629F2449" w14:textId="77777777" w:rsidR="0095605A" w:rsidRPr="0095605A" w:rsidRDefault="0095605A" w:rsidP="0095605A">
            <w:pPr>
              <w:spacing w:after="0" w:line="240" w:lineRule="auto"/>
              <w:jc w:val="center"/>
              <w:rPr>
                <w:rFonts w:ascii="Times New Roman" w:eastAsia="Times New Roman" w:hAnsi="Times New Roman" w:cs="Times New Roman"/>
                <w:sz w:val="18"/>
                <w:szCs w:val="18"/>
              </w:rPr>
            </w:pPr>
          </w:p>
        </w:tc>
        <w:tc>
          <w:tcPr>
            <w:tcW w:w="378" w:type="pct"/>
            <w:tcBorders>
              <w:top w:val="single" w:sz="4" w:space="0" w:color="auto"/>
              <w:left w:val="single" w:sz="4" w:space="0" w:color="auto"/>
              <w:bottom w:val="nil"/>
              <w:right w:val="single" w:sz="4" w:space="0" w:color="auto"/>
            </w:tcBorders>
            <w:shd w:val="clear" w:color="auto" w:fill="auto"/>
            <w:vAlign w:val="center"/>
          </w:tcPr>
          <w:p w14:paraId="0E3FF9EF" w14:textId="77777777" w:rsidR="0095605A" w:rsidRPr="0095605A" w:rsidRDefault="0095605A" w:rsidP="0095605A">
            <w:pPr>
              <w:spacing w:after="0" w:line="240" w:lineRule="auto"/>
              <w:jc w:val="center"/>
              <w:rPr>
                <w:rFonts w:ascii="Times New Roman" w:eastAsia="Times New Roman" w:hAnsi="Times New Roman" w:cs="Times New Roman"/>
                <w:sz w:val="18"/>
                <w:szCs w:val="18"/>
              </w:rPr>
            </w:pPr>
          </w:p>
        </w:tc>
        <w:tc>
          <w:tcPr>
            <w:tcW w:w="417" w:type="pct"/>
            <w:tcBorders>
              <w:top w:val="single" w:sz="4" w:space="0" w:color="auto"/>
              <w:left w:val="single" w:sz="4" w:space="0" w:color="auto"/>
              <w:bottom w:val="nil"/>
              <w:right w:val="single" w:sz="4" w:space="0" w:color="auto"/>
            </w:tcBorders>
            <w:shd w:val="clear" w:color="auto" w:fill="auto"/>
          </w:tcPr>
          <w:p w14:paraId="47641180" w14:textId="77777777" w:rsidR="0095605A" w:rsidRPr="0095605A" w:rsidRDefault="0095605A" w:rsidP="0095605A">
            <w:pPr>
              <w:spacing w:after="0" w:line="240" w:lineRule="auto"/>
              <w:ind w:right="-75"/>
              <w:jc w:val="center"/>
              <w:rPr>
                <w:rFonts w:ascii="Times New Roman" w:eastAsia="Times New Roman" w:hAnsi="Times New Roman" w:cs="Times New Roman"/>
                <w:sz w:val="18"/>
                <w:szCs w:val="18"/>
              </w:rPr>
            </w:pPr>
          </w:p>
        </w:tc>
        <w:tc>
          <w:tcPr>
            <w:tcW w:w="291" w:type="pct"/>
            <w:tcBorders>
              <w:top w:val="single" w:sz="4" w:space="0" w:color="auto"/>
              <w:left w:val="single" w:sz="4" w:space="0" w:color="auto"/>
              <w:bottom w:val="nil"/>
              <w:right w:val="single" w:sz="4" w:space="0" w:color="auto"/>
            </w:tcBorders>
            <w:shd w:val="clear" w:color="auto" w:fill="auto"/>
          </w:tcPr>
          <w:p w14:paraId="650046DF" w14:textId="77777777" w:rsidR="0095605A" w:rsidRPr="0095605A" w:rsidRDefault="0095605A" w:rsidP="0095605A">
            <w:pPr>
              <w:spacing w:after="0" w:line="240" w:lineRule="auto"/>
              <w:jc w:val="center"/>
              <w:rPr>
                <w:rFonts w:ascii="Times New Roman" w:eastAsia="Times New Roman" w:hAnsi="Times New Roman" w:cs="Times New Roman"/>
                <w:sz w:val="18"/>
                <w:szCs w:val="18"/>
              </w:rPr>
            </w:pPr>
          </w:p>
        </w:tc>
      </w:tr>
      <w:tr w:rsidR="0095605A" w:rsidRPr="00BE3491" w14:paraId="4B18911B" w14:textId="77777777" w:rsidTr="00C41A39">
        <w:tc>
          <w:tcPr>
            <w:tcW w:w="657" w:type="pct"/>
            <w:tcBorders>
              <w:left w:val="single" w:sz="4" w:space="0" w:color="auto"/>
              <w:right w:val="single" w:sz="4" w:space="0" w:color="auto"/>
            </w:tcBorders>
            <w:shd w:val="clear" w:color="auto" w:fill="F2F2F2" w:themeFill="background1" w:themeFillShade="F2"/>
          </w:tcPr>
          <w:p w14:paraId="15A5739A" w14:textId="77777777" w:rsidR="0095605A" w:rsidRPr="00BE3491" w:rsidRDefault="0095605A" w:rsidP="0095605A">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right w:val="single" w:sz="12" w:space="0" w:color="auto"/>
            </w:tcBorders>
            <w:shd w:val="clear" w:color="auto" w:fill="F2F2F2" w:themeFill="background1" w:themeFillShade="F2"/>
            <w:vAlign w:val="center"/>
            <w:hideMark/>
          </w:tcPr>
          <w:p w14:paraId="07508DC0" w14:textId="0510E8E9" w:rsidR="0095605A" w:rsidRPr="0095605A" w:rsidRDefault="0095605A" w:rsidP="0095605A">
            <w:pPr>
              <w:spacing w:after="0" w:line="240" w:lineRule="auto"/>
              <w:ind w:right="-45"/>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state SOEs</w:t>
            </w:r>
          </w:p>
        </w:tc>
        <w:tc>
          <w:tcPr>
            <w:tcW w:w="382" w:type="pct"/>
            <w:tcBorders>
              <w:top w:val="nil"/>
              <w:left w:val="single" w:sz="12" w:space="0" w:color="auto"/>
              <w:right w:val="single" w:sz="4" w:space="0" w:color="auto"/>
            </w:tcBorders>
            <w:shd w:val="clear" w:color="auto" w:fill="auto"/>
          </w:tcPr>
          <w:p w14:paraId="385AB812" w14:textId="1B5CF98E" w:rsidR="0095605A" w:rsidRPr="0095605A" w:rsidRDefault="0095605A" w:rsidP="0095605A">
            <w:pPr>
              <w:spacing w:after="0" w:line="240" w:lineRule="auto"/>
              <w:ind w:left="-74" w:right="-105"/>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-0.159***</w:t>
            </w:r>
          </w:p>
        </w:tc>
        <w:tc>
          <w:tcPr>
            <w:tcW w:w="291" w:type="pct"/>
            <w:tcBorders>
              <w:top w:val="nil"/>
              <w:left w:val="single" w:sz="4" w:space="0" w:color="auto"/>
              <w:right w:val="single" w:sz="12" w:space="0" w:color="auto"/>
            </w:tcBorders>
            <w:shd w:val="clear" w:color="auto" w:fill="auto"/>
          </w:tcPr>
          <w:p w14:paraId="0B5462A9" w14:textId="6B9743CA"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0.006</w:t>
            </w:r>
          </w:p>
        </w:tc>
        <w:tc>
          <w:tcPr>
            <w:tcW w:w="487" w:type="pct"/>
            <w:tcBorders>
              <w:top w:val="nil"/>
              <w:left w:val="single" w:sz="12" w:space="0" w:color="auto"/>
              <w:right w:val="single" w:sz="4" w:space="0" w:color="auto"/>
            </w:tcBorders>
            <w:shd w:val="clear" w:color="auto" w:fill="auto"/>
            <w:noWrap/>
            <w:vAlign w:val="center"/>
          </w:tcPr>
          <w:p w14:paraId="3F5991E3" w14:textId="058863F4"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-0.147***</w:t>
            </w:r>
          </w:p>
        </w:tc>
        <w:tc>
          <w:tcPr>
            <w:tcW w:w="298" w:type="pct"/>
            <w:tcBorders>
              <w:top w:val="nil"/>
              <w:left w:val="single" w:sz="4" w:space="0" w:color="auto"/>
              <w:right w:val="single" w:sz="4" w:space="0" w:color="auto"/>
            </w:tcBorders>
            <w:shd w:val="clear" w:color="auto" w:fill="auto"/>
            <w:noWrap/>
            <w:vAlign w:val="center"/>
          </w:tcPr>
          <w:p w14:paraId="6A3E768C" w14:textId="34FBFFE3"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0.006</w:t>
            </w:r>
          </w:p>
        </w:tc>
        <w:tc>
          <w:tcPr>
            <w:tcW w:w="417" w:type="pct"/>
            <w:tcBorders>
              <w:left w:val="single" w:sz="4" w:space="0" w:color="auto"/>
              <w:right w:val="single" w:sz="4" w:space="0" w:color="auto"/>
            </w:tcBorders>
            <w:shd w:val="clear" w:color="auto" w:fill="auto"/>
            <w:vAlign w:val="center"/>
          </w:tcPr>
          <w:p w14:paraId="7956C4D4" w14:textId="544B94DD" w:rsidR="0095605A" w:rsidRPr="0095605A" w:rsidRDefault="0095605A" w:rsidP="0095605A">
            <w:pPr>
              <w:spacing w:after="0" w:line="240" w:lineRule="auto"/>
              <w:ind w:left="-74"/>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-0.196***</w:t>
            </w:r>
          </w:p>
        </w:tc>
        <w:tc>
          <w:tcPr>
            <w:tcW w:w="290" w:type="pct"/>
            <w:tcBorders>
              <w:left w:val="single" w:sz="4" w:space="0" w:color="auto"/>
              <w:right w:val="single" w:sz="4" w:space="0" w:color="auto"/>
            </w:tcBorders>
            <w:shd w:val="clear" w:color="auto" w:fill="auto"/>
            <w:vAlign w:val="center"/>
          </w:tcPr>
          <w:p w14:paraId="10C9EF68" w14:textId="3601BFDB"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0.010</w:t>
            </w:r>
          </w:p>
        </w:tc>
        <w:tc>
          <w:tcPr>
            <w:tcW w:w="445" w:type="pct"/>
            <w:tcBorders>
              <w:top w:val="nil"/>
              <w:left w:val="single" w:sz="4" w:space="0" w:color="auto"/>
              <w:right w:val="single" w:sz="4" w:space="0" w:color="auto"/>
            </w:tcBorders>
            <w:shd w:val="clear" w:color="auto" w:fill="auto"/>
            <w:noWrap/>
            <w:vAlign w:val="center"/>
          </w:tcPr>
          <w:p w14:paraId="2DF21BF5" w14:textId="7551A6E5"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-0.206***</w:t>
            </w:r>
          </w:p>
        </w:tc>
        <w:tc>
          <w:tcPr>
            <w:tcW w:w="378" w:type="pct"/>
            <w:tcBorders>
              <w:top w:val="nil"/>
              <w:left w:val="single" w:sz="4" w:space="0" w:color="auto"/>
              <w:right w:val="single" w:sz="4" w:space="0" w:color="auto"/>
            </w:tcBorders>
            <w:shd w:val="clear" w:color="auto" w:fill="auto"/>
            <w:noWrap/>
            <w:vAlign w:val="center"/>
          </w:tcPr>
          <w:p w14:paraId="3C27622B" w14:textId="3EFEC2D2"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0.012</w:t>
            </w:r>
          </w:p>
        </w:tc>
        <w:tc>
          <w:tcPr>
            <w:tcW w:w="417" w:type="pct"/>
            <w:tcBorders>
              <w:top w:val="nil"/>
              <w:left w:val="single" w:sz="4" w:space="0" w:color="auto"/>
              <w:right w:val="single" w:sz="4" w:space="0" w:color="auto"/>
            </w:tcBorders>
            <w:shd w:val="clear" w:color="auto" w:fill="auto"/>
            <w:vAlign w:val="center"/>
          </w:tcPr>
          <w:p w14:paraId="4DEDCF22" w14:textId="556D189E" w:rsidR="0095605A" w:rsidRPr="0095605A" w:rsidRDefault="0095605A" w:rsidP="0095605A">
            <w:pPr>
              <w:spacing w:after="0" w:line="240" w:lineRule="auto"/>
              <w:ind w:right="-75"/>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-0.192***</w:t>
            </w:r>
          </w:p>
        </w:tc>
        <w:tc>
          <w:tcPr>
            <w:tcW w:w="291" w:type="pct"/>
            <w:tcBorders>
              <w:top w:val="nil"/>
              <w:left w:val="single" w:sz="4" w:space="0" w:color="auto"/>
              <w:right w:val="single" w:sz="4" w:space="0" w:color="auto"/>
            </w:tcBorders>
            <w:shd w:val="clear" w:color="auto" w:fill="auto"/>
            <w:vAlign w:val="center"/>
          </w:tcPr>
          <w:p w14:paraId="37301814" w14:textId="6CE9891C"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0.008</w:t>
            </w:r>
          </w:p>
        </w:tc>
      </w:tr>
      <w:tr w:rsidR="0095605A" w:rsidRPr="00BE3491" w14:paraId="4A4BB27B" w14:textId="77777777" w:rsidTr="00C41A39">
        <w:trPr>
          <w:trHeight w:val="80"/>
        </w:trPr>
        <w:tc>
          <w:tcPr>
            <w:tcW w:w="657" w:type="pct"/>
            <w:tcBorders>
              <w:left w:val="single" w:sz="4" w:space="0" w:color="auto"/>
              <w:right w:val="single" w:sz="4" w:space="0" w:color="auto"/>
            </w:tcBorders>
            <w:shd w:val="clear" w:color="auto" w:fill="F2F2F2" w:themeFill="background1" w:themeFillShade="F2"/>
          </w:tcPr>
          <w:p w14:paraId="08838A7C" w14:textId="77777777" w:rsidR="0095605A" w:rsidRPr="00BE3491" w:rsidRDefault="0095605A" w:rsidP="0095605A">
            <w:pPr>
              <w:spacing w:after="0" w:line="240" w:lineRule="auto"/>
              <w:ind w:right="-45"/>
              <w:jc w:val="right"/>
              <w:rPr>
                <w:rFonts w:ascii="Times New Roman" w:eastAsia="Times New Roman" w:hAnsi="Times New Roman" w:cs="Times New Roman"/>
                <w:sz w:val="18"/>
                <w:szCs w:val="18"/>
              </w:rPr>
            </w:pPr>
          </w:p>
        </w:tc>
        <w:tc>
          <w:tcPr>
            <w:tcW w:w="647" w:type="pct"/>
            <w:tcBorders>
              <w:top w:val="nil"/>
              <w:left w:val="single" w:sz="4" w:space="0" w:color="auto"/>
              <w:bottom w:val="single" w:sz="4" w:space="0" w:color="auto"/>
              <w:right w:val="single" w:sz="12" w:space="0" w:color="auto"/>
            </w:tcBorders>
            <w:shd w:val="clear" w:color="auto" w:fill="F2F2F2" w:themeFill="background1" w:themeFillShade="F2"/>
            <w:vAlign w:val="center"/>
            <w:hideMark/>
          </w:tcPr>
          <w:p w14:paraId="39646A13" w14:textId="1E8ABAC4" w:rsidR="0095605A" w:rsidRPr="0095605A" w:rsidRDefault="0095605A" w:rsidP="0095605A">
            <w:pPr>
              <w:spacing w:after="0" w:line="240" w:lineRule="auto"/>
              <w:ind w:right="-45"/>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mixed SOEs</w:t>
            </w:r>
          </w:p>
        </w:tc>
        <w:tc>
          <w:tcPr>
            <w:tcW w:w="382" w:type="pct"/>
            <w:tcBorders>
              <w:top w:val="nil"/>
              <w:left w:val="single" w:sz="12" w:space="0" w:color="auto"/>
              <w:bottom w:val="single" w:sz="4" w:space="0" w:color="auto"/>
              <w:right w:val="single" w:sz="4" w:space="0" w:color="auto"/>
            </w:tcBorders>
            <w:shd w:val="clear" w:color="auto" w:fill="auto"/>
          </w:tcPr>
          <w:p w14:paraId="5C462920" w14:textId="650E90BC" w:rsidR="0095605A" w:rsidRPr="0095605A" w:rsidRDefault="0095605A" w:rsidP="0095605A">
            <w:pPr>
              <w:spacing w:after="0" w:line="240" w:lineRule="auto"/>
              <w:ind w:left="-74" w:right="-105"/>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0.070***</w:t>
            </w:r>
          </w:p>
        </w:tc>
        <w:tc>
          <w:tcPr>
            <w:tcW w:w="291" w:type="pct"/>
            <w:tcBorders>
              <w:top w:val="nil"/>
              <w:left w:val="single" w:sz="4" w:space="0" w:color="auto"/>
              <w:bottom w:val="single" w:sz="4" w:space="0" w:color="auto"/>
              <w:right w:val="single" w:sz="12" w:space="0" w:color="auto"/>
            </w:tcBorders>
            <w:shd w:val="clear" w:color="auto" w:fill="auto"/>
          </w:tcPr>
          <w:p w14:paraId="0AA4A2BF" w14:textId="19E11FC7"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0.003</w:t>
            </w:r>
          </w:p>
        </w:tc>
        <w:tc>
          <w:tcPr>
            <w:tcW w:w="487" w:type="pct"/>
            <w:tcBorders>
              <w:top w:val="nil"/>
              <w:left w:val="single" w:sz="12" w:space="0" w:color="auto"/>
              <w:bottom w:val="single" w:sz="4" w:space="0" w:color="auto"/>
              <w:right w:val="single" w:sz="4" w:space="0" w:color="auto"/>
            </w:tcBorders>
            <w:shd w:val="clear" w:color="auto" w:fill="auto"/>
            <w:noWrap/>
            <w:vAlign w:val="center"/>
          </w:tcPr>
          <w:p w14:paraId="69041F00" w14:textId="6F248911"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0.153***</w:t>
            </w:r>
          </w:p>
        </w:tc>
        <w:tc>
          <w:tcPr>
            <w:tcW w:w="298" w:type="pct"/>
            <w:tcBorders>
              <w:top w:val="nil"/>
              <w:left w:val="single" w:sz="4" w:space="0" w:color="auto"/>
              <w:bottom w:val="single" w:sz="4" w:space="0" w:color="auto"/>
              <w:right w:val="single" w:sz="4" w:space="0" w:color="auto"/>
            </w:tcBorders>
            <w:shd w:val="clear" w:color="auto" w:fill="auto"/>
            <w:noWrap/>
            <w:vAlign w:val="center"/>
          </w:tcPr>
          <w:p w14:paraId="5E2623E1" w14:textId="2D83FFDB"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0.010</w:t>
            </w:r>
          </w:p>
        </w:tc>
        <w:tc>
          <w:tcPr>
            <w:tcW w:w="417" w:type="pct"/>
            <w:tcBorders>
              <w:left w:val="single" w:sz="4" w:space="0" w:color="auto"/>
              <w:bottom w:val="single" w:sz="4" w:space="0" w:color="auto"/>
              <w:right w:val="single" w:sz="4" w:space="0" w:color="auto"/>
            </w:tcBorders>
            <w:shd w:val="clear" w:color="auto" w:fill="auto"/>
            <w:vAlign w:val="center"/>
          </w:tcPr>
          <w:p w14:paraId="783B699E" w14:textId="308BACCB" w:rsidR="0095605A" w:rsidRPr="0095605A" w:rsidRDefault="0095605A" w:rsidP="0095605A">
            <w:pPr>
              <w:spacing w:after="0" w:line="240" w:lineRule="auto"/>
              <w:ind w:left="-89"/>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0.083***</w:t>
            </w:r>
          </w:p>
        </w:tc>
        <w:tc>
          <w:tcPr>
            <w:tcW w:w="290" w:type="pct"/>
            <w:tcBorders>
              <w:left w:val="single" w:sz="4" w:space="0" w:color="auto"/>
              <w:bottom w:val="single" w:sz="4" w:space="0" w:color="auto"/>
              <w:right w:val="single" w:sz="4" w:space="0" w:color="auto"/>
            </w:tcBorders>
            <w:shd w:val="clear" w:color="auto" w:fill="auto"/>
            <w:vAlign w:val="center"/>
          </w:tcPr>
          <w:p w14:paraId="1A4FCE68" w14:textId="71B77797"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0.009</w:t>
            </w:r>
          </w:p>
        </w:tc>
        <w:tc>
          <w:tcPr>
            <w:tcW w:w="445" w:type="pct"/>
            <w:tcBorders>
              <w:top w:val="nil"/>
              <w:left w:val="single" w:sz="4" w:space="0" w:color="auto"/>
              <w:bottom w:val="single" w:sz="4" w:space="0" w:color="auto"/>
              <w:right w:val="single" w:sz="4" w:space="0" w:color="auto"/>
            </w:tcBorders>
            <w:shd w:val="clear" w:color="auto" w:fill="auto"/>
            <w:noWrap/>
            <w:vAlign w:val="center"/>
          </w:tcPr>
          <w:p w14:paraId="02AE36F0" w14:textId="433E9AAF"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0.030**</w:t>
            </w:r>
          </w:p>
        </w:tc>
        <w:tc>
          <w:tcPr>
            <w:tcW w:w="378" w:type="pct"/>
            <w:tcBorders>
              <w:top w:val="nil"/>
              <w:left w:val="single" w:sz="4" w:space="0" w:color="auto"/>
              <w:bottom w:val="single" w:sz="4" w:space="0" w:color="auto"/>
              <w:right w:val="single" w:sz="4" w:space="0" w:color="auto"/>
            </w:tcBorders>
            <w:shd w:val="clear" w:color="auto" w:fill="auto"/>
            <w:noWrap/>
            <w:vAlign w:val="center"/>
          </w:tcPr>
          <w:p w14:paraId="707E4FC7" w14:textId="2D083B8E"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0.012</w:t>
            </w:r>
          </w:p>
        </w:tc>
        <w:tc>
          <w:tcPr>
            <w:tcW w:w="417" w:type="pct"/>
            <w:tcBorders>
              <w:top w:val="nil"/>
              <w:left w:val="single" w:sz="4" w:space="0" w:color="auto"/>
              <w:bottom w:val="single" w:sz="4" w:space="0" w:color="auto"/>
              <w:right w:val="single" w:sz="4" w:space="0" w:color="auto"/>
            </w:tcBorders>
            <w:shd w:val="clear" w:color="auto" w:fill="auto"/>
            <w:vAlign w:val="center"/>
          </w:tcPr>
          <w:p w14:paraId="38C78726" w14:textId="78F8F397" w:rsidR="0095605A" w:rsidRPr="0095605A" w:rsidRDefault="0095605A" w:rsidP="0095605A">
            <w:pPr>
              <w:spacing w:after="0" w:line="240" w:lineRule="auto"/>
              <w:ind w:right="-75"/>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0.041***</w:t>
            </w:r>
          </w:p>
        </w:tc>
        <w:tc>
          <w:tcPr>
            <w:tcW w:w="291" w:type="pct"/>
            <w:tcBorders>
              <w:top w:val="nil"/>
              <w:left w:val="single" w:sz="4" w:space="0" w:color="auto"/>
              <w:bottom w:val="single" w:sz="4" w:space="0" w:color="auto"/>
              <w:right w:val="single" w:sz="4" w:space="0" w:color="auto"/>
            </w:tcBorders>
            <w:shd w:val="clear" w:color="auto" w:fill="auto"/>
            <w:vAlign w:val="center"/>
          </w:tcPr>
          <w:p w14:paraId="59987EF7" w14:textId="51F89979" w:rsidR="0095605A" w:rsidRPr="0095605A" w:rsidRDefault="0095605A" w:rsidP="0095605A">
            <w:pPr>
              <w:spacing w:after="0" w:line="240" w:lineRule="auto"/>
              <w:jc w:val="right"/>
              <w:rPr>
                <w:rFonts w:ascii="Times New Roman" w:eastAsia="Times New Roman" w:hAnsi="Times New Roman" w:cs="Times New Roman"/>
                <w:sz w:val="18"/>
                <w:szCs w:val="18"/>
              </w:rPr>
            </w:pPr>
            <w:r w:rsidRPr="0095605A">
              <w:rPr>
                <w:rFonts w:ascii="Times New Roman" w:eastAsia="Times New Roman" w:hAnsi="Times New Roman" w:cs="Times New Roman"/>
                <w:sz w:val="18"/>
                <w:szCs w:val="18"/>
              </w:rPr>
              <w:t>0.010</w:t>
            </w:r>
          </w:p>
        </w:tc>
      </w:tr>
      <w:tr w:rsidR="00AC01C1" w:rsidRPr="00BE3491" w14:paraId="649CB9BB"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550AEFF9"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1FA514C0"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Constant</w:t>
            </w:r>
          </w:p>
        </w:tc>
        <w:tc>
          <w:tcPr>
            <w:tcW w:w="382" w:type="pct"/>
            <w:tcBorders>
              <w:top w:val="single" w:sz="4" w:space="0" w:color="auto"/>
              <w:left w:val="single" w:sz="12" w:space="0" w:color="auto"/>
              <w:bottom w:val="single" w:sz="4" w:space="0" w:color="auto"/>
              <w:right w:val="single" w:sz="4" w:space="0" w:color="auto"/>
            </w:tcBorders>
            <w:shd w:val="clear" w:color="auto" w:fill="auto"/>
          </w:tcPr>
          <w:p w14:paraId="1B19D5CE" w14:textId="77777777" w:rsidR="00AC01C1" w:rsidRPr="00BE3491" w:rsidRDefault="00AC01C1" w:rsidP="00B25599">
            <w:pPr>
              <w:spacing w:after="0" w:line="240" w:lineRule="auto"/>
              <w:ind w:left="-74" w:right="-10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3.559***</w:t>
            </w:r>
          </w:p>
        </w:tc>
        <w:tc>
          <w:tcPr>
            <w:tcW w:w="291" w:type="pct"/>
            <w:tcBorders>
              <w:top w:val="single" w:sz="4" w:space="0" w:color="auto"/>
              <w:left w:val="single" w:sz="4" w:space="0" w:color="auto"/>
              <w:bottom w:val="single" w:sz="4" w:space="0" w:color="auto"/>
              <w:right w:val="single" w:sz="12" w:space="0" w:color="auto"/>
            </w:tcBorders>
            <w:shd w:val="clear" w:color="auto" w:fill="auto"/>
          </w:tcPr>
          <w:p w14:paraId="492C0153"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0.023</w:t>
            </w:r>
          </w:p>
        </w:tc>
        <w:tc>
          <w:tcPr>
            <w:tcW w:w="487"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3B9D8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3.621***</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8003D"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0.033</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DCE1214"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3.843***</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7598750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DD59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3.962***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72805"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0.089</w:t>
            </w:r>
          </w:p>
        </w:tc>
        <w:tc>
          <w:tcPr>
            <w:tcW w:w="417" w:type="pct"/>
            <w:tcBorders>
              <w:top w:val="single" w:sz="4" w:space="0" w:color="auto"/>
            </w:tcBorders>
            <w:shd w:val="clear" w:color="auto" w:fill="auto"/>
            <w:vAlign w:val="center"/>
          </w:tcPr>
          <w:p w14:paraId="37170389" w14:textId="77777777" w:rsidR="00AC01C1" w:rsidRPr="00BE3491" w:rsidRDefault="00AC01C1" w:rsidP="00B25599">
            <w:pPr>
              <w:spacing w:after="0" w:line="240" w:lineRule="auto"/>
              <w:ind w:right="-75"/>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3.539***</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8EF6FB2" w14:textId="77777777" w:rsidR="00AC01C1" w:rsidRPr="00BE3491" w:rsidRDefault="00AC01C1" w:rsidP="00B25599">
            <w:pPr>
              <w:spacing w:after="0" w:line="240" w:lineRule="auto"/>
              <w:jc w:val="right"/>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0.042</w:t>
            </w:r>
          </w:p>
        </w:tc>
      </w:tr>
      <w:tr w:rsidR="00AC01C1" w:rsidRPr="00BE3491" w14:paraId="25DD7913" w14:textId="77777777" w:rsidTr="00C41A39">
        <w:trPr>
          <w:trHeight w:val="68"/>
        </w:trPr>
        <w:tc>
          <w:tcPr>
            <w:tcW w:w="657" w:type="pct"/>
            <w:tcBorders>
              <w:left w:val="single" w:sz="4" w:space="0" w:color="auto"/>
              <w:right w:val="single" w:sz="4" w:space="0" w:color="auto"/>
            </w:tcBorders>
            <w:shd w:val="clear" w:color="auto" w:fill="F2F2F2" w:themeFill="background1" w:themeFillShade="F2"/>
          </w:tcPr>
          <w:p w14:paraId="6B8E325E"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492F2E85"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N</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32186D39"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478095</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6E22F36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156805</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tcPr>
          <w:p w14:paraId="4DE1A6FD"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112364</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tcPr>
          <w:p w14:paraId="64D024A1"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62273</w:t>
            </w:r>
          </w:p>
        </w:tc>
        <w:tc>
          <w:tcPr>
            <w:tcW w:w="708" w:type="pct"/>
            <w:gridSpan w:val="2"/>
            <w:tcBorders>
              <w:top w:val="single" w:sz="4" w:space="0" w:color="auto"/>
              <w:right w:val="single" w:sz="4" w:space="0" w:color="auto"/>
            </w:tcBorders>
            <w:shd w:val="clear" w:color="auto" w:fill="auto"/>
          </w:tcPr>
          <w:p w14:paraId="201A23D6"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70266</w:t>
            </w:r>
          </w:p>
        </w:tc>
      </w:tr>
      <w:tr w:rsidR="00AC01C1" w:rsidRPr="00647847" w14:paraId="175F7023" w14:textId="77777777" w:rsidTr="00C41A39">
        <w:tc>
          <w:tcPr>
            <w:tcW w:w="657" w:type="pct"/>
            <w:tcBorders>
              <w:left w:val="single" w:sz="4" w:space="0" w:color="auto"/>
              <w:bottom w:val="single" w:sz="4" w:space="0" w:color="auto"/>
              <w:right w:val="single" w:sz="4" w:space="0" w:color="auto"/>
            </w:tcBorders>
            <w:shd w:val="clear" w:color="auto" w:fill="F2F2F2" w:themeFill="background1" w:themeFillShade="F2"/>
          </w:tcPr>
          <w:p w14:paraId="3C7A8773"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p>
        </w:tc>
        <w:tc>
          <w:tcPr>
            <w:tcW w:w="647" w:type="pct"/>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tcPr>
          <w:p w14:paraId="43AB0D6F" w14:textId="77777777" w:rsidR="00AC01C1" w:rsidRPr="00BE3491" w:rsidRDefault="00AC01C1" w:rsidP="00B25599">
            <w:pPr>
              <w:spacing w:after="0" w:line="240" w:lineRule="auto"/>
              <w:ind w:right="-45"/>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Adjusted R</w:t>
            </w:r>
            <w:r w:rsidRPr="00BE3491">
              <w:rPr>
                <w:rFonts w:ascii="Times New Roman" w:eastAsia="Times New Roman" w:hAnsi="Times New Roman" w:cs="Times New Roman"/>
                <w:sz w:val="18"/>
                <w:szCs w:val="18"/>
                <w:vertAlign w:val="superscript"/>
              </w:rPr>
              <w:t>2</w:t>
            </w:r>
          </w:p>
        </w:tc>
        <w:tc>
          <w:tcPr>
            <w:tcW w:w="673" w:type="pct"/>
            <w:gridSpan w:val="2"/>
            <w:tcBorders>
              <w:top w:val="single" w:sz="4" w:space="0" w:color="auto"/>
              <w:left w:val="single" w:sz="12" w:space="0" w:color="auto"/>
              <w:bottom w:val="single" w:sz="4" w:space="0" w:color="auto"/>
              <w:right w:val="single" w:sz="12" w:space="0" w:color="auto"/>
            </w:tcBorders>
            <w:shd w:val="clear" w:color="auto" w:fill="auto"/>
          </w:tcPr>
          <w:p w14:paraId="142F402E"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0.532</w:t>
            </w:r>
          </w:p>
        </w:tc>
        <w:tc>
          <w:tcPr>
            <w:tcW w:w="785"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14:paraId="73BDEAE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0.520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EA1AC7"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0.539</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12233A" w14:textId="77777777" w:rsidR="00AC01C1" w:rsidRPr="00BE3491"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0.540</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tcPr>
          <w:p w14:paraId="11DE473B" w14:textId="77777777" w:rsidR="00AC01C1" w:rsidRPr="00647847" w:rsidRDefault="00AC01C1" w:rsidP="00B25599">
            <w:pPr>
              <w:spacing w:after="0" w:line="240" w:lineRule="auto"/>
              <w:jc w:val="center"/>
              <w:rPr>
                <w:rFonts w:ascii="Times New Roman" w:eastAsia="Times New Roman" w:hAnsi="Times New Roman" w:cs="Times New Roman"/>
                <w:sz w:val="18"/>
                <w:szCs w:val="18"/>
              </w:rPr>
            </w:pPr>
            <w:r w:rsidRPr="00BE3491">
              <w:rPr>
                <w:rFonts w:ascii="Times New Roman" w:eastAsia="Times New Roman" w:hAnsi="Times New Roman" w:cs="Times New Roman"/>
                <w:sz w:val="18"/>
                <w:szCs w:val="18"/>
              </w:rPr>
              <w:t>0.515</w:t>
            </w:r>
          </w:p>
        </w:tc>
      </w:tr>
    </w:tbl>
    <w:p w14:paraId="03889820" w14:textId="36C1A73E" w:rsidR="00AC01C1" w:rsidRPr="00393C0A" w:rsidRDefault="00AC01C1" w:rsidP="00393C0A">
      <w:pPr>
        <w:spacing w:after="160" w:line="259" w:lineRule="auto"/>
        <w:jc w:val="left"/>
        <w:rPr>
          <w:lang w:eastAsia="en-US"/>
        </w:rPr>
      </w:pPr>
      <w:bookmarkStart w:id="144" w:name="_Hlk10984611"/>
      <w:r w:rsidRPr="00BC152B">
        <w:rPr>
          <w:rFonts w:cstheme="minorHAnsi"/>
          <w:b/>
          <w:bCs/>
          <w:iCs/>
          <w:color w:val="000000" w:themeColor="text1"/>
        </w:rPr>
        <w:t xml:space="preserve"> </w:t>
      </w:r>
      <w:bookmarkEnd w:id="144"/>
    </w:p>
    <w:p w14:paraId="2C0D23A7" w14:textId="21C890CF" w:rsidR="008D3351" w:rsidRPr="008D3351" w:rsidRDefault="00BC152B" w:rsidP="008D3351">
      <w:pPr>
        <w:spacing w:after="160" w:line="259" w:lineRule="auto"/>
        <w:jc w:val="left"/>
        <w:rPr>
          <w:rFonts w:cstheme="minorHAnsi"/>
          <w:b/>
          <w:bCs/>
          <w:iCs/>
          <w:color w:val="000000" w:themeColor="text1"/>
          <w:sz w:val="20"/>
        </w:rPr>
      </w:pPr>
      <w:r>
        <w:rPr>
          <w:rFonts w:cstheme="minorHAnsi"/>
          <w:b/>
          <w:bCs/>
          <w:iCs/>
          <w:color w:val="000000" w:themeColor="text1"/>
        </w:rPr>
        <w:br w:type="page"/>
      </w:r>
    </w:p>
    <w:p w14:paraId="1850E58F" w14:textId="7827DB18" w:rsidR="00BC152B" w:rsidRPr="008D3351" w:rsidRDefault="00BC152B" w:rsidP="008D3351">
      <w:pPr>
        <w:pStyle w:val="ListParagraph"/>
        <w:numPr>
          <w:ilvl w:val="0"/>
          <w:numId w:val="29"/>
        </w:numPr>
        <w:spacing w:after="0" w:line="240" w:lineRule="auto"/>
        <w:jc w:val="left"/>
        <w:rPr>
          <w:rFonts w:cstheme="minorHAnsi"/>
          <w:b/>
          <w:bCs/>
          <w:iCs/>
          <w:color w:val="000000" w:themeColor="text1"/>
          <w:sz w:val="22"/>
        </w:rPr>
      </w:pPr>
      <w:r w:rsidRPr="008D3351">
        <w:rPr>
          <w:rFonts w:cstheme="minorHAnsi"/>
          <w:b/>
          <w:bCs/>
          <w:iCs/>
          <w:color w:val="000000" w:themeColor="text1"/>
          <w:sz w:val="22"/>
        </w:rPr>
        <w:t xml:space="preserve">Market </w:t>
      </w:r>
      <w:r w:rsidR="00C6237C" w:rsidRPr="008D3351">
        <w:rPr>
          <w:rFonts w:cstheme="minorHAnsi"/>
          <w:b/>
          <w:bCs/>
          <w:iCs/>
          <w:color w:val="000000" w:themeColor="text1"/>
          <w:sz w:val="22"/>
        </w:rPr>
        <w:t xml:space="preserve">(revenue) share of top 4 firms, by 2-digit industry </w:t>
      </w:r>
    </w:p>
    <w:p w14:paraId="577FA78C" w14:textId="3F544ECC" w:rsidR="00C6237C" w:rsidRDefault="00C6237C" w:rsidP="00C6237C">
      <w:pPr>
        <w:spacing w:after="0" w:line="240" w:lineRule="auto"/>
        <w:ind w:firstLine="360"/>
        <w:jc w:val="left"/>
        <w:rPr>
          <w:rFonts w:ascii="Calibri" w:eastAsia="Times New Roman" w:hAnsi="Calibri" w:cs="Times New Roman"/>
          <w:color w:val="000000"/>
          <w:lang w:eastAsia="en-US"/>
        </w:rPr>
      </w:pPr>
      <w:r w:rsidRPr="00C6237C">
        <w:rPr>
          <w:rFonts w:ascii="Calibri" w:eastAsia="Times New Roman" w:hAnsi="Calibri" w:cs="Times New Roman"/>
          <w:color w:val="000000"/>
          <w:lang w:eastAsia="en-US"/>
        </w:rPr>
        <w:t>Source: Ruslana, author's calculations, codes converted from NACE Rev2 to OKVED</w:t>
      </w:r>
    </w:p>
    <w:p w14:paraId="1E963D8C" w14:textId="77777777" w:rsidR="000337D6" w:rsidRDefault="000337D6" w:rsidP="00C6237C">
      <w:pPr>
        <w:spacing w:after="0" w:line="240" w:lineRule="auto"/>
        <w:ind w:firstLine="360"/>
        <w:jc w:val="left"/>
        <w:rPr>
          <w:rFonts w:ascii="Calibri" w:eastAsia="Times New Roman" w:hAnsi="Calibri" w:cs="Times New Roman"/>
          <w:color w:val="000000"/>
          <w:lang w:eastAsia="en-US"/>
        </w:rPr>
      </w:pPr>
      <w:r>
        <w:rPr>
          <w:rFonts w:ascii="Calibri" w:eastAsia="Times New Roman" w:hAnsi="Calibri" w:cs="Times New Roman"/>
          <w:color w:val="000000"/>
          <w:lang w:eastAsia="en-US"/>
        </w:rPr>
        <w:t>Data from latest available year, 2016-2018</w:t>
      </w:r>
    </w:p>
    <w:p w14:paraId="205FB5BD" w14:textId="7214AF4E" w:rsidR="000337D6" w:rsidRDefault="000337D6" w:rsidP="00C6237C">
      <w:pPr>
        <w:spacing w:after="0" w:line="240" w:lineRule="auto"/>
        <w:ind w:firstLine="360"/>
        <w:jc w:val="left"/>
        <w:rPr>
          <w:rFonts w:ascii="Calibri" w:eastAsia="Times New Roman" w:hAnsi="Calibri" w:cs="Times New Roman"/>
          <w:color w:val="000000"/>
          <w:lang w:eastAsia="en-US"/>
        </w:rPr>
      </w:pPr>
      <w:r>
        <w:rPr>
          <w:rFonts w:ascii="Calibri" w:eastAsia="Times New Roman" w:hAnsi="Calibri" w:cs="Times New Roman"/>
          <w:color w:val="000000"/>
          <w:lang w:eastAsia="en-US"/>
        </w:rPr>
        <w:t xml:space="preserve">N = 1,945,524 </w:t>
      </w:r>
    </w:p>
    <w:p w14:paraId="1C274C59" w14:textId="77777777" w:rsidR="00BC152B" w:rsidRDefault="00BC152B" w:rsidP="00AC01C1">
      <w:pPr>
        <w:spacing w:after="0" w:line="240" w:lineRule="auto"/>
        <w:jc w:val="left"/>
        <w:rPr>
          <w:rFonts w:cstheme="minorHAnsi"/>
          <w:b/>
          <w:bCs/>
          <w:iCs/>
          <w:color w:val="000000" w:themeColor="text1"/>
        </w:rPr>
      </w:pPr>
    </w:p>
    <w:tbl>
      <w:tblPr>
        <w:tblW w:w="6570" w:type="dxa"/>
        <w:tblInd w:w="360" w:type="dxa"/>
        <w:tblBorders>
          <w:top w:val="single" w:sz="4" w:space="0" w:color="969696"/>
          <w:left w:val="single" w:sz="4" w:space="0" w:color="969696"/>
          <w:right w:val="single" w:sz="4" w:space="0" w:color="969696"/>
          <w:insideV w:val="single" w:sz="4" w:space="0" w:color="969696"/>
        </w:tblBorders>
        <w:tblLook w:val="04A0" w:firstRow="1" w:lastRow="0" w:firstColumn="1" w:lastColumn="0" w:noHBand="0" w:noVBand="1"/>
      </w:tblPr>
      <w:tblGrid>
        <w:gridCol w:w="1350"/>
        <w:gridCol w:w="2970"/>
        <w:gridCol w:w="2250"/>
      </w:tblGrid>
      <w:tr w:rsidR="00FF7A71" w:rsidRPr="000337D6" w14:paraId="24FD0A3B" w14:textId="77777777" w:rsidTr="004511FA">
        <w:trPr>
          <w:trHeight w:val="298"/>
        </w:trPr>
        <w:tc>
          <w:tcPr>
            <w:tcW w:w="1350" w:type="dxa"/>
            <w:tcBorders>
              <w:top w:val="nil"/>
              <w:left w:val="nil"/>
              <w:bottom w:val="single" w:sz="4" w:space="0" w:color="969696"/>
            </w:tcBorders>
            <w:shd w:val="clear" w:color="000000" w:fill="auto"/>
            <w:hideMark/>
          </w:tcPr>
          <w:p w14:paraId="0171851B" w14:textId="77777777" w:rsidR="000337D6" w:rsidRPr="000337D6" w:rsidRDefault="000337D6" w:rsidP="000337D6">
            <w:pPr>
              <w:spacing w:after="0" w:line="240" w:lineRule="auto"/>
              <w:jc w:val="left"/>
              <w:rPr>
                <w:rFonts w:ascii="Calibri" w:eastAsia="Times New Roman" w:hAnsi="Calibri" w:cs="Times New Roman"/>
                <w:b/>
                <w:bCs/>
                <w:color w:val="000000"/>
                <w:lang w:eastAsia="en-US"/>
              </w:rPr>
            </w:pPr>
            <w:r w:rsidRPr="000337D6">
              <w:rPr>
                <w:rFonts w:ascii="Calibri" w:eastAsia="Times New Roman" w:hAnsi="Calibri" w:cs="Times New Roman"/>
                <w:b/>
                <w:bCs/>
                <w:color w:val="000000"/>
                <w:lang w:eastAsia="en-US"/>
              </w:rPr>
              <w:t>Sector code (OKVED)</w:t>
            </w:r>
          </w:p>
        </w:tc>
        <w:tc>
          <w:tcPr>
            <w:tcW w:w="2970" w:type="dxa"/>
            <w:tcBorders>
              <w:top w:val="nil"/>
              <w:bottom w:val="single" w:sz="4" w:space="0" w:color="969696"/>
            </w:tcBorders>
            <w:shd w:val="clear" w:color="000000" w:fill="auto"/>
            <w:hideMark/>
          </w:tcPr>
          <w:p w14:paraId="7B0C0DE2" w14:textId="77777777" w:rsidR="000337D6" w:rsidRPr="000337D6" w:rsidRDefault="000337D6" w:rsidP="000337D6">
            <w:pPr>
              <w:spacing w:after="0" w:line="240" w:lineRule="auto"/>
              <w:jc w:val="left"/>
              <w:rPr>
                <w:rFonts w:ascii="Calibri" w:eastAsia="Times New Roman" w:hAnsi="Calibri" w:cs="Times New Roman"/>
                <w:b/>
                <w:bCs/>
                <w:color w:val="000000"/>
                <w:lang w:eastAsia="en-US"/>
              </w:rPr>
            </w:pPr>
            <w:r w:rsidRPr="000337D6">
              <w:rPr>
                <w:rFonts w:ascii="Calibri" w:eastAsia="Times New Roman" w:hAnsi="Calibri" w:cs="Times New Roman"/>
                <w:b/>
                <w:bCs/>
                <w:color w:val="000000"/>
                <w:lang w:eastAsia="en-US"/>
              </w:rPr>
              <w:t>Sector name</w:t>
            </w:r>
          </w:p>
        </w:tc>
        <w:tc>
          <w:tcPr>
            <w:tcW w:w="2250" w:type="dxa"/>
            <w:tcBorders>
              <w:top w:val="nil"/>
              <w:bottom w:val="single" w:sz="4" w:space="0" w:color="969696"/>
              <w:right w:val="nil"/>
            </w:tcBorders>
            <w:shd w:val="clear" w:color="000000" w:fill="auto"/>
            <w:hideMark/>
          </w:tcPr>
          <w:p w14:paraId="187D9655" w14:textId="77777777" w:rsidR="000337D6" w:rsidRPr="000337D6" w:rsidRDefault="000337D6" w:rsidP="000337D6">
            <w:pPr>
              <w:spacing w:after="0" w:line="240" w:lineRule="auto"/>
              <w:jc w:val="left"/>
              <w:rPr>
                <w:rFonts w:ascii="Calibri" w:eastAsia="Times New Roman" w:hAnsi="Calibri" w:cs="Times New Roman"/>
                <w:b/>
                <w:bCs/>
                <w:color w:val="000000"/>
                <w:lang w:eastAsia="en-US"/>
              </w:rPr>
            </w:pPr>
            <w:r w:rsidRPr="000337D6">
              <w:rPr>
                <w:rFonts w:ascii="Calibri" w:eastAsia="Times New Roman" w:hAnsi="Calibri" w:cs="Times New Roman"/>
                <w:b/>
                <w:bCs/>
                <w:color w:val="000000"/>
                <w:lang w:eastAsia="en-US"/>
              </w:rPr>
              <w:t>Market (revenue) share of top 4 firms</w:t>
            </w:r>
          </w:p>
        </w:tc>
      </w:tr>
      <w:tr w:rsidR="000337D6" w:rsidRPr="000337D6" w14:paraId="39527942" w14:textId="77777777" w:rsidTr="004511FA">
        <w:trPr>
          <w:trHeight w:val="300"/>
        </w:trPr>
        <w:tc>
          <w:tcPr>
            <w:tcW w:w="1350" w:type="dxa"/>
            <w:tcBorders>
              <w:top w:val="single" w:sz="4" w:space="0" w:color="969696"/>
              <w:left w:val="nil"/>
            </w:tcBorders>
            <w:shd w:val="clear" w:color="auto" w:fill="auto"/>
            <w:noWrap/>
            <w:vAlign w:val="bottom"/>
            <w:hideMark/>
          </w:tcPr>
          <w:p w14:paraId="1A7E3AA0"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C</w:t>
            </w:r>
          </w:p>
        </w:tc>
        <w:tc>
          <w:tcPr>
            <w:tcW w:w="2970" w:type="dxa"/>
            <w:tcBorders>
              <w:top w:val="single" w:sz="4" w:space="0" w:color="969696"/>
            </w:tcBorders>
            <w:shd w:val="clear" w:color="auto" w:fill="auto"/>
            <w:noWrap/>
            <w:vAlign w:val="bottom"/>
            <w:hideMark/>
          </w:tcPr>
          <w:p w14:paraId="779BC0A6"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Mining &amp; quarrying</w:t>
            </w:r>
          </w:p>
        </w:tc>
        <w:tc>
          <w:tcPr>
            <w:tcW w:w="2250" w:type="dxa"/>
            <w:tcBorders>
              <w:top w:val="single" w:sz="4" w:space="0" w:color="969696"/>
              <w:right w:val="nil"/>
            </w:tcBorders>
            <w:shd w:val="clear" w:color="auto" w:fill="auto"/>
            <w:noWrap/>
            <w:vAlign w:val="bottom"/>
            <w:hideMark/>
          </w:tcPr>
          <w:p w14:paraId="2D3A86CF"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35.6%</w:t>
            </w:r>
          </w:p>
        </w:tc>
      </w:tr>
      <w:tr w:rsidR="000337D6" w:rsidRPr="000337D6" w14:paraId="63DA6072" w14:textId="77777777" w:rsidTr="004511FA">
        <w:trPr>
          <w:trHeight w:val="300"/>
        </w:trPr>
        <w:tc>
          <w:tcPr>
            <w:tcW w:w="1350" w:type="dxa"/>
            <w:tcBorders>
              <w:left w:val="nil"/>
            </w:tcBorders>
            <w:shd w:val="clear" w:color="auto" w:fill="auto"/>
            <w:noWrap/>
            <w:vAlign w:val="bottom"/>
            <w:hideMark/>
          </w:tcPr>
          <w:p w14:paraId="2C02AC73"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D</w:t>
            </w:r>
          </w:p>
        </w:tc>
        <w:tc>
          <w:tcPr>
            <w:tcW w:w="2970" w:type="dxa"/>
            <w:shd w:val="clear" w:color="auto" w:fill="auto"/>
            <w:noWrap/>
            <w:vAlign w:val="bottom"/>
            <w:hideMark/>
          </w:tcPr>
          <w:p w14:paraId="7D9E7896"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Manufacturing</w:t>
            </w:r>
          </w:p>
        </w:tc>
        <w:tc>
          <w:tcPr>
            <w:tcW w:w="2250" w:type="dxa"/>
            <w:tcBorders>
              <w:right w:val="nil"/>
            </w:tcBorders>
            <w:shd w:val="clear" w:color="auto" w:fill="auto"/>
            <w:noWrap/>
            <w:vAlign w:val="bottom"/>
            <w:hideMark/>
          </w:tcPr>
          <w:p w14:paraId="43851744"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4.5%</w:t>
            </w:r>
          </w:p>
        </w:tc>
      </w:tr>
      <w:tr w:rsidR="000337D6" w:rsidRPr="000337D6" w14:paraId="40A2ED16" w14:textId="77777777" w:rsidTr="004511FA">
        <w:trPr>
          <w:trHeight w:val="300"/>
        </w:trPr>
        <w:tc>
          <w:tcPr>
            <w:tcW w:w="1350" w:type="dxa"/>
            <w:tcBorders>
              <w:left w:val="nil"/>
            </w:tcBorders>
            <w:shd w:val="clear" w:color="auto" w:fill="auto"/>
            <w:noWrap/>
            <w:vAlign w:val="bottom"/>
            <w:hideMark/>
          </w:tcPr>
          <w:p w14:paraId="4BB2DFF6"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E</w:t>
            </w:r>
          </w:p>
        </w:tc>
        <w:tc>
          <w:tcPr>
            <w:tcW w:w="2970" w:type="dxa"/>
            <w:shd w:val="clear" w:color="auto" w:fill="auto"/>
            <w:noWrap/>
            <w:vAlign w:val="bottom"/>
            <w:hideMark/>
          </w:tcPr>
          <w:p w14:paraId="2846C572"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Electricity, gas, water</w:t>
            </w:r>
          </w:p>
        </w:tc>
        <w:tc>
          <w:tcPr>
            <w:tcW w:w="2250" w:type="dxa"/>
            <w:tcBorders>
              <w:right w:val="nil"/>
            </w:tcBorders>
            <w:shd w:val="clear" w:color="auto" w:fill="auto"/>
            <w:noWrap/>
            <w:vAlign w:val="bottom"/>
            <w:hideMark/>
          </w:tcPr>
          <w:p w14:paraId="3E118187"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15.2%</w:t>
            </w:r>
          </w:p>
        </w:tc>
      </w:tr>
      <w:tr w:rsidR="000337D6" w:rsidRPr="000337D6" w14:paraId="29B7DE97" w14:textId="77777777" w:rsidTr="004511FA">
        <w:trPr>
          <w:trHeight w:val="300"/>
        </w:trPr>
        <w:tc>
          <w:tcPr>
            <w:tcW w:w="1350" w:type="dxa"/>
            <w:tcBorders>
              <w:left w:val="nil"/>
            </w:tcBorders>
            <w:shd w:val="clear" w:color="auto" w:fill="auto"/>
            <w:noWrap/>
            <w:vAlign w:val="bottom"/>
            <w:hideMark/>
          </w:tcPr>
          <w:p w14:paraId="456E450D"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F</w:t>
            </w:r>
          </w:p>
        </w:tc>
        <w:tc>
          <w:tcPr>
            <w:tcW w:w="2970" w:type="dxa"/>
            <w:shd w:val="clear" w:color="auto" w:fill="auto"/>
            <w:noWrap/>
            <w:vAlign w:val="bottom"/>
            <w:hideMark/>
          </w:tcPr>
          <w:p w14:paraId="325BD851"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Construction</w:t>
            </w:r>
          </w:p>
        </w:tc>
        <w:tc>
          <w:tcPr>
            <w:tcW w:w="2250" w:type="dxa"/>
            <w:tcBorders>
              <w:right w:val="nil"/>
            </w:tcBorders>
            <w:shd w:val="clear" w:color="auto" w:fill="auto"/>
            <w:noWrap/>
            <w:vAlign w:val="bottom"/>
            <w:hideMark/>
          </w:tcPr>
          <w:p w14:paraId="0886780A"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5.0%</w:t>
            </w:r>
          </w:p>
        </w:tc>
      </w:tr>
      <w:tr w:rsidR="000337D6" w:rsidRPr="000337D6" w14:paraId="6EF4207E" w14:textId="77777777" w:rsidTr="004511FA">
        <w:trPr>
          <w:trHeight w:val="300"/>
        </w:trPr>
        <w:tc>
          <w:tcPr>
            <w:tcW w:w="1350" w:type="dxa"/>
            <w:tcBorders>
              <w:left w:val="nil"/>
            </w:tcBorders>
            <w:shd w:val="clear" w:color="auto" w:fill="auto"/>
            <w:noWrap/>
            <w:vAlign w:val="bottom"/>
            <w:hideMark/>
          </w:tcPr>
          <w:p w14:paraId="0DE32139"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G</w:t>
            </w:r>
          </w:p>
        </w:tc>
        <w:tc>
          <w:tcPr>
            <w:tcW w:w="2970" w:type="dxa"/>
            <w:shd w:val="clear" w:color="auto" w:fill="auto"/>
            <w:noWrap/>
            <w:vAlign w:val="bottom"/>
            <w:hideMark/>
          </w:tcPr>
          <w:p w14:paraId="5D7E3D6E"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Wholesale &amp; retail trade</w:t>
            </w:r>
          </w:p>
        </w:tc>
        <w:tc>
          <w:tcPr>
            <w:tcW w:w="2250" w:type="dxa"/>
            <w:tcBorders>
              <w:right w:val="nil"/>
            </w:tcBorders>
            <w:shd w:val="clear" w:color="auto" w:fill="auto"/>
            <w:noWrap/>
            <w:vAlign w:val="bottom"/>
            <w:hideMark/>
          </w:tcPr>
          <w:p w14:paraId="4F0787DE"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11.0%</w:t>
            </w:r>
          </w:p>
        </w:tc>
      </w:tr>
      <w:tr w:rsidR="000337D6" w:rsidRPr="000337D6" w14:paraId="59A35840" w14:textId="77777777" w:rsidTr="004511FA">
        <w:trPr>
          <w:trHeight w:val="300"/>
        </w:trPr>
        <w:tc>
          <w:tcPr>
            <w:tcW w:w="1350" w:type="dxa"/>
            <w:tcBorders>
              <w:left w:val="nil"/>
            </w:tcBorders>
            <w:shd w:val="clear" w:color="auto" w:fill="auto"/>
            <w:noWrap/>
            <w:vAlign w:val="bottom"/>
            <w:hideMark/>
          </w:tcPr>
          <w:p w14:paraId="268F819A"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H</w:t>
            </w:r>
          </w:p>
        </w:tc>
        <w:tc>
          <w:tcPr>
            <w:tcW w:w="2970" w:type="dxa"/>
            <w:shd w:val="clear" w:color="auto" w:fill="auto"/>
            <w:noWrap/>
            <w:vAlign w:val="bottom"/>
            <w:hideMark/>
          </w:tcPr>
          <w:p w14:paraId="6A6BC649"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Hotel</w:t>
            </w:r>
          </w:p>
        </w:tc>
        <w:tc>
          <w:tcPr>
            <w:tcW w:w="2250" w:type="dxa"/>
            <w:tcBorders>
              <w:right w:val="nil"/>
            </w:tcBorders>
            <w:shd w:val="clear" w:color="auto" w:fill="auto"/>
            <w:noWrap/>
            <w:vAlign w:val="bottom"/>
            <w:hideMark/>
          </w:tcPr>
          <w:p w14:paraId="43A2DA73"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9.0%</w:t>
            </w:r>
          </w:p>
        </w:tc>
      </w:tr>
      <w:tr w:rsidR="000337D6" w:rsidRPr="000337D6" w14:paraId="52AD1C9B" w14:textId="77777777" w:rsidTr="004511FA">
        <w:trPr>
          <w:trHeight w:val="300"/>
        </w:trPr>
        <w:tc>
          <w:tcPr>
            <w:tcW w:w="1350" w:type="dxa"/>
            <w:tcBorders>
              <w:left w:val="nil"/>
            </w:tcBorders>
            <w:shd w:val="clear" w:color="auto" w:fill="auto"/>
            <w:noWrap/>
            <w:vAlign w:val="bottom"/>
            <w:hideMark/>
          </w:tcPr>
          <w:p w14:paraId="6A7D6D5C"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I</w:t>
            </w:r>
          </w:p>
        </w:tc>
        <w:tc>
          <w:tcPr>
            <w:tcW w:w="2970" w:type="dxa"/>
            <w:shd w:val="clear" w:color="auto" w:fill="auto"/>
            <w:noWrap/>
            <w:vAlign w:val="bottom"/>
            <w:hideMark/>
          </w:tcPr>
          <w:p w14:paraId="68D941A7"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 xml:space="preserve">Transport + Communications  </w:t>
            </w:r>
          </w:p>
        </w:tc>
        <w:tc>
          <w:tcPr>
            <w:tcW w:w="2250" w:type="dxa"/>
            <w:tcBorders>
              <w:right w:val="nil"/>
            </w:tcBorders>
            <w:shd w:val="clear" w:color="auto" w:fill="auto"/>
            <w:noWrap/>
            <w:vAlign w:val="bottom"/>
            <w:hideMark/>
          </w:tcPr>
          <w:p w14:paraId="71B89EB3"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16.0%</w:t>
            </w:r>
          </w:p>
        </w:tc>
      </w:tr>
      <w:tr w:rsidR="000337D6" w:rsidRPr="000337D6" w14:paraId="3DF1B630" w14:textId="77777777" w:rsidTr="004511FA">
        <w:trPr>
          <w:trHeight w:val="300"/>
        </w:trPr>
        <w:tc>
          <w:tcPr>
            <w:tcW w:w="1350" w:type="dxa"/>
            <w:tcBorders>
              <w:left w:val="nil"/>
            </w:tcBorders>
            <w:shd w:val="clear" w:color="auto" w:fill="auto"/>
            <w:noWrap/>
            <w:vAlign w:val="bottom"/>
            <w:hideMark/>
          </w:tcPr>
          <w:p w14:paraId="562F4F95"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J</w:t>
            </w:r>
          </w:p>
        </w:tc>
        <w:tc>
          <w:tcPr>
            <w:tcW w:w="2970" w:type="dxa"/>
            <w:shd w:val="clear" w:color="auto" w:fill="auto"/>
            <w:noWrap/>
            <w:vAlign w:val="bottom"/>
            <w:hideMark/>
          </w:tcPr>
          <w:p w14:paraId="700CE8D5"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Financial</w:t>
            </w:r>
          </w:p>
        </w:tc>
        <w:tc>
          <w:tcPr>
            <w:tcW w:w="2250" w:type="dxa"/>
            <w:tcBorders>
              <w:right w:val="nil"/>
            </w:tcBorders>
            <w:shd w:val="clear" w:color="auto" w:fill="auto"/>
            <w:noWrap/>
            <w:vAlign w:val="bottom"/>
            <w:hideMark/>
          </w:tcPr>
          <w:p w14:paraId="3A4D2E30"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81.0%</w:t>
            </w:r>
          </w:p>
        </w:tc>
      </w:tr>
      <w:tr w:rsidR="000337D6" w:rsidRPr="000337D6" w14:paraId="16DD07ED" w14:textId="77777777" w:rsidTr="004511FA">
        <w:trPr>
          <w:trHeight w:val="300"/>
        </w:trPr>
        <w:tc>
          <w:tcPr>
            <w:tcW w:w="1350" w:type="dxa"/>
            <w:tcBorders>
              <w:left w:val="nil"/>
            </w:tcBorders>
            <w:shd w:val="clear" w:color="auto" w:fill="auto"/>
            <w:noWrap/>
            <w:vAlign w:val="bottom"/>
            <w:hideMark/>
          </w:tcPr>
          <w:p w14:paraId="7CE7259A"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K</w:t>
            </w:r>
          </w:p>
        </w:tc>
        <w:tc>
          <w:tcPr>
            <w:tcW w:w="2970" w:type="dxa"/>
            <w:shd w:val="clear" w:color="auto" w:fill="auto"/>
            <w:noWrap/>
            <w:vAlign w:val="bottom"/>
            <w:hideMark/>
          </w:tcPr>
          <w:p w14:paraId="4A9A80CD" w14:textId="77777777" w:rsidR="000337D6" w:rsidRPr="000337D6" w:rsidRDefault="000337D6" w:rsidP="000337D6">
            <w:pPr>
              <w:spacing w:after="0" w:line="240" w:lineRule="auto"/>
              <w:jc w:val="left"/>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Real estate</w:t>
            </w:r>
          </w:p>
        </w:tc>
        <w:tc>
          <w:tcPr>
            <w:tcW w:w="2250" w:type="dxa"/>
            <w:tcBorders>
              <w:right w:val="nil"/>
            </w:tcBorders>
            <w:shd w:val="clear" w:color="auto" w:fill="auto"/>
            <w:noWrap/>
            <w:vAlign w:val="bottom"/>
            <w:hideMark/>
          </w:tcPr>
          <w:p w14:paraId="244C1C0E" w14:textId="77777777" w:rsidR="000337D6" w:rsidRPr="000337D6" w:rsidRDefault="000337D6" w:rsidP="000337D6">
            <w:pPr>
              <w:spacing w:after="0" w:line="240" w:lineRule="auto"/>
              <w:jc w:val="center"/>
              <w:rPr>
                <w:rFonts w:ascii="Calibri" w:eastAsia="Times New Roman" w:hAnsi="Calibri" w:cs="Times New Roman"/>
                <w:color w:val="000000"/>
                <w:lang w:eastAsia="en-US"/>
              </w:rPr>
            </w:pPr>
            <w:r w:rsidRPr="000337D6">
              <w:rPr>
                <w:rFonts w:ascii="Calibri" w:eastAsia="Times New Roman" w:hAnsi="Calibri" w:cs="Times New Roman"/>
                <w:color w:val="000000"/>
                <w:lang w:eastAsia="en-US"/>
              </w:rPr>
              <w:t>17.6%</w:t>
            </w:r>
          </w:p>
        </w:tc>
      </w:tr>
    </w:tbl>
    <w:p w14:paraId="339A1F13" w14:textId="2D658404" w:rsidR="00BC152B" w:rsidRDefault="00BC152B" w:rsidP="00BC152B">
      <w:pPr>
        <w:spacing w:after="0" w:line="240" w:lineRule="auto"/>
        <w:jc w:val="left"/>
        <w:rPr>
          <w:rFonts w:cstheme="minorHAnsi"/>
          <w:b/>
          <w:bCs/>
          <w:iCs/>
          <w:color w:val="000000" w:themeColor="text1"/>
        </w:rPr>
      </w:pPr>
    </w:p>
    <w:p w14:paraId="2A865131" w14:textId="4A822A60" w:rsidR="000337D6" w:rsidRDefault="000337D6" w:rsidP="00BC152B">
      <w:pPr>
        <w:spacing w:after="0" w:line="240" w:lineRule="auto"/>
        <w:jc w:val="left"/>
        <w:rPr>
          <w:rFonts w:cstheme="minorHAnsi"/>
          <w:b/>
          <w:bCs/>
          <w:iCs/>
          <w:color w:val="000000" w:themeColor="text1"/>
        </w:rPr>
      </w:pPr>
    </w:p>
    <w:p w14:paraId="7EA08B73" w14:textId="77777777" w:rsidR="001D6660" w:rsidRPr="00BC152B" w:rsidRDefault="001D6660" w:rsidP="00BC152B">
      <w:pPr>
        <w:spacing w:after="0" w:line="240" w:lineRule="auto"/>
        <w:jc w:val="left"/>
        <w:rPr>
          <w:rFonts w:cstheme="minorHAnsi"/>
          <w:b/>
          <w:bCs/>
          <w:iCs/>
          <w:color w:val="000000" w:themeColor="text1"/>
        </w:rPr>
      </w:pPr>
    </w:p>
    <w:p w14:paraId="079CD206" w14:textId="1BE9A69C" w:rsidR="00B93FD2" w:rsidRPr="00690424" w:rsidRDefault="00BC152B" w:rsidP="00B93FD2">
      <w:pPr>
        <w:pStyle w:val="ListParagraph"/>
        <w:numPr>
          <w:ilvl w:val="0"/>
          <w:numId w:val="29"/>
        </w:numPr>
        <w:spacing w:after="0" w:line="240" w:lineRule="auto"/>
        <w:jc w:val="left"/>
        <w:rPr>
          <w:rFonts w:cstheme="minorHAnsi"/>
          <w:b/>
          <w:bCs/>
          <w:iCs/>
          <w:color w:val="000000" w:themeColor="text1"/>
        </w:rPr>
      </w:pPr>
      <w:r w:rsidRPr="001849D5">
        <w:rPr>
          <w:rFonts w:cstheme="minorHAnsi"/>
          <w:b/>
          <w:bCs/>
          <w:iCs/>
          <w:color w:val="000000" w:themeColor="text1"/>
          <w:sz w:val="22"/>
        </w:rPr>
        <w:t>Figure 3.</w:t>
      </w:r>
      <w:r w:rsidR="00690424">
        <w:rPr>
          <w:rFonts w:cstheme="minorHAnsi"/>
          <w:b/>
          <w:bCs/>
          <w:iCs/>
          <w:color w:val="000000" w:themeColor="text1"/>
          <w:sz w:val="22"/>
        </w:rPr>
        <w:t>9</w:t>
      </w:r>
      <w:r>
        <w:rPr>
          <w:rFonts w:cstheme="minorHAnsi"/>
          <w:b/>
          <w:bCs/>
          <w:iCs/>
          <w:color w:val="000000" w:themeColor="text1"/>
          <w:sz w:val="22"/>
        </w:rPr>
        <w:t xml:space="preserve"> SOE-private gap in self-reported economic and power rank</w:t>
      </w:r>
    </w:p>
    <w:p w14:paraId="6DA9600C" w14:textId="77777777" w:rsidR="00690424" w:rsidRPr="00BC152B" w:rsidRDefault="00690424" w:rsidP="00690424">
      <w:pPr>
        <w:pStyle w:val="ListParagraph"/>
        <w:spacing w:after="0" w:line="240" w:lineRule="auto"/>
        <w:jc w:val="left"/>
        <w:rPr>
          <w:rFonts w:cstheme="minorHAnsi"/>
          <w:b/>
          <w:bCs/>
          <w:iCs/>
          <w:color w:val="000000" w:themeColor="text1"/>
        </w:rPr>
      </w:pPr>
    </w:p>
    <w:tbl>
      <w:tblPr>
        <w:tblW w:w="3738" w:type="pct"/>
        <w:tblInd w:w="445" w:type="dxa"/>
        <w:tblLook w:val="04A0" w:firstRow="1" w:lastRow="0" w:firstColumn="1" w:lastColumn="0" w:noHBand="0" w:noVBand="1"/>
      </w:tblPr>
      <w:tblGrid>
        <w:gridCol w:w="2306"/>
        <w:gridCol w:w="966"/>
        <w:gridCol w:w="1465"/>
        <w:gridCol w:w="966"/>
        <w:gridCol w:w="1316"/>
      </w:tblGrid>
      <w:tr w:rsidR="00AC01C1" w:rsidRPr="00647847" w14:paraId="5AE845D7" w14:textId="77777777" w:rsidTr="00033381">
        <w:tc>
          <w:tcPr>
            <w:tcW w:w="1655" w:type="pct"/>
            <w:tcBorders>
              <w:top w:val="single" w:sz="4" w:space="0" w:color="auto"/>
              <w:left w:val="single" w:sz="4" w:space="0" w:color="auto"/>
              <w:right w:val="single" w:sz="4" w:space="0" w:color="auto"/>
            </w:tcBorders>
            <w:shd w:val="clear" w:color="auto" w:fill="auto"/>
            <w:vAlign w:val="center"/>
          </w:tcPr>
          <w:p w14:paraId="2A40A438"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p>
        </w:tc>
        <w:tc>
          <w:tcPr>
            <w:tcW w:w="33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E8D2B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b/>
                <w:bCs/>
                <w:sz w:val="20"/>
                <w:szCs w:val="20"/>
              </w:rPr>
              <w:t>2000-2017</w:t>
            </w:r>
          </w:p>
        </w:tc>
      </w:tr>
      <w:tr w:rsidR="00AC01C1" w:rsidRPr="00647847" w14:paraId="10FEE2DE" w14:textId="77777777" w:rsidTr="00033381">
        <w:tc>
          <w:tcPr>
            <w:tcW w:w="1655" w:type="pct"/>
            <w:tcBorders>
              <w:top w:val="single" w:sz="4" w:space="0" w:color="auto"/>
              <w:left w:val="single" w:sz="4" w:space="0" w:color="auto"/>
              <w:right w:val="single" w:sz="4" w:space="0" w:color="auto"/>
            </w:tcBorders>
            <w:shd w:val="clear" w:color="auto" w:fill="auto"/>
            <w:vAlign w:val="center"/>
            <w:hideMark/>
          </w:tcPr>
          <w:p w14:paraId="1BCC2C03"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C13FF1" w14:textId="77777777" w:rsidR="00AC01C1" w:rsidRPr="00351207" w:rsidRDefault="00AC01C1" w:rsidP="00B25599">
            <w:pPr>
              <w:spacing w:after="0" w:line="240" w:lineRule="auto"/>
              <w:jc w:val="center"/>
              <w:rPr>
                <w:rFonts w:ascii="Times New Roman" w:eastAsia="Times New Roman" w:hAnsi="Times New Roman" w:cs="Times New Roman"/>
                <w:b/>
                <w:bCs/>
                <w:sz w:val="20"/>
                <w:szCs w:val="20"/>
              </w:rPr>
            </w:pPr>
            <w:r w:rsidRPr="00351207">
              <w:rPr>
                <w:rFonts w:ascii="Times New Roman" w:eastAsia="Times New Roman" w:hAnsi="Times New Roman" w:cs="Times New Roman"/>
                <w:b/>
                <w:bCs/>
                <w:sz w:val="20"/>
                <w:szCs w:val="20"/>
              </w:rPr>
              <w:t>Dep Var: Economic rank</w:t>
            </w:r>
          </w:p>
        </w:tc>
        <w:tc>
          <w:tcPr>
            <w:tcW w:w="16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BEB3A7" w14:textId="77777777" w:rsidR="00AC01C1" w:rsidRPr="00351207" w:rsidRDefault="00AC01C1" w:rsidP="00B25599">
            <w:pPr>
              <w:spacing w:after="0" w:line="240" w:lineRule="auto"/>
              <w:jc w:val="center"/>
              <w:rPr>
                <w:rFonts w:ascii="Times New Roman" w:eastAsia="Times New Roman" w:hAnsi="Times New Roman" w:cs="Times New Roman"/>
                <w:b/>
                <w:bCs/>
                <w:sz w:val="20"/>
                <w:szCs w:val="20"/>
              </w:rPr>
            </w:pPr>
            <w:r w:rsidRPr="00351207">
              <w:rPr>
                <w:rFonts w:ascii="Times New Roman" w:eastAsia="Times New Roman" w:hAnsi="Times New Roman" w:cs="Times New Roman"/>
                <w:b/>
                <w:bCs/>
                <w:sz w:val="20"/>
                <w:szCs w:val="20"/>
              </w:rPr>
              <w:t>Dep Var: Power rank</w:t>
            </w:r>
          </w:p>
        </w:tc>
      </w:tr>
      <w:tr w:rsidR="00AC01C1" w:rsidRPr="00647847" w14:paraId="413D6088" w14:textId="77777777" w:rsidTr="00033381">
        <w:tc>
          <w:tcPr>
            <w:tcW w:w="1655" w:type="pct"/>
            <w:tcBorders>
              <w:top w:val="nil"/>
              <w:left w:val="single" w:sz="4" w:space="0" w:color="auto"/>
              <w:bottom w:val="single" w:sz="4" w:space="0" w:color="auto"/>
              <w:right w:val="single" w:sz="4" w:space="0" w:color="auto"/>
            </w:tcBorders>
            <w:shd w:val="clear" w:color="auto" w:fill="auto"/>
            <w:vAlign w:val="center"/>
            <w:hideMark/>
          </w:tcPr>
          <w:p w14:paraId="1D5216EC" w14:textId="77777777" w:rsidR="00AC01C1" w:rsidRPr="00351207" w:rsidRDefault="00AC01C1" w:rsidP="00B25599">
            <w:pPr>
              <w:spacing w:after="0" w:line="240" w:lineRule="auto"/>
              <w:ind w:right="-45"/>
              <w:jc w:val="center"/>
              <w:rPr>
                <w:rFonts w:ascii="Times New Roman" w:eastAsia="Times New Roman" w:hAnsi="Times New Roman" w:cs="Times New Roman"/>
                <w:b/>
                <w:bCs/>
                <w:sz w:val="20"/>
                <w:szCs w:val="20"/>
              </w:rPr>
            </w:pP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61F04"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Coef.</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0E101"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4A34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Coef.</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8B250"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w:t>
            </w:r>
          </w:p>
        </w:tc>
      </w:tr>
      <w:tr w:rsidR="00AC01C1" w:rsidRPr="00647847" w14:paraId="5C8F0C14" w14:textId="77777777" w:rsidTr="00033381">
        <w:tc>
          <w:tcPr>
            <w:tcW w:w="1655" w:type="pct"/>
            <w:tcBorders>
              <w:top w:val="single" w:sz="4" w:space="0" w:color="auto"/>
              <w:left w:val="single" w:sz="4" w:space="0" w:color="auto"/>
              <w:bottom w:val="nil"/>
              <w:right w:val="single" w:sz="4" w:space="0" w:color="auto"/>
            </w:tcBorders>
            <w:shd w:val="clear" w:color="auto" w:fill="auto"/>
            <w:vAlign w:val="center"/>
            <w:hideMark/>
          </w:tcPr>
          <w:p w14:paraId="6AAD2775"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Sector (private)</w:t>
            </w:r>
          </w:p>
        </w:tc>
        <w:tc>
          <w:tcPr>
            <w:tcW w:w="688" w:type="pct"/>
            <w:tcBorders>
              <w:top w:val="single" w:sz="4" w:space="0" w:color="auto"/>
              <w:left w:val="single" w:sz="4" w:space="0" w:color="auto"/>
              <w:bottom w:val="nil"/>
              <w:right w:val="single" w:sz="4" w:space="0" w:color="auto"/>
            </w:tcBorders>
            <w:shd w:val="clear" w:color="auto" w:fill="auto"/>
            <w:vAlign w:val="center"/>
            <w:hideMark/>
          </w:tcPr>
          <w:p w14:paraId="0FCF9C7B" w14:textId="77777777" w:rsidR="00AC01C1" w:rsidRPr="00351207" w:rsidRDefault="00AC01C1" w:rsidP="00B25599">
            <w:pPr>
              <w:spacing w:after="0" w:line="240" w:lineRule="auto"/>
              <w:rPr>
                <w:rFonts w:ascii="Times New Roman" w:eastAsia="Times New Roman" w:hAnsi="Times New Roman" w:cs="Times New Roman"/>
                <w:sz w:val="20"/>
                <w:szCs w:val="20"/>
              </w:rPr>
            </w:pPr>
          </w:p>
        </w:tc>
        <w:tc>
          <w:tcPr>
            <w:tcW w:w="1055" w:type="pct"/>
            <w:tcBorders>
              <w:top w:val="single" w:sz="4" w:space="0" w:color="auto"/>
              <w:left w:val="single" w:sz="4" w:space="0" w:color="auto"/>
              <w:bottom w:val="nil"/>
              <w:right w:val="single" w:sz="4" w:space="0" w:color="auto"/>
            </w:tcBorders>
            <w:shd w:val="clear" w:color="auto" w:fill="auto"/>
            <w:vAlign w:val="center"/>
            <w:hideMark/>
          </w:tcPr>
          <w:p w14:paraId="2AB2E085"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653" w:type="pct"/>
            <w:tcBorders>
              <w:top w:val="single" w:sz="4" w:space="0" w:color="auto"/>
              <w:left w:val="single" w:sz="4" w:space="0" w:color="auto"/>
              <w:bottom w:val="nil"/>
              <w:right w:val="single" w:sz="4" w:space="0" w:color="auto"/>
            </w:tcBorders>
            <w:shd w:val="clear" w:color="auto" w:fill="auto"/>
            <w:vAlign w:val="center"/>
            <w:hideMark/>
          </w:tcPr>
          <w:p w14:paraId="2B5C0CE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949" w:type="pct"/>
            <w:tcBorders>
              <w:top w:val="single" w:sz="4" w:space="0" w:color="auto"/>
              <w:left w:val="single" w:sz="4" w:space="0" w:color="auto"/>
              <w:bottom w:val="nil"/>
              <w:right w:val="single" w:sz="4" w:space="0" w:color="auto"/>
            </w:tcBorders>
            <w:shd w:val="clear" w:color="auto" w:fill="auto"/>
            <w:vAlign w:val="center"/>
            <w:hideMark/>
          </w:tcPr>
          <w:p w14:paraId="0567074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r>
      <w:tr w:rsidR="00AC01C1" w:rsidRPr="00A52C18" w14:paraId="21FF5760" w14:textId="77777777" w:rsidTr="00033381">
        <w:tc>
          <w:tcPr>
            <w:tcW w:w="1655" w:type="pct"/>
            <w:tcBorders>
              <w:top w:val="nil"/>
              <w:left w:val="single" w:sz="4" w:space="0" w:color="auto"/>
              <w:right w:val="single" w:sz="4" w:space="0" w:color="auto"/>
            </w:tcBorders>
            <w:shd w:val="clear" w:color="auto" w:fill="auto"/>
            <w:vAlign w:val="center"/>
            <w:hideMark/>
          </w:tcPr>
          <w:p w14:paraId="76CF3A92" w14:textId="77777777" w:rsidR="00AC01C1" w:rsidRPr="00351207" w:rsidRDefault="00AC01C1" w:rsidP="00B25599">
            <w:pPr>
              <w:spacing w:after="0" w:line="240" w:lineRule="auto"/>
              <w:ind w:right="-45"/>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state SOEs</w:t>
            </w:r>
          </w:p>
        </w:tc>
        <w:tc>
          <w:tcPr>
            <w:tcW w:w="688" w:type="pct"/>
            <w:tcBorders>
              <w:top w:val="nil"/>
              <w:left w:val="single" w:sz="4" w:space="0" w:color="auto"/>
              <w:right w:val="single" w:sz="4" w:space="0" w:color="auto"/>
            </w:tcBorders>
            <w:shd w:val="clear" w:color="auto" w:fill="auto"/>
            <w:noWrap/>
            <w:vAlign w:val="center"/>
            <w:hideMark/>
          </w:tcPr>
          <w:p w14:paraId="0706F50B"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0.086***</w:t>
            </w:r>
          </w:p>
        </w:tc>
        <w:tc>
          <w:tcPr>
            <w:tcW w:w="1055" w:type="pct"/>
            <w:tcBorders>
              <w:top w:val="nil"/>
              <w:left w:val="single" w:sz="4" w:space="0" w:color="auto"/>
              <w:right w:val="single" w:sz="4" w:space="0" w:color="auto"/>
            </w:tcBorders>
            <w:shd w:val="clear" w:color="auto" w:fill="auto"/>
            <w:noWrap/>
            <w:vAlign w:val="center"/>
            <w:hideMark/>
          </w:tcPr>
          <w:p w14:paraId="30F3602B"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0.020</w:t>
            </w:r>
          </w:p>
        </w:tc>
        <w:tc>
          <w:tcPr>
            <w:tcW w:w="653" w:type="pct"/>
            <w:tcBorders>
              <w:top w:val="nil"/>
              <w:left w:val="single" w:sz="4" w:space="0" w:color="auto"/>
              <w:right w:val="single" w:sz="4" w:space="0" w:color="auto"/>
            </w:tcBorders>
            <w:shd w:val="clear" w:color="auto" w:fill="auto"/>
            <w:noWrap/>
            <w:vAlign w:val="center"/>
          </w:tcPr>
          <w:p w14:paraId="03BD1BCE"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0.133***</w:t>
            </w:r>
          </w:p>
        </w:tc>
        <w:tc>
          <w:tcPr>
            <w:tcW w:w="949" w:type="pct"/>
            <w:tcBorders>
              <w:top w:val="nil"/>
              <w:left w:val="single" w:sz="4" w:space="0" w:color="auto"/>
              <w:right w:val="single" w:sz="4" w:space="0" w:color="auto"/>
            </w:tcBorders>
            <w:shd w:val="clear" w:color="auto" w:fill="auto"/>
            <w:noWrap/>
            <w:vAlign w:val="center"/>
          </w:tcPr>
          <w:p w14:paraId="08E05A9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0.023</w:t>
            </w:r>
          </w:p>
        </w:tc>
      </w:tr>
      <w:tr w:rsidR="00AC01C1" w:rsidRPr="00A52C18" w14:paraId="66DD0DE3" w14:textId="77777777" w:rsidTr="00033381">
        <w:tc>
          <w:tcPr>
            <w:tcW w:w="1655" w:type="pct"/>
            <w:tcBorders>
              <w:top w:val="nil"/>
              <w:left w:val="single" w:sz="4" w:space="0" w:color="auto"/>
              <w:bottom w:val="single" w:sz="4" w:space="0" w:color="auto"/>
              <w:right w:val="single" w:sz="4" w:space="0" w:color="auto"/>
            </w:tcBorders>
            <w:shd w:val="clear" w:color="auto" w:fill="auto"/>
            <w:vAlign w:val="center"/>
            <w:hideMark/>
          </w:tcPr>
          <w:p w14:paraId="5BC7CA86" w14:textId="77777777" w:rsidR="00AC01C1" w:rsidRPr="00351207" w:rsidRDefault="00AC01C1" w:rsidP="00B25599">
            <w:pPr>
              <w:spacing w:after="0" w:line="240" w:lineRule="auto"/>
              <w:ind w:right="-45"/>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mixed SOEs</w:t>
            </w:r>
          </w:p>
        </w:tc>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1AB16FEB"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0.089***</w:t>
            </w:r>
          </w:p>
        </w:tc>
        <w:tc>
          <w:tcPr>
            <w:tcW w:w="1055" w:type="pct"/>
            <w:tcBorders>
              <w:top w:val="nil"/>
              <w:left w:val="single" w:sz="4" w:space="0" w:color="auto"/>
              <w:bottom w:val="single" w:sz="4" w:space="0" w:color="auto"/>
              <w:right w:val="single" w:sz="4" w:space="0" w:color="auto"/>
            </w:tcBorders>
            <w:shd w:val="clear" w:color="auto" w:fill="auto"/>
            <w:noWrap/>
            <w:vAlign w:val="center"/>
            <w:hideMark/>
          </w:tcPr>
          <w:p w14:paraId="241F39CE"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0.025</w:t>
            </w:r>
          </w:p>
        </w:tc>
        <w:tc>
          <w:tcPr>
            <w:tcW w:w="653" w:type="pct"/>
            <w:tcBorders>
              <w:top w:val="nil"/>
              <w:left w:val="single" w:sz="4" w:space="0" w:color="auto"/>
              <w:bottom w:val="single" w:sz="4" w:space="0" w:color="auto"/>
              <w:right w:val="single" w:sz="4" w:space="0" w:color="auto"/>
            </w:tcBorders>
            <w:shd w:val="clear" w:color="auto" w:fill="auto"/>
            <w:noWrap/>
            <w:vAlign w:val="center"/>
          </w:tcPr>
          <w:p w14:paraId="5CF9467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0.097***</w:t>
            </w:r>
          </w:p>
        </w:tc>
        <w:tc>
          <w:tcPr>
            <w:tcW w:w="949" w:type="pct"/>
            <w:tcBorders>
              <w:top w:val="nil"/>
              <w:left w:val="single" w:sz="4" w:space="0" w:color="auto"/>
              <w:bottom w:val="single" w:sz="4" w:space="0" w:color="auto"/>
              <w:right w:val="single" w:sz="4" w:space="0" w:color="auto"/>
            </w:tcBorders>
            <w:shd w:val="clear" w:color="auto" w:fill="auto"/>
            <w:noWrap/>
            <w:vAlign w:val="center"/>
          </w:tcPr>
          <w:p w14:paraId="6211FB2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0.029</w:t>
            </w:r>
          </w:p>
        </w:tc>
      </w:tr>
      <w:tr w:rsidR="00AC01C1" w:rsidRPr="00647847" w14:paraId="4CC7BD5C"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496AADEF"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Controls</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9F75F4"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1602" w:type="pct"/>
            <w:gridSpan w:val="2"/>
            <w:tcBorders>
              <w:top w:val="single" w:sz="4" w:space="0" w:color="auto"/>
              <w:left w:val="single" w:sz="4" w:space="0" w:color="auto"/>
              <w:bottom w:val="single" w:sz="4" w:space="0" w:color="auto"/>
              <w:right w:val="single" w:sz="4" w:space="0" w:color="auto"/>
            </w:tcBorders>
            <w:noWrap/>
            <w:vAlign w:val="center"/>
          </w:tcPr>
          <w:p w14:paraId="2C7CDA19"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r>
      <w:tr w:rsidR="00AC01C1" w:rsidRPr="00647847" w14:paraId="75DDA794"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848D1"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 xml:space="preserve">Gender </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E3DF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682BDD8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1F8C7355"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2D36C"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 xml:space="preserve">Education </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5BD6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7DE0438D"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232995E0"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14823"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Age</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952C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1DD8D9D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34E6F304"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76F85"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Age sq.</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FD2F"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0356D2F0"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05BFF15F"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1B05B247" w14:textId="149FB6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Tenure</w:t>
            </w:r>
            <w:r w:rsidR="00033381">
              <w:rPr>
                <w:rFonts w:ascii="Times New Roman" w:eastAsia="Times New Roman" w:hAnsi="Times New Roman" w:cs="Times New Roman"/>
                <w:sz w:val="20"/>
                <w:szCs w:val="20"/>
              </w:rPr>
              <w:t xml:space="preserve"> (</w:t>
            </w:r>
            <w:proofErr w:type="spellStart"/>
            <w:r w:rsidR="00033381">
              <w:rPr>
                <w:rFonts w:ascii="Times New Roman" w:eastAsia="Times New Roman" w:hAnsi="Times New Roman" w:cs="Times New Roman"/>
                <w:sz w:val="20"/>
                <w:szCs w:val="20"/>
              </w:rPr>
              <w:t>yrs</w:t>
            </w:r>
            <w:proofErr w:type="spellEnd"/>
            <w:r w:rsidR="00033381">
              <w:rPr>
                <w:rFonts w:ascii="Times New Roman" w:eastAsia="Times New Roman" w:hAnsi="Times New Roman" w:cs="Times New Roman"/>
                <w:sz w:val="20"/>
                <w:szCs w:val="20"/>
              </w:rPr>
              <w:t>)</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950EC1"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tcPr>
          <w:p w14:paraId="2563EE7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1ED853F0"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2F9B8E72" w14:textId="52858C9F"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 xml:space="preserve">Tenure </w:t>
            </w:r>
            <w:r w:rsidR="00033381">
              <w:rPr>
                <w:rFonts w:ascii="Times New Roman" w:eastAsia="Times New Roman" w:hAnsi="Times New Roman" w:cs="Times New Roman"/>
                <w:sz w:val="20"/>
                <w:szCs w:val="20"/>
              </w:rPr>
              <w:t>(</w:t>
            </w:r>
            <w:proofErr w:type="spellStart"/>
            <w:r w:rsidR="00033381">
              <w:rPr>
                <w:rFonts w:ascii="Times New Roman" w:eastAsia="Times New Roman" w:hAnsi="Times New Roman" w:cs="Times New Roman"/>
                <w:sz w:val="20"/>
                <w:szCs w:val="20"/>
              </w:rPr>
              <w:t>yrs</w:t>
            </w:r>
            <w:proofErr w:type="spellEnd"/>
            <w:r w:rsidR="00033381">
              <w:rPr>
                <w:rFonts w:ascii="Times New Roman" w:eastAsia="Times New Roman" w:hAnsi="Times New Roman" w:cs="Times New Roman"/>
                <w:sz w:val="20"/>
                <w:szCs w:val="20"/>
              </w:rPr>
              <w:t xml:space="preserve">) </w:t>
            </w:r>
            <w:r w:rsidRPr="00351207">
              <w:rPr>
                <w:rFonts w:ascii="Times New Roman" w:eastAsia="Times New Roman" w:hAnsi="Times New Roman" w:cs="Times New Roman"/>
                <w:sz w:val="20"/>
                <w:szCs w:val="20"/>
              </w:rPr>
              <w:t>sq</w:t>
            </w:r>
            <w:r w:rsidR="00033381">
              <w:rPr>
                <w:rFonts w:ascii="Times New Roman" w:eastAsia="Times New Roman" w:hAnsi="Times New Roman" w:cs="Times New Roman"/>
                <w:sz w:val="20"/>
                <w:szCs w:val="20"/>
              </w:rPr>
              <w:t>uared</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B4897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tcPr>
          <w:p w14:paraId="1209D90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1F4C72DB"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6C18E8F7" w14:textId="1DDBB6C5"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Hours worked</w:t>
            </w:r>
            <w:r w:rsidR="00033381">
              <w:rPr>
                <w:rFonts w:ascii="Times New Roman" w:eastAsia="Times New Roman" w:hAnsi="Times New Roman" w:cs="Times New Roman"/>
                <w:sz w:val="20"/>
                <w:szCs w:val="20"/>
              </w:rPr>
              <w:t>/past week</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AE303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tcPr>
          <w:p w14:paraId="3F7C516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681E2C57"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52DEEE22"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Log wage</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627F7E"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tcPr>
          <w:p w14:paraId="56C1E940"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62C17511"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6897FB9E"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Formal contract</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9CB97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tcPr>
          <w:p w14:paraId="7C83AE45"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065FAAD9"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4EB83"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Occupation</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CE5D"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7CE8B473"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13BDE420"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9FF1B"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Firm size</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7219"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2921E0E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6F1111B4"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549CE"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 xml:space="preserve">Year FE </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D6E2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1687B400"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39E311A6"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11EF2"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Region FE</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D342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6F76C150"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6359871F"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8E33F"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Constant</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2CED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2.757***</w:t>
            </w:r>
          </w:p>
        </w:tc>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5D79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0.000</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128D5CC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2.543***</w:t>
            </w:r>
          </w:p>
        </w:tc>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27B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0.000</w:t>
            </w:r>
          </w:p>
        </w:tc>
      </w:tr>
      <w:tr w:rsidR="00AC01C1" w:rsidRPr="00647847" w14:paraId="4506A105" w14:textId="77777777" w:rsidTr="00033381">
        <w:trPr>
          <w:trHeight w:val="6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1A2D3"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N</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06E70"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67019</w:t>
            </w:r>
          </w:p>
        </w:tc>
        <w:tc>
          <w:tcPr>
            <w:tcW w:w="1602" w:type="pct"/>
            <w:gridSpan w:val="2"/>
            <w:tcBorders>
              <w:top w:val="single" w:sz="4" w:space="0" w:color="auto"/>
              <w:left w:val="single" w:sz="4" w:space="0" w:color="auto"/>
              <w:bottom w:val="single" w:sz="4" w:space="0" w:color="auto"/>
              <w:right w:val="single" w:sz="4" w:space="0" w:color="auto"/>
            </w:tcBorders>
            <w:noWrap/>
            <w:vAlign w:val="center"/>
            <w:hideMark/>
          </w:tcPr>
          <w:p w14:paraId="25C9AD35"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66643</w:t>
            </w:r>
          </w:p>
        </w:tc>
      </w:tr>
      <w:tr w:rsidR="00AC01C1" w:rsidRPr="00647847" w14:paraId="66037029" w14:textId="77777777" w:rsidTr="00033381">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2A5C23B2"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Adjusted R</w:t>
            </w:r>
            <w:r w:rsidRPr="00351207">
              <w:rPr>
                <w:rFonts w:ascii="Times New Roman" w:eastAsia="Times New Roman" w:hAnsi="Times New Roman" w:cs="Times New Roman"/>
                <w:sz w:val="20"/>
                <w:szCs w:val="20"/>
                <w:vertAlign w:val="superscript"/>
              </w:rPr>
              <w:t>2</w:t>
            </w:r>
          </w:p>
        </w:tc>
        <w:tc>
          <w:tcPr>
            <w:tcW w:w="17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D22634"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0.135</w:t>
            </w:r>
          </w:p>
        </w:tc>
        <w:tc>
          <w:tcPr>
            <w:tcW w:w="16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1057C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0.147</w:t>
            </w:r>
          </w:p>
        </w:tc>
      </w:tr>
    </w:tbl>
    <w:p w14:paraId="2CF2C810" w14:textId="77777777" w:rsidR="00AC01C1" w:rsidRDefault="00AC01C1" w:rsidP="00AC01C1">
      <w:pPr>
        <w:spacing w:after="160" w:line="259" w:lineRule="auto"/>
        <w:jc w:val="left"/>
        <w:rPr>
          <w:rFonts w:cstheme="minorHAnsi"/>
          <w:iCs/>
          <w:color w:val="000000" w:themeColor="text1"/>
        </w:rPr>
      </w:pPr>
    </w:p>
    <w:p w14:paraId="78F1C841" w14:textId="77777777" w:rsidR="00AC01C1" w:rsidRDefault="00AC01C1" w:rsidP="00AC01C1">
      <w:pPr>
        <w:spacing w:after="160" w:line="259" w:lineRule="auto"/>
        <w:jc w:val="left"/>
        <w:rPr>
          <w:rFonts w:cstheme="minorHAnsi"/>
          <w:iCs/>
          <w:color w:val="000000" w:themeColor="text1"/>
        </w:rPr>
      </w:pPr>
    </w:p>
    <w:p w14:paraId="6E9C5986" w14:textId="77777777" w:rsidR="00AC01C1" w:rsidRDefault="00AC01C1" w:rsidP="00AC01C1">
      <w:pPr>
        <w:spacing w:after="160" w:line="259" w:lineRule="auto"/>
        <w:jc w:val="left"/>
        <w:rPr>
          <w:rFonts w:cstheme="minorHAnsi"/>
          <w:iCs/>
          <w:color w:val="000000" w:themeColor="text1"/>
        </w:rPr>
      </w:pPr>
    </w:p>
    <w:p w14:paraId="39560221" w14:textId="77777777" w:rsidR="001D6660" w:rsidRDefault="001D6660">
      <w:pPr>
        <w:spacing w:after="160" w:line="259" w:lineRule="auto"/>
        <w:jc w:val="left"/>
        <w:rPr>
          <w:rFonts w:cstheme="minorHAnsi"/>
          <w:b/>
          <w:bCs/>
          <w:iCs/>
          <w:color w:val="000000" w:themeColor="text1"/>
        </w:rPr>
      </w:pPr>
      <w:bookmarkStart w:id="145" w:name="_Hlk10984601"/>
      <w:r>
        <w:rPr>
          <w:rFonts w:cstheme="minorHAnsi"/>
          <w:b/>
          <w:bCs/>
          <w:iCs/>
          <w:color w:val="000000" w:themeColor="text1"/>
        </w:rPr>
        <w:br w:type="page"/>
      </w:r>
    </w:p>
    <w:p w14:paraId="7F2369E1" w14:textId="23EDA9FF" w:rsidR="00AC01C1" w:rsidRPr="001849D5" w:rsidRDefault="00AC01C1" w:rsidP="00AC01C1">
      <w:pPr>
        <w:pStyle w:val="ListParagraph"/>
        <w:numPr>
          <w:ilvl w:val="0"/>
          <w:numId w:val="29"/>
        </w:numPr>
        <w:tabs>
          <w:tab w:val="left" w:pos="1200"/>
        </w:tabs>
        <w:spacing w:after="0" w:line="240" w:lineRule="auto"/>
        <w:jc w:val="left"/>
        <w:rPr>
          <w:rFonts w:cstheme="minorHAnsi"/>
          <w:b/>
          <w:bCs/>
          <w:iCs/>
          <w:color w:val="000000" w:themeColor="text1"/>
          <w:sz w:val="22"/>
        </w:rPr>
      </w:pPr>
      <w:r w:rsidRPr="001849D5">
        <w:rPr>
          <w:rFonts w:cstheme="minorHAnsi"/>
          <w:b/>
          <w:bCs/>
          <w:iCs/>
          <w:color w:val="000000" w:themeColor="text1"/>
          <w:sz w:val="22"/>
        </w:rPr>
        <w:t>Figure 3.1</w:t>
      </w:r>
      <w:r w:rsidR="00690424">
        <w:rPr>
          <w:rFonts w:cstheme="minorHAnsi"/>
          <w:b/>
          <w:bCs/>
          <w:iCs/>
          <w:color w:val="000000" w:themeColor="text1"/>
          <w:sz w:val="22"/>
        </w:rPr>
        <w:t>4</w:t>
      </w:r>
      <w:r>
        <w:rPr>
          <w:rFonts w:cstheme="minorHAnsi"/>
          <w:b/>
          <w:bCs/>
          <w:iCs/>
          <w:color w:val="000000" w:themeColor="text1"/>
          <w:sz w:val="22"/>
        </w:rPr>
        <w:t xml:space="preserve"> SOE performance relative to private equivalent, by firm size, 2017-2018.</w:t>
      </w:r>
      <w:r w:rsidRPr="001849D5">
        <w:rPr>
          <w:rFonts w:cstheme="minorHAnsi"/>
          <w:b/>
          <w:bCs/>
          <w:iCs/>
          <w:color w:val="000000" w:themeColor="text1"/>
          <w:sz w:val="22"/>
        </w:rPr>
        <w:tab/>
      </w:r>
    </w:p>
    <w:bookmarkEnd w:id="145"/>
    <w:p w14:paraId="0CA1D4DA" w14:textId="77777777" w:rsidR="00AC01C1" w:rsidRDefault="00AC01C1" w:rsidP="00AC01C1">
      <w:pPr>
        <w:spacing w:after="0" w:line="240" w:lineRule="auto"/>
        <w:jc w:val="left"/>
        <w:rPr>
          <w:rFonts w:cstheme="minorHAnsi"/>
          <w:b/>
          <w:bCs/>
          <w:iCs/>
          <w:color w:val="000000" w:themeColor="text1"/>
        </w:rPr>
      </w:pPr>
    </w:p>
    <w:tbl>
      <w:tblPr>
        <w:tblW w:w="4553" w:type="pct"/>
        <w:tblInd w:w="715" w:type="dxa"/>
        <w:tblLook w:val="04A0" w:firstRow="1" w:lastRow="0" w:firstColumn="1" w:lastColumn="0" w:noHBand="0" w:noVBand="1"/>
      </w:tblPr>
      <w:tblGrid>
        <w:gridCol w:w="1422"/>
        <w:gridCol w:w="1066"/>
        <w:gridCol w:w="717"/>
        <w:gridCol w:w="1066"/>
        <w:gridCol w:w="666"/>
        <w:gridCol w:w="1066"/>
        <w:gridCol w:w="812"/>
        <w:gridCol w:w="1066"/>
        <w:gridCol w:w="669"/>
      </w:tblGrid>
      <w:tr w:rsidR="00AC01C1" w:rsidRPr="00647847" w14:paraId="7AAA684C" w14:textId="77777777" w:rsidTr="006F7367">
        <w:tc>
          <w:tcPr>
            <w:tcW w:w="832" w:type="pct"/>
            <w:tcBorders>
              <w:top w:val="single" w:sz="4" w:space="0" w:color="auto"/>
              <w:left w:val="single" w:sz="4" w:space="0" w:color="auto"/>
              <w:right w:val="single" w:sz="4" w:space="0" w:color="auto"/>
            </w:tcBorders>
            <w:shd w:val="clear" w:color="auto" w:fill="auto"/>
            <w:vAlign w:val="center"/>
          </w:tcPr>
          <w:p w14:paraId="376F6944"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p>
        </w:tc>
        <w:tc>
          <w:tcPr>
            <w:tcW w:w="416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82626C6"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b/>
                <w:bCs/>
                <w:sz w:val="20"/>
                <w:szCs w:val="20"/>
              </w:rPr>
              <w:t>Dependent variable: Revenue per worker</w:t>
            </w:r>
          </w:p>
        </w:tc>
      </w:tr>
      <w:tr w:rsidR="00AC01C1" w:rsidRPr="00647847" w14:paraId="2A00963F" w14:textId="77777777" w:rsidTr="006F7367">
        <w:tc>
          <w:tcPr>
            <w:tcW w:w="832" w:type="pct"/>
            <w:tcBorders>
              <w:top w:val="single" w:sz="4" w:space="0" w:color="auto"/>
              <w:left w:val="single" w:sz="4" w:space="0" w:color="auto"/>
              <w:right w:val="single" w:sz="4" w:space="0" w:color="auto"/>
            </w:tcBorders>
            <w:shd w:val="clear" w:color="auto" w:fill="auto"/>
            <w:vAlign w:val="center"/>
            <w:hideMark/>
          </w:tcPr>
          <w:p w14:paraId="76701ACD"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p>
        </w:tc>
        <w:tc>
          <w:tcPr>
            <w:tcW w:w="10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C1199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 xml:space="preserve">Firm size </w:t>
            </w:r>
          </w:p>
          <w:p w14:paraId="1BFF9E15"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&lt;100 (small-micro)</w:t>
            </w:r>
          </w:p>
        </w:tc>
        <w:tc>
          <w:tcPr>
            <w:tcW w:w="1013" w:type="pct"/>
            <w:gridSpan w:val="2"/>
            <w:tcBorders>
              <w:top w:val="single" w:sz="4" w:space="0" w:color="auto"/>
              <w:left w:val="single" w:sz="4" w:space="0" w:color="auto"/>
              <w:bottom w:val="single" w:sz="4" w:space="0" w:color="auto"/>
              <w:right w:val="single" w:sz="4" w:space="0" w:color="auto"/>
            </w:tcBorders>
            <w:vAlign w:val="center"/>
          </w:tcPr>
          <w:p w14:paraId="3860588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Firm size</w:t>
            </w:r>
          </w:p>
          <w:p w14:paraId="633034A3"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100-249 (med)</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60410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Firm size</w:t>
            </w:r>
          </w:p>
          <w:p w14:paraId="46AAC3DD"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250-499 (med-large)</w:t>
            </w:r>
          </w:p>
        </w:tc>
        <w:tc>
          <w:tcPr>
            <w:tcW w:w="1015" w:type="pct"/>
            <w:gridSpan w:val="2"/>
            <w:tcBorders>
              <w:top w:val="single" w:sz="4" w:space="0" w:color="auto"/>
              <w:left w:val="single" w:sz="4" w:space="0" w:color="auto"/>
              <w:bottom w:val="single" w:sz="4" w:space="0" w:color="auto"/>
              <w:right w:val="single" w:sz="4" w:space="0" w:color="auto"/>
            </w:tcBorders>
          </w:tcPr>
          <w:p w14:paraId="2028E2D5"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Firm size</w:t>
            </w:r>
          </w:p>
          <w:p w14:paraId="5B92CE4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500+ (large)</w:t>
            </w:r>
          </w:p>
        </w:tc>
      </w:tr>
      <w:tr w:rsidR="00AC01C1" w:rsidRPr="00647847" w14:paraId="13C7CEAA" w14:textId="77777777" w:rsidTr="006F7367">
        <w:tc>
          <w:tcPr>
            <w:tcW w:w="832" w:type="pct"/>
            <w:tcBorders>
              <w:top w:val="nil"/>
              <w:left w:val="single" w:sz="4" w:space="0" w:color="auto"/>
              <w:bottom w:val="single" w:sz="4" w:space="0" w:color="auto"/>
              <w:right w:val="single" w:sz="4" w:space="0" w:color="auto"/>
            </w:tcBorders>
            <w:shd w:val="clear" w:color="auto" w:fill="auto"/>
            <w:vAlign w:val="center"/>
            <w:hideMark/>
          </w:tcPr>
          <w:p w14:paraId="7390AC8D" w14:textId="77777777" w:rsidR="00AC01C1" w:rsidRPr="00351207" w:rsidRDefault="00AC01C1" w:rsidP="00B25599">
            <w:pPr>
              <w:spacing w:after="0" w:line="240" w:lineRule="auto"/>
              <w:ind w:right="-45"/>
              <w:jc w:val="center"/>
              <w:rPr>
                <w:rFonts w:ascii="Times New Roman" w:eastAsia="Times New Roman" w:hAnsi="Times New Roman" w:cs="Times New Roman"/>
                <w:b/>
                <w:bCs/>
                <w:sz w:val="20"/>
                <w:szCs w:val="20"/>
              </w:rPr>
            </w:pP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889DF"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Coef.</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DF22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w:t>
            </w:r>
          </w:p>
        </w:tc>
        <w:tc>
          <w:tcPr>
            <w:tcW w:w="623" w:type="pct"/>
            <w:tcBorders>
              <w:top w:val="single" w:sz="4" w:space="0" w:color="auto"/>
              <w:left w:val="single" w:sz="4" w:space="0" w:color="auto"/>
              <w:bottom w:val="single" w:sz="4" w:space="0" w:color="auto"/>
              <w:right w:val="single" w:sz="4" w:space="0" w:color="auto"/>
            </w:tcBorders>
            <w:vAlign w:val="center"/>
          </w:tcPr>
          <w:p w14:paraId="06106ABD"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Coef.</w:t>
            </w:r>
          </w:p>
        </w:tc>
        <w:tc>
          <w:tcPr>
            <w:tcW w:w="389" w:type="pct"/>
            <w:tcBorders>
              <w:top w:val="single" w:sz="4" w:space="0" w:color="auto"/>
              <w:left w:val="single" w:sz="4" w:space="0" w:color="auto"/>
              <w:bottom w:val="single" w:sz="4" w:space="0" w:color="auto"/>
              <w:right w:val="single" w:sz="4" w:space="0" w:color="auto"/>
            </w:tcBorders>
            <w:vAlign w:val="center"/>
          </w:tcPr>
          <w:p w14:paraId="3EDB859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0BCCA"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Coef.</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73712"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w:t>
            </w:r>
          </w:p>
        </w:tc>
        <w:tc>
          <w:tcPr>
            <w:tcW w:w="623" w:type="pct"/>
            <w:tcBorders>
              <w:top w:val="single" w:sz="4" w:space="0" w:color="auto"/>
              <w:left w:val="single" w:sz="4" w:space="0" w:color="auto"/>
              <w:bottom w:val="single" w:sz="4" w:space="0" w:color="auto"/>
              <w:right w:val="single" w:sz="4" w:space="0" w:color="auto"/>
            </w:tcBorders>
            <w:vAlign w:val="center"/>
          </w:tcPr>
          <w:p w14:paraId="7B889563"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Coef.</w:t>
            </w:r>
          </w:p>
        </w:tc>
        <w:tc>
          <w:tcPr>
            <w:tcW w:w="391" w:type="pct"/>
            <w:tcBorders>
              <w:top w:val="single" w:sz="4" w:space="0" w:color="auto"/>
              <w:left w:val="single" w:sz="4" w:space="0" w:color="auto"/>
              <w:bottom w:val="single" w:sz="4" w:space="0" w:color="auto"/>
              <w:right w:val="single" w:sz="4" w:space="0" w:color="auto"/>
            </w:tcBorders>
            <w:vAlign w:val="center"/>
          </w:tcPr>
          <w:p w14:paraId="41D7EDBA"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w:t>
            </w:r>
          </w:p>
        </w:tc>
      </w:tr>
      <w:tr w:rsidR="00AC01C1" w:rsidRPr="00647847" w14:paraId="34F8F769" w14:textId="77777777" w:rsidTr="006F7367">
        <w:tc>
          <w:tcPr>
            <w:tcW w:w="832" w:type="pct"/>
            <w:tcBorders>
              <w:top w:val="single" w:sz="4" w:space="0" w:color="auto"/>
              <w:left w:val="single" w:sz="4" w:space="0" w:color="auto"/>
              <w:bottom w:val="nil"/>
              <w:right w:val="single" w:sz="4" w:space="0" w:color="auto"/>
            </w:tcBorders>
            <w:shd w:val="clear" w:color="auto" w:fill="auto"/>
            <w:vAlign w:val="center"/>
            <w:hideMark/>
          </w:tcPr>
          <w:p w14:paraId="73501E48"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Sector (private)</w:t>
            </w:r>
          </w:p>
        </w:tc>
        <w:tc>
          <w:tcPr>
            <w:tcW w:w="623" w:type="pct"/>
            <w:tcBorders>
              <w:top w:val="single" w:sz="4" w:space="0" w:color="auto"/>
              <w:left w:val="single" w:sz="4" w:space="0" w:color="auto"/>
              <w:bottom w:val="nil"/>
              <w:right w:val="single" w:sz="4" w:space="0" w:color="auto"/>
            </w:tcBorders>
            <w:shd w:val="clear" w:color="auto" w:fill="auto"/>
            <w:vAlign w:val="center"/>
            <w:hideMark/>
          </w:tcPr>
          <w:p w14:paraId="63A697C8" w14:textId="77777777" w:rsidR="00AC01C1" w:rsidRPr="00351207" w:rsidRDefault="00AC01C1" w:rsidP="00B25599">
            <w:pPr>
              <w:spacing w:after="0" w:line="240" w:lineRule="auto"/>
              <w:rPr>
                <w:rFonts w:ascii="Times New Roman" w:eastAsia="Times New Roman" w:hAnsi="Times New Roman" w:cs="Times New Roman"/>
                <w:sz w:val="20"/>
                <w:szCs w:val="20"/>
              </w:rPr>
            </w:pPr>
          </w:p>
        </w:tc>
        <w:tc>
          <w:tcPr>
            <w:tcW w:w="419" w:type="pct"/>
            <w:tcBorders>
              <w:top w:val="single" w:sz="4" w:space="0" w:color="auto"/>
              <w:left w:val="single" w:sz="4" w:space="0" w:color="auto"/>
              <w:bottom w:val="nil"/>
              <w:right w:val="single" w:sz="4" w:space="0" w:color="auto"/>
            </w:tcBorders>
            <w:shd w:val="clear" w:color="auto" w:fill="auto"/>
            <w:vAlign w:val="center"/>
            <w:hideMark/>
          </w:tcPr>
          <w:p w14:paraId="0919B59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623" w:type="pct"/>
            <w:tcBorders>
              <w:top w:val="single" w:sz="4" w:space="0" w:color="auto"/>
              <w:left w:val="single" w:sz="4" w:space="0" w:color="auto"/>
              <w:right w:val="single" w:sz="4" w:space="0" w:color="auto"/>
            </w:tcBorders>
            <w:vAlign w:val="center"/>
          </w:tcPr>
          <w:p w14:paraId="3A5824D8"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389" w:type="pct"/>
            <w:tcBorders>
              <w:top w:val="single" w:sz="4" w:space="0" w:color="auto"/>
              <w:left w:val="single" w:sz="4" w:space="0" w:color="auto"/>
              <w:right w:val="single" w:sz="4" w:space="0" w:color="auto"/>
            </w:tcBorders>
            <w:vAlign w:val="center"/>
          </w:tcPr>
          <w:p w14:paraId="628A34C7"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623" w:type="pct"/>
            <w:tcBorders>
              <w:top w:val="single" w:sz="4" w:space="0" w:color="auto"/>
              <w:left w:val="single" w:sz="4" w:space="0" w:color="auto"/>
              <w:bottom w:val="nil"/>
              <w:right w:val="single" w:sz="4" w:space="0" w:color="auto"/>
            </w:tcBorders>
            <w:shd w:val="clear" w:color="auto" w:fill="auto"/>
            <w:vAlign w:val="center"/>
            <w:hideMark/>
          </w:tcPr>
          <w:p w14:paraId="6B17ACFA"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475" w:type="pct"/>
            <w:tcBorders>
              <w:top w:val="single" w:sz="4" w:space="0" w:color="auto"/>
              <w:left w:val="single" w:sz="4" w:space="0" w:color="auto"/>
              <w:bottom w:val="nil"/>
              <w:right w:val="single" w:sz="4" w:space="0" w:color="auto"/>
            </w:tcBorders>
            <w:shd w:val="clear" w:color="auto" w:fill="auto"/>
            <w:vAlign w:val="center"/>
            <w:hideMark/>
          </w:tcPr>
          <w:p w14:paraId="0653E83D"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623" w:type="pct"/>
            <w:tcBorders>
              <w:top w:val="single" w:sz="4" w:space="0" w:color="auto"/>
              <w:left w:val="single" w:sz="4" w:space="0" w:color="auto"/>
              <w:bottom w:val="nil"/>
              <w:right w:val="single" w:sz="4" w:space="0" w:color="auto"/>
            </w:tcBorders>
          </w:tcPr>
          <w:p w14:paraId="5C01118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c>
          <w:tcPr>
            <w:tcW w:w="391" w:type="pct"/>
            <w:tcBorders>
              <w:top w:val="single" w:sz="4" w:space="0" w:color="auto"/>
              <w:left w:val="single" w:sz="4" w:space="0" w:color="auto"/>
              <w:bottom w:val="nil"/>
              <w:right w:val="single" w:sz="4" w:space="0" w:color="auto"/>
            </w:tcBorders>
          </w:tcPr>
          <w:p w14:paraId="300B1A34"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p>
        </w:tc>
      </w:tr>
      <w:tr w:rsidR="00AC01C1" w:rsidRPr="00647847" w14:paraId="6376AB5D" w14:textId="77777777" w:rsidTr="006F7367">
        <w:tc>
          <w:tcPr>
            <w:tcW w:w="832" w:type="pct"/>
            <w:tcBorders>
              <w:top w:val="nil"/>
              <w:left w:val="single" w:sz="4" w:space="0" w:color="auto"/>
              <w:right w:val="single" w:sz="4" w:space="0" w:color="auto"/>
            </w:tcBorders>
            <w:shd w:val="clear" w:color="auto" w:fill="auto"/>
            <w:vAlign w:val="center"/>
            <w:hideMark/>
          </w:tcPr>
          <w:p w14:paraId="4E384BAA" w14:textId="77777777" w:rsidR="00AC01C1" w:rsidRPr="00351207" w:rsidRDefault="00AC01C1" w:rsidP="00B25599">
            <w:pPr>
              <w:spacing w:after="0" w:line="240" w:lineRule="auto"/>
              <w:ind w:right="-45"/>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SOE</w:t>
            </w:r>
          </w:p>
        </w:tc>
        <w:tc>
          <w:tcPr>
            <w:tcW w:w="623" w:type="pct"/>
            <w:tcBorders>
              <w:top w:val="nil"/>
              <w:left w:val="single" w:sz="4" w:space="0" w:color="auto"/>
              <w:right w:val="single" w:sz="4" w:space="0" w:color="auto"/>
            </w:tcBorders>
            <w:shd w:val="clear" w:color="auto" w:fill="auto"/>
            <w:noWrap/>
            <w:vAlign w:val="center"/>
          </w:tcPr>
          <w:p w14:paraId="60BB8E66"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-0.542***</w:t>
            </w:r>
          </w:p>
        </w:tc>
        <w:tc>
          <w:tcPr>
            <w:tcW w:w="419" w:type="pct"/>
            <w:tcBorders>
              <w:top w:val="nil"/>
              <w:left w:val="single" w:sz="4" w:space="0" w:color="auto"/>
              <w:right w:val="single" w:sz="4" w:space="0" w:color="auto"/>
            </w:tcBorders>
            <w:shd w:val="clear" w:color="auto" w:fill="auto"/>
            <w:noWrap/>
            <w:vAlign w:val="center"/>
          </w:tcPr>
          <w:p w14:paraId="1652D080"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0.019</w:t>
            </w:r>
          </w:p>
        </w:tc>
        <w:tc>
          <w:tcPr>
            <w:tcW w:w="623" w:type="pct"/>
            <w:tcBorders>
              <w:left w:val="single" w:sz="4" w:space="0" w:color="auto"/>
              <w:right w:val="single" w:sz="4" w:space="0" w:color="auto"/>
            </w:tcBorders>
            <w:vAlign w:val="center"/>
          </w:tcPr>
          <w:p w14:paraId="02157221" w14:textId="77777777" w:rsidR="00AC01C1" w:rsidRPr="00351207" w:rsidRDefault="00AC01C1" w:rsidP="00B25599">
            <w:pPr>
              <w:spacing w:after="0" w:line="240" w:lineRule="auto"/>
              <w:ind w:left="-74"/>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-0.129***</w:t>
            </w:r>
          </w:p>
        </w:tc>
        <w:tc>
          <w:tcPr>
            <w:tcW w:w="389" w:type="pct"/>
            <w:tcBorders>
              <w:left w:val="single" w:sz="4" w:space="0" w:color="auto"/>
              <w:right w:val="single" w:sz="4" w:space="0" w:color="auto"/>
            </w:tcBorders>
            <w:vAlign w:val="center"/>
          </w:tcPr>
          <w:p w14:paraId="0BC8153D"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0.043</w:t>
            </w:r>
          </w:p>
        </w:tc>
        <w:tc>
          <w:tcPr>
            <w:tcW w:w="623" w:type="pct"/>
            <w:tcBorders>
              <w:top w:val="nil"/>
              <w:left w:val="single" w:sz="4" w:space="0" w:color="auto"/>
              <w:right w:val="single" w:sz="4" w:space="0" w:color="auto"/>
            </w:tcBorders>
            <w:shd w:val="clear" w:color="auto" w:fill="auto"/>
            <w:noWrap/>
            <w:vAlign w:val="center"/>
          </w:tcPr>
          <w:p w14:paraId="15E36FF3"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-0.028</w:t>
            </w:r>
          </w:p>
        </w:tc>
        <w:tc>
          <w:tcPr>
            <w:tcW w:w="475" w:type="pct"/>
            <w:tcBorders>
              <w:top w:val="nil"/>
              <w:left w:val="single" w:sz="4" w:space="0" w:color="auto"/>
              <w:right w:val="single" w:sz="4" w:space="0" w:color="auto"/>
            </w:tcBorders>
            <w:shd w:val="clear" w:color="auto" w:fill="auto"/>
            <w:noWrap/>
            <w:vAlign w:val="center"/>
          </w:tcPr>
          <w:p w14:paraId="514A7CE2"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0.066</w:t>
            </w:r>
          </w:p>
        </w:tc>
        <w:tc>
          <w:tcPr>
            <w:tcW w:w="623" w:type="pct"/>
            <w:tcBorders>
              <w:top w:val="nil"/>
              <w:left w:val="single" w:sz="4" w:space="0" w:color="auto"/>
              <w:right w:val="single" w:sz="4" w:space="0" w:color="auto"/>
            </w:tcBorders>
            <w:vAlign w:val="center"/>
          </w:tcPr>
          <w:p w14:paraId="31A5BCDC" w14:textId="77777777" w:rsidR="00AC01C1" w:rsidRPr="00351207" w:rsidRDefault="00AC01C1" w:rsidP="00B25599">
            <w:pPr>
              <w:spacing w:after="0" w:line="240" w:lineRule="auto"/>
              <w:ind w:left="-239" w:right="-75"/>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0.069</w:t>
            </w:r>
          </w:p>
        </w:tc>
        <w:tc>
          <w:tcPr>
            <w:tcW w:w="391" w:type="pct"/>
            <w:tcBorders>
              <w:top w:val="nil"/>
              <w:left w:val="single" w:sz="4" w:space="0" w:color="auto"/>
              <w:right w:val="single" w:sz="4" w:space="0" w:color="auto"/>
            </w:tcBorders>
            <w:vAlign w:val="center"/>
          </w:tcPr>
          <w:p w14:paraId="3E4B227B"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0.192</w:t>
            </w:r>
          </w:p>
        </w:tc>
      </w:tr>
      <w:tr w:rsidR="00AC01C1" w:rsidRPr="00647847" w14:paraId="39A4598F" w14:textId="77777777" w:rsidTr="006F7367">
        <w:trPr>
          <w:trHeight w:val="68"/>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5A98F117"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Industry dummies</w:t>
            </w:r>
          </w:p>
        </w:tc>
        <w:tc>
          <w:tcPr>
            <w:tcW w:w="10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65E52F"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013" w:type="pct"/>
            <w:gridSpan w:val="2"/>
            <w:tcBorders>
              <w:top w:val="single" w:sz="4" w:space="0" w:color="auto"/>
              <w:left w:val="single" w:sz="4" w:space="0" w:color="auto"/>
              <w:bottom w:val="single" w:sz="4" w:space="0" w:color="auto"/>
              <w:right w:val="single" w:sz="4" w:space="0" w:color="auto"/>
            </w:tcBorders>
          </w:tcPr>
          <w:p w14:paraId="38161025"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098" w:type="pct"/>
            <w:gridSpan w:val="2"/>
            <w:tcBorders>
              <w:top w:val="single" w:sz="4" w:space="0" w:color="auto"/>
              <w:left w:val="single" w:sz="4" w:space="0" w:color="auto"/>
              <w:bottom w:val="single" w:sz="4" w:space="0" w:color="auto"/>
              <w:right w:val="single" w:sz="4" w:space="0" w:color="auto"/>
            </w:tcBorders>
            <w:noWrap/>
            <w:vAlign w:val="center"/>
          </w:tcPr>
          <w:p w14:paraId="41762DA3"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c>
          <w:tcPr>
            <w:tcW w:w="1015" w:type="pct"/>
            <w:gridSpan w:val="2"/>
            <w:tcBorders>
              <w:top w:val="single" w:sz="4" w:space="0" w:color="auto"/>
              <w:right w:val="single" w:sz="4" w:space="0" w:color="auto"/>
            </w:tcBorders>
            <w:vAlign w:val="center"/>
          </w:tcPr>
          <w:p w14:paraId="6DC1AA04"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Yes</w:t>
            </w:r>
          </w:p>
        </w:tc>
      </w:tr>
      <w:tr w:rsidR="00AC01C1" w:rsidRPr="00647847" w14:paraId="782AC4E4" w14:textId="77777777" w:rsidTr="006F7367">
        <w:trPr>
          <w:trHeight w:val="68"/>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C9165"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Constant</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2D6B7"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10.373***</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3EA3E"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0.028</w:t>
            </w:r>
          </w:p>
        </w:tc>
        <w:tc>
          <w:tcPr>
            <w:tcW w:w="623" w:type="pct"/>
            <w:tcBorders>
              <w:top w:val="single" w:sz="4" w:space="0" w:color="auto"/>
              <w:left w:val="single" w:sz="4" w:space="0" w:color="auto"/>
              <w:bottom w:val="single" w:sz="4" w:space="0" w:color="auto"/>
              <w:right w:val="single" w:sz="4" w:space="0" w:color="auto"/>
            </w:tcBorders>
          </w:tcPr>
          <w:p w14:paraId="231E3C78"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11.125***</w:t>
            </w:r>
          </w:p>
        </w:tc>
        <w:tc>
          <w:tcPr>
            <w:tcW w:w="389" w:type="pct"/>
            <w:tcBorders>
              <w:top w:val="single" w:sz="4" w:space="0" w:color="auto"/>
              <w:left w:val="single" w:sz="4" w:space="0" w:color="auto"/>
              <w:bottom w:val="single" w:sz="4" w:space="0" w:color="auto"/>
              <w:right w:val="single" w:sz="4" w:space="0" w:color="auto"/>
            </w:tcBorders>
            <w:vAlign w:val="center"/>
          </w:tcPr>
          <w:p w14:paraId="5A02894E"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0.078</w:t>
            </w:r>
          </w:p>
        </w:tc>
        <w:tc>
          <w:tcPr>
            <w:tcW w:w="623" w:type="pct"/>
            <w:tcBorders>
              <w:top w:val="single" w:sz="4" w:space="0" w:color="auto"/>
              <w:left w:val="single" w:sz="4" w:space="0" w:color="auto"/>
              <w:bottom w:val="single" w:sz="4" w:space="0" w:color="auto"/>
              <w:right w:val="single" w:sz="4" w:space="0" w:color="auto"/>
            </w:tcBorders>
            <w:noWrap/>
            <w:vAlign w:val="center"/>
          </w:tcPr>
          <w:p w14:paraId="2E5A5AA4"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11.185***</w:t>
            </w:r>
          </w:p>
        </w:tc>
        <w:tc>
          <w:tcPr>
            <w:tcW w:w="475" w:type="pct"/>
            <w:tcBorders>
              <w:top w:val="single" w:sz="4" w:space="0" w:color="auto"/>
              <w:left w:val="single" w:sz="4" w:space="0" w:color="auto"/>
              <w:bottom w:val="single" w:sz="4" w:space="0" w:color="auto"/>
              <w:right w:val="single" w:sz="4" w:space="0" w:color="auto"/>
            </w:tcBorders>
            <w:noWrap/>
            <w:vAlign w:val="center"/>
          </w:tcPr>
          <w:p w14:paraId="5B540F3B"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0.119</w:t>
            </w:r>
          </w:p>
        </w:tc>
        <w:tc>
          <w:tcPr>
            <w:tcW w:w="623" w:type="pct"/>
            <w:tcBorders>
              <w:top w:val="single" w:sz="4" w:space="0" w:color="auto"/>
            </w:tcBorders>
            <w:vAlign w:val="center"/>
          </w:tcPr>
          <w:p w14:paraId="42D9397A" w14:textId="77777777" w:rsidR="00AC01C1" w:rsidRPr="00351207" w:rsidRDefault="00AC01C1" w:rsidP="00B25599">
            <w:pPr>
              <w:spacing w:after="0" w:line="240" w:lineRule="auto"/>
              <w:ind w:right="-75"/>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11.497***</w:t>
            </w:r>
          </w:p>
        </w:tc>
        <w:tc>
          <w:tcPr>
            <w:tcW w:w="391" w:type="pct"/>
            <w:tcBorders>
              <w:top w:val="single" w:sz="4" w:space="0" w:color="auto"/>
              <w:left w:val="single" w:sz="4" w:space="0" w:color="auto"/>
              <w:bottom w:val="single" w:sz="4" w:space="0" w:color="auto"/>
              <w:right w:val="single" w:sz="4" w:space="0" w:color="auto"/>
            </w:tcBorders>
            <w:vAlign w:val="center"/>
          </w:tcPr>
          <w:p w14:paraId="227EDE81" w14:textId="77777777" w:rsidR="00AC01C1" w:rsidRPr="00351207" w:rsidRDefault="00AC01C1" w:rsidP="00B25599">
            <w:pPr>
              <w:spacing w:after="0" w:line="240" w:lineRule="auto"/>
              <w:jc w:val="right"/>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0.084</w:t>
            </w:r>
          </w:p>
        </w:tc>
      </w:tr>
      <w:tr w:rsidR="00AC01C1" w:rsidRPr="00647847" w14:paraId="3ADE849A" w14:textId="77777777" w:rsidTr="006F7367">
        <w:trPr>
          <w:trHeight w:val="68"/>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04A5A"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N</w:t>
            </w:r>
          </w:p>
        </w:tc>
        <w:tc>
          <w:tcPr>
            <w:tcW w:w="10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C12B59"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1262409</w:t>
            </w:r>
          </w:p>
        </w:tc>
        <w:tc>
          <w:tcPr>
            <w:tcW w:w="1013" w:type="pct"/>
            <w:gridSpan w:val="2"/>
            <w:tcBorders>
              <w:top w:val="single" w:sz="4" w:space="0" w:color="auto"/>
              <w:left w:val="single" w:sz="4" w:space="0" w:color="auto"/>
              <w:bottom w:val="single" w:sz="4" w:space="0" w:color="auto"/>
              <w:right w:val="single" w:sz="4" w:space="0" w:color="auto"/>
            </w:tcBorders>
          </w:tcPr>
          <w:p w14:paraId="2DA8C834"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17144</w:t>
            </w:r>
          </w:p>
        </w:tc>
        <w:tc>
          <w:tcPr>
            <w:tcW w:w="1098" w:type="pct"/>
            <w:gridSpan w:val="2"/>
            <w:tcBorders>
              <w:top w:val="single" w:sz="4" w:space="0" w:color="auto"/>
              <w:left w:val="single" w:sz="4" w:space="0" w:color="auto"/>
              <w:bottom w:val="single" w:sz="4" w:space="0" w:color="auto"/>
              <w:right w:val="single" w:sz="4" w:space="0" w:color="auto"/>
            </w:tcBorders>
            <w:noWrap/>
          </w:tcPr>
          <w:p w14:paraId="3F1548AF"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6151</w:t>
            </w:r>
          </w:p>
        </w:tc>
        <w:tc>
          <w:tcPr>
            <w:tcW w:w="1015" w:type="pct"/>
            <w:gridSpan w:val="2"/>
            <w:tcBorders>
              <w:top w:val="single" w:sz="4" w:space="0" w:color="auto"/>
              <w:right w:val="single" w:sz="4" w:space="0" w:color="auto"/>
            </w:tcBorders>
          </w:tcPr>
          <w:p w14:paraId="2E923A97" w14:textId="77777777" w:rsidR="00AC01C1" w:rsidRPr="00351207" w:rsidRDefault="00AC01C1" w:rsidP="00B25599">
            <w:pPr>
              <w:spacing w:after="0" w:line="240" w:lineRule="auto"/>
              <w:ind w:right="-75"/>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4896</w:t>
            </w:r>
          </w:p>
        </w:tc>
      </w:tr>
      <w:tr w:rsidR="00AC01C1" w:rsidRPr="00647847" w14:paraId="419854F2" w14:textId="77777777" w:rsidTr="006F7367">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14:paraId="0591E84F" w14:textId="77777777" w:rsidR="00AC01C1" w:rsidRPr="00351207" w:rsidRDefault="00AC01C1" w:rsidP="00B25599">
            <w:pPr>
              <w:spacing w:after="0" w:line="240" w:lineRule="auto"/>
              <w:ind w:right="-45"/>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Adjusted R</w:t>
            </w:r>
            <w:r w:rsidRPr="00351207">
              <w:rPr>
                <w:rFonts w:ascii="Times New Roman" w:eastAsia="Times New Roman" w:hAnsi="Times New Roman" w:cs="Times New Roman"/>
                <w:sz w:val="20"/>
                <w:szCs w:val="20"/>
                <w:vertAlign w:val="superscript"/>
              </w:rPr>
              <w:t>2</w:t>
            </w:r>
          </w:p>
        </w:tc>
        <w:tc>
          <w:tcPr>
            <w:tcW w:w="10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89C271"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0.056</w:t>
            </w:r>
          </w:p>
        </w:tc>
        <w:tc>
          <w:tcPr>
            <w:tcW w:w="1013" w:type="pct"/>
            <w:gridSpan w:val="2"/>
            <w:tcBorders>
              <w:top w:val="single" w:sz="4" w:space="0" w:color="auto"/>
              <w:left w:val="single" w:sz="4" w:space="0" w:color="auto"/>
              <w:bottom w:val="single" w:sz="4" w:space="0" w:color="auto"/>
              <w:right w:val="single" w:sz="4" w:space="0" w:color="auto"/>
            </w:tcBorders>
            <w:vAlign w:val="center"/>
          </w:tcPr>
          <w:p w14:paraId="44F5352E"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0.040</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05EE2C" w14:textId="77777777" w:rsidR="00AC01C1" w:rsidRPr="00351207" w:rsidRDefault="00AC01C1" w:rsidP="00B25599">
            <w:pPr>
              <w:spacing w:after="0" w:line="240" w:lineRule="auto"/>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0.050</w:t>
            </w:r>
          </w:p>
        </w:tc>
        <w:tc>
          <w:tcPr>
            <w:tcW w:w="1015" w:type="pct"/>
            <w:gridSpan w:val="2"/>
            <w:tcBorders>
              <w:top w:val="single" w:sz="4" w:space="0" w:color="auto"/>
              <w:left w:val="single" w:sz="4" w:space="0" w:color="auto"/>
              <w:bottom w:val="single" w:sz="4" w:space="0" w:color="auto"/>
              <w:right w:val="single" w:sz="4" w:space="0" w:color="auto"/>
            </w:tcBorders>
          </w:tcPr>
          <w:p w14:paraId="148EB3E7" w14:textId="77777777" w:rsidR="00AC01C1" w:rsidRPr="00351207" w:rsidRDefault="00AC01C1" w:rsidP="00B25599">
            <w:pPr>
              <w:spacing w:after="0" w:line="240" w:lineRule="auto"/>
              <w:ind w:right="-75"/>
              <w:jc w:val="center"/>
              <w:rPr>
                <w:rFonts w:ascii="Times New Roman" w:eastAsia="Times New Roman" w:hAnsi="Times New Roman" w:cs="Times New Roman"/>
                <w:sz w:val="20"/>
                <w:szCs w:val="20"/>
              </w:rPr>
            </w:pPr>
            <w:r w:rsidRPr="00351207">
              <w:rPr>
                <w:rFonts w:ascii="Times New Roman" w:eastAsia="Times New Roman" w:hAnsi="Times New Roman" w:cs="Times New Roman"/>
                <w:sz w:val="20"/>
                <w:szCs w:val="20"/>
              </w:rPr>
              <w:t>0.068</w:t>
            </w:r>
          </w:p>
        </w:tc>
      </w:tr>
    </w:tbl>
    <w:p w14:paraId="6B3B5A2D" w14:textId="625FF77B" w:rsidR="006D1D1A" w:rsidRDefault="006D1D1A" w:rsidP="006D1D1A">
      <w:pPr>
        <w:pStyle w:val="ListParagraph"/>
        <w:spacing w:after="0" w:line="240" w:lineRule="auto"/>
        <w:jc w:val="left"/>
        <w:rPr>
          <w:rFonts w:cstheme="minorHAnsi"/>
          <w:b/>
          <w:bCs/>
          <w:iCs/>
          <w:color w:val="000000" w:themeColor="text1"/>
          <w:sz w:val="22"/>
        </w:rPr>
      </w:pPr>
      <w:bookmarkStart w:id="146" w:name="_Hlk10984594"/>
    </w:p>
    <w:p w14:paraId="16A60BC4" w14:textId="77777777" w:rsidR="00033381" w:rsidRDefault="00033381" w:rsidP="006D1D1A">
      <w:pPr>
        <w:pStyle w:val="ListParagraph"/>
        <w:spacing w:after="0" w:line="240" w:lineRule="auto"/>
        <w:jc w:val="left"/>
        <w:rPr>
          <w:rFonts w:cstheme="minorHAnsi"/>
          <w:b/>
          <w:bCs/>
          <w:iCs/>
          <w:color w:val="000000" w:themeColor="text1"/>
          <w:sz w:val="22"/>
        </w:rPr>
      </w:pPr>
    </w:p>
    <w:p w14:paraId="6B275EFD" w14:textId="77777777" w:rsidR="006D1D1A" w:rsidRDefault="006D1D1A" w:rsidP="006D1D1A">
      <w:pPr>
        <w:pStyle w:val="ListParagraph"/>
        <w:spacing w:after="0" w:line="240" w:lineRule="auto"/>
        <w:jc w:val="left"/>
        <w:rPr>
          <w:rFonts w:cstheme="minorHAnsi"/>
          <w:b/>
          <w:bCs/>
          <w:iCs/>
          <w:color w:val="000000" w:themeColor="text1"/>
          <w:sz w:val="22"/>
        </w:rPr>
      </w:pPr>
    </w:p>
    <w:p w14:paraId="22BE743F" w14:textId="31DC4B23" w:rsidR="00AC01C1" w:rsidRPr="001849D5" w:rsidRDefault="00AC01C1" w:rsidP="00AC01C1">
      <w:pPr>
        <w:pStyle w:val="ListParagraph"/>
        <w:numPr>
          <w:ilvl w:val="0"/>
          <w:numId w:val="29"/>
        </w:numPr>
        <w:spacing w:after="0" w:line="240" w:lineRule="auto"/>
        <w:jc w:val="left"/>
        <w:rPr>
          <w:rFonts w:cstheme="minorHAnsi"/>
          <w:b/>
          <w:bCs/>
          <w:iCs/>
          <w:color w:val="000000" w:themeColor="text1"/>
          <w:sz w:val="22"/>
        </w:rPr>
      </w:pPr>
      <w:r w:rsidRPr="001849D5">
        <w:rPr>
          <w:rFonts w:cstheme="minorHAnsi"/>
          <w:b/>
          <w:bCs/>
          <w:iCs/>
          <w:color w:val="000000" w:themeColor="text1"/>
          <w:sz w:val="22"/>
        </w:rPr>
        <w:t>Figure 5.3</w:t>
      </w:r>
      <w:r>
        <w:rPr>
          <w:rFonts w:cstheme="minorHAnsi"/>
          <w:b/>
          <w:bCs/>
          <w:iCs/>
          <w:color w:val="000000" w:themeColor="text1"/>
          <w:sz w:val="22"/>
        </w:rPr>
        <w:t xml:space="preserve"> SOE-private wage gap, without and with subsidy</w:t>
      </w:r>
    </w:p>
    <w:bookmarkEnd w:id="146"/>
    <w:p w14:paraId="7F7E6954" w14:textId="77777777" w:rsidR="00AC01C1" w:rsidRPr="00AD0FDB" w:rsidRDefault="00AC01C1" w:rsidP="00AC01C1">
      <w:pPr>
        <w:spacing w:after="0" w:line="240" w:lineRule="auto"/>
        <w:jc w:val="left"/>
        <w:rPr>
          <w:rFonts w:cstheme="minorHAnsi"/>
          <w:b/>
          <w:bCs/>
          <w:iCs/>
          <w:color w:val="000000" w:themeColor="text1"/>
        </w:rPr>
      </w:pPr>
    </w:p>
    <w:tbl>
      <w:tblPr>
        <w:tblW w:w="4170" w:type="pct"/>
        <w:tblInd w:w="715" w:type="dxa"/>
        <w:tblLayout w:type="fixed"/>
        <w:tblLook w:val="04A0" w:firstRow="1" w:lastRow="0" w:firstColumn="1" w:lastColumn="0" w:noHBand="0" w:noVBand="1"/>
      </w:tblPr>
      <w:tblGrid>
        <w:gridCol w:w="1801"/>
        <w:gridCol w:w="709"/>
        <w:gridCol w:w="639"/>
        <w:gridCol w:w="900"/>
        <w:gridCol w:w="631"/>
        <w:gridCol w:w="899"/>
        <w:gridCol w:w="813"/>
        <w:gridCol w:w="719"/>
        <w:gridCol w:w="719"/>
      </w:tblGrid>
      <w:tr w:rsidR="00AC01C1" w:rsidRPr="00036193" w14:paraId="2803E660" w14:textId="77777777" w:rsidTr="003F2E90">
        <w:tc>
          <w:tcPr>
            <w:tcW w:w="1150" w:type="pct"/>
            <w:tcBorders>
              <w:top w:val="single" w:sz="4" w:space="0" w:color="auto"/>
              <w:left w:val="single" w:sz="4" w:space="0" w:color="auto"/>
              <w:right w:val="single" w:sz="4" w:space="0" w:color="auto"/>
            </w:tcBorders>
            <w:shd w:val="clear" w:color="auto" w:fill="auto"/>
            <w:vAlign w:val="center"/>
          </w:tcPr>
          <w:p w14:paraId="2F9BB08E" w14:textId="77777777" w:rsidR="00AC01C1" w:rsidRPr="00036193" w:rsidRDefault="00AC01C1" w:rsidP="00B25599">
            <w:pPr>
              <w:spacing w:after="0" w:line="240" w:lineRule="auto"/>
              <w:ind w:right="-45"/>
              <w:rPr>
                <w:rFonts w:ascii="Times New Roman" w:eastAsia="Times New Roman" w:hAnsi="Times New Roman" w:cs="Times New Roman"/>
                <w:sz w:val="20"/>
                <w:szCs w:val="20"/>
              </w:rPr>
            </w:pPr>
          </w:p>
        </w:tc>
        <w:tc>
          <w:tcPr>
            <w:tcW w:w="3850" w:type="pct"/>
            <w:gridSpan w:val="8"/>
            <w:tcBorders>
              <w:top w:val="single" w:sz="4" w:space="0" w:color="auto"/>
              <w:left w:val="single" w:sz="4" w:space="0" w:color="auto"/>
              <w:right w:val="single" w:sz="4" w:space="0" w:color="auto"/>
            </w:tcBorders>
          </w:tcPr>
          <w:p w14:paraId="02D106F0"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b/>
                <w:bCs/>
                <w:sz w:val="20"/>
                <w:szCs w:val="20"/>
              </w:rPr>
              <w:t>Dependent variable: log hourly wage in Rubles</w:t>
            </w:r>
          </w:p>
        </w:tc>
      </w:tr>
      <w:tr w:rsidR="00AC01C1" w:rsidRPr="00036193" w14:paraId="2D4F8873" w14:textId="77777777" w:rsidTr="003F2E90">
        <w:tc>
          <w:tcPr>
            <w:tcW w:w="1150" w:type="pct"/>
            <w:tcBorders>
              <w:top w:val="single" w:sz="4" w:space="0" w:color="auto"/>
              <w:left w:val="single" w:sz="4" w:space="0" w:color="auto"/>
              <w:right w:val="single" w:sz="4" w:space="0" w:color="auto"/>
            </w:tcBorders>
            <w:shd w:val="clear" w:color="auto" w:fill="auto"/>
            <w:vAlign w:val="center"/>
          </w:tcPr>
          <w:p w14:paraId="38A9CBC4" w14:textId="77777777" w:rsidR="00AC01C1" w:rsidRPr="00036193" w:rsidRDefault="00AC01C1" w:rsidP="00B25599">
            <w:pPr>
              <w:spacing w:after="0" w:line="240" w:lineRule="auto"/>
              <w:ind w:right="-45"/>
              <w:rPr>
                <w:rFonts w:ascii="Times New Roman" w:eastAsia="Times New Roman" w:hAnsi="Times New Roman" w:cs="Times New Roman"/>
                <w:sz w:val="20"/>
                <w:szCs w:val="20"/>
              </w:rPr>
            </w:pPr>
          </w:p>
        </w:tc>
        <w:tc>
          <w:tcPr>
            <w:tcW w:w="861" w:type="pct"/>
            <w:gridSpan w:val="2"/>
            <w:tcBorders>
              <w:top w:val="single" w:sz="4" w:space="0" w:color="auto"/>
              <w:left w:val="single" w:sz="4" w:space="0" w:color="auto"/>
              <w:right w:val="single" w:sz="4" w:space="0" w:color="auto"/>
            </w:tcBorders>
          </w:tcPr>
          <w:p w14:paraId="64FAF558"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No subsidy</w:t>
            </w:r>
          </w:p>
        </w:tc>
        <w:tc>
          <w:tcPr>
            <w:tcW w:w="2989" w:type="pct"/>
            <w:gridSpan w:val="6"/>
            <w:tcBorders>
              <w:top w:val="single" w:sz="4" w:space="0" w:color="auto"/>
              <w:left w:val="single" w:sz="4" w:space="0" w:color="auto"/>
              <w:right w:val="single" w:sz="4" w:space="0" w:color="auto"/>
            </w:tcBorders>
            <w:vAlign w:val="center"/>
          </w:tcPr>
          <w:p w14:paraId="0AA31454"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Subsidy</w:t>
            </w:r>
          </w:p>
        </w:tc>
      </w:tr>
      <w:tr w:rsidR="00AC01C1" w:rsidRPr="00036193" w14:paraId="2154F421" w14:textId="77777777" w:rsidTr="003F2E90">
        <w:tc>
          <w:tcPr>
            <w:tcW w:w="1150" w:type="pct"/>
            <w:tcBorders>
              <w:top w:val="single" w:sz="4" w:space="0" w:color="auto"/>
              <w:left w:val="single" w:sz="4" w:space="0" w:color="auto"/>
              <w:right w:val="single" w:sz="4" w:space="0" w:color="auto"/>
            </w:tcBorders>
            <w:shd w:val="clear" w:color="auto" w:fill="auto"/>
            <w:vAlign w:val="center"/>
            <w:hideMark/>
          </w:tcPr>
          <w:p w14:paraId="5F326484" w14:textId="77777777" w:rsidR="00AC01C1" w:rsidRPr="00036193" w:rsidRDefault="00AC01C1" w:rsidP="00B25599">
            <w:pPr>
              <w:spacing w:after="0" w:line="240" w:lineRule="auto"/>
              <w:ind w:right="-45"/>
              <w:rPr>
                <w:rFonts w:ascii="Times New Roman" w:eastAsia="Times New Roman" w:hAnsi="Times New Roman" w:cs="Times New Roman"/>
                <w:sz w:val="20"/>
                <w:szCs w:val="20"/>
              </w:rPr>
            </w:pPr>
          </w:p>
        </w:tc>
        <w:tc>
          <w:tcPr>
            <w:tcW w:w="861" w:type="pct"/>
            <w:gridSpan w:val="2"/>
            <w:tcBorders>
              <w:top w:val="single" w:sz="4" w:space="0" w:color="auto"/>
              <w:left w:val="single" w:sz="4" w:space="0" w:color="auto"/>
              <w:right w:val="single" w:sz="4" w:space="0" w:color="auto"/>
            </w:tcBorders>
          </w:tcPr>
          <w:p w14:paraId="2B46F365"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Full sample</w:t>
            </w:r>
          </w:p>
        </w:tc>
        <w:tc>
          <w:tcPr>
            <w:tcW w:w="978" w:type="pct"/>
            <w:gridSpan w:val="2"/>
            <w:tcBorders>
              <w:top w:val="single" w:sz="4" w:space="0" w:color="auto"/>
              <w:left w:val="single" w:sz="4" w:space="0" w:color="auto"/>
              <w:right w:val="single" w:sz="4" w:space="0" w:color="auto"/>
            </w:tcBorders>
          </w:tcPr>
          <w:p w14:paraId="5BF4428E"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Full sample</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A2BC2"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 xml:space="preserve">Firm size </w:t>
            </w:r>
          </w:p>
          <w:p w14:paraId="4F5D9A13"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&lt;500 (small/med)</w:t>
            </w:r>
          </w:p>
        </w:tc>
        <w:tc>
          <w:tcPr>
            <w:tcW w:w="918" w:type="pct"/>
            <w:gridSpan w:val="2"/>
            <w:tcBorders>
              <w:top w:val="single" w:sz="4" w:space="0" w:color="auto"/>
              <w:left w:val="single" w:sz="4" w:space="0" w:color="auto"/>
              <w:bottom w:val="single" w:sz="4" w:space="0" w:color="auto"/>
              <w:right w:val="single" w:sz="4" w:space="0" w:color="auto"/>
            </w:tcBorders>
          </w:tcPr>
          <w:p w14:paraId="54ECBA9F"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Firm size</w:t>
            </w:r>
          </w:p>
          <w:p w14:paraId="18C038EF"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500+ (large)</w:t>
            </w:r>
          </w:p>
        </w:tc>
      </w:tr>
      <w:tr w:rsidR="003F2E90" w:rsidRPr="00036193" w14:paraId="72B189A5" w14:textId="77777777" w:rsidTr="003F2E90">
        <w:tc>
          <w:tcPr>
            <w:tcW w:w="1150" w:type="pct"/>
            <w:tcBorders>
              <w:top w:val="nil"/>
              <w:left w:val="single" w:sz="4" w:space="0" w:color="auto"/>
              <w:bottom w:val="single" w:sz="4" w:space="0" w:color="auto"/>
              <w:right w:val="single" w:sz="4" w:space="0" w:color="auto"/>
            </w:tcBorders>
            <w:shd w:val="clear" w:color="auto" w:fill="auto"/>
            <w:vAlign w:val="center"/>
            <w:hideMark/>
          </w:tcPr>
          <w:p w14:paraId="53265E85" w14:textId="77777777" w:rsidR="00AC01C1" w:rsidRPr="00036193" w:rsidRDefault="00AC01C1" w:rsidP="00B25599">
            <w:pPr>
              <w:spacing w:after="0" w:line="240" w:lineRule="auto"/>
              <w:ind w:right="-45"/>
              <w:jc w:val="center"/>
              <w:rPr>
                <w:rFonts w:ascii="Times New Roman" w:eastAsia="Times New Roman" w:hAnsi="Times New Roman" w:cs="Times New Roman"/>
                <w:b/>
                <w:bCs/>
                <w:sz w:val="20"/>
                <w:szCs w:val="20"/>
              </w:rPr>
            </w:pPr>
          </w:p>
        </w:tc>
        <w:tc>
          <w:tcPr>
            <w:tcW w:w="453" w:type="pct"/>
            <w:tcBorders>
              <w:top w:val="single" w:sz="4" w:space="0" w:color="auto"/>
              <w:left w:val="single" w:sz="4" w:space="0" w:color="auto"/>
              <w:bottom w:val="single" w:sz="4" w:space="0" w:color="auto"/>
              <w:right w:val="single" w:sz="4" w:space="0" w:color="auto"/>
            </w:tcBorders>
            <w:vAlign w:val="center"/>
          </w:tcPr>
          <w:p w14:paraId="0204E791" w14:textId="77777777" w:rsidR="00AC01C1" w:rsidRPr="00036193" w:rsidRDefault="00AC01C1" w:rsidP="00B25599">
            <w:pPr>
              <w:spacing w:after="0" w:line="240" w:lineRule="auto"/>
              <w:ind w:left="-74"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Coef.</w:t>
            </w:r>
          </w:p>
        </w:tc>
        <w:tc>
          <w:tcPr>
            <w:tcW w:w="408" w:type="pct"/>
            <w:tcBorders>
              <w:top w:val="single" w:sz="4" w:space="0" w:color="auto"/>
              <w:left w:val="single" w:sz="4" w:space="0" w:color="auto"/>
              <w:bottom w:val="single" w:sz="4" w:space="0" w:color="auto"/>
              <w:right w:val="single" w:sz="4" w:space="0" w:color="auto"/>
            </w:tcBorders>
            <w:vAlign w:val="center"/>
          </w:tcPr>
          <w:p w14:paraId="11345196" w14:textId="77777777" w:rsidR="00AC01C1" w:rsidRPr="00036193" w:rsidRDefault="00AC01C1" w:rsidP="00B25599">
            <w:pPr>
              <w:spacing w:after="0" w:line="240" w:lineRule="auto"/>
              <w:ind w:left="-74"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w:t>
            </w:r>
          </w:p>
        </w:tc>
        <w:tc>
          <w:tcPr>
            <w:tcW w:w="575" w:type="pct"/>
            <w:tcBorders>
              <w:top w:val="single" w:sz="4" w:space="0" w:color="auto"/>
              <w:left w:val="single" w:sz="4" w:space="0" w:color="auto"/>
              <w:bottom w:val="single" w:sz="4" w:space="0" w:color="auto"/>
              <w:right w:val="single" w:sz="4" w:space="0" w:color="auto"/>
            </w:tcBorders>
            <w:vAlign w:val="center"/>
          </w:tcPr>
          <w:p w14:paraId="1F2AABE8" w14:textId="77777777" w:rsidR="00AC01C1" w:rsidRPr="00036193" w:rsidRDefault="00AC01C1" w:rsidP="00B25599">
            <w:pPr>
              <w:spacing w:after="0" w:line="240" w:lineRule="auto"/>
              <w:ind w:left="-74"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Coef.</w:t>
            </w:r>
          </w:p>
        </w:tc>
        <w:tc>
          <w:tcPr>
            <w:tcW w:w="403" w:type="pct"/>
            <w:tcBorders>
              <w:top w:val="single" w:sz="4" w:space="0" w:color="auto"/>
              <w:left w:val="single" w:sz="4" w:space="0" w:color="auto"/>
              <w:bottom w:val="single" w:sz="4" w:space="0" w:color="auto"/>
              <w:right w:val="single" w:sz="4" w:space="0" w:color="auto"/>
            </w:tcBorders>
            <w:vAlign w:val="center"/>
          </w:tcPr>
          <w:p w14:paraId="4311A78B"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5452F"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Coef.</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BCCB4"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w:t>
            </w:r>
          </w:p>
        </w:tc>
        <w:tc>
          <w:tcPr>
            <w:tcW w:w="459" w:type="pct"/>
            <w:tcBorders>
              <w:top w:val="single" w:sz="4" w:space="0" w:color="auto"/>
              <w:left w:val="single" w:sz="4" w:space="0" w:color="auto"/>
              <w:bottom w:val="single" w:sz="4" w:space="0" w:color="auto"/>
              <w:right w:val="single" w:sz="4" w:space="0" w:color="auto"/>
            </w:tcBorders>
            <w:vAlign w:val="center"/>
          </w:tcPr>
          <w:p w14:paraId="1FF8EAD0"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Coef.</w:t>
            </w:r>
          </w:p>
        </w:tc>
        <w:tc>
          <w:tcPr>
            <w:tcW w:w="459" w:type="pct"/>
            <w:tcBorders>
              <w:top w:val="single" w:sz="4" w:space="0" w:color="auto"/>
              <w:left w:val="single" w:sz="4" w:space="0" w:color="auto"/>
              <w:bottom w:val="single" w:sz="4" w:space="0" w:color="auto"/>
              <w:right w:val="single" w:sz="4" w:space="0" w:color="auto"/>
            </w:tcBorders>
            <w:vAlign w:val="center"/>
          </w:tcPr>
          <w:p w14:paraId="2B54E3BD"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w:t>
            </w:r>
          </w:p>
        </w:tc>
      </w:tr>
      <w:tr w:rsidR="003F2E90" w:rsidRPr="00036193" w14:paraId="6B205B9F" w14:textId="77777777" w:rsidTr="003F2E90">
        <w:trPr>
          <w:trHeight w:val="117"/>
        </w:trPr>
        <w:tc>
          <w:tcPr>
            <w:tcW w:w="1150" w:type="pct"/>
            <w:tcBorders>
              <w:top w:val="single" w:sz="4" w:space="0" w:color="auto"/>
              <w:left w:val="single" w:sz="4" w:space="0" w:color="auto"/>
              <w:bottom w:val="nil"/>
              <w:right w:val="single" w:sz="4" w:space="0" w:color="auto"/>
            </w:tcBorders>
            <w:shd w:val="clear" w:color="auto" w:fill="auto"/>
            <w:vAlign w:val="center"/>
            <w:hideMark/>
          </w:tcPr>
          <w:p w14:paraId="1FFA83CB" w14:textId="77777777" w:rsidR="00AC01C1" w:rsidRPr="00036193" w:rsidRDefault="00AC01C1" w:rsidP="00B25599">
            <w:pPr>
              <w:spacing w:after="0" w:line="240" w:lineRule="auto"/>
              <w:ind w:right="-45"/>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Sector (private)</w:t>
            </w:r>
          </w:p>
        </w:tc>
        <w:tc>
          <w:tcPr>
            <w:tcW w:w="453" w:type="pct"/>
            <w:tcBorders>
              <w:top w:val="single" w:sz="4" w:space="0" w:color="auto"/>
              <w:left w:val="single" w:sz="4" w:space="0" w:color="auto"/>
              <w:bottom w:val="nil"/>
              <w:right w:val="single" w:sz="4" w:space="0" w:color="auto"/>
            </w:tcBorders>
          </w:tcPr>
          <w:p w14:paraId="689EB82B" w14:textId="77777777" w:rsidR="00AC01C1" w:rsidRPr="00036193" w:rsidRDefault="00AC01C1" w:rsidP="00B25599">
            <w:pPr>
              <w:spacing w:after="0" w:line="240" w:lineRule="auto"/>
              <w:ind w:left="-9" w:right="-105"/>
              <w:rPr>
                <w:rFonts w:ascii="Times New Roman" w:eastAsia="Times New Roman" w:hAnsi="Times New Roman" w:cs="Times New Roman"/>
                <w:sz w:val="20"/>
                <w:szCs w:val="20"/>
              </w:rPr>
            </w:pPr>
          </w:p>
        </w:tc>
        <w:tc>
          <w:tcPr>
            <w:tcW w:w="408" w:type="pct"/>
            <w:tcBorders>
              <w:top w:val="single" w:sz="4" w:space="0" w:color="auto"/>
              <w:left w:val="single" w:sz="4" w:space="0" w:color="auto"/>
              <w:bottom w:val="nil"/>
              <w:right w:val="single" w:sz="4" w:space="0" w:color="auto"/>
            </w:tcBorders>
          </w:tcPr>
          <w:p w14:paraId="2C0C3705" w14:textId="77777777" w:rsidR="00AC01C1" w:rsidRPr="00036193" w:rsidRDefault="00AC01C1" w:rsidP="00B25599">
            <w:pPr>
              <w:spacing w:after="0" w:line="240" w:lineRule="auto"/>
              <w:ind w:left="-9" w:right="-105"/>
              <w:rPr>
                <w:rFonts w:ascii="Times New Roman" w:eastAsia="Times New Roman" w:hAnsi="Times New Roman" w:cs="Times New Roman"/>
                <w:sz w:val="20"/>
                <w:szCs w:val="20"/>
              </w:rPr>
            </w:pPr>
          </w:p>
        </w:tc>
        <w:tc>
          <w:tcPr>
            <w:tcW w:w="575" w:type="pct"/>
            <w:tcBorders>
              <w:top w:val="single" w:sz="4" w:space="0" w:color="auto"/>
              <w:left w:val="single" w:sz="4" w:space="0" w:color="auto"/>
              <w:bottom w:val="nil"/>
              <w:right w:val="single" w:sz="4" w:space="0" w:color="auto"/>
            </w:tcBorders>
          </w:tcPr>
          <w:p w14:paraId="6BA775C8" w14:textId="77777777" w:rsidR="00AC01C1" w:rsidRPr="00036193" w:rsidRDefault="00AC01C1" w:rsidP="00B25599">
            <w:pPr>
              <w:spacing w:after="0" w:line="240" w:lineRule="auto"/>
              <w:ind w:left="-9" w:right="-105"/>
              <w:rPr>
                <w:rFonts w:ascii="Times New Roman" w:eastAsia="Times New Roman" w:hAnsi="Times New Roman" w:cs="Times New Roman"/>
                <w:sz w:val="20"/>
                <w:szCs w:val="20"/>
              </w:rPr>
            </w:pPr>
          </w:p>
        </w:tc>
        <w:tc>
          <w:tcPr>
            <w:tcW w:w="403" w:type="pct"/>
            <w:tcBorders>
              <w:top w:val="single" w:sz="4" w:space="0" w:color="auto"/>
              <w:left w:val="single" w:sz="4" w:space="0" w:color="auto"/>
              <w:bottom w:val="nil"/>
              <w:right w:val="single" w:sz="4" w:space="0" w:color="auto"/>
            </w:tcBorders>
          </w:tcPr>
          <w:p w14:paraId="125E77FD" w14:textId="77777777" w:rsidR="00AC01C1" w:rsidRPr="00036193" w:rsidRDefault="00AC01C1" w:rsidP="00B25599">
            <w:pPr>
              <w:spacing w:after="0" w:line="240" w:lineRule="auto"/>
              <w:ind w:left="-9" w:right="-105"/>
              <w:rPr>
                <w:rFonts w:ascii="Times New Roman" w:eastAsia="Times New Roman" w:hAnsi="Times New Roman" w:cs="Times New Roman"/>
                <w:sz w:val="20"/>
                <w:szCs w:val="20"/>
              </w:rPr>
            </w:pPr>
          </w:p>
        </w:tc>
        <w:tc>
          <w:tcPr>
            <w:tcW w:w="574" w:type="pct"/>
            <w:tcBorders>
              <w:top w:val="single" w:sz="4" w:space="0" w:color="auto"/>
              <w:left w:val="single" w:sz="4" w:space="0" w:color="auto"/>
              <w:bottom w:val="nil"/>
              <w:right w:val="single" w:sz="4" w:space="0" w:color="auto"/>
            </w:tcBorders>
            <w:shd w:val="clear" w:color="auto" w:fill="auto"/>
            <w:vAlign w:val="center"/>
          </w:tcPr>
          <w:p w14:paraId="4D2DE1FA" w14:textId="77777777" w:rsidR="00AC01C1" w:rsidRPr="00036193" w:rsidRDefault="00AC01C1" w:rsidP="00B25599">
            <w:pPr>
              <w:spacing w:after="0" w:line="240" w:lineRule="auto"/>
              <w:ind w:left="-9" w:right="-105"/>
              <w:rPr>
                <w:rFonts w:ascii="Times New Roman" w:eastAsia="Times New Roman" w:hAnsi="Times New Roman" w:cs="Times New Roman"/>
                <w:sz w:val="20"/>
                <w:szCs w:val="20"/>
              </w:rPr>
            </w:pPr>
          </w:p>
        </w:tc>
        <w:tc>
          <w:tcPr>
            <w:tcW w:w="519" w:type="pct"/>
            <w:tcBorders>
              <w:top w:val="single" w:sz="4" w:space="0" w:color="auto"/>
              <w:left w:val="single" w:sz="4" w:space="0" w:color="auto"/>
              <w:bottom w:val="nil"/>
              <w:right w:val="single" w:sz="4" w:space="0" w:color="auto"/>
            </w:tcBorders>
            <w:shd w:val="clear" w:color="auto" w:fill="auto"/>
            <w:vAlign w:val="center"/>
          </w:tcPr>
          <w:p w14:paraId="74430F1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p>
        </w:tc>
        <w:tc>
          <w:tcPr>
            <w:tcW w:w="459" w:type="pct"/>
            <w:tcBorders>
              <w:top w:val="single" w:sz="4" w:space="0" w:color="auto"/>
              <w:left w:val="single" w:sz="4" w:space="0" w:color="auto"/>
              <w:bottom w:val="nil"/>
              <w:right w:val="single" w:sz="4" w:space="0" w:color="auto"/>
            </w:tcBorders>
          </w:tcPr>
          <w:p w14:paraId="4BA67B9C"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p>
        </w:tc>
        <w:tc>
          <w:tcPr>
            <w:tcW w:w="459" w:type="pct"/>
            <w:tcBorders>
              <w:top w:val="single" w:sz="4" w:space="0" w:color="auto"/>
              <w:left w:val="single" w:sz="4" w:space="0" w:color="auto"/>
              <w:bottom w:val="nil"/>
              <w:right w:val="single" w:sz="4" w:space="0" w:color="auto"/>
            </w:tcBorders>
          </w:tcPr>
          <w:p w14:paraId="4CE0E790"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p>
        </w:tc>
      </w:tr>
      <w:tr w:rsidR="003F2E90" w:rsidRPr="00036193" w14:paraId="401182D1" w14:textId="77777777" w:rsidTr="003F2E90">
        <w:tc>
          <w:tcPr>
            <w:tcW w:w="1150" w:type="pct"/>
            <w:tcBorders>
              <w:top w:val="nil"/>
              <w:left w:val="single" w:sz="4" w:space="0" w:color="auto"/>
              <w:bottom w:val="single" w:sz="4" w:space="0" w:color="auto"/>
              <w:right w:val="single" w:sz="4" w:space="0" w:color="auto"/>
            </w:tcBorders>
            <w:shd w:val="clear" w:color="auto" w:fill="auto"/>
            <w:vAlign w:val="center"/>
            <w:hideMark/>
          </w:tcPr>
          <w:p w14:paraId="5367DA92" w14:textId="77777777" w:rsidR="00AC01C1" w:rsidRPr="00036193" w:rsidRDefault="00AC01C1" w:rsidP="00B25599">
            <w:pPr>
              <w:spacing w:after="0" w:line="240" w:lineRule="auto"/>
              <w:ind w:right="-45"/>
              <w:jc w:val="righ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SOE</w:t>
            </w:r>
          </w:p>
        </w:tc>
        <w:tc>
          <w:tcPr>
            <w:tcW w:w="453" w:type="pct"/>
            <w:tcBorders>
              <w:top w:val="nil"/>
              <w:left w:val="single" w:sz="4" w:space="0" w:color="auto"/>
              <w:bottom w:val="single" w:sz="4" w:space="0" w:color="auto"/>
              <w:right w:val="single" w:sz="4" w:space="0" w:color="auto"/>
            </w:tcBorders>
          </w:tcPr>
          <w:p w14:paraId="5238FDF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0.003</w:t>
            </w:r>
          </w:p>
        </w:tc>
        <w:tc>
          <w:tcPr>
            <w:tcW w:w="408" w:type="pct"/>
            <w:tcBorders>
              <w:top w:val="nil"/>
              <w:left w:val="single" w:sz="4" w:space="0" w:color="auto"/>
              <w:bottom w:val="single" w:sz="4" w:space="0" w:color="auto"/>
              <w:right w:val="single" w:sz="4" w:space="0" w:color="auto"/>
            </w:tcBorders>
          </w:tcPr>
          <w:p w14:paraId="6F73A7EC"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0.141</w:t>
            </w:r>
          </w:p>
        </w:tc>
        <w:tc>
          <w:tcPr>
            <w:tcW w:w="575" w:type="pct"/>
            <w:tcBorders>
              <w:top w:val="nil"/>
              <w:left w:val="single" w:sz="4" w:space="0" w:color="auto"/>
              <w:bottom w:val="single" w:sz="4" w:space="0" w:color="auto"/>
              <w:right w:val="single" w:sz="4" w:space="0" w:color="auto"/>
            </w:tcBorders>
          </w:tcPr>
          <w:p w14:paraId="42FDF59B"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0.347***</w:t>
            </w:r>
          </w:p>
        </w:tc>
        <w:tc>
          <w:tcPr>
            <w:tcW w:w="403" w:type="pct"/>
            <w:tcBorders>
              <w:top w:val="nil"/>
              <w:left w:val="single" w:sz="4" w:space="0" w:color="auto"/>
              <w:bottom w:val="single" w:sz="4" w:space="0" w:color="auto"/>
              <w:right w:val="single" w:sz="4" w:space="0" w:color="auto"/>
            </w:tcBorders>
          </w:tcPr>
          <w:p w14:paraId="23C4124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0.132</w:t>
            </w:r>
          </w:p>
        </w:tc>
        <w:tc>
          <w:tcPr>
            <w:tcW w:w="574" w:type="pct"/>
            <w:tcBorders>
              <w:top w:val="nil"/>
              <w:left w:val="single" w:sz="4" w:space="0" w:color="auto"/>
              <w:bottom w:val="single" w:sz="4" w:space="0" w:color="auto"/>
              <w:right w:val="single" w:sz="4" w:space="0" w:color="auto"/>
            </w:tcBorders>
            <w:shd w:val="clear" w:color="auto" w:fill="auto"/>
            <w:noWrap/>
            <w:vAlign w:val="center"/>
          </w:tcPr>
          <w:p w14:paraId="33FEE964"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0.266**</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554C7DD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0.119</w:t>
            </w:r>
          </w:p>
        </w:tc>
        <w:tc>
          <w:tcPr>
            <w:tcW w:w="459" w:type="pct"/>
            <w:tcBorders>
              <w:top w:val="nil"/>
              <w:left w:val="single" w:sz="4" w:space="0" w:color="auto"/>
              <w:bottom w:val="single" w:sz="4" w:space="0" w:color="auto"/>
              <w:right w:val="single" w:sz="4" w:space="0" w:color="auto"/>
            </w:tcBorders>
            <w:vAlign w:val="center"/>
          </w:tcPr>
          <w:p w14:paraId="72856DA2"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0.363</w:t>
            </w:r>
          </w:p>
        </w:tc>
        <w:tc>
          <w:tcPr>
            <w:tcW w:w="459" w:type="pct"/>
            <w:tcBorders>
              <w:top w:val="nil"/>
              <w:left w:val="single" w:sz="4" w:space="0" w:color="auto"/>
              <w:bottom w:val="single" w:sz="4" w:space="0" w:color="auto"/>
              <w:right w:val="single" w:sz="4" w:space="0" w:color="auto"/>
            </w:tcBorders>
            <w:vAlign w:val="center"/>
          </w:tcPr>
          <w:p w14:paraId="03CBE4B4"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0.231</w:t>
            </w:r>
          </w:p>
        </w:tc>
      </w:tr>
      <w:tr w:rsidR="00AC01C1" w:rsidRPr="00036193" w14:paraId="04FAD226"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7AD452F4"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 xml:space="preserve">Log </w:t>
            </w:r>
            <w:proofErr w:type="spellStart"/>
            <w:r w:rsidRPr="00036193">
              <w:rPr>
                <w:rFonts w:ascii="Times New Roman" w:eastAsia="Times New Roman" w:hAnsi="Times New Roman" w:cs="Times New Roman"/>
                <w:sz w:val="20"/>
                <w:szCs w:val="20"/>
              </w:rPr>
              <w:t>Revperworker</w:t>
            </w:r>
            <w:proofErr w:type="spellEnd"/>
          </w:p>
        </w:tc>
        <w:tc>
          <w:tcPr>
            <w:tcW w:w="861" w:type="pct"/>
            <w:gridSpan w:val="2"/>
            <w:tcBorders>
              <w:top w:val="single" w:sz="4" w:space="0" w:color="auto"/>
              <w:left w:val="single" w:sz="4" w:space="0" w:color="auto"/>
              <w:bottom w:val="single" w:sz="4" w:space="0" w:color="auto"/>
              <w:right w:val="single" w:sz="4" w:space="0" w:color="auto"/>
            </w:tcBorders>
          </w:tcPr>
          <w:p w14:paraId="3E7F625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37EC5549"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00909569"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45C07FFC"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4FF00273"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255CB474"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proofErr w:type="spellStart"/>
            <w:r w:rsidRPr="00036193">
              <w:rPr>
                <w:rFonts w:ascii="Times New Roman" w:eastAsia="Times New Roman" w:hAnsi="Times New Roman" w:cs="Times New Roman"/>
                <w:sz w:val="20"/>
                <w:szCs w:val="20"/>
              </w:rPr>
              <w:t>Statecontract</w:t>
            </w:r>
            <w:proofErr w:type="spellEnd"/>
          </w:p>
        </w:tc>
        <w:tc>
          <w:tcPr>
            <w:tcW w:w="861" w:type="pct"/>
            <w:gridSpan w:val="2"/>
            <w:tcBorders>
              <w:top w:val="single" w:sz="4" w:space="0" w:color="auto"/>
              <w:left w:val="single" w:sz="4" w:space="0" w:color="auto"/>
              <w:bottom w:val="single" w:sz="4" w:space="0" w:color="auto"/>
              <w:right w:val="single" w:sz="4" w:space="0" w:color="auto"/>
            </w:tcBorders>
          </w:tcPr>
          <w:p w14:paraId="708385E7"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00B4DED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35D6862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01E52CB0"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46B91528"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459ADD8E"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proofErr w:type="spellStart"/>
            <w:r w:rsidRPr="00036193">
              <w:rPr>
                <w:rFonts w:ascii="Times New Roman" w:eastAsia="Times New Roman" w:hAnsi="Times New Roman" w:cs="Times New Roman"/>
                <w:sz w:val="20"/>
                <w:szCs w:val="20"/>
              </w:rPr>
              <w:t>NFSupport</w:t>
            </w:r>
            <w:proofErr w:type="spellEnd"/>
          </w:p>
        </w:tc>
        <w:tc>
          <w:tcPr>
            <w:tcW w:w="861" w:type="pct"/>
            <w:gridSpan w:val="2"/>
            <w:tcBorders>
              <w:top w:val="single" w:sz="4" w:space="0" w:color="auto"/>
              <w:left w:val="single" w:sz="4" w:space="0" w:color="auto"/>
              <w:bottom w:val="single" w:sz="4" w:space="0" w:color="auto"/>
              <w:right w:val="single" w:sz="4" w:space="0" w:color="auto"/>
            </w:tcBorders>
          </w:tcPr>
          <w:p w14:paraId="61327104"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67269DE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4F83FBD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1561099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2AB50116"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456D87AE"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Competition</w:t>
            </w:r>
          </w:p>
        </w:tc>
        <w:tc>
          <w:tcPr>
            <w:tcW w:w="861" w:type="pct"/>
            <w:gridSpan w:val="2"/>
            <w:tcBorders>
              <w:top w:val="single" w:sz="4" w:space="0" w:color="auto"/>
              <w:left w:val="single" w:sz="4" w:space="0" w:color="auto"/>
              <w:bottom w:val="single" w:sz="4" w:space="0" w:color="auto"/>
              <w:right w:val="single" w:sz="4" w:space="0" w:color="auto"/>
            </w:tcBorders>
          </w:tcPr>
          <w:p w14:paraId="15FB0A7C"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5ACDFC94"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2B5FA930"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0FEA4DB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5B6336E1"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7CF77005"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Union</w:t>
            </w:r>
          </w:p>
        </w:tc>
        <w:tc>
          <w:tcPr>
            <w:tcW w:w="861" w:type="pct"/>
            <w:gridSpan w:val="2"/>
            <w:tcBorders>
              <w:top w:val="single" w:sz="4" w:space="0" w:color="auto"/>
              <w:left w:val="single" w:sz="4" w:space="0" w:color="auto"/>
              <w:bottom w:val="single" w:sz="4" w:space="0" w:color="auto"/>
              <w:right w:val="single" w:sz="4" w:space="0" w:color="auto"/>
            </w:tcBorders>
          </w:tcPr>
          <w:p w14:paraId="3B91778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56A2B4A1"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3AF86EB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67BD11D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62818D0D"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83D4FA6"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Firm size</w:t>
            </w:r>
          </w:p>
        </w:tc>
        <w:tc>
          <w:tcPr>
            <w:tcW w:w="861" w:type="pct"/>
            <w:gridSpan w:val="2"/>
            <w:tcBorders>
              <w:top w:val="single" w:sz="4" w:space="0" w:color="auto"/>
              <w:left w:val="single" w:sz="4" w:space="0" w:color="auto"/>
              <w:bottom w:val="single" w:sz="4" w:space="0" w:color="auto"/>
              <w:right w:val="single" w:sz="4" w:space="0" w:color="auto"/>
            </w:tcBorders>
          </w:tcPr>
          <w:p w14:paraId="33255B1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3B243548"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771CE04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29D4C47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3250038F"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1F0D0FAE"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Manager</w:t>
            </w:r>
            <w:r>
              <w:rPr>
                <w:rFonts w:ascii="Times New Roman" w:eastAsia="Times New Roman" w:hAnsi="Times New Roman" w:cs="Times New Roman"/>
                <w:sz w:val="20"/>
                <w:szCs w:val="20"/>
              </w:rPr>
              <w:t xml:space="preserve"> </w:t>
            </w:r>
            <w:r w:rsidRPr="00036193">
              <w:rPr>
                <w:rFonts w:ascii="Times New Roman" w:eastAsia="Times New Roman" w:hAnsi="Times New Roman" w:cs="Times New Roman"/>
                <w:sz w:val="20"/>
                <w:szCs w:val="20"/>
              </w:rPr>
              <w:t>share</w:t>
            </w:r>
          </w:p>
        </w:tc>
        <w:tc>
          <w:tcPr>
            <w:tcW w:w="861" w:type="pct"/>
            <w:gridSpan w:val="2"/>
            <w:tcBorders>
              <w:top w:val="single" w:sz="4" w:space="0" w:color="auto"/>
              <w:left w:val="single" w:sz="4" w:space="0" w:color="auto"/>
              <w:bottom w:val="single" w:sz="4" w:space="0" w:color="auto"/>
              <w:right w:val="single" w:sz="4" w:space="0" w:color="auto"/>
            </w:tcBorders>
          </w:tcPr>
          <w:p w14:paraId="531F458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71BB122C"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30B522CA"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30045C27"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25749FEB"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42A5520D"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Tertiary</w:t>
            </w:r>
            <w:r>
              <w:rPr>
                <w:rFonts w:ascii="Times New Roman" w:eastAsia="Times New Roman" w:hAnsi="Times New Roman" w:cs="Times New Roman"/>
                <w:sz w:val="20"/>
                <w:szCs w:val="20"/>
              </w:rPr>
              <w:t xml:space="preserve"> </w:t>
            </w:r>
            <w:r w:rsidRPr="00036193">
              <w:rPr>
                <w:rFonts w:ascii="Times New Roman" w:eastAsia="Times New Roman" w:hAnsi="Times New Roman" w:cs="Times New Roman"/>
                <w:sz w:val="20"/>
                <w:szCs w:val="20"/>
              </w:rPr>
              <w:t>share</w:t>
            </w:r>
          </w:p>
        </w:tc>
        <w:tc>
          <w:tcPr>
            <w:tcW w:w="861" w:type="pct"/>
            <w:gridSpan w:val="2"/>
            <w:tcBorders>
              <w:top w:val="single" w:sz="4" w:space="0" w:color="auto"/>
              <w:left w:val="single" w:sz="4" w:space="0" w:color="auto"/>
              <w:bottom w:val="single" w:sz="4" w:space="0" w:color="auto"/>
              <w:right w:val="single" w:sz="4" w:space="0" w:color="auto"/>
            </w:tcBorders>
          </w:tcPr>
          <w:p w14:paraId="5B49930A"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78" w:type="pct"/>
            <w:gridSpan w:val="2"/>
            <w:tcBorders>
              <w:top w:val="single" w:sz="4" w:space="0" w:color="auto"/>
              <w:left w:val="single" w:sz="4" w:space="0" w:color="auto"/>
              <w:bottom w:val="single" w:sz="4" w:space="0" w:color="auto"/>
              <w:right w:val="single" w:sz="4" w:space="0" w:color="auto"/>
            </w:tcBorders>
          </w:tcPr>
          <w:p w14:paraId="309ACA10"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tcPr>
          <w:p w14:paraId="3D46A31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918" w:type="pct"/>
            <w:gridSpan w:val="2"/>
            <w:tcBorders>
              <w:top w:val="single" w:sz="4" w:space="0" w:color="auto"/>
              <w:left w:val="single" w:sz="4" w:space="0" w:color="auto"/>
              <w:bottom w:val="single" w:sz="4" w:space="0" w:color="auto"/>
              <w:right w:val="single" w:sz="4" w:space="0" w:color="auto"/>
            </w:tcBorders>
          </w:tcPr>
          <w:p w14:paraId="59EAF2E2"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4ACF649C"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627CFB8"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Constant</w:t>
            </w:r>
          </w:p>
        </w:tc>
        <w:tc>
          <w:tcPr>
            <w:tcW w:w="861" w:type="pct"/>
            <w:gridSpan w:val="2"/>
            <w:tcBorders>
              <w:top w:val="single" w:sz="4" w:space="0" w:color="auto"/>
              <w:left w:val="single" w:sz="4" w:space="0" w:color="auto"/>
              <w:bottom w:val="single" w:sz="4" w:space="0" w:color="auto"/>
              <w:right w:val="single" w:sz="4" w:space="0" w:color="auto"/>
            </w:tcBorders>
          </w:tcPr>
          <w:p w14:paraId="4058750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10.011***</w:t>
            </w:r>
          </w:p>
        </w:tc>
        <w:tc>
          <w:tcPr>
            <w:tcW w:w="978" w:type="pct"/>
            <w:gridSpan w:val="2"/>
            <w:tcBorders>
              <w:top w:val="single" w:sz="4" w:space="0" w:color="auto"/>
              <w:left w:val="single" w:sz="4" w:space="0" w:color="auto"/>
              <w:bottom w:val="single" w:sz="4" w:space="0" w:color="auto"/>
              <w:right w:val="single" w:sz="4" w:space="0" w:color="auto"/>
            </w:tcBorders>
          </w:tcPr>
          <w:p w14:paraId="1C8F37D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9.287***</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5DC47D"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10.203***</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5147CEA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8.737***</w:t>
            </w:r>
          </w:p>
        </w:tc>
      </w:tr>
      <w:tr w:rsidR="00AC01C1" w:rsidRPr="00036193" w14:paraId="28572920"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11539841"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N</w:t>
            </w:r>
          </w:p>
        </w:tc>
        <w:tc>
          <w:tcPr>
            <w:tcW w:w="861" w:type="pct"/>
            <w:gridSpan w:val="2"/>
            <w:tcBorders>
              <w:top w:val="single" w:sz="4" w:space="0" w:color="auto"/>
              <w:left w:val="single" w:sz="4" w:space="0" w:color="auto"/>
              <w:bottom w:val="single" w:sz="4" w:space="0" w:color="auto"/>
              <w:right w:val="single" w:sz="4" w:space="0" w:color="auto"/>
            </w:tcBorders>
          </w:tcPr>
          <w:p w14:paraId="4F04B87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423</w:t>
            </w:r>
          </w:p>
        </w:tc>
        <w:tc>
          <w:tcPr>
            <w:tcW w:w="978" w:type="pct"/>
            <w:gridSpan w:val="2"/>
            <w:tcBorders>
              <w:top w:val="single" w:sz="4" w:space="0" w:color="auto"/>
              <w:left w:val="single" w:sz="4" w:space="0" w:color="auto"/>
              <w:bottom w:val="single" w:sz="4" w:space="0" w:color="auto"/>
              <w:right w:val="single" w:sz="4" w:space="0" w:color="auto"/>
            </w:tcBorders>
          </w:tcPr>
          <w:p w14:paraId="0324EE8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105</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DF168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59</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1B6FBA9F"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46</w:t>
            </w:r>
          </w:p>
        </w:tc>
      </w:tr>
      <w:tr w:rsidR="00AC01C1" w:rsidRPr="00036193" w14:paraId="06B62FF4" w14:textId="77777777" w:rsidTr="003F2E90">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32D16F6B"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Adjusted R</w:t>
            </w:r>
            <w:r w:rsidRPr="00036193">
              <w:rPr>
                <w:rFonts w:ascii="Times New Roman" w:eastAsia="Times New Roman" w:hAnsi="Times New Roman" w:cs="Times New Roman"/>
                <w:sz w:val="20"/>
                <w:szCs w:val="20"/>
                <w:vertAlign w:val="superscript"/>
              </w:rPr>
              <w:t>2</w:t>
            </w:r>
          </w:p>
        </w:tc>
        <w:tc>
          <w:tcPr>
            <w:tcW w:w="861" w:type="pct"/>
            <w:gridSpan w:val="2"/>
            <w:tcBorders>
              <w:top w:val="single" w:sz="4" w:space="0" w:color="auto"/>
              <w:left w:val="single" w:sz="4" w:space="0" w:color="auto"/>
              <w:bottom w:val="single" w:sz="4" w:space="0" w:color="auto"/>
              <w:right w:val="single" w:sz="4" w:space="0" w:color="auto"/>
            </w:tcBorders>
          </w:tcPr>
          <w:p w14:paraId="27AC1797"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0.124</w:t>
            </w:r>
          </w:p>
        </w:tc>
        <w:tc>
          <w:tcPr>
            <w:tcW w:w="978" w:type="pct"/>
            <w:gridSpan w:val="2"/>
            <w:tcBorders>
              <w:top w:val="single" w:sz="4" w:space="0" w:color="auto"/>
              <w:left w:val="single" w:sz="4" w:space="0" w:color="auto"/>
              <w:bottom w:val="single" w:sz="4" w:space="0" w:color="auto"/>
              <w:right w:val="single" w:sz="4" w:space="0" w:color="auto"/>
            </w:tcBorders>
          </w:tcPr>
          <w:p w14:paraId="1011CCC8"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0.249</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E9CEBB"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0.318</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45AC86A5"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0.423</w:t>
            </w:r>
          </w:p>
        </w:tc>
      </w:tr>
    </w:tbl>
    <w:p w14:paraId="204068EE" w14:textId="443714BB" w:rsidR="00AC01C1" w:rsidRDefault="00AC01C1" w:rsidP="006B6F29">
      <w:pPr>
        <w:spacing w:after="0" w:line="240" w:lineRule="auto"/>
        <w:jc w:val="left"/>
        <w:rPr>
          <w:rFonts w:cstheme="minorHAnsi"/>
          <w:iCs/>
          <w:color w:val="000000" w:themeColor="text1"/>
        </w:rPr>
      </w:pPr>
    </w:p>
    <w:p w14:paraId="1023123E" w14:textId="4BD1E701" w:rsidR="00F6477D" w:rsidRPr="006B6F29" w:rsidRDefault="00F6477D" w:rsidP="006B6F29">
      <w:pPr>
        <w:spacing w:after="0" w:line="240" w:lineRule="auto"/>
        <w:jc w:val="left"/>
        <w:rPr>
          <w:rFonts w:cstheme="minorHAnsi"/>
          <w:i/>
          <w:color w:val="000000" w:themeColor="text1"/>
        </w:rPr>
      </w:pPr>
      <w:r w:rsidRPr="006B6F29">
        <w:rPr>
          <w:rFonts w:cstheme="minorHAnsi"/>
          <w:i/>
          <w:color w:val="000000" w:themeColor="text1"/>
        </w:rPr>
        <w:tab/>
      </w:r>
      <w:r w:rsidR="006B6F29" w:rsidRPr="006B6F29">
        <w:rPr>
          <w:rFonts w:cstheme="minorHAnsi"/>
          <w:i/>
          <w:color w:val="000000" w:themeColor="text1"/>
        </w:rPr>
        <w:t xml:space="preserve">Variable </w:t>
      </w:r>
      <w:r w:rsidRPr="006B6F29">
        <w:rPr>
          <w:rFonts w:cstheme="minorHAnsi"/>
          <w:i/>
          <w:color w:val="000000" w:themeColor="text1"/>
        </w:rPr>
        <w:t>definitions</w:t>
      </w:r>
      <w:r w:rsidR="006B6F29" w:rsidRPr="006B6F29">
        <w:rPr>
          <w:rFonts w:cstheme="minorHAnsi"/>
          <w:i/>
          <w:color w:val="000000" w:themeColor="text1"/>
        </w:rPr>
        <w:t xml:space="preserve"> and measures</w:t>
      </w:r>
      <w:r w:rsidRPr="006B6F29">
        <w:rPr>
          <w:rFonts w:cstheme="minorHAnsi"/>
          <w:i/>
          <w:color w:val="000000" w:themeColor="text1"/>
        </w:rPr>
        <w:t>:</w:t>
      </w:r>
    </w:p>
    <w:p w14:paraId="5029A790" w14:textId="2625AE3F" w:rsidR="00F6477D" w:rsidRDefault="006B6F29" w:rsidP="006B6F29">
      <w:pPr>
        <w:spacing w:after="0" w:line="240" w:lineRule="auto"/>
        <w:jc w:val="left"/>
      </w:pPr>
      <w:r>
        <w:rPr>
          <w:rFonts w:cstheme="minorHAnsi"/>
          <w:iCs/>
          <w:color w:val="000000" w:themeColor="text1"/>
        </w:rPr>
        <w:tab/>
      </w:r>
      <w:r w:rsidR="00F6477D">
        <w:rPr>
          <w:rFonts w:cstheme="minorHAnsi"/>
          <w:iCs/>
          <w:color w:val="000000" w:themeColor="text1"/>
        </w:rPr>
        <w:tab/>
        <w:t>Subsidy</w:t>
      </w:r>
      <w:r>
        <w:rPr>
          <w:rFonts w:cstheme="minorHAnsi"/>
          <w:iCs/>
          <w:color w:val="000000" w:themeColor="text1"/>
        </w:rPr>
        <w:t xml:space="preserve">: </w:t>
      </w:r>
      <w:r w:rsidR="00120FC1">
        <w:rPr>
          <w:rFonts w:cstheme="minorHAnsi"/>
          <w:iCs/>
          <w:color w:val="000000" w:themeColor="text1"/>
        </w:rPr>
        <w:t xml:space="preserve">Received financial support in last 12 months </w:t>
      </w:r>
    </w:p>
    <w:p w14:paraId="48660730" w14:textId="38101474" w:rsidR="006B6F29" w:rsidRDefault="006B6F29" w:rsidP="006B6F29">
      <w:pPr>
        <w:spacing w:after="0" w:line="240" w:lineRule="auto"/>
        <w:jc w:val="left"/>
      </w:pPr>
      <w:r>
        <w:tab/>
      </w:r>
      <w:r>
        <w:tab/>
      </w:r>
      <w:proofErr w:type="spellStart"/>
      <w:r>
        <w:t>NFSupport</w:t>
      </w:r>
      <w:proofErr w:type="spellEnd"/>
      <w:r>
        <w:t xml:space="preserve">: </w:t>
      </w:r>
      <w:r w:rsidR="00120FC1">
        <w:rPr>
          <w:rFonts w:cstheme="minorHAnsi"/>
          <w:iCs/>
          <w:color w:val="000000" w:themeColor="text1"/>
        </w:rPr>
        <w:t>Received non-financial support in last 12 months</w:t>
      </w:r>
      <w:r>
        <w:br/>
      </w:r>
      <w:r>
        <w:tab/>
      </w:r>
      <w:r>
        <w:tab/>
      </w:r>
      <w:proofErr w:type="spellStart"/>
      <w:r>
        <w:t>Statecontract</w:t>
      </w:r>
      <w:proofErr w:type="spellEnd"/>
      <w:r>
        <w:t xml:space="preserve">: </w:t>
      </w:r>
      <w:r w:rsidR="00120FC1">
        <w:rPr>
          <w:rFonts w:cstheme="minorHAnsi"/>
          <w:iCs/>
          <w:color w:val="000000" w:themeColor="text1"/>
        </w:rPr>
        <w:t xml:space="preserve">Received government contract in last 12 months </w:t>
      </w:r>
    </w:p>
    <w:p w14:paraId="5BED823A" w14:textId="3171D38D" w:rsidR="00120FC1" w:rsidRDefault="00120FC1" w:rsidP="006B6F29">
      <w:pPr>
        <w:spacing w:after="0" w:line="240" w:lineRule="auto"/>
        <w:jc w:val="left"/>
      </w:pPr>
      <w:r>
        <w:tab/>
      </w:r>
      <w:r>
        <w:tab/>
      </w:r>
      <w:r w:rsidR="00473D3F">
        <w:t>Competition: Prices of main products protected from domestic competition</w:t>
      </w:r>
    </w:p>
    <w:p w14:paraId="76CD8DAE" w14:textId="54CD651B" w:rsidR="00473D3F" w:rsidRDefault="00473D3F" w:rsidP="006B6F29">
      <w:pPr>
        <w:spacing w:after="0" w:line="240" w:lineRule="auto"/>
        <w:jc w:val="left"/>
      </w:pPr>
      <w:r>
        <w:tab/>
      </w:r>
      <w:r>
        <w:tab/>
        <w:t>Union: Firm is member of a business union</w:t>
      </w:r>
    </w:p>
    <w:p w14:paraId="66ACA1BC" w14:textId="73506105" w:rsidR="00473D3F" w:rsidRDefault="00473D3F" w:rsidP="006B6F29">
      <w:pPr>
        <w:spacing w:after="0" w:line="240" w:lineRule="auto"/>
        <w:jc w:val="left"/>
      </w:pPr>
      <w:r>
        <w:tab/>
      </w:r>
      <w:r>
        <w:tab/>
        <w:t xml:space="preserve">Manager share: Share of managers in total employee population </w:t>
      </w:r>
    </w:p>
    <w:p w14:paraId="6DA6F227" w14:textId="416ED8BA" w:rsidR="00473D3F" w:rsidRDefault="00473D3F" w:rsidP="006B6F29">
      <w:pPr>
        <w:spacing w:after="0" w:line="240" w:lineRule="auto"/>
        <w:jc w:val="left"/>
      </w:pPr>
      <w:r>
        <w:tab/>
      </w:r>
      <w:r>
        <w:tab/>
        <w:t xml:space="preserve">Tertiary share: Share of employees with tertiary </w:t>
      </w:r>
      <w:r w:rsidR="00033381">
        <w:t xml:space="preserve">/ higher </w:t>
      </w:r>
      <w:r>
        <w:t xml:space="preserve">education </w:t>
      </w:r>
    </w:p>
    <w:p w14:paraId="13A2E203" w14:textId="77777777" w:rsidR="006B6F29" w:rsidRDefault="006B6F29" w:rsidP="006B6F29">
      <w:pPr>
        <w:spacing w:after="0" w:line="240" w:lineRule="auto"/>
        <w:jc w:val="left"/>
      </w:pPr>
    </w:p>
    <w:p w14:paraId="595F7FEF" w14:textId="23B49502" w:rsidR="006B6F29" w:rsidRPr="001849D5" w:rsidRDefault="006B6F29" w:rsidP="006B6F29">
      <w:pPr>
        <w:spacing w:after="0" w:line="240" w:lineRule="auto"/>
        <w:jc w:val="left"/>
        <w:rPr>
          <w:rFonts w:cstheme="minorHAnsi"/>
          <w:iCs/>
          <w:color w:val="000000" w:themeColor="text1"/>
        </w:rPr>
      </w:pPr>
      <w:r>
        <w:rPr>
          <w:rFonts w:cstheme="minorHAnsi"/>
          <w:iCs/>
          <w:color w:val="000000" w:themeColor="text1"/>
        </w:rPr>
        <w:tab/>
      </w:r>
    </w:p>
    <w:p w14:paraId="39F35705" w14:textId="77777777" w:rsidR="00033381" w:rsidRDefault="00033381">
      <w:pPr>
        <w:spacing w:after="160" w:line="259" w:lineRule="auto"/>
        <w:jc w:val="left"/>
        <w:rPr>
          <w:rFonts w:cstheme="minorHAnsi"/>
          <w:b/>
          <w:bCs/>
          <w:iCs/>
          <w:color w:val="000000" w:themeColor="text1"/>
        </w:rPr>
      </w:pPr>
      <w:bookmarkStart w:id="147" w:name="_Hlk10984588"/>
      <w:r>
        <w:rPr>
          <w:rFonts w:cstheme="minorHAnsi"/>
          <w:b/>
          <w:bCs/>
          <w:iCs/>
          <w:color w:val="000000" w:themeColor="text1"/>
        </w:rPr>
        <w:br w:type="page"/>
      </w:r>
    </w:p>
    <w:p w14:paraId="1088BAE9" w14:textId="4AB918A5" w:rsidR="006D1D1A" w:rsidRDefault="00AC01C1" w:rsidP="00AC01C1">
      <w:pPr>
        <w:pStyle w:val="ListParagraph"/>
        <w:numPr>
          <w:ilvl w:val="0"/>
          <w:numId w:val="29"/>
        </w:numPr>
        <w:spacing w:after="0" w:line="240" w:lineRule="auto"/>
        <w:jc w:val="left"/>
        <w:rPr>
          <w:rFonts w:cstheme="minorHAnsi"/>
          <w:b/>
          <w:bCs/>
          <w:iCs/>
          <w:color w:val="000000" w:themeColor="text1"/>
          <w:sz w:val="22"/>
        </w:rPr>
      </w:pPr>
      <w:r w:rsidRPr="001E22D0">
        <w:rPr>
          <w:rFonts w:cstheme="minorHAnsi"/>
          <w:b/>
          <w:bCs/>
          <w:iCs/>
          <w:color w:val="000000" w:themeColor="text1"/>
          <w:sz w:val="22"/>
        </w:rPr>
        <w:t>Marginal effects, logit regression correlating subsidies and firms’ labor productivity</w:t>
      </w:r>
      <w:r>
        <w:rPr>
          <w:rFonts w:cstheme="minorHAnsi"/>
          <w:b/>
          <w:bCs/>
          <w:iCs/>
          <w:color w:val="000000" w:themeColor="text1"/>
          <w:sz w:val="22"/>
        </w:rPr>
        <w:t xml:space="preserve">. </w:t>
      </w:r>
    </w:p>
    <w:p w14:paraId="6206343F" w14:textId="6EA379E8" w:rsidR="00AC01C1" w:rsidRPr="001E22D0" w:rsidRDefault="00AC01C1" w:rsidP="006D1D1A">
      <w:pPr>
        <w:pStyle w:val="ListParagraph"/>
        <w:spacing w:after="0" w:line="240" w:lineRule="auto"/>
        <w:jc w:val="left"/>
        <w:rPr>
          <w:rFonts w:cstheme="minorHAnsi"/>
          <w:b/>
          <w:bCs/>
          <w:iCs/>
          <w:color w:val="000000" w:themeColor="text1"/>
          <w:sz w:val="22"/>
        </w:rPr>
      </w:pPr>
      <w:r w:rsidRPr="0012515C">
        <w:rPr>
          <w:rFonts w:cstheme="minorHAnsi"/>
          <w:i/>
          <w:color w:val="000000" w:themeColor="text1"/>
          <w:sz w:val="22"/>
        </w:rPr>
        <w:t xml:space="preserve">Source: </w:t>
      </w:r>
      <w:proofErr w:type="spellStart"/>
      <w:r w:rsidRPr="0012515C">
        <w:rPr>
          <w:rFonts w:cstheme="minorHAnsi"/>
          <w:i/>
          <w:color w:val="000000" w:themeColor="text1"/>
          <w:sz w:val="22"/>
        </w:rPr>
        <w:t>Rufige</w:t>
      </w:r>
      <w:proofErr w:type="spellEnd"/>
    </w:p>
    <w:bookmarkEnd w:id="147"/>
    <w:p w14:paraId="230F4129" w14:textId="77777777" w:rsidR="00AC01C1" w:rsidRDefault="00AC01C1" w:rsidP="00AC01C1">
      <w:pPr>
        <w:spacing w:after="0" w:line="240" w:lineRule="auto"/>
        <w:contextualSpacing/>
        <w:jc w:val="left"/>
        <w:rPr>
          <w:lang w:eastAsia="en-US"/>
        </w:rPr>
      </w:pPr>
    </w:p>
    <w:tbl>
      <w:tblPr>
        <w:tblW w:w="3595" w:type="pct"/>
        <w:tblInd w:w="715" w:type="dxa"/>
        <w:tblLayout w:type="fixed"/>
        <w:tblLook w:val="04A0" w:firstRow="1" w:lastRow="0" w:firstColumn="1" w:lastColumn="0" w:noHBand="0" w:noVBand="1"/>
      </w:tblPr>
      <w:tblGrid>
        <w:gridCol w:w="2160"/>
        <w:gridCol w:w="1260"/>
        <w:gridCol w:w="1083"/>
        <w:gridCol w:w="1169"/>
        <w:gridCol w:w="1079"/>
      </w:tblGrid>
      <w:tr w:rsidR="00AC01C1" w:rsidRPr="00036193" w14:paraId="489D871D" w14:textId="77777777" w:rsidTr="00033381">
        <w:tc>
          <w:tcPr>
            <w:tcW w:w="1600" w:type="pct"/>
            <w:tcBorders>
              <w:top w:val="single" w:sz="4" w:space="0" w:color="auto"/>
              <w:left w:val="single" w:sz="4" w:space="0" w:color="auto"/>
              <w:right w:val="single" w:sz="4" w:space="0" w:color="auto"/>
            </w:tcBorders>
            <w:shd w:val="clear" w:color="auto" w:fill="auto"/>
            <w:vAlign w:val="center"/>
          </w:tcPr>
          <w:p w14:paraId="1B43876E" w14:textId="77777777" w:rsidR="00AC01C1" w:rsidRPr="00036193" w:rsidRDefault="00AC01C1" w:rsidP="00B25599">
            <w:pPr>
              <w:spacing w:after="0" w:line="240" w:lineRule="auto"/>
              <w:ind w:right="-45"/>
              <w:rPr>
                <w:rFonts w:ascii="Times New Roman" w:eastAsia="Times New Roman" w:hAnsi="Times New Roman" w:cs="Times New Roman"/>
                <w:sz w:val="20"/>
                <w:szCs w:val="20"/>
              </w:rPr>
            </w:pPr>
          </w:p>
        </w:tc>
        <w:tc>
          <w:tcPr>
            <w:tcW w:w="3400" w:type="pct"/>
            <w:gridSpan w:val="4"/>
            <w:tcBorders>
              <w:top w:val="single" w:sz="4" w:space="0" w:color="auto"/>
              <w:left w:val="single" w:sz="4" w:space="0" w:color="auto"/>
              <w:right w:val="single" w:sz="4" w:space="0" w:color="auto"/>
            </w:tcBorders>
          </w:tcPr>
          <w:p w14:paraId="08AF5005" w14:textId="51A951C7" w:rsidR="00AC01C1" w:rsidRPr="00032F3B" w:rsidRDefault="00AC01C1" w:rsidP="00B25599">
            <w:pPr>
              <w:spacing w:after="0" w:line="240" w:lineRule="auto"/>
              <w:jc w:val="center"/>
              <w:rPr>
                <w:rFonts w:ascii="Times New Roman" w:eastAsia="Times New Roman" w:hAnsi="Times New Roman" w:cs="Times New Roman"/>
                <w:b/>
                <w:bCs/>
                <w:sz w:val="20"/>
                <w:szCs w:val="20"/>
              </w:rPr>
            </w:pPr>
            <w:r w:rsidRPr="00032F3B">
              <w:rPr>
                <w:rFonts w:ascii="Times New Roman" w:eastAsia="Times New Roman" w:hAnsi="Times New Roman" w:cs="Times New Roman"/>
                <w:b/>
                <w:bCs/>
                <w:sz w:val="20"/>
                <w:szCs w:val="20"/>
              </w:rPr>
              <w:t>Dependent variable: Pr</w:t>
            </w:r>
            <w:r>
              <w:rPr>
                <w:rFonts w:ascii="Times New Roman" w:eastAsia="Times New Roman" w:hAnsi="Times New Roman" w:cs="Times New Roman"/>
                <w:b/>
                <w:bCs/>
                <w:sz w:val="20"/>
                <w:szCs w:val="20"/>
              </w:rPr>
              <w:t>ob.</w:t>
            </w:r>
            <w:r w:rsidRPr="00032F3B">
              <w:rPr>
                <w:rFonts w:ascii="Times New Roman" w:eastAsia="Times New Roman" w:hAnsi="Times New Roman" w:cs="Times New Roman"/>
                <w:b/>
                <w:bCs/>
                <w:sz w:val="20"/>
                <w:szCs w:val="20"/>
              </w:rPr>
              <w:t xml:space="preserve"> </w:t>
            </w:r>
            <w:r w:rsidR="00473D3F">
              <w:rPr>
                <w:rFonts w:ascii="Times New Roman" w:eastAsia="Times New Roman" w:hAnsi="Times New Roman" w:cs="Times New Roman"/>
                <w:b/>
                <w:bCs/>
                <w:sz w:val="20"/>
                <w:szCs w:val="20"/>
              </w:rPr>
              <w:t>O</w:t>
            </w:r>
            <w:r>
              <w:rPr>
                <w:rFonts w:ascii="Times New Roman" w:eastAsia="Times New Roman" w:hAnsi="Times New Roman" w:cs="Times New Roman"/>
                <w:b/>
                <w:bCs/>
                <w:sz w:val="20"/>
                <w:szCs w:val="20"/>
              </w:rPr>
              <w:t xml:space="preserve">f </w:t>
            </w:r>
            <w:r w:rsidRPr="00032F3B">
              <w:rPr>
                <w:rFonts w:ascii="Times New Roman" w:eastAsia="Times New Roman" w:hAnsi="Times New Roman" w:cs="Times New Roman"/>
                <w:b/>
                <w:bCs/>
                <w:sz w:val="20"/>
                <w:szCs w:val="20"/>
              </w:rPr>
              <w:t>subsidy</w:t>
            </w:r>
          </w:p>
        </w:tc>
      </w:tr>
      <w:tr w:rsidR="00AC01C1" w:rsidRPr="00036193" w14:paraId="31AA93C0" w14:textId="77777777" w:rsidTr="00033381">
        <w:tc>
          <w:tcPr>
            <w:tcW w:w="1600" w:type="pct"/>
            <w:tcBorders>
              <w:top w:val="single" w:sz="4" w:space="0" w:color="auto"/>
              <w:left w:val="single" w:sz="4" w:space="0" w:color="auto"/>
              <w:right w:val="single" w:sz="4" w:space="0" w:color="auto"/>
            </w:tcBorders>
            <w:shd w:val="clear" w:color="auto" w:fill="auto"/>
            <w:vAlign w:val="center"/>
            <w:hideMark/>
          </w:tcPr>
          <w:p w14:paraId="5E553F52" w14:textId="77777777" w:rsidR="00AC01C1" w:rsidRPr="00036193" w:rsidRDefault="00AC01C1" w:rsidP="00B25599">
            <w:pPr>
              <w:spacing w:after="0" w:line="240" w:lineRule="auto"/>
              <w:ind w:right="-45"/>
              <w:rPr>
                <w:rFonts w:ascii="Times New Roman" w:eastAsia="Times New Roman" w:hAnsi="Times New Roman" w:cs="Times New Roman"/>
                <w:sz w:val="20"/>
                <w:szCs w:val="20"/>
              </w:rPr>
            </w:pPr>
          </w:p>
        </w:tc>
        <w:tc>
          <w:tcPr>
            <w:tcW w:w="1735" w:type="pct"/>
            <w:gridSpan w:val="2"/>
            <w:tcBorders>
              <w:top w:val="single" w:sz="4" w:space="0" w:color="auto"/>
              <w:left w:val="single" w:sz="4" w:space="0" w:color="auto"/>
              <w:right w:val="single" w:sz="4" w:space="0" w:color="auto"/>
            </w:tcBorders>
          </w:tcPr>
          <w:p w14:paraId="076B1A30"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Non-SOE</w:t>
            </w:r>
          </w:p>
        </w:tc>
        <w:tc>
          <w:tcPr>
            <w:tcW w:w="1665" w:type="pct"/>
            <w:gridSpan w:val="2"/>
            <w:tcBorders>
              <w:top w:val="single" w:sz="4" w:space="0" w:color="auto"/>
              <w:left w:val="single" w:sz="4" w:space="0" w:color="auto"/>
              <w:right w:val="single" w:sz="4" w:space="0" w:color="auto"/>
            </w:tcBorders>
          </w:tcPr>
          <w:p w14:paraId="32D85E68"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SOE</w:t>
            </w:r>
          </w:p>
        </w:tc>
      </w:tr>
      <w:tr w:rsidR="00473D3F" w:rsidRPr="00036193" w14:paraId="2CF478E3" w14:textId="77777777" w:rsidTr="00033381">
        <w:tc>
          <w:tcPr>
            <w:tcW w:w="1600" w:type="pct"/>
            <w:tcBorders>
              <w:top w:val="single" w:sz="4" w:space="0" w:color="auto"/>
              <w:left w:val="single" w:sz="4" w:space="0" w:color="auto"/>
              <w:right w:val="single" w:sz="4" w:space="0" w:color="auto"/>
            </w:tcBorders>
            <w:shd w:val="clear" w:color="auto" w:fill="auto"/>
            <w:vAlign w:val="center"/>
          </w:tcPr>
          <w:p w14:paraId="20D3F440" w14:textId="77777777" w:rsidR="00473D3F" w:rsidRPr="00036193" w:rsidRDefault="00473D3F" w:rsidP="00B25599">
            <w:pPr>
              <w:spacing w:after="0" w:line="240" w:lineRule="auto"/>
              <w:ind w:right="-45"/>
              <w:rPr>
                <w:rFonts w:ascii="Times New Roman" w:eastAsia="Times New Roman" w:hAnsi="Times New Roman" w:cs="Times New Roman"/>
                <w:sz w:val="20"/>
                <w:szCs w:val="20"/>
              </w:rPr>
            </w:pPr>
          </w:p>
        </w:tc>
        <w:tc>
          <w:tcPr>
            <w:tcW w:w="1735" w:type="pct"/>
            <w:gridSpan w:val="2"/>
            <w:tcBorders>
              <w:top w:val="single" w:sz="4" w:space="0" w:color="auto"/>
              <w:left w:val="single" w:sz="4" w:space="0" w:color="auto"/>
              <w:right w:val="single" w:sz="4" w:space="0" w:color="auto"/>
            </w:tcBorders>
          </w:tcPr>
          <w:p w14:paraId="7E4E0367" w14:textId="77777777" w:rsidR="00473D3F" w:rsidRDefault="00473D3F" w:rsidP="00B25599">
            <w:pPr>
              <w:spacing w:after="0" w:line="240" w:lineRule="auto"/>
              <w:jc w:val="center"/>
              <w:rPr>
                <w:rFonts w:ascii="Times New Roman" w:eastAsia="Times New Roman" w:hAnsi="Times New Roman" w:cs="Times New Roman"/>
                <w:sz w:val="20"/>
                <w:szCs w:val="20"/>
              </w:rPr>
            </w:pPr>
          </w:p>
        </w:tc>
        <w:tc>
          <w:tcPr>
            <w:tcW w:w="1665" w:type="pct"/>
            <w:gridSpan w:val="2"/>
            <w:tcBorders>
              <w:top w:val="single" w:sz="4" w:space="0" w:color="auto"/>
              <w:left w:val="single" w:sz="4" w:space="0" w:color="auto"/>
              <w:right w:val="single" w:sz="4" w:space="0" w:color="auto"/>
            </w:tcBorders>
          </w:tcPr>
          <w:p w14:paraId="11E5838D" w14:textId="77777777" w:rsidR="00473D3F" w:rsidRDefault="00473D3F" w:rsidP="00B25599">
            <w:pPr>
              <w:spacing w:after="0" w:line="240" w:lineRule="auto"/>
              <w:jc w:val="center"/>
              <w:rPr>
                <w:rFonts w:ascii="Times New Roman" w:eastAsia="Times New Roman" w:hAnsi="Times New Roman" w:cs="Times New Roman"/>
                <w:sz w:val="20"/>
                <w:szCs w:val="20"/>
              </w:rPr>
            </w:pPr>
          </w:p>
        </w:tc>
      </w:tr>
      <w:tr w:rsidR="00AC01C1" w:rsidRPr="00036193" w14:paraId="09A110EA" w14:textId="77777777" w:rsidTr="00033381">
        <w:tc>
          <w:tcPr>
            <w:tcW w:w="1600" w:type="pct"/>
            <w:tcBorders>
              <w:top w:val="nil"/>
              <w:left w:val="single" w:sz="4" w:space="0" w:color="auto"/>
              <w:bottom w:val="single" w:sz="4" w:space="0" w:color="auto"/>
              <w:right w:val="single" w:sz="4" w:space="0" w:color="auto"/>
            </w:tcBorders>
            <w:shd w:val="clear" w:color="auto" w:fill="auto"/>
            <w:vAlign w:val="center"/>
            <w:hideMark/>
          </w:tcPr>
          <w:p w14:paraId="77F2E9AA" w14:textId="77777777" w:rsidR="00AC01C1" w:rsidRPr="00036193" w:rsidRDefault="00AC01C1" w:rsidP="00B25599">
            <w:pPr>
              <w:spacing w:after="0" w:line="240" w:lineRule="auto"/>
              <w:ind w:right="-45"/>
              <w:jc w:val="center"/>
              <w:rPr>
                <w:rFonts w:ascii="Times New Roman" w:eastAsia="Times New Roman" w:hAnsi="Times New Roman" w:cs="Times New Roman"/>
                <w:b/>
                <w:bCs/>
                <w:sz w:val="20"/>
                <w:szCs w:val="20"/>
              </w:rPr>
            </w:pPr>
          </w:p>
        </w:tc>
        <w:tc>
          <w:tcPr>
            <w:tcW w:w="933" w:type="pct"/>
            <w:tcBorders>
              <w:top w:val="single" w:sz="4" w:space="0" w:color="auto"/>
              <w:left w:val="single" w:sz="4" w:space="0" w:color="auto"/>
              <w:bottom w:val="single" w:sz="4" w:space="0" w:color="auto"/>
              <w:right w:val="single" w:sz="4" w:space="0" w:color="auto"/>
            </w:tcBorders>
            <w:vAlign w:val="center"/>
          </w:tcPr>
          <w:p w14:paraId="3CFB1273" w14:textId="77777777" w:rsidR="00AC01C1" w:rsidRPr="00036193" w:rsidRDefault="00AC01C1" w:rsidP="00B25599">
            <w:pPr>
              <w:spacing w:after="0" w:line="240" w:lineRule="auto"/>
              <w:ind w:left="-74" w:right="-105"/>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dy</w:t>
            </w:r>
            <w:proofErr w:type="spellEnd"/>
            <w:r>
              <w:rPr>
                <w:rFonts w:ascii="Times New Roman" w:eastAsia="Times New Roman" w:hAnsi="Times New Roman" w:cs="Times New Roman"/>
                <w:sz w:val="20"/>
                <w:szCs w:val="20"/>
              </w:rPr>
              <w:t>/dx</w:t>
            </w:r>
          </w:p>
        </w:tc>
        <w:tc>
          <w:tcPr>
            <w:tcW w:w="802" w:type="pct"/>
            <w:tcBorders>
              <w:top w:val="single" w:sz="4" w:space="0" w:color="auto"/>
              <w:left w:val="single" w:sz="4" w:space="0" w:color="auto"/>
              <w:bottom w:val="single" w:sz="4" w:space="0" w:color="auto"/>
              <w:right w:val="single" w:sz="4" w:space="0" w:color="auto"/>
            </w:tcBorders>
            <w:vAlign w:val="center"/>
          </w:tcPr>
          <w:p w14:paraId="06FF8AA4" w14:textId="77777777" w:rsidR="00AC01C1" w:rsidRPr="00036193" w:rsidRDefault="00AC01C1" w:rsidP="00B25599">
            <w:pPr>
              <w:spacing w:after="0" w:line="240" w:lineRule="auto"/>
              <w:ind w:left="-74"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w:t>
            </w:r>
          </w:p>
        </w:tc>
        <w:tc>
          <w:tcPr>
            <w:tcW w:w="866" w:type="pct"/>
            <w:tcBorders>
              <w:top w:val="single" w:sz="4" w:space="0" w:color="auto"/>
              <w:left w:val="single" w:sz="4" w:space="0" w:color="auto"/>
              <w:bottom w:val="single" w:sz="4" w:space="0" w:color="auto"/>
              <w:right w:val="single" w:sz="4" w:space="0" w:color="auto"/>
            </w:tcBorders>
            <w:vAlign w:val="center"/>
          </w:tcPr>
          <w:p w14:paraId="14766649" w14:textId="77777777" w:rsidR="00AC01C1" w:rsidRPr="00036193" w:rsidRDefault="00AC01C1" w:rsidP="00B25599">
            <w:pPr>
              <w:spacing w:after="0" w:line="240" w:lineRule="auto"/>
              <w:ind w:left="-74" w:right="-105"/>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dy</w:t>
            </w:r>
            <w:proofErr w:type="spellEnd"/>
            <w:r>
              <w:rPr>
                <w:rFonts w:ascii="Times New Roman" w:eastAsia="Times New Roman" w:hAnsi="Times New Roman" w:cs="Times New Roman"/>
                <w:sz w:val="20"/>
                <w:szCs w:val="20"/>
              </w:rPr>
              <w:t>/dx</w:t>
            </w:r>
          </w:p>
        </w:tc>
        <w:tc>
          <w:tcPr>
            <w:tcW w:w="799" w:type="pct"/>
            <w:tcBorders>
              <w:top w:val="single" w:sz="4" w:space="0" w:color="auto"/>
              <w:left w:val="single" w:sz="4" w:space="0" w:color="auto"/>
              <w:bottom w:val="single" w:sz="4" w:space="0" w:color="auto"/>
              <w:right w:val="single" w:sz="4" w:space="0" w:color="auto"/>
            </w:tcBorders>
            <w:vAlign w:val="center"/>
          </w:tcPr>
          <w:p w14:paraId="1D3EB48C" w14:textId="77777777" w:rsidR="00AC01C1" w:rsidRPr="00036193" w:rsidRDefault="00AC01C1" w:rsidP="00B25599">
            <w:pPr>
              <w:spacing w:after="0" w:line="240" w:lineRule="auto"/>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se</w:t>
            </w:r>
          </w:p>
        </w:tc>
      </w:tr>
      <w:tr w:rsidR="00AC01C1" w:rsidRPr="00036193" w14:paraId="26086C25" w14:textId="77777777" w:rsidTr="00033381">
        <w:tc>
          <w:tcPr>
            <w:tcW w:w="1600" w:type="pct"/>
            <w:tcBorders>
              <w:top w:val="nil"/>
              <w:left w:val="single" w:sz="4" w:space="0" w:color="auto"/>
              <w:bottom w:val="single" w:sz="4" w:space="0" w:color="auto"/>
              <w:right w:val="single" w:sz="4" w:space="0" w:color="auto"/>
            </w:tcBorders>
            <w:shd w:val="clear" w:color="auto" w:fill="auto"/>
            <w:vAlign w:val="center"/>
            <w:hideMark/>
          </w:tcPr>
          <w:p w14:paraId="0312A160"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Revperworker</w:t>
            </w:r>
            <w:proofErr w:type="spellEnd"/>
            <w:r>
              <w:rPr>
                <w:rFonts w:ascii="Times New Roman" w:eastAsia="Times New Roman" w:hAnsi="Times New Roman" w:cs="Times New Roman"/>
                <w:sz w:val="20"/>
                <w:szCs w:val="20"/>
              </w:rPr>
              <w:t xml:space="preserve"> (rubles)</w:t>
            </w:r>
          </w:p>
        </w:tc>
        <w:tc>
          <w:tcPr>
            <w:tcW w:w="933" w:type="pct"/>
            <w:tcBorders>
              <w:top w:val="nil"/>
              <w:left w:val="single" w:sz="4" w:space="0" w:color="auto"/>
              <w:bottom w:val="single" w:sz="4" w:space="0" w:color="auto"/>
              <w:right w:val="single" w:sz="4" w:space="0" w:color="auto"/>
            </w:tcBorders>
          </w:tcPr>
          <w:p w14:paraId="7CC59479"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FD2F48">
              <w:rPr>
                <w:rFonts w:ascii="Times New Roman" w:eastAsia="Times New Roman" w:hAnsi="Times New Roman" w:cs="Times New Roman"/>
                <w:sz w:val="20"/>
                <w:szCs w:val="20"/>
              </w:rPr>
              <w:t>1.14e-10</w:t>
            </w:r>
            <w:r>
              <w:rPr>
                <w:rFonts w:ascii="Times New Roman" w:eastAsia="Times New Roman" w:hAnsi="Times New Roman" w:cs="Times New Roman"/>
                <w:sz w:val="20"/>
                <w:szCs w:val="20"/>
              </w:rPr>
              <w:t>***</w:t>
            </w:r>
          </w:p>
        </w:tc>
        <w:tc>
          <w:tcPr>
            <w:tcW w:w="802" w:type="pct"/>
            <w:tcBorders>
              <w:top w:val="nil"/>
              <w:left w:val="single" w:sz="4" w:space="0" w:color="auto"/>
              <w:bottom w:val="single" w:sz="4" w:space="0" w:color="auto"/>
              <w:right w:val="single" w:sz="4" w:space="0" w:color="auto"/>
            </w:tcBorders>
          </w:tcPr>
          <w:p w14:paraId="42DDD36E"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FD2F48">
              <w:rPr>
                <w:rFonts w:ascii="Times New Roman" w:eastAsia="Times New Roman" w:hAnsi="Times New Roman" w:cs="Times New Roman"/>
                <w:sz w:val="20"/>
                <w:szCs w:val="20"/>
              </w:rPr>
              <w:t>3.07e-11</w:t>
            </w:r>
          </w:p>
        </w:tc>
        <w:tc>
          <w:tcPr>
            <w:tcW w:w="866" w:type="pct"/>
            <w:tcBorders>
              <w:top w:val="nil"/>
              <w:left w:val="single" w:sz="4" w:space="0" w:color="auto"/>
              <w:bottom w:val="single" w:sz="4" w:space="0" w:color="auto"/>
              <w:right w:val="single" w:sz="4" w:space="0" w:color="auto"/>
            </w:tcBorders>
          </w:tcPr>
          <w:p w14:paraId="5304FBE6"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F5244D">
              <w:rPr>
                <w:rFonts w:ascii="Times New Roman" w:eastAsia="Times New Roman" w:hAnsi="Times New Roman" w:cs="Times New Roman"/>
                <w:sz w:val="20"/>
                <w:szCs w:val="20"/>
              </w:rPr>
              <w:t>-5.05e-09</w:t>
            </w:r>
          </w:p>
        </w:tc>
        <w:tc>
          <w:tcPr>
            <w:tcW w:w="799" w:type="pct"/>
            <w:tcBorders>
              <w:top w:val="nil"/>
              <w:left w:val="single" w:sz="4" w:space="0" w:color="auto"/>
              <w:bottom w:val="single" w:sz="4" w:space="0" w:color="auto"/>
              <w:right w:val="single" w:sz="4" w:space="0" w:color="auto"/>
            </w:tcBorders>
          </w:tcPr>
          <w:p w14:paraId="014097B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F5244D">
              <w:rPr>
                <w:rFonts w:ascii="Times New Roman" w:eastAsia="Times New Roman" w:hAnsi="Times New Roman" w:cs="Times New Roman"/>
                <w:sz w:val="20"/>
                <w:szCs w:val="20"/>
              </w:rPr>
              <w:t>6.39e-08</w:t>
            </w:r>
          </w:p>
        </w:tc>
      </w:tr>
      <w:tr w:rsidR="00AC01C1" w:rsidRPr="00036193" w14:paraId="6176C497" w14:textId="77777777" w:rsidTr="00033381">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14:paraId="2C29912C"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Firm size </w:t>
            </w:r>
          </w:p>
        </w:tc>
        <w:tc>
          <w:tcPr>
            <w:tcW w:w="1735" w:type="pct"/>
            <w:gridSpan w:val="2"/>
            <w:tcBorders>
              <w:top w:val="single" w:sz="4" w:space="0" w:color="auto"/>
              <w:left w:val="single" w:sz="4" w:space="0" w:color="auto"/>
              <w:bottom w:val="single" w:sz="4" w:space="0" w:color="auto"/>
              <w:right w:val="single" w:sz="4" w:space="0" w:color="auto"/>
            </w:tcBorders>
          </w:tcPr>
          <w:p w14:paraId="51B32022"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665" w:type="pct"/>
            <w:gridSpan w:val="2"/>
            <w:tcBorders>
              <w:top w:val="single" w:sz="4" w:space="0" w:color="auto"/>
              <w:left w:val="single" w:sz="4" w:space="0" w:color="auto"/>
              <w:bottom w:val="single" w:sz="4" w:space="0" w:color="auto"/>
              <w:right w:val="single" w:sz="4" w:space="0" w:color="auto"/>
            </w:tcBorders>
          </w:tcPr>
          <w:p w14:paraId="5FE4A40F"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3D9631DF" w14:textId="77777777" w:rsidTr="00033381">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14:paraId="2460B956"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Credit constraint</w:t>
            </w:r>
          </w:p>
        </w:tc>
        <w:tc>
          <w:tcPr>
            <w:tcW w:w="1735" w:type="pct"/>
            <w:gridSpan w:val="2"/>
            <w:tcBorders>
              <w:top w:val="single" w:sz="4" w:space="0" w:color="auto"/>
              <w:left w:val="single" w:sz="4" w:space="0" w:color="auto"/>
              <w:bottom w:val="single" w:sz="4" w:space="0" w:color="auto"/>
              <w:right w:val="single" w:sz="4" w:space="0" w:color="auto"/>
            </w:tcBorders>
          </w:tcPr>
          <w:p w14:paraId="2DB2E1F9"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665" w:type="pct"/>
            <w:gridSpan w:val="2"/>
            <w:tcBorders>
              <w:top w:val="single" w:sz="4" w:space="0" w:color="auto"/>
              <w:left w:val="single" w:sz="4" w:space="0" w:color="auto"/>
              <w:bottom w:val="single" w:sz="4" w:space="0" w:color="auto"/>
              <w:right w:val="single" w:sz="4" w:space="0" w:color="auto"/>
            </w:tcBorders>
          </w:tcPr>
          <w:p w14:paraId="4293DD1B"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29795B17" w14:textId="77777777" w:rsidTr="00033381">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14:paraId="4604026A"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Manager share</w:t>
            </w:r>
          </w:p>
        </w:tc>
        <w:tc>
          <w:tcPr>
            <w:tcW w:w="1735" w:type="pct"/>
            <w:gridSpan w:val="2"/>
            <w:tcBorders>
              <w:top w:val="single" w:sz="4" w:space="0" w:color="auto"/>
              <w:left w:val="single" w:sz="4" w:space="0" w:color="auto"/>
              <w:bottom w:val="single" w:sz="4" w:space="0" w:color="auto"/>
              <w:right w:val="single" w:sz="4" w:space="0" w:color="auto"/>
            </w:tcBorders>
          </w:tcPr>
          <w:p w14:paraId="22DD8483"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665" w:type="pct"/>
            <w:gridSpan w:val="2"/>
            <w:tcBorders>
              <w:top w:val="single" w:sz="4" w:space="0" w:color="auto"/>
              <w:left w:val="single" w:sz="4" w:space="0" w:color="auto"/>
              <w:bottom w:val="single" w:sz="4" w:space="0" w:color="auto"/>
              <w:right w:val="single" w:sz="4" w:space="0" w:color="auto"/>
            </w:tcBorders>
          </w:tcPr>
          <w:p w14:paraId="27314D90"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4A2AC421" w14:textId="77777777" w:rsidTr="00033381">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14:paraId="2FA849AA"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Tertiary</w:t>
            </w:r>
            <w:r>
              <w:rPr>
                <w:rFonts w:ascii="Times New Roman" w:eastAsia="Times New Roman" w:hAnsi="Times New Roman" w:cs="Times New Roman"/>
                <w:sz w:val="20"/>
                <w:szCs w:val="20"/>
              </w:rPr>
              <w:t xml:space="preserve"> </w:t>
            </w:r>
            <w:r w:rsidRPr="00036193">
              <w:rPr>
                <w:rFonts w:ascii="Times New Roman" w:eastAsia="Times New Roman" w:hAnsi="Times New Roman" w:cs="Times New Roman"/>
                <w:sz w:val="20"/>
                <w:szCs w:val="20"/>
              </w:rPr>
              <w:t>share</w:t>
            </w:r>
          </w:p>
        </w:tc>
        <w:tc>
          <w:tcPr>
            <w:tcW w:w="1735" w:type="pct"/>
            <w:gridSpan w:val="2"/>
            <w:tcBorders>
              <w:top w:val="single" w:sz="4" w:space="0" w:color="auto"/>
              <w:left w:val="single" w:sz="4" w:space="0" w:color="auto"/>
              <w:bottom w:val="single" w:sz="4" w:space="0" w:color="auto"/>
              <w:right w:val="single" w:sz="4" w:space="0" w:color="auto"/>
            </w:tcBorders>
          </w:tcPr>
          <w:p w14:paraId="661EBD19"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c>
          <w:tcPr>
            <w:tcW w:w="1665" w:type="pct"/>
            <w:gridSpan w:val="2"/>
            <w:tcBorders>
              <w:top w:val="single" w:sz="4" w:space="0" w:color="auto"/>
              <w:left w:val="single" w:sz="4" w:space="0" w:color="auto"/>
              <w:bottom w:val="single" w:sz="4" w:space="0" w:color="auto"/>
              <w:right w:val="single" w:sz="4" w:space="0" w:color="auto"/>
            </w:tcBorders>
          </w:tcPr>
          <w:p w14:paraId="444946B7"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Y</w:t>
            </w:r>
          </w:p>
        </w:tc>
      </w:tr>
      <w:tr w:rsidR="00AC01C1" w:rsidRPr="00036193" w14:paraId="35900681" w14:textId="77777777" w:rsidTr="00033381">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14:paraId="65B3042C"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sidRPr="00036193">
              <w:rPr>
                <w:rFonts w:ascii="Times New Roman" w:eastAsia="Times New Roman" w:hAnsi="Times New Roman" w:cs="Times New Roman"/>
                <w:sz w:val="20"/>
                <w:szCs w:val="20"/>
              </w:rPr>
              <w:t>N</w:t>
            </w:r>
          </w:p>
        </w:tc>
        <w:tc>
          <w:tcPr>
            <w:tcW w:w="1735" w:type="pct"/>
            <w:gridSpan w:val="2"/>
            <w:tcBorders>
              <w:top w:val="single" w:sz="4" w:space="0" w:color="auto"/>
              <w:left w:val="single" w:sz="4" w:space="0" w:color="auto"/>
              <w:bottom w:val="single" w:sz="4" w:space="0" w:color="auto"/>
              <w:right w:val="single" w:sz="4" w:space="0" w:color="auto"/>
            </w:tcBorders>
          </w:tcPr>
          <w:p w14:paraId="1FB3F230"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FD2F48">
              <w:rPr>
                <w:rFonts w:ascii="Bookman Old Style" w:eastAsiaTheme="minorEastAsia" w:hAnsi="Bookman Old Style" w:cs="Times New Roman"/>
                <w:sz w:val="20"/>
                <w:szCs w:val="20"/>
              </w:rPr>
              <w:t>280</w:t>
            </w:r>
          </w:p>
        </w:tc>
        <w:tc>
          <w:tcPr>
            <w:tcW w:w="1665" w:type="pct"/>
            <w:gridSpan w:val="2"/>
            <w:tcBorders>
              <w:top w:val="single" w:sz="4" w:space="0" w:color="auto"/>
              <w:left w:val="single" w:sz="4" w:space="0" w:color="auto"/>
              <w:bottom w:val="single" w:sz="4" w:space="0" w:color="auto"/>
              <w:right w:val="single" w:sz="4" w:space="0" w:color="auto"/>
            </w:tcBorders>
          </w:tcPr>
          <w:p w14:paraId="555EEBFC"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105</w:t>
            </w:r>
          </w:p>
        </w:tc>
      </w:tr>
      <w:tr w:rsidR="00AC01C1" w:rsidRPr="00036193" w14:paraId="4E1EC356" w14:textId="77777777" w:rsidTr="00033381">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14:paraId="7156422D" w14:textId="77777777" w:rsidR="00AC01C1" w:rsidRPr="00036193" w:rsidRDefault="00AC01C1" w:rsidP="00B25599">
            <w:pPr>
              <w:spacing w:after="0" w:line="240" w:lineRule="auto"/>
              <w:ind w:right="-45"/>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Pseudo</w:t>
            </w:r>
            <w:r w:rsidRPr="00036193">
              <w:rPr>
                <w:rFonts w:ascii="Times New Roman" w:eastAsia="Times New Roman" w:hAnsi="Times New Roman" w:cs="Times New Roman"/>
                <w:sz w:val="20"/>
                <w:szCs w:val="20"/>
              </w:rPr>
              <w:t xml:space="preserve"> R</w:t>
            </w:r>
            <w:r w:rsidRPr="00036193">
              <w:rPr>
                <w:rFonts w:ascii="Times New Roman" w:eastAsia="Times New Roman" w:hAnsi="Times New Roman" w:cs="Times New Roman"/>
                <w:sz w:val="20"/>
                <w:szCs w:val="20"/>
                <w:vertAlign w:val="superscript"/>
              </w:rPr>
              <w:t>2</w:t>
            </w:r>
          </w:p>
        </w:tc>
        <w:tc>
          <w:tcPr>
            <w:tcW w:w="1735" w:type="pct"/>
            <w:gridSpan w:val="2"/>
            <w:tcBorders>
              <w:top w:val="single" w:sz="4" w:space="0" w:color="auto"/>
              <w:left w:val="single" w:sz="4" w:space="0" w:color="auto"/>
              <w:bottom w:val="single" w:sz="4" w:space="0" w:color="auto"/>
              <w:right w:val="single" w:sz="4" w:space="0" w:color="auto"/>
            </w:tcBorders>
          </w:tcPr>
          <w:p w14:paraId="1535A4D9"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FD2F48">
              <w:rPr>
                <w:rFonts w:ascii="Bookman Old Style" w:eastAsiaTheme="minorEastAsia" w:hAnsi="Bookman Old Style" w:cs="Times New Roman"/>
                <w:sz w:val="20"/>
                <w:szCs w:val="20"/>
              </w:rPr>
              <w:t>0.0236</w:t>
            </w:r>
          </w:p>
        </w:tc>
        <w:tc>
          <w:tcPr>
            <w:tcW w:w="1665" w:type="pct"/>
            <w:gridSpan w:val="2"/>
            <w:tcBorders>
              <w:top w:val="single" w:sz="4" w:space="0" w:color="auto"/>
              <w:left w:val="single" w:sz="4" w:space="0" w:color="auto"/>
              <w:bottom w:val="single" w:sz="4" w:space="0" w:color="auto"/>
              <w:right w:val="single" w:sz="4" w:space="0" w:color="auto"/>
            </w:tcBorders>
          </w:tcPr>
          <w:p w14:paraId="4601CCE8" w14:textId="77777777" w:rsidR="00AC01C1" w:rsidRPr="00036193" w:rsidRDefault="00AC01C1" w:rsidP="00B25599">
            <w:pPr>
              <w:spacing w:after="0" w:line="240" w:lineRule="auto"/>
              <w:ind w:left="-9" w:right="-105"/>
              <w:jc w:val="center"/>
              <w:rPr>
                <w:rFonts w:ascii="Times New Roman" w:eastAsia="Times New Roman" w:hAnsi="Times New Roman" w:cs="Times New Roman"/>
                <w:sz w:val="20"/>
                <w:szCs w:val="20"/>
              </w:rPr>
            </w:pPr>
            <w:r w:rsidRPr="00036193">
              <w:rPr>
                <w:rFonts w:ascii="Bookman Old Style" w:eastAsiaTheme="minorEastAsia" w:hAnsi="Bookman Old Style" w:cs="Times New Roman"/>
                <w:sz w:val="20"/>
                <w:szCs w:val="20"/>
              </w:rPr>
              <w:t>0.249</w:t>
            </w:r>
          </w:p>
        </w:tc>
      </w:tr>
    </w:tbl>
    <w:p w14:paraId="0D389908" w14:textId="77777777" w:rsidR="00AC01C1" w:rsidRPr="001849D5" w:rsidRDefault="00AC01C1" w:rsidP="00AC01C1">
      <w:pPr>
        <w:spacing w:after="0" w:line="240" w:lineRule="auto"/>
        <w:contextualSpacing/>
        <w:jc w:val="left"/>
        <w:rPr>
          <w:lang w:eastAsia="en-US"/>
        </w:rPr>
      </w:pPr>
    </w:p>
    <w:p w14:paraId="6BA797CD" w14:textId="77777777" w:rsidR="00B6119A" w:rsidRPr="006E4C92" w:rsidRDefault="00B6119A" w:rsidP="00CE1189">
      <w:pPr>
        <w:spacing w:after="0" w:line="240" w:lineRule="auto"/>
        <w:contextualSpacing/>
        <w:rPr>
          <w:rFonts w:cstheme="minorHAnsi"/>
          <w:lang w:eastAsia="en-US"/>
        </w:rPr>
      </w:pPr>
    </w:p>
    <w:p w14:paraId="208FF9A2" w14:textId="4E687E8A" w:rsidR="00C47E44" w:rsidRDefault="00C47E44" w:rsidP="00CE1189">
      <w:pPr>
        <w:spacing w:after="0" w:line="240" w:lineRule="auto"/>
        <w:contextualSpacing/>
        <w:rPr>
          <w:lang w:eastAsia="en-US"/>
        </w:rPr>
      </w:pPr>
    </w:p>
    <w:bookmarkEnd w:id="139"/>
    <w:p w14:paraId="47BB2186" w14:textId="77777777" w:rsidR="00033381" w:rsidRDefault="00033381">
      <w:pPr>
        <w:spacing w:after="160" w:line="259" w:lineRule="auto"/>
        <w:jc w:val="left"/>
        <w:rPr>
          <w:rStyle w:val="IntenseEmphasis"/>
          <w:b/>
          <w:bCs/>
          <w:i w:val="0"/>
          <w:iCs w:val="0"/>
          <w:noProof/>
          <w:color w:val="2E74B5" w:themeColor="accent1" w:themeShade="BF"/>
          <w:sz w:val="36"/>
          <w:szCs w:val="36"/>
          <w:lang w:eastAsia="en-US"/>
        </w:rPr>
      </w:pPr>
      <w:r>
        <w:rPr>
          <w:rStyle w:val="IntenseEmphasis"/>
          <w:bCs/>
          <w:i w:val="0"/>
          <w:iCs w:val="0"/>
          <w:color w:val="2E74B5" w:themeColor="accent1" w:themeShade="BF"/>
        </w:rPr>
        <w:br w:type="page"/>
      </w:r>
    </w:p>
    <w:p w14:paraId="0DFBC3C8" w14:textId="34EEC9A9" w:rsidR="00C47E44" w:rsidRDefault="0001494A" w:rsidP="00CE1189">
      <w:pPr>
        <w:pStyle w:val="Heading1"/>
        <w:spacing w:after="0" w:line="240" w:lineRule="auto"/>
        <w:contextualSpacing/>
        <w:rPr>
          <w:rStyle w:val="IntenseEmphasis"/>
          <w:bCs/>
          <w:i w:val="0"/>
          <w:iCs w:val="0"/>
          <w:color w:val="2E74B5" w:themeColor="accent1" w:themeShade="BF"/>
        </w:rPr>
      </w:pPr>
      <w:bookmarkStart w:id="148" w:name="_Toc11219089"/>
      <w:r>
        <w:rPr>
          <w:rStyle w:val="IntenseEmphasis"/>
          <w:bCs/>
          <w:i w:val="0"/>
          <w:iCs w:val="0"/>
          <w:color w:val="2E74B5" w:themeColor="accent1" w:themeShade="BF"/>
        </w:rPr>
        <w:t>REFERENCES</w:t>
      </w:r>
      <w:bookmarkEnd w:id="148"/>
    </w:p>
    <w:p w14:paraId="44F0A167" w14:textId="3E7F55C1" w:rsidR="00C47E44" w:rsidRPr="00CE0702" w:rsidRDefault="00C47E44" w:rsidP="00187A25">
      <w:pPr>
        <w:spacing w:after="0" w:line="240" w:lineRule="auto"/>
        <w:contextualSpacing/>
        <w:jc w:val="left"/>
        <w:rPr>
          <w:rFonts w:ascii="Calibri" w:hAnsi="Calibri" w:cs="Calibri"/>
          <w:lang w:eastAsia="en-US"/>
        </w:rPr>
      </w:pPr>
    </w:p>
    <w:p w14:paraId="67DCFE37" w14:textId="71561EE6" w:rsidR="007775F3" w:rsidRPr="00356BA5" w:rsidRDefault="007775F3" w:rsidP="00187A25">
      <w:pPr>
        <w:spacing w:after="0" w:line="240" w:lineRule="auto"/>
        <w:ind w:left="709" w:hanging="709"/>
        <w:contextualSpacing/>
        <w:jc w:val="left"/>
        <w:rPr>
          <w:rFonts w:ascii="Calibri" w:hAnsi="Calibri" w:cs="Calibri"/>
          <w:color w:val="000000" w:themeColor="text1"/>
          <w:sz w:val="21"/>
          <w:szCs w:val="21"/>
        </w:rPr>
      </w:pPr>
      <w:r w:rsidRPr="00356BA5">
        <w:rPr>
          <w:rFonts w:ascii="Calibri" w:hAnsi="Calibri" w:cs="Calibri"/>
          <w:color w:val="000000" w:themeColor="text1"/>
          <w:sz w:val="21"/>
          <w:szCs w:val="21"/>
        </w:rPr>
        <w:t>Abramov</w:t>
      </w:r>
      <w:r w:rsidR="005410AD" w:rsidRPr="00356BA5">
        <w:rPr>
          <w:rFonts w:ascii="Calibri" w:hAnsi="Calibri" w:cs="Calibri"/>
          <w:color w:val="000000" w:themeColor="text1"/>
          <w:sz w:val="21"/>
          <w:szCs w:val="21"/>
        </w:rPr>
        <w:t>,</w:t>
      </w:r>
      <w:r w:rsidRPr="00356BA5">
        <w:rPr>
          <w:rFonts w:ascii="Calibri" w:hAnsi="Calibri" w:cs="Calibri"/>
          <w:color w:val="000000" w:themeColor="text1"/>
          <w:sz w:val="21"/>
          <w:szCs w:val="21"/>
        </w:rPr>
        <w:t xml:space="preserve"> Alexander, Alexander </w:t>
      </w:r>
      <w:proofErr w:type="spellStart"/>
      <w:r w:rsidRPr="00356BA5">
        <w:rPr>
          <w:rFonts w:ascii="Calibri" w:hAnsi="Calibri" w:cs="Calibri"/>
          <w:color w:val="000000" w:themeColor="text1"/>
          <w:sz w:val="21"/>
          <w:szCs w:val="21"/>
        </w:rPr>
        <w:t>Radygin</w:t>
      </w:r>
      <w:proofErr w:type="spellEnd"/>
      <w:r w:rsidR="005410AD" w:rsidRPr="00356BA5">
        <w:rPr>
          <w:rFonts w:ascii="Calibri" w:hAnsi="Calibri" w:cs="Calibri"/>
          <w:color w:val="000000" w:themeColor="text1"/>
          <w:sz w:val="21"/>
          <w:szCs w:val="21"/>
        </w:rPr>
        <w:t xml:space="preserve">, Maria </w:t>
      </w:r>
      <w:proofErr w:type="spellStart"/>
      <w:r w:rsidRPr="00356BA5">
        <w:rPr>
          <w:rFonts w:ascii="Calibri" w:hAnsi="Calibri" w:cs="Calibri"/>
          <w:color w:val="000000" w:themeColor="text1"/>
          <w:sz w:val="21"/>
          <w:szCs w:val="21"/>
        </w:rPr>
        <w:t>Chernova</w:t>
      </w:r>
      <w:proofErr w:type="spellEnd"/>
      <w:r w:rsidRPr="00356BA5">
        <w:rPr>
          <w:rFonts w:ascii="Calibri" w:hAnsi="Calibri" w:cs="Calibri"/>
          <w:color w:val="000000" w:themeColor="text1"/>
          <w:sz w:val="21"/>
          <w:szCs w:val="21"/>
        </w:rPr>
        <w:t xml:space="preserve"> (2017). State-owned enterprises in the Russian market: Ownership structure and their role in the economy. </w:t>
      </w:r>
      <w:r w:rsidRPr="00356BA5">
        <w:rPr>
          <w:rFonts w:ascii="Calibri" w:hAnsi="Calibri" w:cs="Calibri"/>
          <w:i/>
          <w:color w:val="000000" w:themeColor="text1"/>
          <w:sz w:val="21"/>
          <w:szCs w:val="21"/>
        </w:rPr>
        <w:t>Russian Journal of Economics</w:t>
      </w:r>
      <w:r w:rsidRPr="00356BA5">
        <w:rPr>
          <w:rFonts w:ascii="Calibri" w:hAnsi="Calibri" w:cs="Calibri"/>
          <w:color w:val="000000" w:themeColor="text1"/>
          <w:sz w:val="21"/>
          <w:szCs w:val="21"/>
        </w:rPr>
        <w:t>, 3.</w:t>
      </w:r>
    </w:p>
    <w:p w14:paraId="0BF2EC04" w14:textId="3E45657D" w:rsidR="00C87F18" w:rsidRPr="00D06EB9" w:rsidRDefault="00C87F18" w:rsidP="00187A25">
      <w:pPr>
        <w:spacing w:after="0" w:line="240" w:lineRule="auto"/>
        <w:ind w:left="709" w:hanging="709"/>
        <w:contextualSpacing/>
        <w:jc w:val="left"/>
      </w:pPr>
      <w:bookmarkStart w:id="149" w:name="_Hlk2675341"/>
      <w:r>
        <w:rPr>
          <w:rFonts w:ascii="Calibri" w:hAnsi="Calibri" w:cs="Calibri"/>
          <w:sz w:val="21"/>
          <w:szCs w:val="21"/>
          <w:lang w:eastAsia="en-US"/>
        </w:rPr>
        <w:t xml:space="preserve">Anderson, Stephen, Rajesh </w:t>
      </w:r>
      <w:proofErr w:type="spellStart"/>
      <w:r>
        <w:rPr>
          <w:rFonts w:ascii="Calibri" w:hAnsi="Calibri" w:cs="Calibri"/>
          <w:sz w:val="21"/>
          <w:szCs w:val="21"/>
          <w:lang w:eastAsia="en-US"/>
        </w:rPr>
        <w:t>Chandy</w:t>
      </w:r>
      <w:proofErr w:type="spellEnd"/>
      <w:r>
        <w:rPr>
          <w:rFonts w:ascii="Calibri" w:hAnsi="Calibri" w:cs="Calibri"/>
          <w:sz w:val="21"/>
          <w:szCs w:val="21"/>
          <w:lang w:eastAsia="en-US"/>
        </w:rPr>
        <w:t xml:space="preserve">, and Bilal Zia (2016). “Pathways to profits: Identifying separate channels of small firm growth through business training.” </w:t>
      </w:r>
      <w:r w:rsidRPr="00D06EB9">
        <w:rPr>
          <w:rFonts w:ascii="Calibri" w:hAnsi="Calibri" w:cs="Calibri"/>
          <w:i/>
          <w:iCs/>
          <w:sz w:val="21"/>
          <w:szCs w:val="21"/>
          <w:lang w:eastAsia="en-US"/>
        </w:rPr>
        <w:t>Policy Research Working Paper 7774</w:t>
      </w:r>
      <w:r w:rsidR="00D06EB9">
        <w:rPr>
          <w:rFonts w:ascii="Calibri" w:hAnsi="Calibri" w:cs="Calibri"/>
          <w:i/>
          <w:iCs/>
          <w:sz w:val="21"/>
          <w:szCs w:val="21"/>
          <w:lang w:eastAsia="en-US"/>
        </w:rPr>
        <w:t>,</w:t>
      </w:r>
      <w:r w:rsidR="00D06EB9" w:rsidRPr="00D06EB9">
        <w:rPr>
          <w:rFonts w:ascii="Calibri" w:hAnsi="Calibri" w:cs="Calibri"/>
          <w:sz w:val="21"/>
          <w:szCs w:val="21"/>
          <w:lang w:eastAsia="en-US"/>
        </w:rPr>
        <w:t xml:space="preserve"> </w:t>
      </w:r>
      <w:r w:rsidR="00D06EB9">
        <w:rPr>
          <w:rFonts w:ascii="Calibri" w:hAnsi="Calibri" w:cs="Calibri"/>
          <w:sz w:val="21"/>
          <w:szCs w:val="21"/>
          <w:lang w:eastAsia="en-US"/>
        </w:rPr>
        <w:t>World Bank</w:t>
      </w:r>
    </w:p>
    <w:p w14:paraId="4DCD4BE0" w14:textId="71635CFB" w:rsidR="00D44840" w:rsidRDefault="00D44840" w:rsidP="00187A25">
      <w:pPr>
        <w:spacing w:after="0" w:line="240" w:lineRule="auto"/>
        <w:ind w:left="709" w:hanging="709"/>
        <w:contextualSpacing/>
        <w:jc w:val="left"/>
        <w:rPr>
          <w:rFonts w:ascii="Calibri" w:hAnsi="Calibri" w:cs="Calibri"/>
          <w:sz w:val="21"/>
          <w:szCs w:val="21"/>
          <w:lang w:eastAsia="en-US"/>
        </w:rPr>
      </w:pPr>
      <w:r>
        <w:rPr>
          <w:rFonts w:ascii="Calibri" w:hAnsi="Calibri" w:cs="Calibri"/>
          <w:sz w:val="21"/>
          <w:szCs w:val="21"/>
          <w:lang w:eastAsia="en-US"/>
        </w:rPr>
        <w:t xml:space="preserve">Bandiera, Oriana, </w:t>
      </w:r>
      <w:proofErr w:type="spellStart"/>
      <w:r>
        <w:rPr>
          <w:rFonts w:ascii="Calibri" w:hAnsi="Calibri" w:cs="Calibri"/>
          <w:sz w:val="21"/>
          <w:szCs w:val="21"/>
          <w:lang w:eastAsia="en-US"/>
        </w:rPr>
        <w:t>Iwan</w:t>
      </w:r>
      <w:proofErr w:type="spellEnd"/>
      <w:r>
        <w:rPr>
          <w:rFonts w:ascii="Calibri" w:hAnsi="Calibri" w:cs="Calibri"/>
          <w:sz w:val="21"/>
          <w:szCs w:val="21"/>
          <w:lang w:eastAsia="en-US"/>
        </w:rPr>
        <w:t xml:space="preserve"> </w:t>
      </w:r>
      <w:proofErr w:type="spellStart"/>
      <w:r>
        <w:rPr>
          <w:rFonts w:ascii="Calibri" w:hAnsi="Calibri" w:cs="Calibri"/>
          <w:sz w:val="21"/>
          <w:szCs w:val="21"/>
          <w:lang w:eastAsia="en-US"/>
        </w:rPr>
        <w:t>Barankay</w:t>
      </w:r>
      <w:proofErr w:type="spellEnd"/>
      <w:r>
        <w:rPr>
          <w:rFonts w:ascii="Calibri" w:hAnsi="Calibri" w:cs="Calibri"/>
          <w:sz w:val="21"/>
          <w:szCs w:val="21"/>
          <w:lang w:eastAsia="en-US"/>
        </w:rPr>
        <w:t>, Imran Rasul. “Team incentives: Evidence from a firm level experiment.” Journal of the European Economic Association, 11 (5)</w:t>
      </w:r>
    </w:p>
    <w:p w14:paraId="42A38F86" w14:textId="727A02E0" w:rsidR="00B42E95" w:rsidRPr="00356BA5" w:rsidRDefault="00BA0D51"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sz w:val="21"/>
          <w:szCs w:val="21"/>
          <w:lang w:eastAsia="en-US"/>
        </w:rPr>
        <w:t>Bessonova</w:t>
      </w:r>
      <w:proofErr w:type="spellEnd"/>
      <w:r w:rsidRPr="00356BA5">
        <w:rPr>
          <w:rFonts w:ascii="Calibri" w:hAnsi="Calibri" w:cs="Calibri"/>
          <w:sz w:val="21"/>
          <w:szCs w:val="21"/>
          <w:lang w:eastAsia="en-US"/>
        </w:rPr>
        <w:t xml:space="preserve">, </w:t>
      </w:r>
      <w:proofErr w:type="spellStart"/>
      <w:r w:rsidRPr="00356BA5">
        <w:rPr>
          <w:rFonts w:ascii="Calibri" w:hAnsi="Calibri" w:cs="Calibri"/>
          <w:sz w:val="21"/>
          <w:szCs w:val="21"/>
          <w:lang w:eastAsia="en-US"/>
        </w:rPr>
        <w:t>Evguenia</w:t>
      </w:r>
      <w:proofErr w:type="spellEnd"/>
      <w:r w:rsidRPr="00356BA5">
        <w:rPr>
          <w:rFonts w:ascii="Calibri" w:hAnsi="Calibri" w:cs="Calibri"/>
          <w:sz w:val="21"/>
          <w:szCs w:val="21"/>
          <w:lang w:eastAsia="en-US"/>
        </w:rPr>
        <w:t xml:space="preserve"> and Ksenia </w:t>
      </w:r>
      <w:proofErr w:type="spellStart"/>
      <w:r w:rsidRPr="00356BA5">
        <w:rPr>
          <w:rFonts w:ascii="Calibri" w:hAnsi="Calibri" w:cs="Calibri"/>
          <w:sz w:val="21"/>
          <w:szCs w:val="21"/>
          <w:lang w:eastAsia="en-US"/>
        </w:rPr>
        <w:t>Gonchar</w:t>
      </w:r>
      <w:proofErr w:type="spellEnd"/>
      <w:r w:rsidRPr="00356BA5">
        <w:rPr>
          <w:rFonts w:ascii="Calibri" w:hAnsi="Calibri" w:cs="Calibri"/>
          <w:sz w:val="21"/>
          <w:szCs w:val="21"/>
          <w:lang w:eastAsia="en-US"/>
        </w:rPr>
        <w:t xml:space="preserve"> (2019). “Is private firm a superior organization than state firm in subsidized economy with restricted competition?” Unpublished Working Paper, Bank of Russia </w:t>
      </w:r>
    </w:p>
    <w:p w14:paraId="0C58B205" w14:textId="5A83971B" w:rsidR="00B446D9" w:rsidRDefault="00B446D9" w:rsidP="00187A25">
      <w:pPr>
        <w:spacing w:after="0" w:line="240" w:lineRule="auto"/>
        <w:ind w:left="709" w:hanging="709"/>
        <w:contextualSpacing/>
        <w:jc w:val="left"/>
        <w:rPr>
          <w:rFonts w:ascii="Calibri" w:hAnsi="Calibri" w:cs="Calibri"/>
          <w:sz w:val="21"/>
          <w:szCs w:val="21"/>
        </w:rPr>
      </w:pPr>
      <w:r>
        <w:rPr>
          <w:rFonts w:ascii="Calibri" w:hAnsi="Calibri" w:cs="Calibri"/>
          <w:sz w:val="21"/>
          <w:szCs w:val="21"/>
        </w:rPr>
        <w:t xml:space="preserve">Best, Michael Carlos, Jonas </w:t>
      </w:r>
      <w:proofErr w:type="spellStart"/>
      <w:r>
        <w:rPr>
          <w:rFonts w:ascii="Calibri" w:hAnsi="Calibri" w:cs="Calibri"/>
          <w:sz w:val="21"/>
          <w:szCs w:val="21"/>
        </w:rPr>
        <w:t>Hjort</w:t>
      </w:r>
      <w:proofErr w:type="spellEnd"/>
      <w:r>
        <w:rPr>
          <w:rFonts w:ascii="Calibri" w:hAnsi="Calibri" w:cs="Calibri"/>
          <w:sz w:val="21"/>
          <w:szCs w:val="21"/>
        </w:rPr>
        <w:t xml:space="preserve">, David </w:t>
      </w:r>
      <w:proofErr w:type="spellStart"/>
      <w:r>
        <w:rPr>
          <w:rFonts w:ascii="Calibri" w:hAnsi="Calibri" w:cs="Calibri"/>
          <w:sz w:val="21"/>
          <w:szCs w:val="21"/>
        </w:rPr>
        <w:t>Szakonyi</w:t>
      </w:r>
      <w:proofErr w:type="spellEnd"/>
      <w:r>
        <w:rPr>
          <w:rFonts w:ascii="Calibri" w:hAnsi="Calibri" w:cs="Calibri"/>
          <w:sz w:val="21"/>
          <w:szCs w:val="21"/>
        </w:rPr>
        <w:t xml:space="preserve"> (2017). “Individuals and organizations as sources of state effectiveness</w:t>
      </w:r>
      <w:r w:rsidR="00A73C17">
        <w:rPr>
          <w:rFonts w:ascii="Calibri" w:hAnsi="Calibri" w:cs="Calibri"/>
          <w:sz w:val="21"/>
          <w:szCs w:val="21"/>
        </w:rPr>
        <w:t xml:space="preserve">.” </w:t>
      </w:r>
      <w:r w:rsidR="00A73C17" w:rsidRPr="00A73C17">
        <w:rPr>
          <w:rFonts w:ascii="Calibri" w:hAnsi="Calibri" w:cs="Calibri"/>
          <w:i/>
          <w:iCs/>
          <w:sz w:val="21"/>
          <w:szCs w:val="21"/>
        </w:rPr>
        <w:t>NBER Working Paper 23350</w:t>
      </w:r>
    </w:p>
    <w:p w14:paraId="56C7C240" w14:textId="6CDBB38A" w:rsidR="006B504A" w:rsidRDefault="006B504A" w:rsidP="00187A25">
      <w:pPr>
        <w:spacing w:after="0" w:line="240" w:lineRule="auto"/>
        <w:ind w:left="709" w:hanging="709"/>
        <w:contextualSpacing/>
        <w:jc w:val="left"/>
        <w:rPr>
          <w:rFonts w:ascii="Calibri" w:hAnsi="Calibri" w:cs="Calibri"/>
          <w:sz w:val="21"/>
          <w:szCs w:val="21"/>
        </w:rPr>
      </w:pPr>
      <w:r>
        <w:rPr>
          <w:rFonts w:ascii="Calibri" w:hAnsi="Calibri" w:cs="Calibri"/>
          <w:sz w:val="21"/>
          <w:szCs w:val="21"/>
        </w:rPr>
        <w:t xml:space="preserve">Bloom, Nicholas, Benn Eifert, </w:t>
      </w:r>
      <w:proofErr w:type="spellStart"/>
      <w:r>
        <w:rPr>
          <w:rFonts w:ascii="Calibri" w:hAnsi="Calibri" w:cs="Calibri"/>
          <w:sz w:val="21"/>
          <w:szCs w:val="21"/>
        </w:rPr>
        <w:t>Aprajit</w:t>
      </w:r>
      <w:proofErr w:type="spellEnd"/>
      <w:r>
        <w:rPr>
          <w:rFonts w:ascii="Calibri" w:hAnsi="Calibri" w:cs="Calibri"/>
          <w:sz w:val="21"/>
          <w:szCs w:val="21"/>
        </w:rPr>
        <w:t xml:space="preserve"> Mahajan, David McKenzie, John Roberts. “Does management matter? Evidence from India.” </w:t>
      </w:r>
      <w:r w:rsidR="00A546D4" w:rsidRPr="00A546D4">
        <w:rPr>
          <w:rFonts w:ascii="Calibri" w:hAnsi="Calibri" w:cs="Calibri"/>
          <w:i/>
          <w:iCs/>
          <w:sz w:val="21"/>
          <w:szCs w:val="21"/>
        </w:rPr>
        <w:t>The Quarterly Journal of Economics</w:t>
      </w:r>
      <w:r w:rsidR="00A546D4">
        <w:rPr>
          <w:rFonts w:ascii="Calibri" w:hAnsi="Calibri" w:cs="Calibri"/>
          <w:sz w:val="21"/>
          <w:szCs w:val="21"/>
        </w:rPr>
        <w:t xml:space="preserve">, 128 (1) </w:t>
      </w:r>
    </w:p>
    <w:p w14:paraId="7143836F" w14:textId="5FFF0DF8" w:rsidR="00B42E95" w:rsidRPr="00356BA5" w:rsidRDefault="00B42E95"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rPr>
        <w:t xml:space="preserve">Bloom, Nicholas, </w:t>
      </w:r>
      <w:proofErr w:type="spellStart"/>
      <w:r w:rsidRPr="00356BA5">
        <w:rPr>
          <w:rFonts w:ascii="Calibri" w:hAnsi="Calibri" w:cs="Calibri"/>
          <w:sz w:val="21"/>
          <w:szCs w:val="21"/>
        </w:rPr>
        <w:t>Raffaela</w:t>
      </w:r>
      <w:proofErr w:type="spellEnd"/>
      <w:r w:rsidRPr="00356BA5">
        <w:rPr>
          <w:rFonts w:ascii="Calibri" w:hAnsi="Calibri" w:cs="Calibri"/>
          <w:sz w:val="21"/>
          <w:szCs w:val="21"/>
        </w:rPr>
        <w:t xml:space="preserve"> </w:t>
      </w:r>
      <w:proofErr w:type="spellStart"/>
      <w:r w:rsidRPr="00356BA5">
        <w:rPr>
          <w:rFonts w:ascii="Calibri" w:hAnsi="Calibri" w:cs="Calibri"/>
          <w:sz w:val="21"/>
          <w:szCs w:val="21"/>
        </w:rPr>
        <w:t>Sadun</w:t>
      </w:r>
      <w:proofErr w:type="spellEnd"/>
      <w:r w:rsidRPr="00356BA5">
        <w:rPr>
          <w:rFonts w:ascii="Calibri" w:hAnsi="Calibri" w:cs="Calibri"/>
          <w:sz w:val="21"/>
          <w:szCs w:val="21"/>
        </w:rPr>
        <w:t>, and John Van Reenen (2016). “Management as a Technology?” Stanford University Graduate School of Business Research Paper No. 16-27</w:t>
      </w:r>
    </w:p>
    <w:p w14:paraId="2615CC21" w14:textId="77777777" w:rsidR="006311DE" w:rsidRPr="00356BA5" w:rsidRDefault="00BA0D51"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sz w:val="21"/>
          <w:szCs w:val="21"/>
          <w:lang w:eastAsia="en-US"/>
        </w:rPr>
        <w:t>Boewer</w:t>
      </w:r>
      <w:proofErr w:type="spellEnd"/>
      <w:r w:rsidRPr="00356BA5">
        <w:rPr>
          <w:rFonts w:ascii="Calibri" w:hAnsi="Calibri" w:cs="Calibri"/>
          <w:sz w:val="21"/>
          <w:szCs w:val="21"/>
          <w:lang w:eastAsia="en-US"/>
        </w:rPr>
        <w:t>, Uwe (2017). “State-owned Enterprises in Emerging Europe: The good, the bad, and the ugly.” WP 17/221, International Monetary Fund</w:t>
      </w:r>
    </w:p>
    <w:p w14:paraId="74F49402" w14:textId="77777777" w:rsidR="006311DE" w:rsidRPr="00356BA5" w:rsidRDefault="00B25F04"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color w:val="000000" w:themeColor="text1"/>
          <w:sz w:val="21"/>
          <w:szCs w:val="21"/>
        </w:rPr>
        <w:t>Bogetic</w:t>
      </w:r>
      <w:proofErr w:type="spellEnd"/>
      <w:r w:rsidRPr="00356BA5">
        <w:rPr>
          <w:rFonts w:ascii="Calibri" w:hAnsi="Calibri" w:cs="Calibri"/>
          <w:color w:val="000000" w:themeColor="text1"/>
          <w:sz w:val="21"/>
          <w:szCs w:val="21"/>
        </w:rPr>
        <w:t xml:space="preserve">, </w:t>
      </w:r>
      <w:proofErr w:type="spellStart"/>
      <w:r w:rsidRPr="00356BA5">
        <w:rPr>
          <w:rFonts w:ascii="Calibri" w:hAnsi="Calibri" w:cs="Calibri"/>
          <w:color w:val="000000" w:themeColor="text1"/>
          <w:sz w:val="21"/>
          <w:szCs w:val="21"/>
        </w:rPr>
        <w:t>Zeljko</w:t>
      </w:r>
      <w:proofErr w:type="spellEnd"/>
      <w:r w:rsidRPr="00356BA5">
        <w:rPr>
          <w:rFonts w:ascii="Calibri" w:hAnsi="Calibri" w:cs="Calibri"/>
          <w:color w:val="000000" w:themeColor="text1"/>
          <w:sz w:val="21"/>
          <w:szCs w:val="21"/>
        </w:rPr>
        <w:t xml:space="preserve">, and </w:t>
      </w:r>
      <w:proofErr w:type="spellStart"/>
      <w:r w:rsidRPr="00356BA5">
        <w:rPr>
          <w:rFonts w:ascii="Calibri" w:hAnsi="Calibri" w:cs="Calibri"/>
          <w:color w:val="000000" w:themeColor="text1"/>
          <w:sz w:val="21"/>
          <w:szCs w:val="21"/>
        </w:rPr>
        <w:t>Olasupo</w:t>
      </w:r>
      <w:proofErr w:type="spellEnd"/>
      <w:r w:rsidRPr="00356BA5">
        <w:rPr>
          <w:rFonts w:ascii="Calibri" w:hAnsi="Calibri" w:cs="Calibri"/>
          <w:color w:val="000000" w:themeColor="text1"/>
          <w:sz w:val="21"/>
          <w:szCs w:val="21"/>
        </w:rPr>
        <w:t xml:space="preserve"> </w:t>
      </w:r>
      <w:proofErr w:type="spellStart"/>
      <w:r w:rsidRPr="00356BA5">
        <w:rPr>
          <w:rFonts w:ascii="Calibri" w:hAnsi="Calibri" w:cs="Calibri"/>
          <w:color w:val="000000" w:themeColor="text1"/>
          <w:sz w:val="21"/>
          <w:szCs w:val="21"/>
        </w:rPr>
        <w:t>Olusi</w:t>
      </w:r>
      <w:proofErr w:type="spellEnd"/>
      <w:r w:rsidRPr="00356BA5">
        <w:rPr>
          <w:rFonts w:ascii="Calibri" w:hAnsi="Calibri" w:cs="Calibri"/>
          <w:color w:val="000000" w:themeColor="text1"/>
          <w:sz w:val="21"/>
          <w:szCs w:val="21"/>
        </w:rPr>
        <w:t xml:space="preserve"> (2013). </w:t>
      </w:r>
      <w:bookmarkEnd w:id="149"/>
      <w:r w:rsidRPr="00356BA5">
        <w:rPr>
          <w:rFonts w:ascii="Calibri" w:hAnsi="Calibri" w:cs="Calibri"/>
          <w:color w:val="000000" w:themeColor="text1"/>
          <w:sz w:val="21"/>
          <w:szCs w:val="21"/>
        </w:rPr>
        <w:t xml:space="preserve">“Drivers of firm-level productivity in Russia's manufacturing sector.” </w:t>
      </w:r>
      <w:r w:rsidRPr="00356BA5">
        <w:rPr>
          <w:rFonts w:ascii="Calibri" w:hAnsi="Calibri" w:cs="Calibri"/>
          <w:i/>
          <w:iCs/>
          <w:color w:val="000000" w:themeColor="text1"/>
          <w:sz w:val="21"/>
          <w:szCs w:val="21"/>
        </w:rPr>
        <w:t>Policy Research Working Paper 6572</w:t>
      </w:r>
      <w:r w:rsidRPr="00356BA5">
        <w:rPr>
          <w:rFonts w:ascii="Calibri" w:hAnsi="Calibri" w:cs="Calibri"/>
          <w:color w:val="000000" w:themeColor="text1"/>
          <w:sz w:val="21"/>
          <w:szCs w:val="21"/>
        </w:rPr>
        <w:t>. Washington, DC: World Bank.</w:t>
      </w:r>
    </w:p>
    <w:p w14:paraId="3103D8A9" w14:textId="04509C81" w:rsidR="00782226" w:rsidRDefault="00782226" w:rsidP="00FE3F3A">
      <w:pPr>
        <w:spacing w:after="0" w:line="240" w:lineRule="auto"/>
        <w:ind w:left="709" w:hanging="709"/>
        <w:contextualSpacing/>
        <w:jc w:val="left"/>
        <w:rPr>
          <w:rFonts w:ascii="Calibri" w:hAnsi="Calibri" w:cs="Calibri"/>
          <w:color w:val="000000" w:themeColor="text1"/>
          <w:sz w:val="21"/>
          <w:szCs w:val="21"/>
        </w:rPr>
      </w:pPr>
      <w:r>
        <w:rPr>
          <w:rFonts w:ascii="Calibri" w:hAnsi="Calibri" w:cs="Calibri"/>
          <w:color w:val="000000" w:themeColor="text1"/>
          <w:sz w:val="21"/>
          <w:szCs w:val="21"/>
        </w:rPr>
        <w:t xml:space="preserve">Bruhn, Miriam, Dean </w:t>
      </w:r>
      <w:proofErr w:type="spellStart"/>
      <w:r>
        <w:rPr>
          <w:rFonts w:ascii="Calibri" w:hAnsi="Calibri" w:cs="Calibri"/>
          <w:color w:val="000000" w:themeColor="text1"/>
          <w:sz w:val="21"/>
          <w:szCs w:val="21"/>
        </w:rPr>
        <w:t>Karlan</w:t>
      </w:r>
      <w:proofErr w:type="spellEnd"/>
      <w:r>
        <w:rPr>
          <w:rFonts w:ascii="Calibri" w:hAnsi="Calibri" w:cs="Calibri"/>
          <w:color w:val="000000" w:themeColor="text1"/>
          <w:sz w:val="21"/>
          <w:szCs w:val="21"/>
        </w:rPr>
        <w:t xml:space="preserve">, Antoinette </w:t>
      </w:r>
      <w:proofErr w:type="spellStart"/>
      <w:r>
        <w:rPr>
          <w:rFonts w:ascii="Calibri" w:hAnsi="Calibri" w:cs="Calibri"/>
          <w:color w:val="000000" w:themeColor="text1"/>
          <w:sz w:val="21"/>
          <w:szCs w:val="21"/>
        </w:rPr>
        <w:t>Schoar</w:t>
      </w:r>
      <w:proofErr w:type="spellEnd"/>
      <w:r>
        <w:rPr>
          <w:rFonts w:ascii="Calibri" w:hAnsi="Calibri" w:cs="Calibri"/>
          <w:color w:val="000000" w:themeColor="text1"/>
          <w:sz w:val="21"/>
          <w:szCs w:val="21"/>
        </w:rPr>
        <w:t xml:space="preserve"> (2018). </w:t>
      </w:r>
      <w:r w:rsidR="00FE3F3A">
        <w:rPr>
          <w:rFonts w:ascii="Calibri" w:hAnsi="Calibri" w:cs="Calibri"/>
          <w:color w:val="000000" w:themeColor="text1"/>
          <w:sz w:val="21"/>
          <w:szCs w:val="21"/>
        </w:rPr>
        <w:t xml:space="preserve">“The impact of consulting services on small and medium enterprises: Evidence from a randomized trial in Mexico.” </w:t>
      </w:r>
      <w:r w:rsidRPr="00FE3F3A">
        <w:rPr>
          <w:rFonts w:ascii="Calibri" w:hAnsi="Calibri" w:cs="Calibri"/>
          <w:i/>
          <w:iCs/>
          <w:color w:val="000000" w:themeColor="text1"/>
          <w:sz w:val="21"/>
          <w:szCs w:val="21"/>
        </w:rPr>
        <w:t>Journal of Political Economy</w:t>
      </w:r>
      <w:r>
        <w:rPr>
          <w:rFonts w:ascii="Calibri" w:hAnsi="Calibri" w:cs="Calibri"/>
          <w:color w:val="000000" w:themeColor="text1"/>
          <w:sz w:val="21"/>
          <w:szCs w:val="21"/>
        </w:rPr>
        <w:t>, 126 (2)</w:t>
      </w:r>
    </w:p>
    <w:p w14:paraId="3950C44B" w14:textId="46832A8A" w:rsidR="00B42E95" w:rsidRPr="00356BA5" w:rsidRDefault="00B25F04"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color w:val="000000" w:themeColor="text1"/>
          <w:sz w:val="21"/>
          <w:szCs w:val="21"/>
        </w:rPr>
        <w:t>Chernykh</w:t>
      </w:r>
      <w:proofErr w:type="spellEnd"/>
      <w:r w:rsidRPr="00356BA5">
        <w:rPr>
          <w:rFonts w:ascii="Calibri" w:hAnsi="Calibri" w:cs="Calibri"/>
          <w:color w:val="000000" w:themeColor="text1"/>
          <w:sz w:val="21"/>
          <w:szCs w:val="21"/>
        </w:rPr>
        <w:t xml:space="preserve">, Lucy (2011). “Profit or politics? Understanding </w:t>
      </w:r>
      <w:proofErr w:type="spellStart"/>
      <w:r w:rsidRPr="00356BA5">
        <w:rPr>
          <w:rFonts w:ascii="Calibri" w:hAnsi="Calibri" w:cs="Calibri"/>
          <w:color w:val="000000" w:themeColor="text1"/>
          <w:sz w:val="21"/>
          <w:szCs w:val="21"/>
        </w:rPr>
        <w:t>renationalizations</w:t>
      </w:r>
      <w:proofErr w:type="spellEnd"/>
      <w:r w:rsidRPr="00356BA5">
        <w:rPr>
          <w:rFonts w:ascii="Calibri" w:hAnsi="Calibri" w:cs="Calibri"/>
          <w:color w:val="000000" w:themeColor="text1"/>
          <w:sz w:val="21"/>
          <w:szCs w:val="21"/>
        </w:rPr>
        <w:t xml:space="preserve"> in Russia.” </w:t>
      </w:r>
      <w:r w:rsidRPr="00356BA5">
        <w:rPr>
          <w:rFonts w:ascii="Calibri" w:hAnsi="Calibri" w:cs="Calibri"/>
          <w:i/>
          <w:color w:val="000000" w:themeColor="text1"/>
          <w:sz w:val="21"/>
          <w:szCs w:val="21"/>
        </w:rPr>
        <w:t>Journal of Corporate Finance</w:t>
      </w:r>
      <w:r w:rsidRPr="00356BA5">
        <w:rPr>
          <w:rFonts w:ascii="Calibri" w:hAnsi="Calibri" w:cs="Calibri"/>
          <w:color w:val="000000" w:themeColor="text1"/>
          <w:sz w:val="21"/>
          <w:szCs w:val="21"/>
        </w:rPr>
        <w:t>, 17: 1237–1253.</w:t>
      </w:r>
    </w:p>
    <w:p w14:paraId="551218FC" w14:textId="11BA7615" w:rsidR="00B42E95" w:rsidRPr="00356BA5" w:rsidRDefault="00B42E95"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 xml:space="preserve">Cirera &amp; Maloney (2017). </w:t>
      </w:r>
      <w:r w:rsidRPr="00356BA5">
        <w:rPr>
          <w:rFonts w:ascii="Calibri" w:hAnsi="Calibri" w:cs="Calibri"/>
          <w:i/>
          <w:iCs/>
          <w:sz w:val="21"/>
          <w:szCs w:val="21"/>
          <w:lang w:eastAsia="en-US"/>
        </w:rPr>
        <w:t>The Innovation Paradox: Developing-Country Capabilities and the Unrealized Promise of Technological Catch-Up</w:t>
      </w:r>
      <w:r w:rsidRPr="00356BA5">
        <w:rPr>
          <w:rFonts w:ascii="Calibri" w:hAnsi="Calibri" w:cs="Calibri"/>
          <w:sz w:val="21"/>
          <w:szCs w:val="21"/>
          <w:lang w:eastAsia="en-US"/>
        </w:rPr>
        <w:t>. World Bank</w:t>
      </w:r>
    </w:p>
    <w:p w14:paraId="72DFDE8B" w14:textId="77777777" w:rsidR="006311DE" w:rsidRPr="00356BA5" w:rsidRDefault="006311DE"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Cusolito, Ana Paula and Hernan Winkler (2017). “Productivity growth and convergence in Russia: A dynamic firm-level diagnostic.” Working paper, World Bank.</w:t>
      </w:r>
    </w:p>
    <w:p w14:paraId="14E9C2F3" w14:textId="1F6AE7CC" w:rsidR="00975330" w:rsidRPr="00356BA5" w:rsidRDefault="00B25F04"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rPr>
        <w:t xml:space="preserve">Gershman, Mikhail </w:t>
      </w:r>
      <w:r w:rsidR="00467915" w:rsidRPr="00356BA5">
        <w:rPr>
          <w:rFonts w:ascii="Calibri" w:hAnsi="Calibri" w:cs="Calibri"/>
          <w:sz w:val="21"/>
          <w:szCs w:val="21"/>
        </w:rPr>
        <w:t xml:space="preserve">and </w:t>
      </w:r>
      <w:r w:rsidRPr="00356BA5">
        <w:rPr>
          <w:rFonts w:ascii="Calibri" w:hAnsi="Calibri" w:cs="Calibri"/>
          <w:sz w:val="21"/>
          <w:szCs w:val="21"/>
        </w:rPr>
        <w:t xml:space="preserve">Thomas </w:t>
      </w:r>
      <w:proofErr w:type="spellStart"/>
      <w:r w:rsidRPr="00356BA5">
        <w:rPr>
          <w:rFonts w:ascii="Calibri" w:hAnsi="Calibri" w:cs="Calibri"/>
          <w:sz w:val="21"/>
          <w:szCs w:val="21"/>
        </w:rPr>
        <w:t>Thumer</w:t>
      </w:r>
      <w:proofErr w:type="spellEnd"/>
      <w:r w:rsidRPr="00356BA5">
        <w:rPr>
          <w:rFonts w:ascii="Calibri" w:hAnsi="Calibri" w:cs="Calibri"/>
          <w:sz w:val="21"/>
          <w:szCs w:val="21"/>
        </w:rPr>
        <w:t xml:space="preserve"> (2016) “New development: state-owned enterprises as powerhouses for innovation in Russia.” </w:t>
      </w:r>
      <w:r w:rsidRPr="00356BA5">
        <w:rPr>
          <w:rFonts w:ascii="Calibri" w:hAnsi="Calibri" w:cs="Calibri"/>
          <w:i/>
          <w:iCs/>
          <w:sz w:val="21"/>
          <w:szCs w:val="21"/>
        </w:rPr>
        <w:t>Public Money &amp; Management</w:t>
      </w:r>
      <w:r w:rsidRPr="00356BA5">
        <w:rPr>
          <w:rFonts w:ascii="Calibri" w:hAnsi="Calibri" w:cs="Calibri"/>
          <w:sz w:val="21"/>
          <w:szCs w:val="21"/>
        </w:rPr>
        <w:t xml:space="preserve">, 36 (4).  </w:t>
      </w:r>
    </w:p>
    <w:p w14:paraId="678AAF4D" w14:textId="65A18023" w:rsidR="00B23379" w:rsidRDefault="00B23379" w:rsidP="00B23379">
      <w:pPr>
        <w:spacing w:after="0" w:line="240" w:lineRule="auto"/>
        <w:ind w:left="709" w:hanging="709"/>
        <w:contextualSpacing/>
        <w:jc w:val="left"/>
        <w:rPr>
          <w:rFonts w:ascii="Calibri" w:hAnsi="Calibri" w:cs="Calibri"/>
          <w:sz w:val="21"/>
          <w:szCs w:val="21"/>
          <w:lang w:eastAsia="en-US"/>
        </w:rPr>
      </w:pPr>
      <w:proofErr w:type="spellStart"/>
      <w:r>
        <w:rPr>
          <w:rFonts w:ascii="Calibri" w:hAnsi="Calibri" w:cs="Calibri"/>
          <w:sz w:val="21"/>
          <w:szCs w:val="21"/>
          <w:lang w:eastAsia="en-US"/>
        </w:rPr>
        <w:t>Gimpelson</w:t>
      </w:r>
      <w:proofErr w:type="spellEnd"/>
      <w:r>
        <w:rPr>
          <w:rFonts w:ascii="Calibri" w:hAnsi="Calibri" w:cs="Calibri"/>
          <w:sz w:val="21"/>
          <w:szCs w:val="21"/>
          <w:lang w:eastAsia="en-US"/>
        </w:rPr>
        <w:t xml:space="preserve">, Vladimir, and Anna Lukyanova (2009). “Are public sector workers underpaid in Russia? Estimating the public-private wage gap.” </w:t>
      </w:r>
      <w:r w:rsidRPr="00F3559E">
        <w:rPr>
          <w:rFonts w:ascii="Calibri" w:hAnsi="Calibri" w:cs="Calibri"/>
          <w:i/>
          <w:iCs/>
          <w:sz w:val="21"/>
          <w:szCs w:val="21"/>
          <w:lang w:eastAsia="en-US"/>
        </w:rPr>
        <w:t>IZA Discussion Paper No. 3941</w:t>
      </w:r>
    </w:p>
    <w:p w14:paraId="6DA1F504" w14:textId="6B7DB8A4" w:rsidR="00B23379" w:rsidRPr="00EB1F16" w:rsidRDefault="00B23379" w:rsidP="00187A25">
      <w:pPr>
        <w:spacing w:after="0" w:line="240" w:lineRule="auto"/>
        <w:ind w:left="709" w:hanging="709"/>
        <w:contextualSpacing/>
        <w:jc w:val="left"/>
        <w:rPr>
          <w:rFonts w:ascii="Calibri" w:hAnsi="Calibri" w:cs="Calibri"/>
          <w:sz w:val="21"/>
          <w:szCs w:val="21"/>
          <w:lang w:eastAsia="en-US"/>
        </w:rPr>
      </w:pPr>
      <w:proofErr w:type="spellStart"/>
      <w:r>
        <w:rPr>
          <w:rFonts w:ascii="Calibri" w:hAnsi="Calibri" w:cs="Calibri"/>
          <w:sz w:val="21"/>
          <w:szCs w:val="21"/>
          <w:lang w:eastAsia="en-US"/>
        </w:rPr>
        <w:t>Gimpelson</w:t>
      </w:r>
      <w:proofErr w:type="spellEnd"/>
      <w:r>
        <w:rPr>
          <w:rFonts w:ascii="Calibri" w:hAnsi="Calibri" w:cs="Calibri"/>
          <w:sz w:val="21"/>
          <w:szCs w:val="21"/>
          <w:lang w:eastAsia="en-US"/>
        </w:rPr>
        <w:t xml:space="preserve">, Vladimir, Anna Lukyanova, and </w:t>
      </w:r>
      <w:r w:rsidR="008F5EF1">
        <w:rPr>
          <w:rFonts w:ascii="Calibri" w:hAnsi="Calibri" w:cs="Calibri"/>
          <w:sz w:val="21"/>
          <w:szCs w:val="21"/>
          <w:lang w:eastAsia="en-US"/>
        </w:rPr>
        <w:t xml:space="preserve">Anna </w:t>
      </w:r>
      <w:proofErr w:type="spellStart"/>
      <w:r w:rsidR="008F5EF1">
        <w:rPr>
          <w:rFonts w:ascii="Calibri" w:hAnsi="Calibri" w:cs="Calibri"/>
          <w:sz w:val="21"/>
          <w:szCs w:val="21"/>
          <w:lang w:eastAsia="en-US"/>
        </w:rPr>
        <w:t>Sharunina</w:t>
      </w:r>
      <w:proofErr w:type="spellEnd"/>
      <w:r w:rsidR="008F5EF1">
        <w:rPr>
          <w:rFonts w:ascii="Calibri" w:hAnsi="Calibri" w:cs="Calibri"/>
          <w:sz w:val="21"/>
          <w:szCs w:val="21"/>
          <w:lang w:eastAsia="en-US"/>
        </w:rPr>
        <w:t xml:space="preserve"> (2015). “Estimating the public-private wage gap in Russia: What does quantile regression tell us?” </w:t>
      </w:r>
      <w:r w:rsidR="008F5EF1" w:rsidRPr="00F3559E">
        <w:rPr>
          <w:rFonts w:ascii="Calibri" w:hAnsi="Calibri" w:cs="Calibri"/>
          <w:i/>
          <w:iCs/>
          <w:sz w:val="21"/>
          <w:szCs w:val="21"/>
          <w:lang w:eastAsia="en-US"/>
        </w:rPr>
        <w:t>Basic Research Program Working Paper 104/EC/2015</w:t>
      </w:r>
      <w:r w:rsidR="00EB1F16">
        <w:rPr>
          <w:rFonts w:ascii="Calibri" w:hAnsi="Calibri" w:cs="Calibri"/>
          <w:sz w:val="21"/>
          <w:szCs w:val="21"/>
          <w:lang w:eastAsia="en-US"/>
        </w:rPr>
        <w:t>, Higher School of Economics, Russia.</w:t>
      </w:r>
    </w:p>
    <w:p w14:paraId="7BD8C1CA" w14:textId="79417AA8" w:rsidR="00026A5C" w:rsidRPr="00356BA5" w:rsidRDefault="00026A5C"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 xml:space="preserve">Grossman, A., I. </w:t>
      </w:r>
      <w:proofErr w:type="spellStart"/>
      <w:r w:rsidRPr="00356BA5">
        <w:rPr>
          <w:rFonts w:ascii="Calibri" w:hAnsi="Calibri" w:cs="Calibri"/>
          <w:sz w:val="21"/>
          <w:szCs w:val="21"/>
          <w:lang w:eastAsia="en-US"/>
        </w:rPr>
        <w:t>Okhmatovskuy</w:t>
      </w:r>
      <w:proofErr w:type="spellEnd"/>
      <w:r w:rsidRPr="00356BA5">
        <w:rPr>
          <w:rFonts w:ascii="Calibri" w:hAnsi="Calibri" w:cs="Calibri"/>
          <w:sz w:val="21"/>
          <w:szCs w:val="21"/>
          <w:lang w:eastAsia="en-US"/>
        </w:rPr>
        <w:t xml:space="preserve">, and M. Wright (2015). “State control and corporate governance in transition economies: 25 years on from 1989.” </w:t>
      </w:r>
      <w:r w:rsidR="0038327E" w:rsidRPr="00356BA5">
        <w:rPr>
          <w:rFonts w:ascii="Calibri" w:hAnsi="Calibri" w:cs="Calibri"/>
          <w:i/>
          <w:iCs/>
          <w:sz w:val="21"/>
          <w:szCs w:val="21"/>
          <w:lang w:eastAsia="en-US"/>
        </w:rPr>
        <w:t>Corporate Governance</w:t>
      </w:r>
      <w:r w:rsidR="0038327E" w:rsidRPr="00356BA5">
        <w:rPr>
          <w:rFonts w:ascii="Calibri" w:hAnsi="Calibri" w:cs="Calibri"/>
          <w:sz w:val="21"/>
          <w:szCs w:val="21"/>
          <w:lang w:eastAsia="en-US"/>
        </w:rPr>
        <w:t>, 24 (3)</w:t>
      </w:r>
    </w:p>
    <w:p w14:paraId="301960CD" w14:textId="0EF58415" w:rsidR="00975330" w:rsidRPr="00356BA5" w:rsidRDefault="00975330"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 xml:space="preserve">Grover, Arti, Denis Medvedev, and Ellen </w:t>
      </w:r>
      <w:proofErr w:type="spellStart"/>
      <w:r w:rsidRPr="00356BA5">
        <w:rPr>
          <w:rFonts w:ascii="Calibri" w:hAnsi="Calibri" w:cs="Calibri"/>
          <w:sz w:val="21"/>
          <w:szCs w:val="21"/>
          <w:lang w:eastAsia="en-US"/>
        </w:rPr>
        <w:t>Olafsen</w:t>
      </w:r>
      <w:proofErr w:type="spellEnd"/>
      <w:r w:rsidRPr="00356BA5">
        <w:rPr>
          <w:rFonts w:ascii="Calibri" w:hAnsi="Calibri" w:cs="Calibri"/>
          <w:sz w:val="21"/>
          <w:szCs w:val="21"/>
          <w:lang w:eastAsia="en-US"/>
        </w:rPr>
        <w:t xml:space="preserve"> (2018). </w:t>
      </w:r>
      <w:r w:rsidRPr="00356BA5">
        <w:rPr>
          <w:rFonts w:ascii="Calibri" w:hAnsi="Calibri" w:cs="Calibri"/>
          <w:i/>
          <w:iCs/>
          <w:sz w:val="21"/>
          <w:szCs w:val="21"/>
          <w:lang w:eastAsia="en-US"/>
        </w:rPr>
        <w:t>High-Growing Firms: Facts, Fiction, and Policy Options for Emerging Economies</w:t>
      </w:r>
      <w:r w:rsidRPr="00356BA5">
        <w:rPr>
          <w:rFonts w:ascii="Calibri" w:hAnsi="Calibri" w:cs="Calibri"/>
          <w:sz w:val="21"/>
          <w:szCs w:val="21"/>
          <w:lang w:eastAsia="en-US"/>
        </w:rPr>
        <w:t xml:space="preserve">. World Bank </w:t>
      </w:r>
    </w:p>
    <w:p w14:paraId="3BC113C6" w14:textId="77777777" w:rsidR="006311DE" w:rsidRPr="00356BA5" w:rsidRDefault="0017727B"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color w:val="000000" w:themeColor="text1"/>
          <w:sz w:val="21"/>
          <w:szCs w:val="21"/>
        </w:rPr>
        <w:t>Gurkov</w:t>
      </w:r>
      <w:proofErr w:type="spellEnd"/>
      <w:r w:rsidRPr="00356BA5">
        <w:rPr>
          <w:rFonts w:ascii="Calibri" w:hAnsi="Calibri" w:cs="Calibri"/>
          <w:color w:val="000000" w:themeColor="text1"/>
          <w:sz w:val="21"/>
          <w:szCs w:val="21"/>
        </w:rPr>
        <w:t xml:space="preserve">, Igor (2014). “Management practices in Russian manufacturing subsidiaries of foreign multinational corporations.” </w:t>
      </w:r>
      <w:r w:rsidRPr="00356BA5">
        <w:rPr>
          <w:rFonts w:ascii="Calibri" w:hAnsi="Calibri" w:cs="Calibri"/>
          <w:i/>
          <w:iCs/>
          <w:color w:val="000000" w:themeColor="text1"/>
          <w:sz w:val="21"/>
          <w:szCs w:val="21"/>
        </w:rPr>
        <w:t>Post-Communist Economies</w:t>
      </w:r>
      <w:r w:rsidRPr="00356BA5">
        <w:rPr>
          <w:rFonts w:ascii="Calibri" w:hAnsi="Calibri" w:cs="Calibri"/>
          <w:color w:val="000000" w:themeColor="text1"/>
          <w:sz w:val="21"/>
          <w:szCs w:val="21"/>
        </w:rPr>
        <w:t>, 26 (2).</w:t>
      </w:r>
    </w:p>
    <w:p w14:paraId="76462787" w14:textId="77777777" w:rsidR="002863EC" w:rsidRPr="00356BA5" w:rsidRDefault="0017727B" w:rsidP="00187A25">
      <w:pPr>
        <w:spacing w:after="0" w:line="240" w:lineRule="auto"/>
        <w:ind w:left="709" w:hanging="709"/>
        <w:contextualSpacing/>
        <w:jc w:val="left"/>
        <w:rPr>
          <w:rFonts w:ascii="Calibri" w:hAnsi="Calibri" w:cs="Calibri"/>
          <w:color w:val="000000" w:themeColor="text1"/>
          <w:sz w:val="21"/>
          <w:szCs w:val="21"/>
        </w:rPr>
      </w:pPr>
      <w:proofErr w:type="spellStart"/>
      <w:r w:rsidRPr="00356BA5">
        <w:rPr>
          <w:rFonts w:ascii="Calibri" w:hAnsi="Calibri" w:cs="Calibri"/>
          <w:color w:val="000000" w:themeColor="text1"/>
          <w:sz w:val="21"/>
          <w:szCs w:val="21"/>
        </w:rPr>
        <w:t>Gurkov</w:t>
      </w:r>
      <w:proofErr w:type="spellEnd"/>
      <w:r w:rsidRPr="00356BA5">
        <w:rPr>
          <w:rFonts w:ascii="Calibri" w:hAnsi="Calibri" w:cs="Calibri"/>
          <w:color w:val="000000" w:themeColor="text1"/>
          <w:sz w:val="21"/>
          <w:szCs w:val="21"/>
        </w:rPr>
        <w:t xml:space="preserve">, Igor (2015). “Human resource management in Russian manufacturing subsidiaries of multinational corporations.” </w:t>
      </w:r>
      <w:r w:rsidRPr="00356BA5">
        <w:rPr>
          <w:rFonts w:ascii="Calibri" w:hAnsi="Calibri" w:cs="Calibri"/>
          <w:i/>
          <w:iCs/>
          <w:color w:val="000000" w:themeColor="text1"/>
          <w:sz w:val="21"/>
          <w:szCs w:val="21"/>
        </w:rPr>
        <w:t>Post-Communist Economies</w:t>
      </w:r>
      <w:r w:rsidRPr="00356BA5">
        <w:rPr>
          <w:rFonts w:ascii="Calibri" w:hAnsi="Calibri" w:cs="Calibri"/>
          <w:color w:val="000000" w:themeColor="text1"/>
          <w:sz w:val="21"/>
          <w:szCs w:val="21"/>
        </w:rPr>
        <w:t>, 28 (3)</w:t>
      </w:r>
      <w:r w:rsidR="006311DE" w:rsidRPr="00356BA5">
        <w:rPr>
          <w:rFonts w:ascii="Calibri" w:hAnsi="Calibri" w:cs="Calibri"/>
          <w:color w:val="000000" w:themeColor="text1"/>
          <w:sz w:val="21"/>
          <w:szCs w:val="21"/>
        </w:rPr>
        <w:t>.</w:t>
      </w:r>
    </w:p>
    <w:p w14:paraId="51C06773" w14:textId="77777777" w:rsidR="002863EC" w:rsidRPr="00356BA5" w:rsidRDefault="002863EC" w:rsidP="00187A25">
      <w:pPr>
        <w:spacing w:after="0" w:line="240" w:lineRule="auto"/>
        <w:ind w:left="709" w:hanging="709"/>
        <w:contextualSpacing/>
        <w:jc w:val="left"/>
        <w:rPr>
          <w:rFonts w:ascii="Calibri" w:hAnsi="Calibri" w:cs="Calibri"/>
          <w:color w:val="000000" w:themeColor="text1"/>
          <w:sz w:val="21"/>
          <w:szCs w:val="21"/>
        </w:rPr>
      </w:pPr>
      <w:r w:rsidRPr="00356BA5">
        <w:rPr>
          <w:rFonts w:ascii="Calibri" w:hAnsi="Calibri" w:cs="Calibri"/>
          <w:sz w:val="21"/>
          <w:szCs w:val="21"/>
        </w:rPr>
        <w:t xml:space="preserve">IMF (2018). </w:t>
      </w:r>
      <w:r w:rsidRPr="00356BA5">
        <w:rPr>
          <w:rFonts w:ascii="Calibri" w:hAnsi="Calibri" w:cs="Calibri"/>
          <w:i/>
          <w:iCs/>
          <w:sz w:val="21"/>
          <w:szCs w:val="21"/>
        </w:rPr>
        <w:t>Russia Staff Report: 17 July 2018</w:t>
      </w:r>
      <w:r w:rsidRPr="00356BA5">
        <w:rPr>
          <w:rFonts w:ascii="Calibri" w:hAnsi="Calibri" w:cs="Calibri"/>
          <w:sz w:val="21"/>
          <w:szCs w:val="21"/>
        </w:rPr>
        <w:t xml:space="preserve">. International Monetary Fund, Washington DC </w:t>
      </w:r>
    </w:p>
    <w:p w14:paraId="4F339106" w14:textId="258DF36D" w:rsidR="004B57E6" w:rsidRPr="00356BA5" w:rsidRDefault="00C56953" w:rsidP="00187A25">
      <w:pPr>
        <w:spacing w:after="0" w:line="240" w:lineRule="auto"/>
        <w:ind w:left="709" w:hanging="709"/>
        <w:contextualSpacing/>
        <w:jc w:val="left"/>
        <w:rPr>
          <w:rFonts w:ascii="Calibri" w:hAnsi="Calibri" w:cs="Calibri"/>
          <w:color w:val="000000" w:themeColor="text1"/>
          <w:sz w:val="21"/>
          <w:szCs w:val="21"/>
        </w:rPr>
      </w:pPr>
      <w:proofErr w:type="spellStart"/>
      <w:r w:rsidRPr="00356BA5">
        <w:rPr>
          <w:rFonts w:ascii="Calibri" w:hAnsi="Calibri" w:cs="Calibri"/>
          <w:sz w:val="21"/>
          <w:szCs w:val="21"/>
        </w:rPr>
        <w:t>Klepikova</w:t>
      </w:r>
      <w:proofErr w:type="spellEnd"/>
      <w:r w:rsidR="002E3DDA" w:rsidRPr="00356BA5">
        <w:rPr>
          <w:rFonts w:ascii="Calibri" w:hAnsi="Calibri" w:cs="Calibri"/>
          <w:sz w:val="21"/>
          <w:szCs w:val="21"/>
        </w:rPr>
        <w:t>,</w:t>
      </w:r>
      <w:r w:rsidRPr="00356BA5">
        <w:rPr>
          <w:rFonts w:ascii="Calibri" w:hAnsi="Calibri" w:cs="Calibri"/>
          <w:sz w:val="21"/>
          <w:szCs w:val="21"/>
        </w:rPr>
        <w:t xml:space="preserve"> E</w:t>
      </w:r>
      <w:r w:rsidR="002E3DDA" w:rsidRPr="00356BA5">
        <w:rPr>
          <w:rFonts w:ascii="Calibri" w:hAnsi="Calibri" w:cs="Calibri"/>
          <w:sz w:val="21"/>
          <w:szCs w:val="21"/>
        </w:rPr>
        <w:t>katerina</w:t>
      </w:r>
      <w:r w:rsidRPr="00356BA5">
        <w:rPr>
          <w:rFonts w:ascii="Calibri" w:hAnsi="Calibri" w:cs="Calibri"/>
          <w:sz w:val="21"/>
          <w:szCs w:val="21"/>
        </w:rPr>
        <w:t xml:space="preserve"> (2016). </w:t>
      </w:r>
      <w:r w:rsidR="005255E0" w:rsidRPr="00356BA5">
        <w:rPr>
          <w:rFonts w:ascii="Calibri" w:hAnsi="Calibri" w:cs="Calibri"/>
          <w:sz w:val="21"/>
          <w:szCs w:val="21"/>
        </w:rPr>
        <w:t>“</w:t>
      </w:r>
      <w:r w:rsidRPr="00356BA5">
        <w:rPr>
          <w:rFonts w:ascii="Calibri" w:hAnsi="Calibri" w:cs="Calibri"/>
          <w:sz w:val="21"/>
          <w:szCs w:val="21"/>
        </w:rPr>
        <w:t>Mobility of Private and Public Sector Workers</w:t>
      </w:r>
      <w:r w:rsidR="005255E0" w:rsidRPr="00356BA5">
        <w:rPr>
          <w:rFonts w:ascii="Calibri" w:hAnsi="Calibri" w:cs="Calibri"/>
          <w:sz w:val="21"/>
          <w:szCs w:val="21"/>
        </w:rPr>
        <w:t>.”</w:t>
      </w:r>
      <w:r w:rsidRPr="00356BA5">
        <w:rPr>
          <w:rFonts w:ascii="Calibri" w:hAnsi="Calibri" w:cs="Calibri"/>
          <w:sz w:val="21"/>
          <w:szCs w:val="21"/>
        </w:rPr>
        <w:t xml:space="preserve"> </w:t>
      </w:r>
      <w:proofErr w:type="spellStart"/>
      <w:r w:rsidRPr="00356BA5">
        <w:rPr>
          <w:rFonts w:ascii="Calibri" w:hAnsi="Calibri" w:cs="Calibri"/>
          <w:i/>
          <w:sz w:val="21"/>
          <w:szCs w:val="21"/>
        </w:rPr>
        <w:t>Obschestvennye</w:t>
      </w:r>
      <w:proofErr w:type="spellEnd"/>
      <w:r w:rsidRPr="00356BA5">
        <w:rPr>
          <w:rFonts w:ascii="Calibri" w:hAnsi="Calibri" w:cs="Calibri"/>
          <w:i/>
          <w:sz w:val="21"/>
          <w:szCs w:val="21"/>
        </w:rPr>
        <w:t xml:space="preserve"> </w:t>
      </w:r>
      <w:proofErr w:type="spellStart"/>
      <w:r w:rsidRPr="00356BA5">
        <w:rPr>
          <w:rFonts w:ascii="Calibri" w:hAnsi="Calibri" w:cs="Calibri"/>
          <w:i/>
          <w:sz w:val="21"/>
          <w:szCs w:val="21"/>
        </w:rPr>
        <w:t>nauki</w:t>
      </w:r>
      <w:proofErr w:type="spellEnd"/>
      <w:r w:rsidRPr="00356BA5">
        <w:rPr>
          <w:rFonts w:ascii="Calibri" w:hAnsi="Calibri" w:cs="Calibri"/>
          <w:i/>
          <w:sz w:val="21"/>
          <w:szCs w:val="21"/>
        </w:rPr>
        <w:t xml:space="preserve"> i </w:t>
      </w:r>
      <w:proofErr w:type="spellStart"/>
      <w:r w:rsidRPr="00356BA5">
        <w:rPr>
          <w:rFonts w:ascii="Calibri" w:hAnsi="Calibri" w:cs="Calibri"/>
          <w:i/>
          <w:sz w:val="21"/>
          <w:szCs w:val="21"/>
        </w:rPr>
        <w:t>sovremennost</w:t>
      </w:r>
      <w:proofErr w:type="spellEnd"/>
      <w:r w:rsidRPr="00356BA5">
        <w:rPr>
          <w:rFonts w:ascii="Calibri" w:hAnsi="Calibri" w:cs="Calibri"/>
          <w:sz w:val="21"/>
          <w:szCs w:val="21"/>
        </w:rPr>
        <w:t xml:space="preserve"> [</w:t>
      </w:r>
      <w:r w:rsidRPr="00356BA5">
        <w:rPr>
          <w:rFonts w:ascii="Calibri" w:hAnsi="Calibri" w:cs="Calibri"/>
          <w:i/>
          <w:iCs/>
          <w:sz w:val="21"/>
          <w:szCs w:val="21"/>
        </w:rPr>
        <w:t>Social Sciences and Cont</w:t>
      </w:r>
      <w:r w:rsidR="005255E0" w:rsidRPr="00356BA5">
        <w:rPr>
          <w:rFonts w:ascii="Calibri" w:hAnsi="Calibri" w:cs="Calibri"/>
          <w:i/>
          <w:iCs/>
          <w:sz w:val="21"/>
          <w:szCs w:val="21"/>
        </w:rPr>
        <w:t>e</w:t>
      </w:r>
      <w:r w:rsidRPr="00356BA5">
        <w:rPr>
          <w:rFonts w:ascii="Calibri" w:hAnsi="Calibri" w:cs="Calibri"/>
          <w:i/>
          <w:iCs/>
          <w:sz w:val="21"/>
          <w:szCs w:val="21"/>
        </w:rPr>
        <w:t>mporary World</w:t>
      </w:r>
      <w:r w:rsidRPr="00356BA5">
        <w:rPr>
          <w:rFonts w:ascii="Calibri" w:hAnsi="Calibri" w:cs="Calibri"/>
          <w:sz w:val="21"/>
          <w:szCs w:val="21"/>
        </w:rPr>
        <w:t xml:space="preserve">], 3 </w:t>
      </w:r>
      <w:r w:rsidR="005255E0" w:rsidRPr="00356BA5">
        <w:rPr>
          <w:rFonts w:ascii="Calibri" w:hAnsi="Calibri" w:cs="Calibri"/>
          <w:i/>
          <w:iCs/>
          <w:sz w:val="21"/>
          <w:szCs w:val="21"/>
        </w:rPr>
        <w:t>[i</w:t>
      </w:r>
      <w:r w:rsidRPr="00356BA5">
        <w:rPr>
          <w:rFonts w:ascii="Calibri" w:hAnsi="Calibri" w:cs="Calibri"/>
          <w:i/>
          <w:iCs/>
          <w:sz w:val="21"/>
          <w:szCs w:val="21"/>
        </w:rPr>
        <w:t>n Russian</w:t>
      </w:r>
      <w:r w:rsidR="005255E0" w:rsidRPr="00356BA5">
        <w:rPr>
          <w:rFonts w:ascii="Calibri" w:hAnsi="Calibri" w:cs="Calibri"/>
          <w:i/>
          <w:iCs/>
          <w:sz w:val="21"/>
          <w:szCs w:val="21"/>
        </w:rPr>
        <w:t>]</w:t>
      </w:r>
      <w:r w:rsidR="004B57E6" w:rsidRPr="00356BA5">
        <w:rPr>
          <w:rFonts w:ascii="Calibri" w:hAnsi="Calibri" w:cs="Calibri"/>
          <w:sz w:val="21"/>
          <w:szCs w:val="21"/>
          <w:lang w:eastAsia="en-US"/>
        </w:rPr>
        <w:t xml:space="preserve"> </w:t>
      </w:r>
      <w:hyperlink r:id="rId59" w:history="1">
        <w:r w:rsidR="004B57E6" w:rsidRPr="00356BA5">
          <w:rPr>
            <w:rStyle w:val="Hyperlink"/>
            <w:sz w:val="21"/>
            <w:szCs w:val="21"/>
          </w:rPr>
          <w:t>http://ons.naukaran.com/stati/mobilnost-rabotnikov-chastnogo-i-gosudarstvennogo-sektorov-/</w:t>
        </w:r>
      </w:hyperlink>
      <w:r w:rsidR="002E3DDA" w:rsidRPr="00356BA5">
        <w:rPr>
          <w:sz w:val="21"/>
          <w:szCs w:val="21"/>
        </w:rPr>
        <w:t xml:space="preserve"> </w:t>
      </w:r>
    </w:p>
    <w:p w14:paraId="14C823A7" w14:textId="012FB78A" w:rsidR="004B57E6" w:rsidRPr="00356BA5" w:rsidRDefault="00C56953"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sz w:val="21"/>
          <w:szCs w:val="21"/>
        </w:rPr>
        <w:t>Kovaleva</w:t>
      </w:r>
      <w:proofErr w:type="spellEnd"/>
      <w:r w:rsidRPr="00356BA5">
        <w:rPr>
          <w:rFonts w:ascii="Calibri" w:hAnsi="Calibri" w:cs="Calibri"/>
          <w:sz w:val="21"/>
          <w:szCs w:val="21"/>
        </w:rPr>
        <w:t xml:space="preserve">, Elena, Anton Volkov, Sofia </w:t>
      </w:r>
      <w:proofErr w:type="spellStart"/>
      <w:r w:rsidRPr="00356BA5">
        <w:rPr>
          <w:rFonts w:ascii="Calibri" w:hAnsi="Calibri" w:cs="Calibri"/>
          <w:sz w:val="21"/>
          <w:szCs w:val="21"/>
        </w:rPr>
        <w:t>Malyh</w:t>
      </w:r>
      <w:proofErr w:type="spellEnd"/>
      <w:r w:rsidRPr="00356BA5">
        <w:rPr>
          <w:rFonts w:ascii="Calibri" w:hAnsi="Calibri" w:cs="Calibri"/>
          <w:sz w:val="21"/>
          <w:szCs w:val="21"/>
        </w:rPr>
        <w:t xml:space="preserve">, Elena </w:t>
      </w:r>
      <w:proofErr w:type="spellStart"/>
      <w:r w:rsidRPr="00356BA5">
        <w:rPr>
          <w:rFonts w:ascii="Calibri" w:hAnsi="Calibri" w:cs="Calibri"/>
          <w:sz w:val="21"/>
          <w:szCs w:val="21"/>
        </w:rPr>
        <w:t>Gerasimova</w:t>
      </w:r>
      <w:proofErr w:type="spellEnd"/>
      <w:r w:rsidR="00A16C25" w:rsidRPr="00356BA5">
        <w:rPr>
          <w:rFonts w:ascii="Calibri" w:hAnsi="Calibri" w:cs="Calibri"/>
          <w:sz w:val="21"/>
          <w:szCs w:val="21"/>
        </w:rPr>
        <w:t xml:space="preserve"> (2019)</w:t>
      </w:r>
      <w:r w:rsidRPr="00356BA5">
        <w:rPr>
          <w:rFonts w:ascii="Calibri" w:hAnsi="Calibri" w:cs="Calibri"/>
          <w:sz w:val="21"/>
          <w:szCs w:val="21"/>
        </w:rPr>
        <w:t xml:space="preserve">. “Public sector in the Russian economy.” Analytical Center for the Government of the Russian Federation, Bulletin on Competition Development, March 2019 </w:t>
      </w:r>
      <w:r w:rsidRPr="00356BA5">
        <w:rPr>
          <w:rFonts w:ascii="Calibri" w:hAnsi="Calibri" w:cs="Calibri"/>
          <w:i/>
          <w:iCs/>
          <w:sz w:val="21"/>
          <w:szCs w:val="21"/>
        </w:rPr>
        <w:t>[in Russian]</w:t>
      </w:r>
    </w:p>
    <w:p w14:paraId="27D37A4B" w14:textId="77777777" w:rsidR="002863EC" w:rsidRPr="00356BA5" w:rsidRDefault="00C56953"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Lukyanova, Anna (2019). “SOE employment practices in Russia: Background report.” Working paper, Higher School of Economics.</w:t>
      </w:r>
    </w:p>
    <w:p w14:paraId="3682EA5B" w14:textId="77777777" w:rsidR="002863EC" w:rsidRPr="00356BA5" w:rsidRDefault="00B42E95"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rPr>
        <w:t>OECD (2015). OECD Guidelines on Corporate Governance of State-Owned Enterprises. OECD Publishing, Paris.</w:t>
      </w:r>
    </w:p>
    <w:p w14:paraId="4747A176" w14:textId="7DC2815F" w:rsidR="002863EC" w:rsidRPr="00356BA5" w:rsidRDefault="00B42E95"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OECD</w:t>
      </w:r>
      <w:r w:rsidR="00187A25" w:rsidRPr="00356BA5">
        <w:rPr>
          <w:rFonts w:ascii="Calibri" w:hAnsi="Calibri" w:cs="Calibri"/>
          <w:sz w:val="21"/>
          <w:szCs w:val="21"/>
          <w:lang w:eastAsia="en-US"/>
        </w:rPr>
        <w:t xml:space="preserve"> </w:t>
      </w:r>
      <w:r w:rsidRPr="00356BA5">
        <w:rPr>
          <w:rFonts w:ascii="Calibri" w:hAnsi="Calibri" w:cs="Calibri"/>
          <w:sz w:val="21"/>
          <w:szCs w:val="21"/>
          <w:lang w:eastAsia="en-US"/>
        </w:rPr>
        <w:t xml:space="preserve">(2017). </w:t>
      </w:r>
      <w:r w:rsidRPr="00356BA5">
        <w:rPr>
          <w:rFonts w:ascii="Calibri" w:hAnsi="Calibri" w:cs="Calibri"/>
          <w:i/>
          <w:iCs/>
          <w:sz w:val="21"/>
          <w:szCs w:val="21"/>
          <w:lang w:eastAsia="en-US"/>
        </w:rPr>
        <w:t>The size and sectoral distribution of State-Owned Enterprises</w:t>
      </w:r>
      <w:r w:rsidRPr="00356BA5">
        <w:rPr>
          <w:rFonts w:ascii="Calibri" w:hAnsi="Calibri" w:cs="Calibri"/>
          <w:sz w:val="21"/>
          <w:szCs w:val="21"/>
          <w:lang w:eastAsia="en-US"/>
        </w:rPr>
        <w:t xml:space="preserve">. OECD Publishing, Paris. </w:t>
      </w:r>
      <w:hyperlink r:id="rId60" w:history="1">
        <w:r w:rsidRPr="00356BA5">
          <w:rPr>
            <w:rStyle w:val="Hyperlink"/>
            <w:rFonts w:ascii="Calibri" w:hAnsi="Calibri" w:cs="Calibri"/>
            <w:sz w:val="21"/>
            <w:szCs w:val="21"/>
          </w:rPr>
          <w:t>https://www.oecd.org/publications/the-size-and-sectoral-distribution-of-state-owned-enterprises-9789264280663-en.htm</w:t>
        </w:r>
      </w:hyperlink>
    </w:p>
    <w:p w14:paraId="2EDDBB8F" w14:textId="77777777" w:rsidR="002863EC" w:rsidRPr="00356BA5" w:rsidRDefault="00CE0702"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sz w:val="21"/>
          <w:szCs w:val="21"/>
          <w:lang w:eastAsia="en-US"/>
        </w:rPr>
        <w:t>Radygin</w:t>
      </w:r>
      <w:proofErr w:type="spellEnd"/>
      <w:r w:rsidRPr="00356BA5">
        <w:rPr>
          <w:rFonts w:ascii="Calibri" w:hAnsi="Calibri" w:cs="Calibri"/>
          <w:sz w:val="21"/>
          <w:szCs w:val="21"/>
          <w:lang w:eastAsia="en-US"/>
        </w:rPr>
        <w:t xml:space="preserve">, Alexander, Alexander Abramov, Maria </w:t>
      </w:r>
      <w:proofErr w:type="spellStart"/>
      <w:r w:rsidRPr="00356BA5">
        <w:rPr>
          <w:rFonts w:ascii="Calibri" w:hAnsi="Calibri" w:cs="Calibri"/>
          <w:sz w:val="21"/>
          <w:szCs w:val="21"/>
          <w:lang w:eastAsia="en-US"/>
        </w:rPr>
        <w:t>Chernova</w:t>
      </w:r>
      <w:proofErr w:type="spellEnd"/>
      <w:r w:rsidRPr="00356BA5">
        <w:rPr>
          <w:rFonts w:ascii="Calibri" w:hAnsi="Calibri" w:cs="Calibri"/>
          <w:sz w:val="21"/>
          <w:szCs w:val="21"/>
          <w:lang w:eastAsia="en-US"/>
        </w:rPr>
        <w:t xml:space="preserve"> (2019). “Privatization 30 years later: Scope and effectiveness of the public sector.” Research paper 19/3, RANEPA </w:t>
      </w:r>
      <w:r w:rsidRPr="00356BA5">
        <w:rPr>
          <w:rFonts w:ascii="Calibri" w:hAnsi="Calibri" w:cs="Calibri"/>
          <w:i/>
          <w:iCs/>
          <w:sz w:val="21"/>
          <w:szCs w:val="21"/>
        </w:rPr>
        <w:t>[in Russian]</w:t>
      </w:r>
    </w:p>
    <w:p w14:paraId="60935ADD" w14:textId="011CEAB8" w:rsidR="00984770" w:rsidRPr="00356BA5" w:rsidRDefault="00984770"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sz w:val="21"/>
          <w:szCs w:val="21"/>
          <w:lang w:eastAsia="en-US"/>
        </w:rPr>
        <w:t>Thurner</w:t>
      </w:r>
      <w:proofErr w:type="spellEnd"/>
      <w:r w:rsidRPr="00356BA5">
        <w:rPr>
          <w:rFonts w:ascii="Calibri" w:hAnsi="Calibri" w:cs="Calibri"/>
          <w:sz w:val="21"/>
          <w:szCs w:val="21"/>
          <w:lang w:eastAsia="en-US"/>
        </w:rPr>
        <w:t xml:space="preserve">, Thomas and Mikhail Gershman (2014). “Catching the runaway train: Innovation management in Russian Railways.” </w:t>
      </w:r>
      <w:r w:rsidRPr="00356BA5">
        <w:rPr>
          <w:rFonts w:ascii="Calibri" w:hAnsi="Calibri" w:cs="Calibri"/>
          <w:i/>
          <w:iCs/>
          <w:sz w:val="21"/>
          <w:szCs w:val="21"/>
          <w:lang w:eastAsia="en-US"/>
        </w:rPr>
        <w:t>Journal of Technology Management and Innovation</w:t>
      </w:r>
      <w:r w:rsidRPr="00356BA5">
        <w:rPr>
          <w:rFonts w:ascii="Calibri" w:hAnsi="Calibri" w:cs="Calibri"/>
          <w:sz w:val="21"/>
          <w:szCs w:val="21"/>
          <w:lang w:eastAsia="en-US"/>
        </w:rPr>
        <w:t>, 9 (3): 158-168.</w:t>
      </w:r>
    </w:p>
    <w:p w14:paraId="4B506922" w14:textId="59244C63" w:rsidR="00B42E95" w:rsidRPr="00356BA5" w:rsidRDefault="00B42E95" w:rsidP="00187A25">
      <w:pPr>
        <w:spacing w:after="0" w:line="240" w:lineRule="auto"/>
        <w:ind w:left="709" w:hanging="709"/>
        <w:contextualSpacing/>
        <w:jc w:val="left"/>
        <w:rPr>
          <w:rFonts w:ascii="Calibri" w:hAnsi="Calibri" w:cs="Calibri"/>
          <w:sz w:val="21"/>
          <w:szCs w:val="21"/>
          <w:lang w:eastAsia="en-US"/>
        </w:rPr>
      </w:pPr>
      <w:r w:rsidRPr="00356BA5">
        <w:rPr>
          <w:rFonts w:ascii="Calibri" w:hAnsi="Calibri" w:cs="Calibri"/>
          <w:sz w:val="21"/>
          <w:szCs w:val="21"/>
          <w:lang w:eastAsia="en-US"/>
        </w:rPr>
        <w:t xml:space="preserve">World Bank (2016). </w:t>
      </w:r>
      <w:r w:rsidRPr="00356BA5">
        <w:rPr>
          <w:rFonts w:ascii="Calibri" w:hAnsi="Calibri" w:cs="Calibri"/>
          <w:i/>
          <w:iCs/>
          <w:sz w:val="21"/>
          <w:szCs w:val="21"/>
          <w:lang w:eastAsia="en-US"/>
        </w:rPr>
        <w:t>Pathways to inclusive growth: The Russian Federation Systematic Country Diagnostic</w:t>
      </w:r>
      <w:r w:rsidRPr="00356BA5">
        <w:rPr>
          <w:rFonts w:ascii="Calibri" w:hAnsi="Calibri" w:cs="Calibri"/>
          <w:sz w:val="21"/>
          <w:szCs w:val="21"/>
          <w:lang w:eastAsia="en-US"/>
        </w:rPr>
        <w:t>. Washington DC.</w:t>
      </w:r>
    </w:p>
    <w:p w14:paraId="415857E1" w14:textId="5771FEFF" w:rsidR="00C04CE5" w:rsidRPr="00356BA5" w:rsidRDefault="00306F57" w:rsidP="00187A25">
      <w:pPr>
        <w:spacing w:after="0" w:line="240" w:lineRule="auto"/>
        <w:ind w:left="709" w:hanging="709"/>
        <w:contextualSpacing/>
        <w:jc w:val="left"/>
        <w:rPr>
          <w:rFonts w:ascii="Calibri" w:hAnsi="Calibri" w:cs="Calibri"/>
          <w:sz w:val="21"/>
          <w:szCs w:val="21"/>
          <w:lang w:eastAsia="en-US"/>
        </w:rPr>
      </w:pPr>
      <w:proofErr w:type="spellStart"/>
      <w:r w:rsidRPr="00356BA5">
        <w:rPr>
          <w:rFonts w:ascii="Calibri" w:hAnsi="Calibri" w:cs="Calibri"/>
          <w:color w:val="000000" w:themeColor="text1"/>
          <w:sz w:val="21"/>
          <w:szCs w:val="21"/>
        </w:rPr>
        <w:t>Zhuravleva</w:t>
      </w:r>
      <w:proofErr w:type="spellEnd"/>
      <w:r w:rsidRPr="00356BA5">
        <w:rPr>
          <w:rFonts w:ascii="Calibri" w:hAnsi="Calibri" w:cs="Calibri"/>
          <w:color w:val="000000" w:themeColor="text1"/>
          <w:sz w:val="21"/>
          <w:szCs w:val="21"/>
        </w:rPr>
        <w:t>, T</w:t>
      </w:r>
      <w:r w:rsidR="00EA1BFC" w:rsidRPr="00356BA5">
        <w:rPr>
          <w:rFonts w:ascii="Calibri" w:hAnsi="Calibri" w:cs="Calibri"/>
          <w:color w:val="000000" w:themeColor="text1"/>
          <w:sz w:val="21"/>
          <w:szCs w:val="21"/>
        </w:rPr>
        <w:t>atyana</w:t>
      </w:r>
      <w:r w:rsidRPr="00356BA5">
        <w:rPr>
          <w:rFonts w:ascii="Calibri" w:hAnsi="Calibri" w:cs="Calibri"/>
          <w:color w:val="000000" w:themeColor="text1"/>
          <w:sz w:val="21"/>
          <w:szCs w:val="21"/>
        </w:rPr>
        <w:t xml:space="preserve"> (2016). Fringe benefits and job security as an explanation of the huge private sector premium in Russia. </w:t>
      </w:r>
      <w:r w:rsidRPr="00356BA5">
        <w:rPr>
          <w:rFonts w:ascii="Calibri" w:hAnsi="Calibri" w:cs="Calibri"/>
          <w:i/>
          <w:color w:val="000000" w:themeColor="text1"/>
          <w:sz w:val="21"/>
          <w:szCs w:val="21"/>
        </w:rPr>
        <w:t>HSE Economic Journal</w:t>
      </w:r>
      <w:r w:rsidRPr="00356BA5">
        <w:rPr>
          <w:rFonts w:ascii="Calibri" w:hAnsi="Calibri" w:cs="Calibri"/>
          <w:color w:val="000000" w:themeColor="text1"/>
          <w:sz w:val="21"/>
          <w:szCs w:val="21"/>
        </w:rPr>
        <w:t xml:space="preserve">, 20(1): 76–99. </w:t>
      </w:r>
      <w:r w:rsidR="006F3AF9" w:rsidRPr="00356BA5">
        <w:rPr>
          <w:rFonts w:ascii="Calibri" w:hAnsi="Calibri" w:cs="Calibri"/>
          <w:sz w:val="21"/>
          <w:szCs w:val="21"/>
          <w:lang w:eastAsia="en-US"/>
        </w:rPr>
        <w:t xml:space="preserve"> </w:t>
      </w:r>
      <w:r w:rsidR="006F3AF9" w:rsidRPr="00356BA5">
        <w:rPr>
          <w:rFonts w:ascii="Calibri" w:hAnsi="Calibri" w:cs="Calibri"/>
          <w:i/>
          <w:iCs/>
          <w:sz w:val="21"/>
          <w:szCs w:val="21"/>
        </w:rPr>
        <w:t>[in Russian]</w:t>
      </w:r>
    </w:p>
    <w:p w14:paraId="69411FA1" w14:textId="22A66BBC" w:rsidR="00BF5E96" w:rsidRDefault="00BF5E96" w:rsidP="00187A25">
      <w:pPr>
        <w:spacing w:after="0" w:line="240" w:lineRule="auto"/>
        <w:contextualSpacing/>
        <w:jc w:val="left"/>
        <w:rPr>
          <w:rFonts w:ascii="Calibri" w:hAnsi="Calibri" w:cs="Calibri"/>
          <w:sz w:val="20"/>
          <w:szCs w:val="20"/>
          <w:lang w:eastAsia="en-US"/>
        </w:rPr>
      </w:pPr>
    </w:p>
    <w:p w14:paraId="657FD2ED" w14:textId="73CBC0CF" w:rsidR="00521EB1" w:rsidRDefault="00521EB1" w:rsidP="00187A25">
      <w:pPr>
        <w:spacing w:after="0" w:line="240" w:lineRule="auto"/>
        <w:contextualSpacing/>
        <w:jc w:val="left"/>
        <w:rPr>
          <w:rFonts w:ascii="Calibri" w:hAnsi="Calibri" w:cs="Calibri"/>
          <w:sz w:val="20"/>
          <w:szCs w:val="20"/>
          <w:lang w:eastAsia="en-US"/>
        </w:rPr>
      </w:pPr>
    </w:p>
    <w:p w14:paraId="6AB0C8EC" w14:textId="77777777" w:rsidR="00521EB1" w:rsidRPr="002863EC" w:rsidRDefault="00521EB1" w:rsidP="00187A25">
      <w:pPr>
        <w:spacing w:after="0" w:line="240" w:lineRule="auto"/>
        <w:contextualSpacing/>
        <w:jc w:val="left"/>
        <w:rPr>
          <w:rFonts w:ascii="Calibri" w:hAnsi="Calibri" w:cs="Calibri"/>
          <w:sz w:val="20"/>
          <w:szCs w:val="20"/>
          <w:lang w:eastAsia="en-US"/>
        </w:rPr>
      </w:pPr>
    </w:p>
    <w:p w14:paraId="5A75DB37" w14:textId="12BC1BEC" w:rsidR="00126FE7" w:rsidRPr="00356BA5" w:rsidRDefault="00703F14" w:rsidP="00CE1189">
      <w:pPr>
        <w:spacing w:after="0" w:line="240" w:lineRule="auto"/>
        <w:contextualSpacing/>
        <w:rPr>
          <w:rFonts w:ascii="Calibri" w:hAnsi="Calibri" w:cs="Calibri"/>
          <w:b/>
          <w:bCs/>
          <w:lang w:eastAsia="en-US"/>
        </w:rPr>
      </w:pPr>
      <w:r>
        <w:rPr>
          <w:rFonts w:ascii="Calibri" w:hAnsi="Calibri" w:cs="Calibri"/>
          <w:b/>
          <w:bCs/>
          <w:lang w:eastAsia="en-US"/>
        </w:rPr>
        <w:t xml:space="preserve">Legal documents </w:t>
      </w:r>
      <w:r w:rsidR="00B23379">
        <w:rPr>
          <w:rFonts w:ascii="Calibri" w:hAnsi="Calibri" w:cs="Calibri"/>
          <w:b/>
          <w:bCs/>
          <w:lang w:eastAsia="en-US"/>
        </w:rPr>
        <w:t>consulted</w:t>
      </w:r>
    </w:p>
    <w:p w14:paraId="4C1FE39B" w14:textId="5BDBC48D" w:rsidR="00356BA5" w:rsidRDefault="00356BA5" w:rsidP="00CE1189">
      <w:pPr>
        <w:spacing w:after="0" w:line="240" w:lineRule="auto"/>
        <w:contextualSpacing/>
        <w:rPr>
          <w:rFonts w:ascii="Calibri" w:hAnsi="Calibri" w:cs="Calibri"/>
          <w:sz w:val="20"/>
          <w:szCs w:val="20"/>
          <w:lang w:eastAsia="en-US"/>
        </w:rPr>
      </w:pPr>
    </w:p>
    <w:p w14:paraId="0395FA1D" w14:textId="77777777" w:rsidR="00356BA5" w:rsidRPr="00BC206A" w:rsidRDefault="00356BA5" w:rsidP="00BC206A">
      <w:pPr>
        <w:spacing w:after="160" w:line="259" w:lineRule="auto"/>
        <w:jc w:val="left"/>
        <w:rPr>
          <w:i/>
          <w:iCs/>
        </w:rPr>
      </w:pPr>
      <w:r w:rsidRPr="00BC206A">
        <w:rPr>
          <w:i/>
          <w:iCs/>
        </w:rPr>
        <w:t>Civil Code of the Russian Federation</w:t>
      </w:r>
    </w:p>
    <w:p w14:paraId="2BA8DC5D" w14:textId="77777777" w:rsidR="00356BA5" w:rsidRPr="00BC206A" w:rsidRDefault="00356BA5" w:rsidP="00BC206A">
      <w:pPr>
        <w:spacing w:after="160" w:line="259" w:lineRule="auto"/>
        <w:jc w:val="left"/>
        <w:rPr>
          <w:i/>
          <w:iCs/>
        </w:rPr>
      </w:pPr>
      <w:r w:rsidRPr="00BC206A">
        <w:rPr>
          <w:i/>
          <w:iCs/>
        </w:rPr>
        <w:t>Labor Code of the Russian Federation</w:t>
      </w:r>
    </w:p>
    <w:p w14:paraId="081AAD9C" w14:textId="28D3D025" w:rsidR="00356BA5" w:rsidRPr="00162B63" w:rsidRDefault="00356BA5" w:rsidP="00BC206A">
      <w:pPr>
        <w:spacing w:after="160" w:line="259" w:lineRule="auto"/>
        <w:jc w:val="left"/>
      </w:pPr>
      <w:r w:rsidRPr="00BC206A">
        <w:rPr>
          <w:i/>
          <w:iCs/>
        </w:rPr>
        <w:t xml:space="preserve">Federal Law </w:t>
      </w:r>
      <w:r w:rsidR="00162B63">
        <w:rPr>
          <w:i/>
          <w:iCs/>
        </w:rPr>
        <w:t xml:space="preserve">No. 161 of 14 November 2002 </w:t>
      </w:r>
      <w:r w:rsidRPr="00BC206A">
        <w:rPr>
          <w:i/>
          <w:iCs/>
        </w:rPr>
        <w:t>on the state and municipal unitary enterprises</w:t>
      </w:r>
    </w:p>
    <w:p w14:paraId="0282FAA4" w14:textId="183ADDAB" w:rsidR="00356BA5" w:rsidRPr="00BC206A" w:rsidRDefault="00356BA5" w:rsidP="00BC206A">
      <w:pPr>
        <w:spacing w:after="160" w:line="259" w:lineRule="auto"/>
        <w:jc w:val="left"/>
        <w:rPr>
          <w:i/>
          <w:iCs/>
        </w:rPr>
      </w:pPr>
      <w:r w:rsidRPr="00BC206A">
        <w:rPr>
          <w:i/>
          <w:iCs/>
        </w:rPr>
        <w:t xml:space="preserve">Federal </w:t>
      </w:r>
      <w:r w:rsidR="00162B63">
        <w:rPr>
          <w:i/>
          <w:iCs/>
        </w:rPr>
        <w:t>L</w:t>
      </w:r>
      <w:r w:rsidRPr="00BC206A">
        <w:rPr>
          <w:i/>
          <w:iCs/>
        </w:rPr>
        <w:t xml:space="preserve">aw </w:t>
      </w:r>
      <w:r w:rsidR="00162B63">
        <w:rPr>
          <w:i/>
          <w:iCs/>
        </w:rPr>
        <w:t xml:space="preserve">No. 236 of 3 July 2016 </w:t>
      </w:r>
      <w:r w:rsidRPr="00BC206A">
        <w:rPr>
          <w:i/>
          <w:iCs/>
        </w:rPr>
        <w:t>on the public non- profit companies</w:t>
      </w:r>
    </w:p>
    <w:p w14:paraId="75D60532" w14:textId="29AD68AD" w:rsidR="00356BA5" w:rsidRPr="00BC206A" w:rsidRDefault="00356BA5" w:rsidP="00BC206A">
      <w:pPr>
        <w:spacing w:after="160" w:line="259" w:lineRule="auto"/>
        <w:jc w:val="left"/>
        <w:rPr>
          <w:i/>
          <w:iCs/>
        </w:rPr>
      </w:pPr>
      <w:r w:rsidRPr="00BC206A">
        <w:rPr>
          <w:i/>
          <w:iCs/>
        </w:rPr>
        <w:t xml:space="preserve">Federal </w:t>
      </w:r>
      <w:r w:rsidR="00162B63">
        <w:rPr>
          <w:i/>
          <w:iCs/>
        </w:rPr>
        <w:t>L</w:t>
      </w:r>
      <w:r w:rsidRPr="00BC206A">
        <w:rPr>
          <w:i/>
          <w:iCs/>
        </w:rPr>
        <w:t xml:space="preserve">aw </w:t>
      </w:r>
      <w:r w:rsidR="00162B63">
        <w:rPr>
          <w:i/>
          <w:iCs/>
        </w:rPr>
        <w:t xml:space="preserve">No. 208 of 26 December 1995 </w:t>
      </w:r>
      <w:r w:rsidRPr="00BC206A">
        <w:rPr>
          <w:i/>
          <w:iCs/>
        </w:rPr>
        <w:t>on Joint stock companies</w:t>
      </w:r>
    </w:p>
    <w:p w14:paraId="2E924208" w14:textId="0AEB62C6" w:rsidR="00356BA5" w:rsidRPr="00BC206A" w:rsidRDefault="00356BA5" w:rsidP="00BC206A">
      <w:pPr>
        <w:spacing w:after="160" w:line="259" w:lineRule="auto"/>
        <w:jc w:val="left"/>
        <w:rPr>
          <w:i/>
          <w:iCs/>
        </w:rPr>
      </w:pPr>
      <w:r w:rsidRPr="00BC206A">
        <w:rPr>
          <w:i/>
          <w:iCs/>
        </w:rPr>
        <w:t xml:space="preserve">Government Decree </w:t>
      </w:r>
      <w:r w:rsidR="00162B63">
        <w:rPr>
          <w:i/>
          <w:iCs/>
        </w:rPr>
        <w:t xml:space="preserve">No. </w:t>
      </w:r>
      <w:r w:rsidRPr="00BC206A">
        <w:rPr>
          <w:i/>
          <w:iCs/>
        </w:rPr>
        <w:t xml:space="preserve">738 </w:t>
      </w:r>
      <w:r w:rsidR="00162B63">
        <w:rPr>
          <w:i/>
          <w:iCs/>
        </w:rPr>
        <w:t xml:space="preserve">of 3 December </w:t>
      </w:r>
      <w:r w:rsidRPr="00BC206A">
        <w:rPr>
          <w:i/>
          <w:iCs/>
        </w:rPr>
        <w:t>2004 “On management of the shares of joint stock companies in the federal property and the golden share rule”.</w:t>
      </w:r>
    </w:p>
    <w:p w14:paraId="3BFC08D8" w14:textId="16959240" w:rsidR="00356BA5" w:rsidRPr="00BC206A" w:rsidRDefault="00356BA5" w:rsidP="00BC206A">
      <w:pPr>
        <w:spacing w:after="160" w:line="259" w:lineRule="auto"/>
        <w:jc w:val="left"/>
        <w:rPr>
          <w:i/>
          <w:iCs/>
        </w:rPr>
      </w:pPr>
      <w:r w:rsidRPr="00BC206A">
        <w:rPr>
          <w:i/>
          <w:iCs/>
        </w:rPr>
        <w:t xml:space="preserve">Government Decree </w:t>
      </w:r>
      <w:r w:rsidR="00F42A91">
        <w:rPr>
          <w:i/>
          <w:iCs/>
        </w:rPr>
        <w:t xml:space="preserve">No. </w:t>
      </w:r>
      <w:r w:rsidRPr="00BC206A">
        <w:rPr>
          <w:i/>
          <w:iCs/>
        </w:rPr>
        <w:t xml:space="preserve">1214 </w:t>
      </w:r>
      <w:r w:rsidR="00F42A91">
        <w:rPr>
          <w:i/>
          <w:iCs/>
        </w:rPr>
        <w:t xml:space="preserve">of </w:t>
      </w:r>
      <w:r w:rsidRPr="00BC206A">
        <w:rPr>
          <w:i/>
          <w:iCs/>
        </w:rPr>
        <w:t>31</w:t>
      </w:r>
      <w:r w:rsidR="00F42A91">
        <w:rPr>
          <w:i/>
          <w:iCs/>
        </w:rPr>
        <w:t xml:space="preserve"> December</w:t>
      </w:r>
      <w:r w:rsidRPr="00BC206A">
        <w:rPr>
          <w:i/>
          <w:iCs/>
        </w:rPr>
        <w:t xml:space="preserve"> 2010 “On improvement of management of joint stock companies, belonging to the Government, and federal unitary enterprises”.</w:t>
      </w:r>
    </w:p>
    <w:p w14:paraId="4EEC1B70" w14:textId="1D282350" w:rsidR="00356BA5" w:rsidRPr="00BC206A" w:rsidRDefault="00356BA5" w:rsidP="00BC206A">
      <w:pPr>
        <w:spacing w:after="160" w:line="259" w:lineRule="auto"/>
        <w:jc w:val="left"/>
        <w:rPr>
          <w:i/>
          <w:iCs/>
        </w:rPr>
      </w:pPr>
      <w:r w:rsidRPr="00BC206A">
        <w:rPr>
          <w:i/>
          <w:iCs/>
        </w:rPr>
        <w:t xml:space="preserve">Government Decree </w:t>
      </w:r>
      <w:r w:rsidR="00F42A91">
        <w:rPr>
          <w:i/>
          <w:iCs/>
        </w:rPr>
        <w:t>No.</w:t>
      </w:r>
      <w:r w:rsidRPr="00BC206A">
        <w:rPr>
          <w:i/>
          <w:iCs/>
        </w:rPr>
        <w:t xml:space="preserve"> 432 </w:t>
      </w:r>
      <w:r w:rsidR="00F42A91">
        <w:rPr>
          <w:i/>
          <w:iCs/>
        </w:rPr>
        <w:t xml:space="preserve">of </w:t>
      </w:r>
      <w:r w:rsidRPr="00BC206A">
        <w:rPr>
          <w:i/>
          <w:iCs/>
        </w:rPr>
        <w:t>05</w:t>
      </w:r>
      <w:r w:rsidR="00F42A91">
        <w:rPr>
          <w:i/>
          <w:iCs/>
        </w:rPr>
        <w:t xml:space="preserve"> June </w:t>
      </w:r>
      <w:r w:rsidRPr="00BC206A">
        <w:rPr>
          <w:i/>
          <w:iCs/>
        </w:rPr>
        <w:t>2008 “On the Federal agency of state property management”.</w:t>
      </w:r>
    </w:p>
    <w:p w14:paraId="52E570C7" w14:textId="5E044E1C" w:rsidR="00356BA5" w:rsidRPr="00BC206A" w:rsidRDefault="00356BA5" w:rsidP="00BC206A">
      <w:pPr>
        <w:spacing w:after="160" w:line="259" w:lineRule="auto"/>
        <w:jc w:val="left"/>
        <w:rPr>
          <w:i/>
          <w:iCs/>
        </w:rPr>
      </w:pPr>
      <w:r w:rsidRPr="00BC206A">
        <w:rPr>
          <w:i/>
          <w:iCs/>
        </w:rPr>
        <w:t xml:space="preserve">Government Order </w:t>
      </w:r>
      <w:r w:rsidR="00F42A91">
        <w:rPr>
          <w:i/>
          <w:iCs/>
        </w:rPr>
        <w:t xml:space="preserve">No. </w:t>
      </w:r>
      <w:r w:rsidRPr="00BC206A">
        <w:rPr>
          <w:i/>
          <w:iCs/>
        </w:rPr>
        <w:t>774-</w:t>
      </w:r>
      <w:r w:rsidRPr="00BC206A">
        <w:rPr>
          <w:i/>
          <w:iCs/>
          <w:lang w:val="ru-RU"/>
        </w:rPr>
        <w:t>р</w:t>
      </w:r>
      <w:r w:rsidRPr="00BC206A">
        <w:rPr>
          <w:i/>
          <w:iCs/>
        </w:rPr>
        <w:t xml:space="preserve"> </w:t>
      </w:r>
      <w:r w:rsidR="00F42A91">
        <w:rPr>
          <w:i/>
          <w:iCs/>
        </w:rPr>
        <w:t xml:space="preserve">of </w:t>
      </w:r>
      <w:r w:rsidRPr="00BC206A">
        <w:rPr>
          <w:i/>
          <w:iCs/>
        </w:rPr>
        <w:t>29</w:t>
      </w:r>
      <w:r w:rsidR="00F42A91">
        <w:rPr>
          <w:i/>
          <w:iCs/>
        </w:rPr>
        <w:t xml:space="preserve"> May </w:t>
      </w:r>
      <w:r w:rsidRPr="00BC206A">
        <w:rPr>
          <w:i/>
          <w:iCs/>
        </w:rPr>
        <w:t>2006 “On Government’s position as a shareholder in federally owned joint stock companies”.</w:t>
      </w:r>
    </w:p>
    <w:p w14:paraId="47245B02" w14:textId="03FD5E4F" w:rsidR="00356BA5" w:rsidRPr="00BC206A" w:rsidRDefault="00356BA5" w:rsidP="00BC206A">
      <w:pPr>
        <w:spacing w:after="160" w:line="259" w:lineRule="auto"/>
        <w:jc w:val="left"/>
        <w:rPr>
          <w:i/>
          <w:iCs/>
        </w:rPr>
      </w:pPr>
      <w:r w:rsidRPr="00BC206A">
        <w:rPr>
          <w:i/>
          <w:iCs/>
        </w:rPr>
        <w:t xml:space="preserve">Government Decree </w:t>
      </w:r>
      <w:r w:rsidR="00F42A91">
        <w:rPr>
          <w:i/>
          <w:iCs/>
        </w:rPr>
        <w:t xml:space="preserve">No. </w:t>
      </w:r>
      <w:r w:rsidRPr="00BC206A">
        <w:rPr>
          <w:i/>
          <w:iCs/>
        </w:rPr>
        <w:t xml:space="preserve">447 </w:t>
      </w:r>
      <w:r w:rsidR="00F42A91">
        <w:rPr>
          <w:i/>
          <w:iCs/>
        </w:rPr>
        <w:t xml:space="preserve">of </w:t>
      </w:r>
      <w:r w:rsidRPr="00BC206A">
        <w:rPr>
          <w:i/>
          <w:iCs/>
        </w:rPr>
        <w:t>16</w:t>
      </w:r>
      <w:r w:rsidR="00F42A91">
        <w:rPr>
          <w:i/>
          <w:iCs/>
        </w:rPr>
        <w:t xml:space="preserve"> June </w:t>
      </w:r>
      <w:r w:rsidRPr="00BC206A">
        <w:rPr>
          <w:i/>
          <w:iCs/>
        </w:rPr>
        <w:t>2007 “On improvement of accounting for the federal property”.</w:t>
      </w:r>
    </w:p>
    <w:p w14:paraId="19103F7A" w14:textId="77777777" w:rsidR="00356BA5" w:rsidRPr="00BC206A" w:rsidRDefault="00356BA5" w:rsidP="00CE1189">
      <w:pPr>
        <w:spacing w:after="0" w:line="240" w:lineRule="auto"/>
        <w:contextualSpacing/>
        <w:rPr>
          <w:rFonts w:ascii="Calibri" w:hAnsi="Calibri" w:cs="Calibri"/>
          <w:i/>
          <w:iCs/>
          <w:sz w:val="20"/>
          <w:szCs w:val="20"/>
          <w:lang w:eastAsia="en-US"/>
        </w:rPr>
      </w:pPr>
    </w:p>
    <w:p w14:paraId="00587060" w14:textId="77777777" w:rsidR="00356BA5" w:rsidRPr="002863EC" w:rsidRDefault="00356BA5" w:rsidP="00CE1189">
      <w:pPr>
        <w:spacing w:after="0" w:line="240" w:lineRule="auto"/>
        <w:contextualSpacing/>
        <w:rPr>
          <w:rFonts w:ascii="Calibri" w:hAnsi="Calibri" w:cs="Calibri"/>
          <w:sz w:val="20"/>
          <w:szCs w:val="20"/>
          <w:lang w:eastAsia="en-US"/>
        </w:rPr>
      </w:pPr>
    </w:p>
    <w:p w14:paraId="44A39D43" w14:textId="77777777" w:rsidR="006A7F8F" w:rsidRPr="00CE0702" w:rsidRDefault="006A7F8F" w:rsidP="00CE1189">
      <w:pPr>
        <w:spacing w:after="0" w:line="240" w:lineRule="auto"/>
        <w:contextualSpacing/>
        <w:rPr>
          <w:rFonts w:ascii="Calibri" w:hAnsi="Calibri" w:cs="Calibri"/>
          <w:lang w:eastAsia="en-US"/>
        </w:rPr>
      </w:pPr>
    </w:p>
    <w:sectPr w:rsidR="006A7F8F" w:rsidRPr="00CE0702" w:rsidSect="008734F4">
      <w:pgSz w:w="12240" w:h="15840"/>
      <w:pgMar w:top="1421" w:right="1401" w:bottom="123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BEB5B" w14:textId="77777777" w:rsidR="0059096D" w:rsidRDefault="0059096D" w:rsidP="00D604DC">
      <w:r>
        <w:separator/>
      </w:r>
    </w:p>
  </w:endnote>
  <w:endnote w:type="continuationSeparator" w:id="0">
    <w:p w14:paraId="4BA33591" w14:textId="77777777" w:rsidR="0059096D" w:rsidRDefault="0059096D" w:rsidP="00D6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es ExtraLight">
    <w:panose1 w:val="02000000000000000000"/>
    <w:charset w:val="00"/>
    <w:family w:val="modern"/>
    <w:notTrueType/>
    <w:pitch w:val="variable"/>
    <w:sig w:usb0="A000002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RWPalladioL-Roma">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02912"/>
      <w:docPartObj>
        <w:docPartGallery w:val="Page Numbers (Bottom of Page)"/>
        <w:docPartUnique/>
      </w:docPartObj>
    </w:sdtPr>
    <w:sdtEndPr>
      <w:rPr>
        <w:noProof/>
      </w:rPr>
    </w:sdtEndPr>
    <w:sdtContent>
      <w:p w14:paraId="781564FD" w14:textId="30B16BBF" w:rsidR="00F90219" w:rsidRDefault="00F90219">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472D9D65" w14:textId="77777777" w:rsidR="00F90219" w:rsidRPr="00855168" w:rsidRDefault="00F90219" w:rsidP="00D6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2902C" w14:textId="77777777" w:rsidR="0059096D" w:rsidRDefault="0059096D" w:rsidP="00D604DC">
      <w:r>
        <w:separator/>
      </w:r>
    </w:p>
  </w:footnote>
  <w:footnote w:type="continuationSeparator" w:id="0">
    <w:p w14:paraId="470AAF94" w14:textId="77777777" w:rsidR="0059096D" w:rsidRDefault="0059096D" w:rsidP="00D604DC">
      <w:r>
        <w:continuationSeparator/>
      </w:r>
    </w:p>
  </w:footnote>
  <w:footnote w:id="1">
    <w:p w14:paraId="2DBA3A19" w14:textId="44B778A3" w:rsidR="00F90219" w:rsidRDefault="00F90219" w:rsidP="00715D98">
      <w:pPr>
        <w:pStyle w:val="FootnoteText"/>
      </w:pPr>
      <w:r>
        <w:rPr>
          <w:rStyle w:val="FootnoteReference"/>
        </w:rPr>
        <w:footnoteRef/>
      </w:r>
      <w:r>
        <w:t xml:space="preserve"> The Russian Academy for National Economy and Public Administration (RANEPA), at the request of former Minister of Finance Alexei </w:t>
      </w:r>
      <w:proofErr w:type="spellStart"/>
      <w:r>
        <w:t>Kudrin</w:t>
      </w:r>
      <w:proofErr w:type="spellEnd"/>
      <w:r>
        <w:t>, started a multi-year research project on SOE footprint and productivity. The Analytical Center for the Government of the Russian Federation (</w:t>
      </w:r>
      <w:proofErr w:type="spellStart"/>
      <w:r>
        <w:t>ACfGRF</w:t>
      </w:r>
      <w:proofErr w:type="spellEnd"/>
      <w:r>
        <w:t>), which works closely with the Ministry of Economic Development, recently began a project measuring the size of SOE sector. The Higher School of Economics has recently started more explicit work on SOEs. A forthcoming paper authored jointly by HSE and Central Bank economists looks at productivity in Russian SOEs.</w:t>
      </w:r>
    </w:p>
  </w:footnote>
  <w:footnote w:id="2">
    <w:p w14:paraId="7B35A8BF" w14:textId="77777777" w:rsidR="00F90219" w:rsidRDefault="00F90219" w:rsidP="00977857">
      <w:pPr>
        <w:pStyle w:val="FootnoteText"/>
      </w:pPr>
      <w:r>
        <w:rPr>
          <w:rStyle w:val="FootnoteReference"/>
        </w:rPr>
        <w:footnoteRef/>
      </w:r>
      <w:r>
        <w:t xml:space="preserve"> Presidential Decree “On National Goals and Strategic Development Objectives of the Russian Federation for the Period until 2024” 7 May 2018 </w:t>
      </w:r>
      <w:hyperlink r:id="rId1" w:history="1">
        <w:r w:rsidRPr="00927F41">
          <w:rPr>
            <w:rStyle w:val="Hyperlink0"/>
          </w:rPr>
          <w:t>http://en.kremlin.ru/events/president/news/57425</w:t>
        </w:r>
      </w:hyperlink>
      <w:r>
        <w:t xml:space="preserve">  </w:t>
      </w:r>
    </w:p>
  </w:footnote>
  <w:footnote w:id="3">
    <w:p w14:paraId="54979FA5" w14:textId="77777777" w:rsidR="00F90219" w:rsidRDefault="00F90219" w:rsidP="00977857">
      <w:pPr>
        <w:pStyle w:val="FootnoteText"/>
      </w:pPr>
      <w:r>
        <w:rPr>
          <w:rStyle w:val="FootnoteReference"/>
        </w:rPr>
        <w:footnoteRef/>
      </w:r>
      <w:r>
        <w:t xml:space="preserve"> Executive Order No 618 “On State Competition Policy Guidelines,” 21 December 2017</w:t>
      </w:r>
    </w:p>
  </w:footnote>
  <w:footnote w:id="4">
    <w:p w14:paraId="07DE74D6" w14:textId="0E07A476" w:rsidR="00F90219" w:rsidRDefault="00F90219" w:rsidP="00977857">
      <w:pPr>
        <w:pStyle w:val="FootnoteText"/>
      </w:pPr>
      <w:r>
        <w:rPr>
          <w:rStyle w:val="FootnoteReference"/>
        </w:rPr>
        <w:footnoteRef/>
      </w:r>
      <w:r>
        <w:t xml:space="preserve"> Existing analyses of Russia’s public-private wage gaps focus on the general government (budget) sector. A notable exception is </w:t>
      </w:r>
      <w:proofErr w:type="spellStart"/>
      <w:r>
        <w:t>Zhuravleva</w:t>
      </w:r>
      <w:proofErr w:type="spellEnd"/>
      <w:r>
        <w:t xml:space="preserve"> (2016).</w:t>
      </w:r>
    </w:p>
  </w:footnote>
  <w:footnote w:id="5">
    <w:p w14:paraId="7C34F2E1" w14:textId="77777777" w:rsidR="00F90219" w:rsidRDefault="00F90219" w:rsidP="00977857">
      <w:pPr>
        <w:pStyle w:val="FootnoteText"/>
      </w:pPr>
      <w:r>
        <w:rPr>
          <w:rStyle w:val="FootnoteReference"/>
        </w:rPr>
        <w:footnoteRef/>
      </w:r>
      <w:r>
        <w:t xml:space="preserve"> Previous studies have mostly focused on private sector firms (</w:t>
      </w:r>
      <w:proofErr w:type="spellStart"/>
      <w:r>
        <w:t>Gurkov</w:t>
      </w:r>
      <w:proofErr w:type="spellEnd"/>
      <w:r>
        <w:t xml:space="preserve"> 2014, 2016)</w:t>
      </w:r>
    </w:p>
  </w:footnote>
  <w:footnote w:id="6">
    <w:p w14:paraId="687E8E21" w14:textId="77777777" w:rsidR="00F90219" w:rsidRPr="003731D9" w:rsidRDefault="00F90219" w:rsidP="00136697">
      <w:pPr>
        <w:pStyle w:val="FootnoteText"/>
      </w:pPr>
      <w:r>
        <w:rPr>
          <w:rStyle w:val="FootnoteReference"/>
        </w:rPr>
        <w:footnoteRef/>
      </w:r>
      <w:r>
        <w:t xml:space="preserve"> </w:t>
      </w:r>
      <w:hyperlink r:id="rId2" w:history="1">
        <w:r>
          <w:rPr>
            <w:rStyle w:val="Hyperlink"/>
          </w:rPr>
          <w:t>https://pravo.ru/news/207515/</w:t>
        </w:r>
      </w:hyperlink>
    </w:p>
  </w:footnote>
  <w:footnote w:id="7">
    <w:p w14:paraId="5A1F8172" w14:textId="77777777" w:rsidR="00F90219" w:rsidRDefault="00F90219" w:rsidP="00136697">
      <w:pPr>
        <w:pStyle w:val="FootnoteText"/>
      </w:pPr>
      <w:r>
        <w:rPr>
          <w:rStyle w:val="FootnoteReference"/>
        </w:rPr>
        <w:footnoteRef/>
      </w:r>
      <w:r>
        <w:t xml:space="preserve"> </w:t>
      </w:r>
      <w:r w:rsidRPr="004D274C">
        <w:t>Draft Law on dissolving unitary companies, December 2018.</w:t>
      </w:r>
    </w:p>
  </w:footnote>
  <w:footnote w:id="8">
    <w:p w14:paraId="29690CD5" w14:textId="6E8D4C88" w:rsidR="00F90219" w:rsidRDefault="00F90219">
      <w:pPr>
        <w:pStyle w:val="FootnoteText"/>
      </w:pPr>
      <w:r>
        <w:rPr>
          <w:rStyle w:val="FootnoteReference"/>
        </w:rPr>
        <w:footnoteRef/>
      </w:r>
      <w:r>
        <w:t xml:space="preserve"> For these companies, salaries of senior management are </w:t>
      </w:r>
      <w:r w:rsidRPr="006163ED">
        <w:t xml:space="preserve">capped at 1-8 times </w:t>
      </w:r>
      <w:r>
        <w:t xml:space="preserve">the </w:t>
      </w:r>
      <w:r w:rsidRPr="006163ED">
        <w:t>average monthly salary of regular staff</w:t>
      </w:r>
      <w:r>
        <w:t>, although since the salaries of regular staff are not centrally regulated senior staff salaries can vary widely.</w:t>
      </w:r>
    </w:p>
  </w:footnote>
  <w:footnote w:id="9">
    <w:p w14:paraId="61B3AB36" w14:textId="3DA4383D" w:rsidR="00F90219" w:rsidRDefault="00F90219">
      <w:pPr>
        <w:pStyle w:val="FootnoteText"/>
      </w:pPr>
      <w:r w:rsidRPr="00A13986">
        <w:rPr>
          <w:rStyle w:val="FootnoteReference"/>
        </w:rPr>
        <w:footnoteRef/>
      </w:r>
      <w:r w:rsidRPr="00A13986">
        <w:t xml:space="preserve"> Government Decree 738 of 3 December 2004</w:t>
      </w:r>
    </w:p>
  </w:footnote>
  <w:footnote w:id="10">
    <w:p w14:paraId="05677F08" w14:textId="518EA473" w:rsidR="00F90219" w:rsidRDefault="00F90219">
      <w:pPr>
        <w:pStyle w:val="FootnoteText"/>
      </w:pPr>
      <w:r>
        <w:rPr>
          <w:rStyle w:val="FootnoteReference"/>
        </w:rPr>
        <w:footnoteRef/>
      </w:r>
      <w:r>
        <w:t xml:space="preserve"> Latest available. </w:t>
      </w:r>
      <w:proofErr w:type="spellStart"/>
      <w:r>
        <w:t>RuFiGE</w:t>
      </w:r>
      <w:proofErr w:type="spellEnd"/>
      <w:r>
        <w:t xml:space="preserve"> is run every 4-5 years. New 2018-2019 survey was not made available to the authors. </w:t>
      </w:r>
    </w:p>
  </w:footnote>
  <w:footnote w:id="11">
    <w:p w14:paraId="249EE1BB" w14:textId="45EBC6BF" w:rsidR="00F90219" w:rsidRDefault="00F90219">
      <w:pPr>
        <w:pStyle w:val="FootnoteText"/>
      </w:pPr>
      <w:r>
        <w:rPr>
          <w:rStyle w:val="FootnoteReference"/>
        </w:rPr>
        <w:footnoteRef/>
      </w:r>
      <w:r>
        <w:t xml:space="preserve"> Authors’ interview with former employee of FASPM and HSE researchers, April 2019.</w:t>
      </w:r>
    </w:p>
  </w:footnote>
  <w:footnote w:id="12">
    <w:p w14:paraId="583BB11F" w14:textId="77777777" w:rsidR="00F90219" w:rsidRDefault="00F90219" w:rsidP="00490814">
      <w:pPr>
        <w:pStyle w:val="FootnoteText"/>
      </w:pPr>
      <w:r>
        <w:rPr>
          <w:rStyle w:val="FootnoteReference"/>
        </w:rPr>
        <w:footnoteRef/>
      </w:r>
      <w:r>
        <w:t xml:space="preserve"> The special IMF report on the footprint of the public sector in Russia estimates that in 2016 informal SOEs accounted for 5% out of total 24-25% SOE share in formal employment (IMF 2018). This is a conservative estimate because while there is no comprehensive registry of SOE subsidiaries they are believed to number in the thousands and the IMF based its estimates based on just 500 known subsidiaries of 20 biggest non-financial SOEs.</w:t>
      </w:r>
    </w:p>
  </w:footnote>
  <w:footnote w:id="13">
    <w:p w14:paraId="6F59AFC4" w14:textId="68AF0140" w:rsidR="00F90219" w:rsidRDefault="00F90219" w:rsidP="000F65BC">
      <w:pPr>
        <w:pStyle w:val="FootnoteText"/>
      </w:pPr>
      <w:r>
        <w:rPr>
          <w:rStyle w:val="FootnoteReference"/>
        </w:rPr>
        <w:footnoteRef/>
      </w:r>
      <w:r>
        <w:t xml:space="preserve"> We filter out industries more typical of the general government, such as public administration, health, education, and science and technology.</w:t>
      </w:r>
    </w:p>
  </w:footnote>
  <w:footnote w:id="14">
    <w:p w14:paraId="43CA09BB" w14:textId="7CC9FF9E" w:rsidR="00F90219" w:rsidRDefault="00F90219">
      <w:pPr>
        <w:pStyle w:val="FootnoteText"/>
      </w:pPr>
      <w:r>
        <w:rPr>
          <w:rStyle w:val="FootnoteReference"/>
        </w:rPr>
        <w:footnoteRef/>
      </w:r>
      <w:r>
        <w:t xml:space="preserve"> Rosstat estimates are lower than other sources. Their 2015 estimate of SOE (direct ownership) share in total employment was 6 percent, compared to 12 percent using RLMS (Lukyanova 2019). Since Rosstat does not publicize the data used to produce its estimates, it is difficult to pinpoint the cause of the discrepancy.</w:t>
      </w:r>
    </w:p>
  </w:footnote>
  <w:footnote w:id="15">
    <w:p w14:paraId="4D111A7C" w14:textId="77777777" w:rsidR="00F90219" w:rsidRDefault="00F90219" w:rsidP="00B9365F">
      <w:pPr>
        <w:pStyle w:val="FootnoteText"/>
      </w:pPr>
      <w:r>
        <w:rPr>
          <w:rStyle w:val="FootnoteReference"/>
        </w:rPr>
        <w:footnoteRef/>
      </w:r>
      <w:r>
        <w:t xml:space="preserve"> As discussed earlier, OECD defines SOEs as enterprises with at least 10 percent state ownership stake. Rosstat does not impose any minimum restriction on ownership and considers companies with any positive share of state ownership to be SOEs.</w:t>
      </w:r>
    </w:p>
  </w:footnote>
  <w:footnote w:id="16">
    <w:p w14:paraId="7BC9DEC5" w14:textId="18EDC642" w:rsidR="00F90219" w:rsidRDefault="00F90219">
      <w:pPr>
        <w:pStyle w:val="FootnoteText"/>
      </w:pPr>
      <w:r>
        <w:rPr>
          <w:rStyle w:val="FootnoteReference"/>
        </w:rPr>
        <w:footnoteRef/>
      </w:r>
      <w:r>
        <w:t xml:space="preserve"> The SOW dataset includes worker data from all sizes of enterprises, including over 20 percent small and micro enterprises. </w:t>
      </w:r>
      <w:proofErr w:type="gramStart"/>
      <w:r>
        <w:t>However</w:t>
      </w:r>
      <w:proofErr w:type="gramEnd"/>
      <w:r>
        <w:t xml:space="preserve"> it is considered </w:t>
      </w:r>
      <w:r w:rsidRPr="000507E5">
        <w:t>representative</w:t>
      </w:r>
      <w:r>
        <w:t xml:space="preserve"> for medium and large firms (see Annex A for more detail).</w:t>
      </w:r>
    </w:p>
  </w:footnote>
  <w:footnote w:id="17">
    <w:p w14:paraId="271692C7" w14:textId="2427DE7A" w:rsidR="00F90219" w:rsidRDefault="00F90219">
      <w:pPr>
        <w:pStyle w:val="FootnoteText"/>
      </w:pPr>
      <w:r>
        <w:rPr>
          <w:rStyle w:val="FootnoteReference"/>
        </w:rPr>
        <w:footnoteRef/>
      </w:r>
      <w:r>
        <w:t xml:space="preserve"> Note while SOW includes firms of all sizes, including 22 percent small and micro enterprises, Rosstat cautions that results are representative for large and medium enterprises only. This may impact results for some regions.</w:t>
      </w:r>
    </w:p>
  </w:footnote>
  <w:footnote w:id="18">
    <w:p w14:paraId="407ADA18" w14:textId="77777777" w:rsidR="00F90219" w:rsidRDefault="00F90219" w:rsidP="008F79A1">
      <w:pPr>
        <w:pStyle w:val="FootnoteText"/>
      </w:pPr>
      <w:r>
        <w:rPr>
          <w:rStyle w:val="FootnoteReference"/>
        </w:rPr>
        <w:footnoteRef/>
      </w:r>
      <w:r>
        <w:t xml:space="preserve"> This result is consistent across datasets under study. In RLMS the break down is 66 percent state and 34 percent mixed, and in SOW 65 percent state and 35 percent. </w:t>
      </w:r>
    </w:p>
  </w:footnote>
  <w:footnote w:id="19">
    <w:p w14:paraId="0709311F" w14:textId="77777777" w:rsidR="00F90219" w:rsidRDefault="00F90219" w:rsidP="00734703">
      <w:pPr>
        <w:pStyle w:val="FootnoteText"/>
      </w:pPr>
      <w:r>
        <w:rPr>
          <w:rStyle w:val="FootnoteReference"/>
        </w:rPr>
        <w:footnoteRef/>
      </w:r>
      <w:r>
        <w:t xml:space="preserve"> </w:t>
      </w:r>
      <w:proofErr w:type="spellStart"/>
      <w:r>
        <w:t>Gimpelson</w:t>
      </w:r>
      <w:proofErr w:type="spellEnd"/>
      <w:r>
        <w:t xml:space="preserve">, Lukyanova, and </w:t>
      </w:r>
      <w:proofErr w:type="spellStart"/>
      <w:r>
        <w:t>Sharunina</w:t>
      </w:r>
      <w:proofErr w:type="spellEnd"/>
      <w:r>
        <w:t xml:space="preserve"> 2015, </w:t>
      </w:r>
      <w:proofErr w:type="spellStart"/>
      <w:r>
        <w:t>Gimpelson</w:t>
      </w:r>
      <w:proofErr w:type="spellEnd"/>
      <w:r>
        <w:t xml:space="preserve"> and Lukyanova 2009.</w:t>
      </w:r>
    </w:p>
  </w:footnote>
  <w:footnote w:id="20">
    <w:p w14:paraId="30F275CB" w14:textId="46629AE4" w:rsidR="00F90219" w:rsidRDefault="00F90219" w:rsidP="00AD79C0">
      <w:pPr>
        <w:pStyle w:val="FootnoteText"/>
      </w:pPr>
      <w:r>
        <w:rPr>
          <w:rStyle w:val="FootnoteReference"/>
        </w:rPr>
        <w:footnoteRef/>
      </w:r>
      <w:r>
        <w:t xml:space="preserve"> Controls include g</w:t>
      </w:r>
      <w:r w:rsidRPr="00BD74CC">
        <w:t>ender, education, age, age squared, occupation, firm size, and year and region fixed effects</w:t>
      </w:r>
      <w:r>
        <w:t>.</w:t>
      </w:r>
    </w:p>
  </w:footnote>
  <w:footnote w:id="21">
    <w:p w14:paraId="06AE3088" w14:textId="77777777" w:rsidR="00F90219" w:rsidRDefault="00F90219" w:rsidP="00734703">
      <w:pPr>
        <w:pStyle w:val="FootnoteText"/>
      </w:pPr>
      <w:r>
        <w:rPr>
          <w:rStyle w:val="FootnoteReference"/>
        </w:rPr>
        <w:footnoteRef/>
      </w:r>
      <w:r>
        <w:t xml:space="preserve"> Gindling et al (2019). </w:t>
      </w:r>
    </w:p>
  </w:footnote>
  <w:footnote w:id="22">
    <w:p w14:paraId="6EF2C956" w14:textId="77777777" w:rsidR="00F90219" w:rsidRDefault="00F90219" w:rsidP="00734703">
      <w:pPr>
        <w:pStyle w:val="FootnoteText"/>
      </w:pPr>
      <w:r>
        <w:rPr>
          <w:rStyle w:val="FootnoteReference"/>
        </w:rPr>
        <w:footnoteRef/>
      </w:r>
      <w:r>
        <w:t xml:space="preserve"> I</w:t>
      </w:r>
      <w:r w:rsidRPr="00343FCB">
        <w:t>n some regressions Industry dummies are also excluded because market concentration is measured at industry level (industry-year).</w:t>
      </w:r>
    </w:p>
  </w:footnote>
  <w:footnote w:id="23">
    <w:p w14:paraId="2112010C" w14:textId="014B348A" w:rsidR="00F90219" w:rsidRDefault="00F90219" w:rsidP="003E55D7">
      <w:pPr>
        <w:pStyle w:val="FootnoteText"/>
      </w:pPr>
      <w:r>
        <w:rPr>
          <w:rStyle w:val="FootnoteReference"/>
        </w:rPr>
        <w:footnoteRef/>
      </w:r>
      <w:r>
        <w:t xml:space="preserve"> For each industry (2-digit Standard Industrial Classification), firms were ordered by sales volume, and the sales of top four firms divided by total sales in their industry. The four-firm concentration measure was chosen over the Herfindahl index to minimize the risk of bias due to missing data (missingness much less likely for the largest firms). </w:t>
      </w:r>
    </w:p>
  </w:footnote>
  <w:footnote w:id="24">
    <w:p w14:paraId="18B59A84" w14:textId="760D5CF4" w:rsidR="00F90219" w:rsidRDefault="00F90219" w:rsidP="003F0BD0">
      <w:pPr>
        <w:pStyle w:val="FootnoteText"/>
      </w:pPr>
      <w:r>
        <w:rPr>
          <w:rStyle w:val="FootnoteReference"/>
        </w:rPr>
        <w:footnoteRef/>
      </w:r>
      <w:r>
        <w:t xml:space="preserve"> Please note that point estimates of average wage gaps in this figure, while very close to those in </w:t>
      </w:r>
      <w:r>
        <w:fldChar w:fldCharType="begin"/>
      </w:r>
      <w:r>
        <w:instrText xml:space="preserve"> REF _Ref9378506 \h </w:instrText>
      </w:r>
      <w:r>
        <w:fldChar w:fldCharType="separate"/>
      </w:r>
      <w:r w:rsidRPr="00C35CDA">
        <w:t xml:space="preserve">Table 3. </w:t>
      </w:r>
      <w:r>
        <w:rPr>
          <w:noProof/>
        </w:rPr>
        <w:t>1</w:t>
      </w:r>
      <w:r>
        <w:fldChar w:fldCharType="end"/>
      </w:r>
      <w:r>
        <w:t xml:space="preserve">, do not match exactly because the latter (as most standard wage regressions) do not control for market concentration. </w:t>
      </w:r>
    </w:p>
  </w:footnote>
  <w:footnote w:id="25">
    <w:p w14:paraId="1E30DECA" w14:textId="77777777" w:rsidR="00F90219" w:rsidRDefault="00F90219" w:rsidP="001A18E9">
      <w:pPr>
        <w:pStyle w:val="FootnoteText"/>
      </w:pPr>
      <w:r>
        <w:rPr>
          <w:rStyle w:val="FootnoteReference"/>
        </w:rPr>
        <w:footnoteRef/>
      </w:r>
      <w:r>
        <w:t xml:space="preserve"> </w:t>
      </w:r>
      <w:proofErr w:type="spellStart"/>
      <w:r>
        <w:t>Zhuravleva’s</w:t>
      </w:r>
      <w:proofErr w:type="spellEnd"/>
      <w:r>
        <w:t xml:space="preserve"> preferred model is </w:t>
      </w:r>
      <w:proofErr w:type="gramStart"/>
      <w:r>
        <w:t>similar to</w:t>
      </w:r>
      <w:proofErr w:type="gramEnd"/>
      <w:r>
        <w:t xml:space="preserve"> ours with the exception that she does not control for occupation and time fixed effects.</w:t>
      </w:r>
    </w:p>
  </w:footnote>
  <w:footnote w:id="26">
    <w:p w14:paraId="13259CB4" w14:textId="77777777" w:rsidR="00F90219" w:rsidRDefault="00F90219" w:rsidP="0073278F">
      <w:pPr>
        <w:pStyle w:val="FootnoteText"/>
      </w:pPr>
      <w:r>
        <w:rPr>
          <w:rStyle w:val="FootnoteReference"/>
        </w:rPr>
        <w:footnoteRef/>
      </w:r>
      <w:r>
        <w:t xml:space="preserve"> </w:t>
      </w:r>
      <w:proofErr w:type="spellStart"/>
      <w:r>
        <w:t>RuFiGE</w:t>
      </w:r>
      <w:proofErr w:type="spellEnd"/>
      <w:r>
        <w:t xml:space="preserve"> data</w:t>
      </w:r>
    </w:p>
  </w:footnote>
  <w:footnote w:id="27">
    <w:p w14:paraId="6FE797F3" w14:textId="77777777" w:rsidR="00F90219" w:rsidRDefault="00F90219" w:rsidP="00AC69E0">
      <w:pPr>
        <w:pStyle w:val="FootnoteText"/>
      </w:pPr>
      <w:r>
        <w:rPr>
          <w:rStyle w:val="FootnoteReference"/>
        </w:rPr>
        <w:footnoteRef/>
      </w:r>
      <w:r>
        <w:t xml:space="preserve"> See also World Bank 2016, Cusolito &amp; Winkler 2017, and Abramov et al (2017)</w:t>
      </w:r>
      <w:r w:rsidRPr="0008011D">
        <w:t>.</w:t>
      </w:r>
    </w:p>
  </w:footnote>
  <w:footnote w:id="28">
    <w:p w14:paraId="3DB3C1A6" w14:textId="522D30DA" w:rsidR="00F90219" w:rsidRDefault="00F90219">
      <w:pPr>
        <w:pStyle w:val="FootnoteText"/>
      </w:pPr>
      <w:r w:rsidRPr="00FD4A2E">
        <w:rPr>
          <w:rStyle w:val="FootnoteReference"/>
        </w:rPr>
        <w:footnoteRef/>
      </w:r>
      <w:r w:rsidRPr="00FD4A2E">
        <w:t xml:space="preserve"> World Bank 2016; Gershman et al &amp; </w:t>
      </w:r>
      <w:proofErr w:type="spellStart"/>
      <w:r w:rsidRPr="00FD4A2E">
        <w:t>Thumer</w:t>
      </w:r>
      <w:proofErr w:type="spellEnd"/>
      <w:r w:rsidRPr="00FD4A2E">
        <w:t xml:space="preserve"> 2016; World Bank 2019 “Pathways to Productivity in Russia.”</w:t>
      </w:r>
    </w:p>
  </w:footnote>
  <w:footnote w:id="29">
    <w:p w14:paraId="16CEF9D7" w14:textId="77777777" w:rsidR="00F90219" w:rsidRDefault="00F90219" w:rsidP="00C96A44">
      <w:pPr>
        <w:pStyle w:val="FootnoteText"/>
      </w:pPr>
      <w:r>
        <w:rPr>
          <w:rStyle w:val="FootnoteReference"/>
        </w:rPr>
        <w:footnoteRef/>
      </w:r>
      <w:r>
        <w:t xml:space="preserve"> The </w:t>
      </w:r>
      <w:proofErr w:type="spellStart"/>
      <w:r>
        <w:t>RuFiGE</w:t>
      </w:r>
      <w:proofErr w:type="spellEnd"/>
      <w:r>
        <w:t xml:space="preserve"> dataset does not include information on SOE type, so we are only able to disaggregate by size. Missing data for medium-large SOEs (250-499 employees).</w:t>
      </w:r>
    </w:p>
  </w:footnote>
  <w:footnote w:id="30">
    <w:p w14:paraId="204F53FD" w14:textId="77777777" w:rsidR="00F90219" w:rsidRDefault="00F90219" w:rsidP="00CE5CB9">
      <w:pPr>
        <w:pStyle w:val="FootnoteText"/>
      </w:pPr>
      <w:r>
        <w:rPr>
          <w:rStyle w:val="FootnoteReference"/>
        </w:rPr>
        <w:footnoteRef/>
      </w:r>
      <w:r>
        <w:t xml:space="preserve"> The survey question posed to firms is “If the established levels of pay are revised for all or certain employees at your enterprise, in connection with which factors is it done? In accordance with changes in average wage levels for closest competitors?” (LIRT 2017, Q40) </w:t>
      </w:r>
    </w:p>
  </w:footnote>
  <w:footnote w:id="31">
    <w:p w14:paraId="1E55CECE" w14:textId="77777777" w:rsidR="00F90219" w:rsidRDefault="00F90219" w:rsidP="00CE5CB9">
      <w:pPr>
        <w:pStyle w:val="FootnoteText"/>
      </w:pPr>
      <w:r>
        <w:rPr>
          <w:rStyle w:val="FootnoteReference"/>
        </w:rPr>
        <w:footnoteRef/>
      </w:r>
      <w:r>
        <w:t xml:space="preserve"> </w:t>
      </w:r>
      <w:proofErr w:type="spellStart"/>
      <w:r>
        <w:t>RuFiGE</w:t>
      </w:r>
      <w:proofErr w:type="spellEnd"/>
      <w:r>
        <w:t xml:space="preserve"> survey shows SOEs on average pay a 20 percent wage premium, controlling for firm and average worker characteristics, which confirms our results from worker surveys RLMS and SOW, discussed in section 3.</w:t>
      </w:r>
    </w:p>
  </w:footnote>
  <w:footnote w:id="32">
    <w:p w14:paraId="5CEB69A9" w14:textId="77777777" w:rsidR="00F90219" w:rsidRDefault="00F90219" w:rsidP="00CE5CB9">
      <w:pPr>
        <w:pStyle w:val="FootnoteText"/>
      </w:pPr>
      <w:r>
        <w:rPr>
          <w:rStyle w:val="FootnoteReference"/>
        </w:rPr>
        <w:footnoteRef/>
      </w:r>
      <w:r>
        <w:t xml:space="preserve"> Analyses using </w:t>
      </w:r>
      <w:proofErr w:type="spellStart"/>
      <w:r>
        <w:t>RuFiGE</w:t>
      </w:r>
      <w:proofErr w:type="spellEnd"/>
      <w:r>
        <w:t xml:space="preserve"> survey, which has data on sales per worker. Controls include firm characteristics (size, </w:t>
      </w:r>
      <w:r w:rsidRPr="00691776">
        <w:t>ownership,</w:t>
      </w:r>
      <w:r>
        <w:t xml:space="preserve"> membership in business union), employee characteristics (shares of employees who have tertiary education and who are managers), and state support (subsidies, non-financial support, contracts).</w:t>
      </w:r>
    </w:p>
  </w:footnote>
  <w:footnote w:id="33">
    <w:p w14:paraId="65586FCF" w14:textId="77777777" w:rsidR="00F90219" w:rsidRDefault="00F90219" w:rsidP="00F96E88">
      <w:pPr>
        <w:pStyle w:val="FootnoteText"/>
      </w:pPr>
      <w:r>
        <w:rPr>
          <w:rStyle w:val="FootnoteReference"/>
        </w:rPr>
        <w:footnoteRef/>
      </w:r>
      <w:r>
        <w:t xml:space="preserve"> The reported differences are statistically significant at the 0.01 level. The SOE-private difference is not significant for the rate of state contracting for medium-sized SOEs, non-financial support for small SOEs, and protection from competition for medium and medium-large mixed companies. This may be partly due to small sample size, which inflates standard errors.</w:t>
      </w:r>
    </w:p>
  </w:footnote>
  <w:footnote w:id="34">
    <w:p w14:paraId="1C0BEF87" w14:textId="77777777" w:rsidR="00F90219" w:rsidRDefault="00F90219" w:rsidP="00E24B7D">
      <w:pPr>
        <w:pStyle w:val="FootnoteText"/>
      </w:pPr>
      <w:r>
        <w:rPr>
          <w:rStyle w:val="FootnoteReference"/>
        </w:rPr>
        <w:footnoteRef/>
      </w:r>
      <w:r>
        <w:t xml:space="preserve"> The magnitude of gaps reported here is less important than the </w:t>
      </w:r>
      <w:r w:rsidRPr="00424285">
        <w:rPr>
          <w:i/>
          <w:iCs/>
        </w:rPr>
        <w:t>direction</w:t>
      </w:r>
      <w:r>
        <w:t xml:space="preserve"> and </w:t>
      </w:r>
      <w:r w:rsidRPr="00424285">
        <w:rPr>
          <w:i/>
          <w:iCs/>
        </w:rPr>
        <w:t>significance</w:t>
      </w:r>
      <w:r>
        <w:t xml:space="preserve"> of effects in response to state support. The magnitude of the wage gaps is more accurately measured by worker level surveys.</w:t>
      </w:r>
    </w:p>
  </w:footnote>
  <w:footnote w:id="35">
    <w:p w14:paraId="10F0C1AC" w14:textId="52E0ABEB" w:rsidR="00F90219" w:rsidRDefault="00F90219" w:rsidP="00E24B7D">
      <w:pPr>
        <w:pStyle w:val="FootnoteText"/>
      </w:pPr>
      <w:r>
        <w:rPr>
          <w:rStyle w:val="FootnoteReference"/>
        </w:rPr>
        <w:footnoteRef/>
      </w:r>
      <w:r>
        <w:t xml:space="preserve"> This conclusion was confirmed in authors’ interviews with Russian researchers and business community.</w:t>
      </w:r>
    </w:p>
  </w:footnote>
  <w:footnote w:id="36">
    <w:p w14:paraId="570FAA04" w14:textId="6BB6F916" w:rsidR="00F90219" w:rsidRDefault="00F90219">
      <w:pPr>
        <w:pStyle w:val="FootnoteText"/>
      </w:pPr>
      <w:r>
        <w:rPr>
          <w:rStyle w:val="FootnoteReference"/>
        </w:rPr>
        <w:footnoteRef/>
      </w:r>
      <w:r>
        <w:t xml:space="preserve"> </w:t>
      </w:r>
      <w:r>
        <w:rPr>
          <w:rFonts w:eastAsia="Times New Roman"/>
        </w:rPr>
        <w:t xml:space="preserve">We used the </w:t>
      </w:r>
      <w:proofErr w:type="spellStart"/>
      <w:r>
        <w:rPr>
          <w:rFonts w:eastAsia="Times New Roman"/>
        </w:rPr>
        <w:t>RuFiGE</w:t>
      </w:r>
      <w:proofErr w:type="spellEnd"/>
      <w:r>
        <w:rPr>
          <w:rFonts w:eastAsia="Times New Roman"/>
        </w:rPr>
        <w:t xml:space="preserve"> firm survey to test the effects of state subsidies, non-financial assistance, and state contracts on adoption of IFMIS, website in </w:t>
      </w:r>
      <w:proofErr w:type="spellStart"/>
      <w:r>
        <w:rPr>
          <w:rFonts w:eastAsia="Times New Roman"/>
        </w:rPr>
        <w:t>english</w:t>
      </w:r>
      <w:proofErr w:type="spellEnd"/>
      <w:r>
        <w:rPr>
          <w:rFonts w:eastAsia="Times New Roman"/>
        </w:rPr>
        <w:t xml:space="preserve">, manager performance incentives, and the percentage of workers trained the previous year. We used LIRT to </w:t>
      </w:r>
      <w:proofErr w:type="gramStart"/>
      <w:r>
        <w:rPr>
          <w:rFonts w:eastAsia="Times New Roman"/>
        </w:rPr>
        <w:t>tested</w:t>
      </w:r>
      <w:proofErr w:type="gramEnd"/>
      <w:r>
        <w:rPr>
          <w:rFonts w:eastAsia="Times New Roman"/>
        </w:rPr>
        <w:t xml:space="preserve"> the effects of competition protection on use of KPIs, performance-based manager bonuses, and percentage of workers trained. Standard controls were used in all regressions, including firm size, industry, percent of tertiary-educated workers, percent of employees in managerial positions, labor productivity, and business union membership (</w:t>
      </w:r>
      <w:proofErr w:type="spellStart"/>
      <w:r>
        <w:rPr>
          <w:rFonts w:eastAsia="Times New Roman"/>
        </w:rPr>
        <w:t>RuFiGE</w:t>
      </w:r>
      <w:proofErr w:type="spellEnd"/>
      <w:r>
        <w:rPr>
          <w:rFonts w:eastAsia="Times New Roman"/>
        </w:rPr>
        <w:t>).</w:t>
      </w:r>
    </w:p>
  </w:footnote>
  <w:footnote w:id="37">
    <w:p w14:paraId="53C07F85" w14:textId="098A2AED" w:rsidR="00F90219" w:rsidRDefault="00F90219">
      <w:pPr>
        <w:pStyle w:val="FootnoteText"/>
      </w:pPr>
      <w:r>
        <w:rPr>
          <w:rStyle w:val="FootnoteReference"/>
        </w:rPr>
        <w:footnoteRef/>
      </w:r>
      <w:r>
        <w:t xml:space="preserve"> In 2017 public procurement in </w:t>
      </w:r>
      <w:r w:rsidRPr="007D128A">
        <w:t xml:space="preserve">Russia </w:t>
      </w:r>
      <w:r>
        <w:t xml:space="preserve">made </w:t>
      </w:r>
      <w:r w:rsidRPr="007D128A">
        <w:rPr>
          <w:rFonts w:ascii="URWPalladioL-Roma" w:eastAsiaTheme="minorHAnsi" w:hAnsi="URWPalladioL-Roma" w:cs="URWPalladioL-Roma"/>
        </w:rPr>
        <w:t>up about 10 percent of Russia’s non-resource GDP (Best et al 2017)</w:t>
      </w:r>
    </w:p>
  </w:footnote>
  <w:footnote w:id="38">
    <w:p w14:paraId="627A9DFF" w14:textId="77777777" w:rsidR="00F90219" w:rsidRDefault="00F90219" w:rsidP="00B15B08">
      <w:pPr>
        <w:pStyle w:val="FootnoteText"/>
      </w:pPr>
      <w:r>
        <w:rPr>
          <w:rStyle w:val="FootnoteReference"/>
        </w:rPr>
        <w:footnoteRef/>
      </w:r>
      <w:r>
        <w:t xml:space="preserve"> The Law on Federal and Municipal Unitary Enterprises</w:t>
      </w:r>
    </w:p>
  </w:footnote>
  <w:footnote w:id="39">
    <w:p w14:paraId="150C380D" w14:textId="77777777" w:rsidR="00F90219" w:rsidRDefault="00F90219" w:rsidP="00B15B08">
      <w:pPr>
        <w:pStyle w:val="FootnoteText"/>
      </w:pPr>
      <w:r>
        <w:rPr>
          <w:rStyle w:val="FootnoteReference"/>
        </w:rPr>
        <w:footnoteRef/>
      </w:r>
      <w:r>
        <w:t xml:space="preserve"> Decree 12-50R</w:t>
      </w:r>
    </w:p>
  </w:footnote>
  <w:footnote w:id="40">
    <w:p w14:paraId="10CF05B2" w14:textId="77777777" w:rsidR="00F90219" w:rsidRDefault="00F90219" w:rsidP="00B15B08">
      <w:pPr>
        <w:pStyle w:val="FootnoteText"/>
      </w:pPr>
      <w:r>
        <w:rPr>
          <w:rStyle w:val="FootnoteReference"/>
        </w:rPr>
        <w:footnoteRef/>
      </w:r>
      <w:r>
        <w:t xml:space="preserve"> Bloom et al (2013); </w:t>
      </w:r>
      <w:proofErr w:type="spellStart"/>
      <w:r>
        <w:t>Iacavone</w:t>
      </w:r>
      <w:proofErr w:type="spellEnd"/>
      <w:r>
        <w:t xml:space="preserve">, McKenzie, and Maloney (2017) </w:t>
      </w:r>
    </w:p>
  </w:footnote>
  <w:footnote w:id="41">
    <w:p w14:paraId="711A2F44" w14:textId="77777777" w:rsidR="00F90219" w:rsidRDefault="00F90219" w:rsidP="00B15B08">
      <w:pPr>
        <w:pStyle w:val="FootnoteText"/>
      </w:pPr>
      <w:r>
        <w:rPr>
          <w:rStyle w:val="FootnoteReference"/>
        </w:rPr>
        <w:footnoteRef/>
      </w:r>
      <w:r>
        <w:t xml:space="preserve"> Federal Anti-Monopoly Service. The team would like to thank Ana Cusolito for sharing the data.</w:t>
      </w:r>
    </w:p>
  </w:footnote>
  <w:footnote w:id="42">
    <w:p w14:paraId="149426FC" w14:textId="77777777" w:rsidR="00F90219" w:rsidRDefault="00F90219" w:rsidP="00B15B08">
      <w:pPr>
        <w:pStyle w:val="FootnoteText"/>
      </w:pPr>
      <w:r>
        <w:rPr>
          <w:rStyle w:val="FootnoteReference"/>
        </w:rPr>
        <w:footnoteRef/>
      </w:r>
      <w:r>
        <w:t xml:space="preserve"> </w:t>
      </w:r>
      <w:proofErr w:type="spellStart"/>
      <w:r>
        <w:t>Ghossein</w:t>
      </w:r>
      <w:proofErr w:type="spellEnd"/>
      <w:r>
        <w:t xml:space="preserve"> et al (2018)</w:t>
      </w:r>
    </w:p>
  </w:footnote>
  <w:footnote w:id="43">
    <w:p w14:paraId="12A85EF3" w14:textId="77777777" w:rsidR="00F90219" w:rsidRDefault="00F90219" w:rsidP="00B15B08">
      <w:pPr>
        <w:pStyle w:val="FootnoteText"/>
      </w:pPr>
      <w:r>
        <w:rPr>
          <w:rStyle w:val="FootnoteReference"/>
        </w:rPr>
        <w:footnoteRef/>
      </w:r>
      <w:r>
        <w:t xml:space="preserve"> Ibid. and Knack et al (2017)</w:t>
      </w:r>
    </w:p>
  </w:footnote>
  <w:footnote w:id="44">
    <w:p w14:paraId="604F5C1A" w14:textId="77777777" w:rsidR="00F90219" w:rsidRDefault="00F90219" w:rsidP="00B15B08">
      <w:pPr>
        <w:pStyle w:val="FootnoteText"/>
      </w:pPr>
      <w:r>
        <w:rPr>
          <w:rStyle w:val="FootnoteReference"/>
        </w:rPr>
        <w:footnoteRef/>
      </w:r>
      <w:r>
        <w:t xml:space="preserve"> </w:t>
      </w:r>
      <w:proofErr w:type="spellStart"/>
      <w:r>
        <w:t>Ghossein</w:t>
      </w:r>
      <w:proofErr w:type="spellEnd"/>
      <w:r>
        <w:t xml:space="preserve"> et al (2018). </w:t>
      </w:r>
    </w:p>
  </w:footnote>
  <w:footnote w:id="45">
    <w:p w14:paraId="5F8D4AC1" w14:textId="77777777" w:rsidR="00F90219" w:rsidRDefault="00F90219" w:rsidP="00B15B08">
      <w:pPr>
        <w:pStyle w:val="FootnoteText"/>
      </w:pPr>
      <w:r>
        <w:rPr>
          <w:rStyle w:val="FootnoteReference"/>
        </w:rPr>
        <w:footnoteRef/>
      </w:r>
      <w:r>
        <w:t xml:space="preserve"> Cirera, Frias, and Hill (forthcoming).</w:t>
      </w:r>
    </w:p>
  </w:footnote>
  <w:footnote w:id="46">
    <w:p w14:paraId="115F2202" w14:textId="437140B0" w:rsidR="00CF7E34" w:rsidRDefault="00CF7E34">
      <w:pPr>
        <w:pStyle w:val="FootnoteText"/>
      </w:pPr>
      <w:r>
        <w:rPr>
          <w:rStyle w:val="FootnoteReference"/>
        </w:rPr>
        <w:footnoteRef/>
      </w:r>
      <w:r>
        <w:t xml:space="preserve"> World Bank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A218F" w14:textId="17F54FEA" w:rsidR="00F90219" w:rsidRDefault="00F90219">
    <w:pPr>
      <w:pStyle w:val="Header"/>
    </w:pPr>
    <w:r>
      <w:rPr>
        <w:noProof/>
      </w:rPr>
      <mc:AlternateContent>
        <mc:Choice Requires="wps">
          <w:drawing>
            <wp:anchor distT="0" distB="0" distL="118745" distR="118745" simplePos="0" relativeHeight="251659264" behindDoc="1" locked="0" layoutInCell="1" allowOverlap="0" wp14:anchorId="390787AB" wp14:editId="62958151">
              <wp:simplePos x="0" y="0"/>
              <wp:positionH relativeFrom="margin">
                <wp:align>right</wp:align>
              </wp:positionH>
              <wp:positionV relativeFrom="page">
                <wp:posOffset>274967</wp:posOffset>
              </wp:positionV>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738060734"/>
                            <w:dataBinding w:prefixMappings="xmlns:ns0='http://purl.org/dc/elements/1.1/' xmlns:ns1='http://schemas.openxmlformats.org/package/2006/metadata/core-properties' " w:xpath="/ns1:coreProperties[1]/ns0:title[1]" w:storeItemID="{6C3C8BC8-F283-45AE-878A-BAB7291924A1}"/>
                            <w:text/>
                          </w:sdtPr>
                          <w:sdtContent>
                            <w:p w14:paraId="1B787D9B" w14:textId="75ACC04A" w:rsidR="00F90219" w:rsidRDefault="00F90219" w:rsidP="001522DA">
                              <w:pPr>
                                <w:pStyle w:val="Header"/>
                                <w:tabs>
                                  <w:tab w:val="clear" w:pos="4680"/>
                                  <w:tab w:val="clear" w:pos="9360"/>
                                </w:tabs>
                                <w:jc w:val="center"/>
                                <w:rPr>
                                  <w:caps/>
                                  <w:color w:val="FFFFFF" w:themeColor="background1"/>
                                </w:rPr>
                              </w:pPr>
                              <w:r>
                                <w:rPr>
                                  <w:caps/>
                                  <w:color w:val="FFFFFF" w:themeColor="background1"/>
                                </w:rPr>
                                <w:t>Russia SOE and Labor Markets_24May2019_final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0787AB" id="Rectangle 197" o:spid="_x0000_s1026" style="position:absolute;left:0;text-align:left;margin-left:417.3pt;margin-top:21.65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" o:allowoverlap="f" fillcolor="#5b9bd5 [3204]" stroked="f" strokeweight="1pt">
              <v:textbox style="mso-fit-shape-to-text:t">
                <w:txbxContent>
                  <w:sdt>
                    <w:sdtPr>
                      <w:rPr>
                        <w:caps/>
                        <w:color w:val="FFFFFF" w:themeColor="background1"/>
                      </w:rPr>
                      <w:alias w:val="Title"/>
                      <w:tag w:val=""/>
                      <w:id w:val="738060734"/>
                      <w:dataBinding w:prefixMappings="xmlns:ns0='http://purl.org/dc/elements/1.1/' xmlns:ns1='http://schemas.openxmlformats.org/package/2006/metadata/core-properties' " w:xpath="/ns1:coreProperties[1]/ns0:title[1]" w:storeItemID="{6C3C8BC8-F283-45AE-878A-BAB7291924A1}"/>
                      <w:text/>
                    </w:sdtPr>
                    <w:sdtContent>
                      <w:p w14:paraId="1B787D9B" w14:textId="75ACC04A" w:rsidR="00F90219" w:rsidRDefault="00F90219" w:rsidP="001522DA">
                        <w:pPr>
                          <w:pStyle w:val="Header"/>
                          <w:tabs>
                            <w:tab w:val="clear" w:pos="4680"/>
                            <w:tab w:val="clear" w:pos="9360"/>
                          </w:tabs>
                          <w:jc w:val="center"/>
                          <w:rPr>
                            <w:caps/>
                            <w:color w:val="FFFFFF" w:themeColor="background1"/>
                          </w:rPr>
                        </w:pPr>
                        <w:r>
                          <w:rPr>
                            <w:caps/>
                            <w:color w:val="FFFFFF" w:themeColor="background1"/>
                          </w:rPr>
                          <w:t>Russia SOE and Labor Markets_24May2019_final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7C3C"/>
    <w:multiLevelType w:val="hybridMultilevel"/>
    <w:tmpl w:val="E3C0CE28"/>
    <w:lvl w:ilvl="0" w:tplc="753842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32E99"/>
    <w:multiLevelType w:val="hybridMultilevel"/>
    <w:tmpl w:val="8FE0F6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491B17"/>
    <w:multiLevelType w:val="hybridMultilevel"/>
    <w:tmpl w:val="48A40FFA"/>
    <w:lvl w:ilvl="0" w:tplc="AD2CF546">
      <w:start w:val="2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5A0E"/>
    <w:multiLevelType w:val="hybridMultilevel"/>
    <w:tmpl w:val="82FA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31B5C"/>
    <w:multiLevelType w:val="hybridMultilevel"/>
    <w:tmpl w:val="E3C0CE28"/>
    <w:lvl w:ilvl="0" w:tplc="753842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B0B50"/>
    <w:multiLevelType w:val="hybridMultilevel"/>
    <w:tmpl w:val="6DF02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E5C7B"/>
    <w:multiLevelType w:val="hybridMultilevel"/>
    <w:tmpl w:val="650E56A4"/>
    <w:lvl w:ilvl="0" w:tplc="46A223BC">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E277C9"/>
    <w:multiLevelType w:val="hybridMultilevel"/>
    <w:tmpl w:val="0A72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87CE4"/>
    <w:multiLevelType w:val="hybridMultilevel"/>
    <w:tmpl w:val="88162852"/>
    <w:lvl w:ilvl="0" w:tplc="66AA03DC">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C4186"/>
    <w:multiLevelType w:val="hybridMultilevel"/>
    <w:tmpl w:val="4C026CAA"/>
    <w:lvl w:ilvl="0" w:tplc="EDE63436">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70C73"/>
    <w:multiLevelType w:val="hybridMultilevel"/>
    <w:tmpl w:val="F1643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4481F"/>
    <w:multiLevelType w:val="hybridMultilevel"/>
    <w:tmpl w:val="BD60BA88"/>
    <w:lvl w:ilvl="0" w:tplc="FDF0808A">
      <w:start w:val="1"/>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E0702"/>
    <w:multiLevelType w:val="hybridMultilevel"/>
    <w:tmpl w:val="7B444008"/>
    <w:lvl w:ilvl="0" w:tplc="D5AE0372">
      <w:start w:val="6"/>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F7C3E"/>
    <w:multiLevelType w:val="hybridMultilevel"/>
    <w:tmpl w:val="8EEC8A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B4AB9"/>
    <w:multiLevelType w:val="hybridMultilevel"/>
    <w:tmpl w:val="A392BC8A"/>
    <w:lvl w:ilvl="0" w:tplc="65FC102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818CF"/>
    <w:multiLevelType w:val="hybridMultilevel"/>
    <w:tmpl w:val="E3D2831C"/>
    <w:lvl w:ilvl="0" w:tplc="96B2C8FC">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26674"/>
    <w:multiLevelType w:val="hybridMultilevel"/>
    <w:tmpl w:val="E3C0CE28"/>
    <w:lvl w:ilvl="0" w:tplc="753842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E43C78"/>
    <w:multiLevelType w:val="hybridMultilevel"/>
    <w:tmpl w:val="BE50ACC4"/>
    <w:lvl w:ilvl="0" w:tplc="798A2C6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219BF"/>
    <w:multiLevelType w:val="hybridMultilevel"/>
    <w:tmpl w:val="6F964972"/>
    <w:lvl w:ilvl="0" w:tplc="2CD41DC4">
      <w:start w:val="6"/>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7760A"/>
    <w:multiLevelType w:val="hybridMultilevel"/>
    <w:tmpl w:val="6E901D50"/>
    <w:lvl w:ilvl="0" w:tplc="0E88CFFE">
      <w:start w:val="1"/>
      <w:numFmt w:val="bullet"/>
      <w:lvlText w:val="•"/>
      <w:lvlJc w:val="left"/>
      <w:pPr>
        <w:tabs>
          <w:tab w:val="num" w:pos="720"/>
        </w:tabs>
        <w:ind w:left="720" w:hanging="360"/>
      </w:pPr>
      <w:rPr>
        <w:rFonts w:ascii="Arial" w:hAnsi="Arial" w:hint="default"/>
      </w:rPr>
    </w:lvl>
    <w:lvl w:ilvl="1" w:tplc="02F6DEAE" w:tentative="1">
      <w:start w:val="1"/>
      <w:numFmt w:val="bullet"/>
      <w:lvlText w:val="•"/>
      <w:lvlJc w:val="left"/>
      <w:pPr>
        <w:tabs>
          <w:tab w:val="num" w:pos="1440"/>
        </w:tabs>
        <w:ind w:left="1440" w:hanging="360"/>
      </w:pPr>
      <w:rPr>
        <w:rFonts w:ascii="Arial" w:hAnsi="Arial" w:hint="default"/>
      </w:rPr>
    </w:lvl>
    <w:lvl w:ilvl="2" w:tplc="69D6925A" w:tentative="1">
      <w:start w:val="1"/>
      <w:numFmt w:val="bullet"/>
      <w:lvlText w:val="•"/>
      <w:lvlJc w:val="left"/>
      <w:pPr>
        <w:tabs>
          <w:tab w:val="num" w:pos="2160"/>
        </w:tabs>
        <w:ind w:left="2160" w:hanging="360"/>
      </w:pPr>
      <w:rPr>
        <w:rFonts w:ascii="Arial" w:hAnsi="Arial" w:hint="default"/>
      </w:rPr>
    </w:lvl>
    <w:lvl w:ilvl="3" w:tplc="EF02C758" w:tentative="1">
      <w:start w:val="1"/>
      <w:numFmt w:val="bullet"/>
      <w:lvlText w:val="•"/>
      <w:lvlJc w:val="left"/>
      <w:pPr>
        <w:tabs>
          <w:tab w:val="num" w:pos="2880"/>
        </w:tabs>
        <w:ind w:left="2880" w:hanging="360"/>
      </w:pPr>
      <w:rPr>
        <w:rFonts w:ascii="Arial" w:hAnsi="Arial" w:hint="default"/>
      </w:rPr>
    </w:lvl>
    <w:lvl w:ilvl="4" w:tplc="0E144FE2" w:tentative="1">
      <w:start w:val="1"/>
      <w:numFmt w:val="bullet"/>
      <w:lvlText w:val="•"/>
      <w:lvlJc w:val="left"/>
      <w:pPr>
        <w:tabs>
          <w:tab w:val="num" w:pos="3600"/>
        </w:tabs>
        <w:ind w:left="3600" w:hanging="360"/>
      </w:pPr>
      <w:rPr>
        <w:rFonts w:ascii="Arial" w:hAnsi="Arial" w:hint="default"/>
      </w:rPr>
    </w:lvl>
    <w:lvl w:ilvl="5" w:tplc="29EE1D24" w:tentative="1">
      <w:start w:val="1"/>
      <w:numFmt w:val="bullet"/>
      <w:lvlText w:val="•"/>
      <w:lvlJc w:val="left"/>
      <w:pPr>
        <w:tabs>
          <w:tab w:val="num" w:pos="4320"/>
        </w:tabs>
        <w:ind w:left="4320" w:hanging="360"/>
      </w:pPr>
      <w:rPr>
        <w:rFonts w:ascii="Arial" w:hAnsi="Arial" w:hint="default"/>
      </w:rPr>
    </w:lvl>
    <w:lvl w:ilvl="6" w:tplc="5CF0EA1A" w:tentative="1">
      <w:start w:val="1"/>
      <w:numFmt w:val="bullet"/>
      <w:lvlText w:val="•"/>
      <w:lvlJc w:val="left"/>
      <w:pPr>
        <w:tabs>
          <w:tab w:val="num" w:pos="5040"/>
        </w:tabs>
        <w:ind w:left="5040" w:hanging="360"/>
      </w:pPr>
      <w:rPr>
        <w:rFonts w:ascii="Arial" w:hAnsi="Arial" w:hint="default"/>
      </w:rPr>
    </w:lvl>
    <w:lvl w:ilvl="7" w:tplc="9F1C6E9A" w:tentative="1">
      <w:start w:val="1"/>
      <w:numFmt w:val="bullet"/>
      <w:lvlText w:val="•"/>
      <w:lvlJc w:val="left"/>
      <w:pPr>
        <w:tabs>
          <w:tab w:val="num" w:pos="5760"/>
        </w:tabs>
        <w:ind w:left="5760" w:hanging="360"/>
      </w:pPr>
      <w:rPr>
        <w:rFonts w:ascii="Arial" w:hAnsi="Arial" w:hint="default"/>
      </w:rPr>
    </w:lvl>
    <w:lvl w:ilvl="8" w:tplc="9B8021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8D0AF4"/>
    <w:multiLevelType w:val="hybridMultilevel"/>
    <w:tmpl w:val="ED822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025F7"/>
    <w:multiLevelType w:val="hybridMultilevel"/>
    <w:tmpl w:val="ED1023BC"/>
    <w:lvl w:ilvl="0" w:tplc="D026BF4A">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47975"/>
    <w:multiLevelType w:val="hybridMultilevel"/>
    <w:tmpl w:val="AB2AF6D2"/>
    <w:lvl w:ilvl="0" w:tplc="5E5EA64E">
      <w:start w:val="1"/>
      <w:numFmt w:val="bullet"/>
      <w:lvlText w:val="•"/>
      <w:lvlJc w:val="left"/>
      <w:pPr>
        <w:tabs>
          <w:tab w:val="num" w:pos="720"/>
        </w:tabs>
        <w:ind w:left="720" w:hanging="360"/>
      </w:pPr>
      <w:rPr>
        <w:rFonts w:ascii="Arial" w:hAnsi="Arial" w:hint="default"/>
      </w:rPr>
    </w:lvl>
    <w:lvl w:ilvl="1" w:tplc="6A06F2B4" w:tentative="1">
      <w:start w:val="1"/>
      <w:numFmt w:val="bullet"/>
      <w:lvlText w:val="•"/>
      <w:lvlJc w:val="left"/>
      <w:pPr>
        <w:tabs>
          <w:tab w:val="num" w:pos="1440"/>
        </w:tabs>
        <w:ind w:left="1440" w:hanging="360"/>
      </w:pPr>
      <w:rPr>
        <w:rFonts w:ascii="Arial" w:hAnsi="Arial" w:hint="default"/>
      </w:rPr>
    </w:lvl>
    <w:lvl w:ilvl="2" w:tplc="9EBADC58" w:tentative="1">
      <w:start w:val="1"/>
      <w:numFmt w:val="bullet"/>
      <w:lvlText w:val="•"/>
      <w:lvlJc w:val="left"/>
      <w:pPr>
        <w:tabs>
          <w:tab w:val="num" w:pos="2160"/>
        </w:tabs>
        <w:ind w:left="2160" w:hanging="360"/>
      </w:pPr>
      <w:rPr>
        <w:rFonts w:ascii="Arial" w:hAnsi="Arial" w:hint="default"/>
      </w:rPr>
    </w:lvl>
    <w:lvl w:ilvl="3" w:tplc="D3A2A8D6" w:tentative="1">
      <w:start w:val="1"/>
      <w:numFmt w:val="bullet"/>
      <w:lvlText w:val="•"/>
      <w:lvlJc w:val="left"/>
      <w:pPr>
        <w:tabs>
          <w:tab w:val="num" w:pos="2880"/>
        </w:tabs>
        <w:ind w:left="2880" w:hanging="360"/>
      </w:pPr>
      <w:rPr>
        <w:rFonts w:ascii="Arial" w:hAnsi="Arial" w:hint="default"/>
      </w:rPr>
    </w:lvl>
    <w:lvl w:ilvl="4" w:tplc="9080EA9A" w:tentative="1">
      <w:start w:val="1"/>
      <w:numFmt w:val="bullet"/>
      <w:lvlText w:val="•"/>
      <w:lvlJc w:val="left"/>
      <w:pPr>
        <w:tabs>
          <w:tab w:val="num" w:pos="3600"/>
        </w:tabs>
        <w:ind w:left="3600" w:hanging="360"/>
      </w:pPr>
      <w:rPr>
        <w:rFonts w:ascii="Arial" w:hAnsi="Arial" w:hint="default"/>
      </w:rPr>
    </w:lvl>
    <w:lvl w:ilvl="5" w:tplc="CD5E2EAA" w:tentative="1">
      <w:start w:val="1"/>
      <w:numFmt w:val="bullet"/>
      <w:lvlText w:val="•"/>
      <w:lvlJc w:val="left"/>
      <w:pPr>
        <w:tabs>
          <w:tab w:val="num" w:pos="4320"/>
        </w:tabs>
        <w:ind w:left="4320" w:hanging="360"/>
      </w:pPr>
      <w:rPr>
        <w:rFonts w:ascii="Arial" w:hAnsi="Arial" w:hint="default"/>
      </w:rPr>
    </w:lvl>
    <w:lvl w:ilvl="6" w:tplc="766ED3F8" w:tentative="1">
      <w:start w:val="1"/>
      <w:numFmt w:val="bullet"/>
      <w:lvlText w:val="•"/>
      <w:lvlJc w:val="left"/>
      <w:pPr>
        <w:tabs>
          <w:tab w:val="num" w:pos="5040"/>
        </w:tabs>
        <w:ind w:left="5040" w:hanging="360"/>
      </w:pPr>
      <w:rPr>
        <w:rFonts w:ascii="Arial" w:hAnsi="Arial" w:hint="default"/>
      </w:rPr>
    </w:lvl>
    <w:lvl w:ilvl="7" w:tplc="709C9E3E" w:tentative="1">
      <w:start w:val="1"/>
      <w:numFmt w:val="bullet"/>
      <w:lvlText w:val="•"/>
      <w:lvlJc w:val="left"/>
      <w:pPr>
        <w:tabs>
          <w:tab w:val="num" w:pos="5760"/>
        </w:tabs>
        <w:ind w:left="5760" w:hanging="360"/>
      </w:pPr>
      <w:rPr>
        <w:rFonts w:ascii="Arial" w:hAnsi="Arial" w:hint="default"/>
      </w:rPr>
    </w:lvl>
    <w:lvl w:ilvl="8" w:tplc="19AC22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656ABC"/>
    <w:multiLevelType w:val="hybridMultilevel"/>
    <w:tmpl w:val="0150BA56"/>
    <w:lvl w:ilvl="0" w:tplc="0ECE30E6">
      <w:start w:val="1"/>
      <w:numFmt w:val="decimal"/>
      <w:lvlText w:val="(%1)"/>
      <w:lvlJc w:val="left"/>
      <w:pPr>
        <w:tabs>
          <w:tab w:val="num" w:pos="720"/>
        </w:tabs>
        <w:ind w:left="720" w:hanging="360"/>
      </w:pPr>
    </w:lvl>
    <w:lvl w:ilvl="1" w:tplc="4DC4CF36" w:tentative="1">
      <w:start w:val="1"/>
      <w:numFmt w:val="decimal"/>
      <w:lvlText w:val="(%2)"/>
      <w:lvlJc w:val="left"/>
      <w:pPr>
        <w:tabs>
          <w:tab w:val="num" w:pos="1440"/>
        </w:tabs>
        <w:ind w:left="1440" w:hanging="360"/>
      </w:pPr>
    </w:lvl>
    <w:lvl w:ilvl="2" w:tplc="E82A4D0E" w:tentative="1">
      <w:start w:val="1"/>
      <w:numFmt w:val="decimal"/>
      <w:lvlText w:val="(%3)"/>
      <w:lvlJc w:val="left"/>
      <w:pPr>
        <w:tabs>
          <w:tab w:val="num" w:pos="2160"/>
        </w:tabs>
        <w:ind w:left="2160" w:hanging="360"/>
      </w:pPr>
    </w:lvl>
    <w:lvl w:ilvl="3" w:tplc="64AC8018" w:tentative="1">
      <w:start w:val="1"/>
      <w:numFmt w:val="decimal"/>
      <w:lvlText w:val="(%4)"/>
      <w:lvlJc w:val="left"/>
      <w:pPr>
        <w:tabs>
          <w:tab w:val="num" w:pos="2880"/>
        </w:tabs>
        <w:ind w:left="2880" w:hanging="360"/>
      </w:pPr>
    </w:lvl>
    <w:lvl w:ilvl="4" w:tplc="8D5A4FCE" w:tentative="1">
      <w:start w:val="1"/>
      <w:numFmt w:val="decimal"/>
      <w:lvlText w:val="(%5)"/>
      <w:lvlJc w:val="left"/>
      <w:pPr>
        <w:tabs>
          <w:tab w:val="num" w:pos="3600"/>
        </w:tabs>
        <w:ind w:left="3600" w:hanging="360"/>
      </w:pPr>
    </w:lvl>
    <w:lvl w:ilvl="5" w:tplc="EE062530" w:tentative="1">
      <w:start w:val="1"/>
      <w:numFmt w:val="decimal"/>
      <w:lvlText w:val="(%6)"/>
      <w:lvlJc w:val="left"/>
      <w:pPr>
        <w:tabs>
          <w:tab w:val="num" w:pos="4320"/>
        </w:tabs>
        <w:ind w:left="4320" w:hanging="360"/>
      </w:pPr>
    </w:lvl>
    <w:lvl w:ilvl="6" w:tplc="18480038" w:tentative="1">
      <w:start w:val="1"/>
      <w:numFmt w:val="decimal"/>
      <w:lvlText w:val="(%7)"/>
      <w:lvlJc w:val="left"/>
      <w:pPr>
        <w:tabs>
          <w:tab w:val="num" w:pos="5040"/>
        </w:tabs>
        <w:ind w:left="5040" w:hanging="360"/>
      </w:pPr>
    </w:lvl>
    <w:lvl w:ilvl="7" w:tplc="A1FA9746" w:tentative="1">
      <w:start w:val="1"/>
      <w:numFmt w:val="decimal"/>
      <w:lvlText w:val="(%8)"/>
      <w:lvlJc w:val="left"/>
      <w:pPr>
        <w:tabs>
          <w:tab w:val="num" w:pos="5760"/>
        </w:tabs>
        <w:ind w:left="5760" w:hanging="360"/>
      </w:pPr>
    </w:lvl>
    <w:lvl w:ilvl="8" w:tplc="04F0AACC" w:tentative="1">
      <w:start w:val="1"/>
      <w:numFmt w:val="decimal"/>
      <w:lvlText w:val="(%9)"/>
      <w:lvlJc w:val="left"/>
      <w:pPr>
        <w:tabs>
          <w:tab w:val="num" w:pos="6480"/>
        </w:tabs>
        <w:ind w:left="6480" w:hanging="360"/>
      </w:pPr>
    </w:lvl>
  </w:abstractNum>
  <w:abstractNum w:abstractNumId="24" w15:restartNumberingAfterBreak="0">
    <w:nsid w:val="61C20F4E"/>
    <w:multiLevelType w:val="hybridMultilevel"/>
    <w:tmpl w:val="A6209E3A"/>
    <w:lvl w:ilvl="0" w:tplc="A8C6406E">
      <w:start w:val="1"/>
      <w:numFmt w:val="decimal"/>
      <w:lvlText w:val="%1."/>
      <w:lvlJc w:val="left"/>
      <w:pPr>
        <w:ind w:left="720" w:hanging="360"/>
      </w:pPr>
      <w:rPr>
        <w:rFonts w:ascii="Times New Roman" w:eastAsiaTheme="minorHAnsi" w:hAnsi="Times New Roman"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D456A"/>
    <w:multiLevelType w:val="hybridMultilevel"/>
    <w:tmpl w:val="1D84A498"/>
    <w:lvl w:ilvl="0" w:tplc="C77218C8">
      <w:start w:val="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B41081"/>
    <w:multiLevelType w:val="hybridMultilevel"/>
    <w:tmpl w:val="82486568"/>
    <w:lvl w:ilvl="0" w:tplc="74D475B8">
      <w:start w:val="2"/>
      <w:numFmt w:val="bullet"/>
      <w:lvlText w:val="-"/>
      <w:lvlJc w:val="left"/>
      <w:pPr>
        <w:ind w:left="720" w:hanging="36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D56BDF"/>
    <w:multiLevelType w:val="hybridMultilevel"/>
    <w:tmpl w:val="391EACD6"/>
    <w:lvl w:ilvl="0" w:tplc="A8C6406E">
      <w:start w:val="1"/>
      <w:numFmt w:val="decimal"/>
      <w:lvlText w:val="%1."/>
      <w:lvlJc w:val="left"/>
      <w:pPr>
        <w:ind w:left="720" w:hanging="360"/>
      </w:pPr>
      <w:rPr>
        <w:rFonts w:ascii="Times New Roman" w:eastAsiaTheme="minorHAnsi" w:hAnsi="Times New Roman"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27898"/>
    <w:multiLevelType w:val="hybridMultilevel"/>
    <w:tmpl w:val="E3C0CE28"/>
    <w:lvl w:ilvl="0" w:tplc="753842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1943BE"/>
    <w:multiLevelType w:val="hybridMultilevel"/>
    <w:tmpl w:val="75665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2851E9"/>
    <w:multiLevelType w:val="hybridMultilevel"/>
    <w:tmpl w:val="3AC6125E"/>
    <w:lvl w:ilvl="0" w:tplc="00D43A4E">
      <w:start w:val="2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534F8"/>
    <w:multiLevelType w:val="hybridMultilevel"/>
    <w:tmpl w:val="748814D2"/>
    <w:lvl w:ilvl="0" w:tplc="3102763E">
      <w:start w:val="1"/>
      <w:numFmt w:val="bullet"/>
      <w:lvlText w:val="•"/>
      <w:lvlJc w:val="left"/>
      <w:pPr>
        <w:tabs>
          <w:tab w:val="num" w:pos="720"/>
        </w:tabs>
        <w:ind w:left="720" w:hanging="360"/>
      </w:pPr>
      <w:rPr>
        <w:rFonts w:ascii="Arial" w:hAnsi="Arial" w:hint="default"/>
      </w:rPr>
    </w:lvl>
    <w:lvl w:ilvl="1" w:tplc="A3601A90" w:tentative="1">
      <w:start w:val="1"/>
      <w:numFmt w:val="bullet"/>
      <w:lvlText w:val="•"/>
      <w:lvlJc w:val="left"/>
      <w:pPr>
        <w:tabs>
          <w:tab w:val="num" w:pos="1440"/>
        </w:tabs>
        <w:ind w:left="1440" w:hanging="360"/>
      </w:pPr>
      <w:rPr>
        <w:rFonts w:ascii="Arial" w:hAnsi="Arial" w:hint="default"/>
      </w:rPr>
    </w:lvl>
    <w:lvl w:ilvl="2" w:tplc="8376E0A2" w:tentative="1">
      <w:start w:val="1"/>
      <w:numFmt w:val="bullet"/>
      <w:lvlText w:val="•"/>
      <w:lvlJc w:val="left"/>
      <w:pPr>
        <w:tabs>
          <w:tab w:val="num" w:pos="2160"/>
        </w:tabs>
        <w:ind w:left="2160" w:hanging="360"/>
      </w:pPr>
      <w:rPr>
        <w:rFonts w:ascii="Arial" w:hAnsi="Arial" w:hint="default"/>
      </w:rPr>
    </w:lvl>
    <w:lvl w:ilvl="3" w:tplc="5B4CCAEC" w:tentative="1">
      <w:start w:val="1"/>
      <w:numFmt w:val="bullet"/>
      <w:lvlText w:val="•"/>
      <w:lvlJc w:val="left"/>
      <w:pPr>
        <w:tabs>
          <w:tab w:val="num" w:pos="2880"/>
        </w:tabs>
        <w:ind w:left="2880" w:hanging="360"/>
      </w:pPr>
      <w:rPr>
        <w:rFonts w:ascii="Arial" w:hAnsi="Arial" w:hint="default"/>
      </w:rPr>
    </w:lvl>
    <w:lvl w:ilvl="4" w:tplc="595A53CC" w:tentative="1">
      <w:start w:val="1"/>
      <w:numFmt w:val="bullet"/>
      <w:lvlText w:val="•"/>
      <w:lvlJc w:val="left"/>
      <w:pPr>
        <w:tabs>
          <w:tab w:val="num" w:pos="3600"/>
        </w:tabs>
        <w:ind w:left="3600" w:hanging="360"/>
      </w:pPr>
      <w:rPr>
        <w:rFonts w:ascii="Arial" w:hAnsi="Arial" w:hint="default"/>
      </w:rPr>
    </w:lvl>
    <w:lvl w:ilvl="5" w:tplc="19647BB6" w:tentative="1">
      <w:start w:val="1"/>
      <w:numFmt w:val="bullet"/>
      <w:lvlText w:val="•"/>
      <w:lvlJc w:val="left"/>
      <w:pPr>
        <w:tabs>
          <w:tab w:val="num" w:pos="4320"/>
        </w:tabs>
        <w:ind w:left="4320" w:hanging="360"/>
      </w:pPr>
      <w:rPr>
        <w:rFonts w:ascii="Arial" w:hAnsi="Arial" w:hint="default"/>
      </w:rPr>
    </w:lvl>
    <w:lvl w:ilvl="6" w:tplc="71426E28" w:tentative="1">
      <w:start w:val="1"/>
      <w:numFmt w:val="bullet"/>
      <w:lvlText w:val="•"/>
      <w:lvlJc w:val="left"/>
      <w:pPr>
        <w:tabs>
          <w:tab w:val="num" w:pos="5040"/>
        </w:tabs>
        <w:ind w:left="5040" w:hanging="360"/>
      </w:pPr>
      <w:rPr>
        <w:rFonts w:ascii="Arial" w:hAnsi="Arial" w:hint="default"/>
      </w:rPr>
    </w:lvl>
    <w:lvl w:ilvl="7" w:tplc="917E2070" w:tentative="1">
      <w:start w:val="1"/>
      <w:numFmt w:val="bullet"/>
      <w:lvlText w:val="•"/>
      <w:lvlJc w:val="left"/>
      <w:pPr>
        <w:tabs>
          <w:tab w:val="num" w:pos="5760"/>
        </w:tabs>
        <w:ind w:left="5760" w:hanging="360"/>
      </w:pPr>
      <w:rPr>
        <w:rFonts w:ascii="Arial" w:hAnsi="Arial" w:hint="default"/>
      </w:rPr>
    </w:lvl>
    <w:lvl w:ilvl="8" w:tplc="D64E139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42F0280"/>
    <w:multiLevelType w:val="hybridMultilevel"/>
    <w:tmpl w:val="20A497A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17"/>
  </w:num>
  <w:num w:numId="2">
    <w:abstractNumId w:val="2"/>
  </w:num>
  <w:num w:numId="3">
    <w:abstractNumId w:val="11"/>
  </w:num>
  <w:num w:numId="4">
    <w:abstractNumId w:val="6"/>
  </w:num>
  <w:num w:numId="5">
    <w:abstractNumId w:val="24"/>
  </w:num>
  <w:num w:numId="6">
    <w:abstractNumId w:val="1"/>
  </w:num>
  <w:num w:numId="7">
    <w:abstractNumId w:val="14"/>
  </w:num>
  <w:num w:numId="8">
    <w:abstractNumId w:val="30"/>
  </w:num>
  <w:num w:numId="9">
    <w:abstractNumId w:val="31"/>
  </w:num>
  <w:num w:numId="10">
    <w:abstractNumId w:val="9"/>
  </w:num>
  <w:num w:numId="11">
    <w:abstractNumId w:val="23"/>
  </w:num>
  <w:num w:numId="12">
    <w:abstractNumId w:val="10"/>
  </w:num>
  <w:num w:numId="13">
    <w:abstractNumId w:val="15"/>
  </w:num>
  <w:num w:numId="14">
    <w:abstractNumId w:val="19"/>
  </w:num>
  <w:num w:numId="15">
    <w:abstractNumId w:val="22"/>
  </w:num>
  <w:num w:numId="16">
    <w:abstractNumId w:val="29"/>
  </w:num>
  <w:num w:numId="17">
    <w:abstractNumId w:val="7"/>
  </w:num>
  <w:num w:numId="18">
    <w:abstractNumId w:val="13"/>
  </w:num>
  <w:num w:numId="19">
    <w:abstractNumId w:val="8"/>
  </w:num>
  <w:num w:numId="20">
    <w:abstractNumId w:val="20"/>
  </w:num>
  <w:num w:numId="21">
    <w:abstractNumId w:val="16"/>
  </w:num>
  <w:num w:numId="22">
    <w:abstractNumId w:val="5"/>
  </w:num>
  <w:num w:numId="23">
    <w:abstractNumId w:val="4"/>
  </w:num>
  <w:num w:numId="24">
    <w:abstractNumId w:val="0"/>
  </w:num>
  <w:num w:numId="25">
    <w:abstractNumId w:val="12"/>
  </w:num>
  <w:num w:numId="26">
    <w:abstractNumId w:val="18"/>
  </w:num>
  <w:num w:numId="27">
    <w:abstractNumId w:val="28"/>
  </w:num>
  <w:num w:numId="28">
    <w:abstractNumId w:val="32"/>
  </w:num>
  <w:num w:numId="29">
    <w:abstractNumId w:val="3"/>
  </w:num>
  <w:num w:numId="30">
    <w:abstractNumId w:val="25"/>
  </w:num>
  <w:num w:numId="31">
    <w:abstractNumId w:val="26"/>
  </w:num>
  <w:num w:numId="32">
    <w:abstractNumId w:val="21"/>
  </w:num>
  <w:num w:numId="33">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90"/>
  <w:drawingGridVerticalSpacing w:val="245"/>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F11"/>
    <w:rsid w:val="00000216"/>
    <w:rsid w:val="00000985"/>
    <w:rsid w:val="00000CED"/>
    <w:rsid w:val="000013E5"/>
    <w:rsid w:val="0000173F"/>
    <w:rsid w:val="000023B0"/>
    <w:rsid w:val="0000305A"/>
    <w:rsid w:val="000033B1"/>
    <w:rsid w:val="00003661"/>
    <w:rsid w:val="00003740"/>
    <w:rsid w:val="000038F3"/>
    <w:rsid w:val="00003959"/>
    <w:rsid w:val="00003B10"/>
    <w:rsid w:val="00003ECE"/>
    <w:rsid w:val="00004D25"/>
    <w:rsid w:val="00005235"/>
    <w:rsid w:val="00005804"/>
    <w:rsid w:val="0000580F"/>
    <w:rsid w:val="00006469"/>
    <w:rsid w:val="00006692"/>
    <w:rsid w:val="00007337"/>
    <w:rsid w:val="000073EC"/>
    <w:rsid w:val="00007B3C"/>
    <w:rsid w:val="00010BBD"/>
    <w:rsid w:val="00010C15"/>
    <w:rsid w:val="0001148A"/>
    <w:rsid w:val="00011A5D"/>
    <w:rsid w:val="00011C06"/>
    <w:rsid w:val="00011EEF"/>
    <w:rsid w:val="000121D3"/>
    <w:rsid w:val="000125D0"/>
    <w:rsid w:val="00012AF2"/>
    <w:rsid w:val="00012DA7"/>
    <w:rsid w:val="00012DB2"/>
    <w:rsid w:val="00012E91"/>
    <w:rsid w:val="00012F04"/>
    <w:rsid w:val="00012F89"/>
    <w:rsid w:val="00012FF2"/>
    <w:rsid w:val="00013009"/>
    <w:rsid w:val="00013425"/>
    <w:rsid w:val="0001343C"/>
    <w:rsid w:val="000135C9"/>
    <w:rsid w:val="000135F3"/>
    <w:rsid w:val="00013AEA"/>
    <w:rsid w:val="00013CDC"/>
    <w:rsid w:val="00014026"/>
    <w:rsid w:val="00014338"/>
    <w:rsid w:val="0001494A"/>
    <w:rsid w:val="00014D6E"/>
    <w:rsid w:val="00015262"/>
    <w:rsid w:val="0001537D"/>
    <w:rsid w:val="000154E9"/>
    <w:rsid w:val="0001589B"/>
    <w:rsid w:val="00015DF3"/>
    <w:rsid w:val="00016025"/>
    <w:rsid w:val="00016137"/>
    <w:rsid w:val="000165D0"/>
    <w:rsid w:val="00016E55"/>
    <w:rsid w:val="0001716A"/>
    <w:rsid w:val="00017611"/>
    <w:rsid w:val="00017E15"/>
    <w:rsid w:val="0002083E"/>
    <w:rsid w:val="00020876"/>
    <w:rsid w:val="0002098A"/>
    <w:rsid w:val="000209B4"/>
    <w:rsid w:val="00020A6D"/>
    <w:rsid w:val="00020B85"/>
    <w:rsid w:val="00020C87"/>
    <w:rsid w:val="000211B9"/>
    <w:rsid w:val="00021971"/>
    <w:rsid w:val="00021BFE"/>
    <w:rsid w:val="00021C83"/>
    <w:rsid w:val="00022774"/>
    <w:rsid w:val="00022841"/>
    <w:rsid w:val="0002284D"/>
    <w:rsid w:val="000228EB"/>
    <w:rsid w:val="000228EE"/>
    <w:rsid w:val="0002297B"/>
    <w:rsid w:val="00022B29"/>
    <w:rsid w:val="00022E7F"/>
    <w:rsid w:val="00022FF3"/>
    <w:rsid w:val="00023E4A"/>
    <w:rsid w:val="00023EF4"/>
    <w:rsid w:val="00024537"/>
    <w:rsid w:val="00024692"/>
    <w:rsid w:val="00024E53"/>
    <w:rsid w:val="00024F66"/>
    <w:rsid w:val="00025132"/>
    <w:rsid w:val="000252B0"/>
    <w:rsid w:val="000259AD"/>
    <w:rsid w:val="00025CEE"/>
    <w:rsid w:val="00025EB4"/>
    <w:rsid w:val="00026580"/>
    <w:rsid w:val="0002693B"/>
    <w:rsid w:val="00026A38"/>
    <w:rsid w:val="00026A5C"/>
    <w:rsid w:val="00026A60"/>
    <w:rsid w:val="00026CB7"/>
    <w:rsid w:val="00026E3A"/>
    <w:rsid w:val="00026F29"/>
    <w:rsid w:val="00027261"/>
    <w:rsid w:val="00027302"/>
    <w:rsid w:val="00030574"/>
    <w:rsid w:val="000305E7"/>
    <w:rsid w:val="000309E1"/>
    <w:rsid w:val="00030BD9"/>
    <w:rsid w:val="00030D9D"/>
    <w:rsid w:val="00030F8C"/>
    <w:rsid w:val="00031139"/>
    <w:rsid w:val="000313C1"/>
    <w:rsid w:val="000314F8"/>
    <w:rsid w:val="00031567"/>
    <w:rsid w:val="00031750"/>
    <w:rsid w:val="00031811"/>
    <w:rsid w:val="0003195E"/>
    <w:rsid w:val="00031A28"/>
    <w:rsid w:val="0003226D"/>
    <w:rsid w:val="00032403"/>
    <w:rsid w:val="000325A0"/>
    <w:rsid w:val="0003292C"/>
    <w:rsid w:val="00032ED4"/>
    <w:rsid w:val="00033381"/>
    <w:rsid w:val="000337D6"/>
    <w:rsid w:val="00033903"/>
    <w:rsid w:val="00033BC8"/>
    <w:rsid w:val="00033D9A"/>
    <w:rsid w:val="00033DDE"/>
    <w:rsid w:val="00033F39"/>
    <w:rsid w:val="00034309"/>
    <w:rsid w:val="000344D3"/>
    <w:rsid w:val="00034603"/>
    <w:rsid w:val="00034E8F"/>
    <w:rsid w:val="00034E9E"/>
    <w:rsid w:val="00035562"/>
    <w:rsid w:val="000355EB"/>
    <w:rsid w:val="000358F9"/>
    <w:rsid w:val="000361B5"/>
    <w:rsid w:val="000363F7"/>
    <w:rsid w:val="000365DB"/>
    <w:rsid w:val="000367A4"/>
    <w:rsid w:val="00037215"/>
    <w:rsid w:val="000378FC"/>
    <w:rsid w:val="00040398"/>
    <w:rsid w:val="00040F86"/>
    <w:rsid w:val="0004155C"/>
    <w:rsid w:val="000419D7"/>
    <w:rsid w:val="00042031"/>
    <w:rsid w:val="000425DA"/>
    <w:rsid w:val="00042868"/>
    <w:rsid w:val="00042CAE"/>
    <w:rsid w:val="00042E0F"/>
    <w:rsid w:val="000434BA"/>
    <w:rsid w:val="00043813"/>
    <w:rsid w:val="00043AE1"/>
    <w:rsid w:val="00043CC4"/>
    <w:rsid w:val="00044161"/>
    <w:rsid w:val="000442EA"/>
    <w:rsid w:val="00044458"/>
    <w:rsid w:val="00044A23"/>
    <w:rsid w:val="000459B5"/>
    <w:rsid w:val="00045BF8"/>
    <w:rsid w:val="00046252"/>
    <w:rsid w:val="000465FE"/>
    <w:rsid w:val="00046680"/>
    <w:rsid w:val="00046813"/>
    <w:rsid w:val="00046868"/>
    <w:rsid w:val="00046A06"/>
    <w:rsid w:val="00046CFD"/>
    <w:rsid w:val="00046D76"/>
    <w:rsid w:val="00047CDD"/>
    <w:rsid w:val="00047D0E"/>
    <w:rsid w:val="00047E5E"/>
    <w:rsid w:val="00047FAA"/>
    <w:rsid w:val="00050102"/>
    <w:rsid w:val="00050316"/>
    <w:rsid w:val="000507E5"/>
    <w:rsid w:val="000508E5"/>
    <w:rsid w:val="0005094E"/>
    <w:rsid w:val="00050FF0"/>
    <w:rsid w:val="00051181"/>
    <w:rsid w:val="000511B0"/>
    <w:rsid w:val="00051233"/>
    <w:rsid w:val="00051342"/>
    <w:rsid w:val="000518C7"/>
    <w:rsid w:val="000519D2"/>
    <w:rsid w:val="00051B0D"/>
    <w:rsid w:val="00051BCC"/>
    <w:rsid w:val="00051D87"/>
    <w:rsid w:val="000522D5"/>
    <w:rsid w:val="00052356"/>
    <w:rsid w:val="00052427"/>
    <w:rsid w:val="000524D0"/>
    <w:rsid w:val="00052515"/>
    <w:rsid w:val="00052627"/>
    <w:rsid w:val="00052656"/>
    <w:rsid w:val="000529BE"/>
    <w:rsid w:val="000530AE"/>
    <w:rsid w:val="00053831"/>
    <w:rsid w:val="00053AAC"/>
    <w:rsid w:val="00053C38"/>
    <w:rsid w:val="00054022"/>
    <w:rsid w:val="000541E6"/>
    <w:rsid w:val="00054D03"/>
    <w:rsid w:val="00054FC4"/>
    <w:rsid w:val="000552C4"/>
    <w:rsid w:val="000555C9"/>
    <w:rsid w:val="00055782"/>
    <w:rsid w:val="000558E4"/>
    <w:rsid w:val="00055D67"/>
    <w:rsid w:val="00056464"/>
    <w:rsid w:val="00056493"/>
    <w:rsid w:val="00056621"/>
    <w:rsid w:val="000567AB"/>
    <w:rsid w:val="0005687A"/>
    <w:rsid w:val="000569BA"/>
    <w:rsid w:val="00056D15"/>
    <w:rsid w:val="00056E0E"/>
    <w:rsid w:val="0005771D"/>
    <w:rsid w:val="00057978"/>
    <w:rsid w:val="000600B7"/>
    <w:rsid w:val="00060172"/>
    <w:rsid w:val="000603F2"/>
    <w:rsid w:val="000604E9"/>
    <w:rsid w:val="00060718"/>
    <w:rsid w:val="00060C42"/>
    <w:rsid w:val="000610AE"/>
    <w:rsid w:val="000612CD"/>
    <w:rsid w:val="00061389"/>
    <w:rsid w:val="000616FF"/>
    <w:rsid w:val="00061F9D"/>
    <w:rsid w:val="00062BB5"/>
    <w:rsid w:val="00062DE8"/>
    <w:rsid w:val="00063172"/>
    <w:rsid w:val="000631CB"/>
    <w:rsid w:val="0006345B"/>
    <w:rsid w:val="00063C87"/>
    <w:rsid w:val="00064060"/>
    <w:rsid w:val="000641C7"/>
    <w:rsid w:val="000646B2"/>
    <w:rsid w:val="000648AB"/>
    <w:rsid w:val="00064994"/>
    <w:rsid w:val="00064C06"/>
    <w:rsid w:val="00064C52"/>
    <w:rsid w:val="00064DA5"/>
    <w:rsid w:val="000650A7"/>
    <w:rsid w:val="0006544B"/>
    <w:rsid w:val="00065773"/>
    <w:rsid w:val="00065917"/>
    <w:rsid w:val="00065B31"/>
    <w:rsid w:val="00065CF7"/>
    <w:rsid w:val="00066586"/>
    <w:rsid w:val="00066B55"/>
    <w:rsid w:val="00066E06"/>
    <w:rsid w:val="000672F4"/>
    <w:rsid w:val="0006754D"/>
    <w:rsid w:val="000677A8"/>
    <w:rsid w:val="00067BEB"/>
    <w:rsid w:val="00067F11"/>
    <w:rsid w:val="00067F45"/>
    <w:rsid w:val="000703CE"/>
    <w:rsid w:val="00071036"/>
    <w:rsid w:val="0007155F"/>
    <w:rsid w:val="00071704"/>
    <w:rsid w:val="00071848"/>
    <w:rsid w:val="000721F9"/>
    <w:rsid w:val="000728A4"/>
    <w:rsid w:val="00072F2C"/>
    <w:rsid w:val="00073A3F"/>
    <w:rsid w:val="00073C3F"/>
    <w:rsid w:val="00073EAA"/>
    <w:rsid w:val="00073F82"/>
    <w:rsid w:val="0007405A"/>
    <w:rsid w:val="00074779"/>
    <w:rsid w:val="00075552"/>
    <w:rsid w:val="00075625"/>
    <w:rsid w:val="00075930"/>
    <w:rsid w:val="00075BF8"/>
    <w:rsid w:val="00075CE6"/>
    <w:rsid w:val="000763FB"/>
    <w:rsid w:val="000767BC"/>
    <w:rsid w:val="00076982"/>
    <w:rsid w:val="00076DD0"/>
    <w:rsid w:val="00077C62"/>
    <w:rsid w:val="0008011D"/>
    <w:rsid w:val="00080452"/>
    <w:rsid w:val="000805BC"/>
    <w:rsid w:val="0008066E"/>
    <w:rsid w:val="0008078B"/>
    <w:rsid w:val="000809F2"/>
    <w:rsid w:val="00080C7B"/>
    <w:rsid w:val="00080D1B"/>
    <w:rsid w:val="000811EB"/>
    <w:rsid w:val="00081D93"/>
    <w:rsid w:val="00081FC0"/>
    <w:rsid w:val="00082567"/>
    <w:rsid w:val="000825E7"/>
    <w:rsid w:val="000826A6"/>
    <w:rsid w:val="000826DC"/>
    <w:rsid w:val="0008286C"/>
    <w:rsid w:val="000831F3"/>
    <w:rsid w:val="00084518"/>
    <w:rsid w:val="00084521"/>
    <w:rsid w:val="00084782"/>
    <w:rsid w:val="00084AB8"/>
    <w:rsid w:val="00085426"/>
    <w:rsid w:val="0008556E"/>
    <w:rsid w:val="0008588D"/>
    <w:rsid w:val="00085C94"/>
    <w:rsid w:val="00085EDC"/>
    <w:rsid w:val="000861EA"/>
    <w:rsid w:val="0008698B"/>
    <w:rsid w:val="00086CD0"/>
    <w:rsid w:val="00086EA0"/>
    <w:rsid w:val="00087053"/>
    <w:rsid w:val="00087253"/>
    <w:rsid w:val="000874E2"/>
    <w:rsid w:val="00087744"/>
    <w:rsid w:val="00087B51"/>
    <w:rsid w:val="00087EC7"/>
    <w:rsid w:val="000902DA"/>
    <w:rsid w:val="00090A03"/>
    <w:rsid w:val="00091474"/>
    <w:rsid w:val="00091617"/>
    <w:rsid w:val="0009161B"/>
    <w:rsid w:val="00091753"/>
    <w:rsid w:val="00091AE7"/>
    <w:rsid w:val="00092987"/>
    <w:rsid w:val="00092B08"/>
    <w:rsid w:val="00092E60"/>
    <w:rsid w:val="00092FD8"/>
    <w:rsid w:val="00093404"/>
    <w:rsid w:val="000934D0"/>
    <w:rsid w:val="00093C38"/>
    <w:rsid w:val="00093E13"/>
    <w:rsid w:val="000940F3"/>
    <w:rsid w:val="00094154"/>
    <w:rsid w:val="000943E0"/>
    <w:rsid w:val="00094586"/>
    <w:rsid w:val="00094955"/>
    <w:rsid w:val="00095023"/>
    <w:rsid w:val="000955A5"/>
    <w:rsid w:val="00095A1F"/>
    <w:rsid w:val="00095B3B"/>
    <w:rsid w:val="00095C8D"/>
    <w:rsid w:val="00095D36"/>
    <w:rsid w:val="00095FDE"/>
    <w:rsid w:val="000962D3"/>
    <w:rsid w:val="0009657F"/>
    <w:rsid w:val="000969B4"/>
    <w:rsid w:val="00096C28"/>
    <w:rsid w:val="00096C62"/>
    <w:rsid w:val="00096E66"/>
    <w:rsid w:val="00096F8B"/>
    <w:rsid w:val="0009748C"/>
    <w:rsid w:val="00097B0C"/>
    <w:rsid w:val="000A0166"/>
    <w:rsid w:val="000A02AE"/>
    <w:rsid w:val="000A06A9"/>
    <w:rsid w:val="000A0DE6"/>
    <w:rsid w:val="000A1677"/>
    <w:rsid w:val="000A1981"/>
    <w:rsid w:val="000A1A21"/>
    <w:rsid w:val="000A1BCA"/>
    <w:rsid w:val="000A2238"/>
    <w:rsid w:val="000A23D8"/>
    <w:rsid w:val="000A2713"/>
    <w:rsid w:val="000A2A77"/>
    <w:rsid w:val="000A2DB6"/>
    <w:rsid w:val="000A3010"/>
    <w:rsid w:val="000A3FE6"/>
    <w:rsid w:val="000A4B99"/>
    <w:rsid w:val="000A4C58"/>
    <w:rsid w:val="000A52DE"/>
    <w:rsid w:val="000A5C7E"/>
    <w:rsid w:val="000A62CA"/>
    <w:rsid w:val="000A6BD6"/>
    <w:rsid w:val="000A6C29"/>
    <w:rsid w:val="000A6EF8"/>
    <w:rsid w:val="000A6F00"/>
    <w:rsid w:val="000A6F3F"/>
    <w:rsid w:val="000A7057"/>
    <w:rsid w:val="000A7717"/>
    <w:rsid w:val="000A7B17"/>
    <w:rsid w:val="000A7FF2"/>
    <w:rsid w:val="000B02CC"/>
    <w:rsid w:val="000B0C48"/>
    <w:rsid w:val="000B0DFC"/>
    <w:rsid w:val="000B0F4A"/>
    <w:rsid w:val="000B122B"/>
    <w:rsid w:val="000B1332"/>
    <w:rsid w:val="000B1371"/>
    <w:rsid w:val="000B16F9"/>
    <w:rsid w:val="000B1888"/>
    <w:rsid w:val="000B18B3"/>
    <w:rsid w:val="000B1E85"/>
    <w:rsid w:val="000B20D1"/>
    <w:rsid w:val="000B215C"/>
    <w:rsid w:val="000B224C"/>
    <w:rsid w:val="000B22F6"/>
    <w:rsid w:val="000B2407"/>
    <w:rsid w:val="000B24FF"/>
    <w:rsid w:val="000B2A15"/>
    <w:rsid w:val="000B2D9A"/>
    <w:rsid w:val="000B3048"/>
    <w:rsid w:val="000B320E"/>
    <w:rsid w:val="000B32D7"/>
    <w:rsid w:val="000B3323"/>
    <w:rsid w:val="000B3545"/>
    <w:rsid w:val="000B390D"/>
    <w:rsid w:val="000B3BC8"/>
    <w:rsid w:val="000B44EC"/>
    <w:rsid w:val="000B4C86"/>
    <w:rsid w:val="000B4D9E"/>
    <w:rsid w:val="000B516D"/>
    <w:rsid w:val="000B52B1"/>
    <w:rsid w:val="000B5310"/>
    <w:rsid w:val="000B6107"/>
    <w:rsid w:val="000B62E4"/>
    <w:rsid w:val="000B692C"/>
    <w:rsid w:val="000B6DE4"/>
    <w:rsid w:val="000B6F40"/>
    <w:rsid w:val="000B71D4"/>
    <w:rsid w:val="000B733C"/>
    <w:rsid w:val="000B783E"/>
    <w:rsid w:val="000B7D5E"/>
    <w:rsid w:val="000B7D73"/>
    <w:rsid w:val="000C033F"/>
    <w:rsid w:val="000C04F6"/>
    <w:rsid w:val="000C0736"/>
    <w:rsid w:val="000C077A"/>
    <w:rsid w:val="000C078A"/>
    <w:rsid w:val="000C1257"/>
    <w:rsid w:val="000C1BDA"/>
    <w:rsid w:val="000C1DA8"/>
    <w:rsid w:val="000C1FC7"/>
    <w:rsid w:val="000C2028"/>
    <w:rsid w:val="000C20A0"/>
    <w:rsid w:val="000C260D"/>
    <w:rsid w:val="000C2669"/>
    <w:rsid w:val="000C2AC5"/>
    <w:rsid w:val="000C307F"/>
    <w:rsid w:val="000C3118"/>
    <w:rsid w:val="000C31C2"/>
    <w:rsid w:val="000C3478"/>
    <w:rsid w:val="000C34A5"/>
    <w:rsid w:val="000C3880"/>
    <w:rsid w:val="000C39F6"/>
    <w:rsid w:val="000C3D9A"/>
    <w:rsid w:val="000C4125"/>
    <w:rsid w:val="000C46CB"/>
    <w:rsid w:val="000C478D"/>
    <w:rsid w:val="000C4797"/>
    <w:rsid w:val="000C4BA9"/>
    <w:rsid w:val="000C59CF"/>
    <w:rsid w:val="000C626F"/>
    <w:rsid w:val="000C6EFD"/>
    <w:rsid w:val="000C72ED"/>
    <w:rsid w:val="000C7870"/>
    <w:rsid w:val="000C7BDD"/>
    <w:rsid w:val="000D0005"/>
    <w:rsid w:val="000D010A"/>
    <w:rsid w:val="000D0278"/>
    <w:rsid w:val="000D0774"/>
    <w:rsid w:val="000D0B3B"/>
    <w:rsid w:val="000D1162"/>
    <w:rsid w:val="000D141E"/>
    <w:rsid w:val="000D159C"/>
    <w:rsid w:val="000D165F"/>
    <w:rsid w:val="000D1943"/>
    <w:rsid w:val="000D1A41"/>
    <w:rsid w:val="000D1ABD"/>
    <w:rsid w:val="000D265D"/>
    <w:rsid w:val="000D27D5"/>
    <w:rsid w:val="000D2B24"/>
    <w:rsid w:val="000D2CED"/>
    <w:rsid w:val="000D32CA"/>
    <w:rsid w:val="000D372B"/>
    <w:rsid w:val="000D3D13"/>
    <w:rsid w:val="000D3F3E"/>
    <w:rsid w:val="000D3FA6"/>
    <w:rsid w:val="000D4017"/>
    <w:rsid w:val="000D427D"/>
    <w:rsid w:val="000D4503"/>
    <w:rsid w:val="000D4814"/>
    <w:rsid w:val="000D4974"/>
    <w:rsid w:val="000D4994"/>
    <w:rsid w:val="000D5CFC"/>
    <w:rsid w:val="000D5ECA"/>
    <w:rsid w:val="000D6069"/>
    <w:rsid w:val="000D64B8"/>
    <w:rsid w:val="000D6846"/>
    <w:rsid w:val="000D6E78"/>
    <w:rsid w:val="000D7031"/>
    <w:rsid w:val="000D7313"/>
    <w:rsid w:val="000D740B"/>
    <w:rsid w:val="000D757D"/>
    <w:rsid w:val="000D77C0"/>
    <w:rsid w:val="000D77DB"/>
    <w:rsid w:val="000D7B0D"/>
    <w:rsid w:val="000D7C45"/>
    <w:rsid w:val="000D7F48"/>
    <w:rsid w:val="000D7F9A"/>
    <w:rsid w:val="000E091A"/>
    <w:rsid w:val="000E09CE"/>
    <w:rsid w:val="000E0D9C"/>
    <w:rsid w:val="000E1632"/>
    <w:rsid w:val="000E18FC"/>
    <w:rsid w:val="000E1FB7"/>
    <w:rsid w:val="000E2102"/>
    <w:rsid w:val="000E2327"/>
    <w:rsid w:val="000E2427"/>
    <w:rsid w:val="000E244F"/>
    <w:rsid w:val="000E24E8"/>
    <w:rsid w:val="000E2861"/>
    <w:rsid w:val="000E2E3B"/>
    <w:rsid w:val="000E330D"/>
    <w:rsid w:val="000E3887"/>
    <w:rsid w:val="000E3CE0"/>
    <w:rsid w:val="000E4148"/>
    <w:rsid w:val="000E42B8"/>
    <w:rsid w:val="000E44DB"/>
    <w:rsid w:val="000E46D7"/>
    <w:rsid w:val="000E47A7"/>
    <w:rsid w:val="000E4A9B"/>
    <w:rsid w:val="000E53E8"/>
    <w:rsid w:val="000E54DE"/>
    <w:rsid w:val="000E5679"/>
    <w:rsid w:val="000E58AC"/>
    <w:rsid w:val="000E5BD7"/>
    <w:rsid w:val="000E5E10"/>
    <w:rsid w:val="000E60ED"/>
    <w:rsid w:val="000E60F6"/>
    <w:rsid w:val="000E6184"/>
    <w:rsid w:val="000E65C8"/>
    <w:rsid w:val="000E694E"/>
    <w:rsid w:val="000E6F58"/>
    <w:rsid w:val="000E7005"/>
    <w:rsid w:val="000E7226"/>
    <w:rsid w:val="000E74B8"/>
    <w:rsid w:val="000E7561"/>
    <w:rsid w:val="000E75E7"/>
    <w:rsid w:val="000E7F03"/>
    <w:rsid w:val="000F0048"/>
    <w:rsid w:val="000F00ED"/>
    <w:rsid w:val="000F04CC"/>
    <w:rsid w:val="000F055D"/>
    <w:rsid w:val="000F07E9"/>
    <w:rsid w:val="000F0AAD"/>
    <w:rsid w:val="000F0D50"/>
    <w:rsid w:val="000F0E51"/>
    <w:rsid w:val="000F140C"/>
    <w:rsid w:val="000F16D2"/>
    <w:rsid w:val="000F18C3"/>
    <w:rsid w:val="000F1DD2"/>
    <w:rsid w:val="000F1E93"/>
    <w:rsid w:val="000F1F04"/>
    <w:rsid w:val="000F262B"/>
    <w:rsid w:val="000F278C"/>
    <w:rsid w:val="000F2C69"/>
    <w:rsid w:val="000F2DB8"/>
    <w:rsid w:val="000F321B"/>
    <w:rsid w:val="000F3380"/>
    <w:rsid w:val="000F3560"/>
    <w:rsid w:val="000F36EE"/>
    <w:rsid w:val="000F3793"/>
    <w:rsid w:val="000F3DCC"/>
    <w:rsid w:val="000F4425"/>
    <w:rsid w:val="000F4743"/>
    <w:rsid w:val="000F47B7"/>
    <w:rsid w:val="000F49B6"/>
    <w:rsid w:val="000F4F1A"/>
    <w:rsid w:val="000F547F"/>
    <w:rsid w:val="000F5509"/>
    <w:rsid w:val="000F5539"/>
    <w:rsid w:val="000F5632"/>
    <w:rsid w:val="000F56FF"/>
    <w:rsid w:val="000F5BB7"/>
    <w:rsid w:val="000F5CEF"/>
    <w:rsid w:val="000F6164"/>
    <w:rsid w:val="000F625F"/>
    <w:rsid w:val="000F6453"/>
    <w:rsid w:val="000F6545"/>
    <w:rsid w:val="000F65BC"/>
    <w:rsid w:val="000F6A12"/>
    <w:rsid w:val="000F7030"/>
    <w:rsid w:val="000F726A"/>
    <w:rsid w:val="000F787B"/>
    <w:rsid w:val="001003AF"/>
    <w:rsid w:val="001005EC"/>
    <w:rsid w:val="00100C7B"/>
    <w:rsid w:val="001010EF"/>
    <w:rsid w:val="001013C4"/>
    <w:rsid w:val="00101E8E"/>
    <w:rsid w:val="00102430"/>
    <w:rsid w:val="0010281B"/>
    <w:rsid w:val="00102B88"/>
    <w:rsid w:val="00102DCD"/>
    <w:rsid w:val="001032CA"/>
    <w:rsid w:val="00103AC5"/>
    <w:rsid w:val="00103B3C"/>
    <w:rsid w:val="00103BC0"/>
    <w:rsid w:val="00104752"/>
    <w:rsid w:val="00104A28"/>
    <w:rsid w:val="00104CF2"/>
    <w:rsid w:val="00104F19"/>
    <w:rsid w:val="0010518E"/>
    <w:rsid w:val="0010520E"/>
    <w:rsid w:val="00105353"/>
    <w:rsid w:val="0010535B"/>
    <w:rsid w:val="00105761"/>
    <w:rsid w:val="00106189"/>
    <w:rsid w:val="0010653A"/>
    <w:rsid w:val="001067E6"/>
    <w:rsid w:val="00106D9A"/>
    <w:rsid w:val="00106E22"/>
    <w:rsid w:val="00107502"/>
    <w:rsid w:val="00107657"/>
    <w:rsid w:val="001079D3"/>
    <w:rsid w:val="00107D33"/>
    <w:rsid w:val="00110064"/>
    <w:rsid w:val="0011012B"/>
    <w:rsid w:val="0011015A"/>
    <w:rsid w:val="001101EA"/>
    <w:rsid w:val="00110686"/>
    <w:rsid w:val="001106D1"/>
    <w:rsid w:val="001107C5"/>
    <w:rsid w:val="00110A94"/>
    <w:rsid w:val="00110D65"/>
    <w:rsid w:val="0011144D"/>
    <w:rsid w:val="001114BC"/>
    <w:rsid w:val="00112311"/>
    <w:rsid w:val="00112418"/>
    <w:rsid w:val="00112552"/>
    <w:rsid w:val="00112864"/>
    <w:rsid w:val="00112942"/>
    <w:rsid w:val="00112C2B"/>
    <w:rsid w:val="00112EF3"/>
    <w:rsid w:val="00113203"/>
    <w:rsid w:val="001133BF"/>
    <w:rsid w:val="00113858"/>
    <w:rsid w:val="00114080"/>
    <w:rsid w:val="00114157"/>
    <w:rsid w:val="0011442C"/>
    <w:rsid w:val="0011468C"/>
    <w:rsid w:val="00114792"/>
    <w:rsid w:val="00114A2D"/>
    <w:rsid w:val="00114B27"/>
    <w:rsid w:val="001156DA"/>
    <w:rsid w:val="0011592A"/>
    <w:rsid w:val="00115D6D"/>
    <w:rsid w:val="00116AA1"/>
    <w:rsid w:val="00116B42"/>
    <w:rsid w:val="00116C71"/>
    <w:rsid w:val="00117713"/>
    <w:rsid w:val="00117F7F"/>
    <w:rsid w:val="00120099"/>
    <w:rsid w:val="0012012F"/>
    <w:rsid w:val="001201CF"/>
    <w:rsid w:val="00120BD3"/>
    <w:rsid w:val="00120DA9"/>
    <w:rsid w:val="00120F9F"/>
    <w:rsid w:val="00120FC1"/>
    <w:rsid w:val="0012167A"/>
    <w:rsid w:val="0012231E"/>
    <w:rsid w:val="0012238B"/>
    <w:rsid w:val="00122807"/>
    <w:rsid w:val="0012293B"/>
    <w:rsid w:val="00122A96"/>
    <w:rsid w:val="001230F1"/>
    <w:rsid w:val="001233FF"/>
    <w:rsid w:val="00123E89"/>
    <w:rsid w:val="00123F3E"/>
    <w:rsid w:val="00123FE4"/>
    <w:rsid w:val="001241AC"/>
    <w:rsid w:val="00124214"/>
    <w:rsid w:val="00124AE2"/>
    <w:rsid w:val="00124E9C"/>
    <w:rsid w:val="0012576F"/>
    <w:rsid w:val="00125A50"/>
    <w:rsid w:val="00125BFA"/>
    <w:rsid w:val="00125E68"/>
    <w:rsid w:val="00126243"/>
    <w:rsid w:val="0012681A"/>
    <w:rsid w:val="00126F39"/>
    <w:rsid w:val="00126FE7"/>
    <w:rsid w:val="0012718E"/>
    <w:rsid w:val="0012781C"/>
    <w:rsid w:val="00127A1E"/>
    <w:rsid w:val="00127EAD"/>
    <w:rsid w:val="00130D6B"/>
    <w:rsid w:val="00131C6A"/>
    <w:rsid w:val="00131C73"/>
    <w:rsid w:val="00131D0D"/>
    <w:rsid w:val="001321AC"/>
    <w:rsid w:val="001323BB"/>
    <w:rsid w:val="00132514"/>
    <w:rsid w:val="00132567"/>
    <w:rsid w:val="001328D3"/>
    <w:rsid w:val="00132BF1"/>
    <w:rsid w:val="00133267"/>
    <w:rsid w:val="001333D2"/>
    <w:rsid w:val="00133E8F"/>
    <w:rsid w:val="00133EF0"/>
    <w:rsid w:val="00133F23"/>
    <w:rsid w:val="0013428F"/>
    <w:rsid w:val="00134567"/>
    <w:rsid w:val="0013490F"/>
    <w:rsid w:val="00134E94"/>
    <w:rsid w:val="00134EFE"/>
    <w:rsid w:val="001350FD"/>
    <w:rsid w:val="00135214"/>
    <w:rsid w:val="00135870"/>
    <w:rsid w:val="00135AE2"/>
    <w:rsid w:val="00135B76"/>
    <w:rsid w:val="00136083"/>
    <w:rsid w:val="0013624F"/>
    <w:rsid w:val="0013648A"/>
    <w:rsid w:val="00136697"/>
    <w:rsid w:val="0013698E"/>
    <w:rsid w:val="001369CE"/>
    <w:rsid w:val="00136B45"/>
    <w:rsid w:val="00136E2A"/>
    <w:rsid w:val="0013783A"/>
    <w:rsid w:val="00137976"/>
    <w:rsid w:val="001379A5"/>
    <w:rsid w:val="00137BE3"/>
    <w:rsid w:val="00137C21"/>
    <w:rsid w:val="00137C32"/>
    <w:rsid w:val="00137E12"/>
    <w:rsid w:val="001403D4"/>
    <w:rsid w:val="00140822"/>
    <w:rsid w:val="0014082B"/>
    <w:rsid w:val="0014090F"/>
    <w:rsid w:val="00140E27"/>
    <w:rsid w:val="00142059"/>
    <w:rsid w:val="001422B2"/>
    <w:rsid w:val="0014240C"/>
    <w:rsid w:val="00142A2F"/>
    <w:rsid w:val="00142E51"/>
    <w:rsid w:val="00142FBE"/>
    <w:rsid w:val="0014322B"/>
    <w:rsid w:val="001436F6"/>
    <w:rsid w:val="001437DB"/>
    <w:rsid w:val="00143AEF"/>
    <w:rsid w:val="00143D7E"/>
    <w:rsid w:val="00143DBE"/>
    <w:rsid w:val="00143E3A"/>
    <w:rsid w:val="00144077"/>
    <w:rsid w:val="0014410C"/>
    <w:rsid w:val="001447A8"/>
    <w:rsid w:val="00144E9C"/>
    <w:rsid w:val="001450EF"/>
    <w:rsid w:val="00145C02"/>
    <w:rsid w:val="001461D8"/>
    <w:rsid w:val="00146254"/>
    <w:rsid w:val="00146BE1"/>
    <w:rsid w:val="00147049"/>
    <w:rsid w:val="00147348"/>
    <w:rsid w:val="001474FF"/>
    <w:rsid w:val="0015042B"/>
    <w:rsid w:val="001508F7"/>
    <w:rsid w:val="00150BE7"/>
    <w:rsid w:val="0015151B"/>
    <w:rsid w:val="00151DFA"/>
    <w:rsid w:val="00151F24"/>
    <w:rsid w:val="001522DA"/>
    <w:rsid w:val="001525B3"/>
    <w:rsid w:val="00152729"/>
    <w:rsid w:val="00152BC1"/>
    <w:rsid w:val="00152D0F"/>
    <w:rsid w:val="00152DF8"/>
    <w:rsid w:val="0015302D"/>
    <w:rsid w:val="00153432"/>
    <w:rsid w:val="0015355D"/>
    <w:rsid w:val="001536A5"/>
    <w:rsid w:val="00153E0D"/>
    <w:rsid w:val="0015419F"/>
    <w:rsid w:val="001548D9"/>
    <w:rsid w:val="001549D1"/>
    <w:rsid w:val="00154A1C"/>
    <w:rsid w:val="00154E2E"/>
    <w:rsid w:val="0015523C"/>
    <w:rsid w:val="001560B9"/>
    <w:rsid w:val="00156226"/>
    <w:rsid w:val="00156453"/>
    <w:rsid w:val="00156DFE"/>
    <w:rsid w:val="00156E1F"/>
    <w:rsid w:val="001577E7"/>
    <w:rsid w:val="00160377"/>
    <w:rsid w:val="00160C7C"/>
    <w:rsid w:val="00161045"/>
    <w:rsid w:val="001618D3"/>
    <w:rsid w:val="00161F50"/>
    <w:rsid w:val="0016247C"/>
    <w:rsid w:val="0016257E"/>
    <w:rsid w:val="00162B07"/>
    <w:rsid w:val="00162B63"/>
    <w:rsid w:val="00162B74"/>
    <w:rsid w:val="001631E4"/>
    <w:rsid w:val="00163291"/>
    <w:rsid w:val="00163691"/>
    <w:rsid w:val="00163779"/>
    <w:rsid w:val="00163803"/>
    <w:rsid w:val="00163EE2"/>
    <w:rsid w:val="00163F79"/>
    <w:rsid w:val="001640C6"/>
    <w:rsid w:val="0016410D"/>
    <w:rsid w:val="001646DF"/>
    <w:rsid w:val="001647DC"/>
    <w:rsid w:val="00164BA2"/>
    <w:rsid w:val="00164C35"/>
    <w:rsid w:val="00164D86"/>
    <w:rsid w:val="0016507A"/>
    <w:rsid w:val="00165157"/>
    <w:rsid w:val="001651FC"/>
    <w:rsid w:val="00165816"/>
    <w:rsid w:val="001658FE"/>
    <w:rsid w:val="001668A3"/>
    <w:rsid w:val="00166A63"/>
    <w:rsid w:val="00166C4A"/>
    <w:rsid w:val="0016742D"/>
    <w:rsid w:val="00167541"/>
    <w:rsid w:val="00167729"/>
    <w:rsid w:val="00167FA8"/>
    <w:rsid w:val="001708A9"/>
    <w:rsid w:val="00170EAF"/>
    <w:rsid w:val="0017113A"/>
    <w:rsid w:val="00171319"/>
    <w:rsid w:val="001714D6"/>
    <w:rsid w:val="00171BF3"/>
    <w:rsid w:val="00173967"/>
    <w:rsid w:val="00173A16"/>
    <w:rsid w:val="00173B31"/>
    <w:rsid w:val="00173C31"/>
    <w:rsid w:val="00173D99"/>
    <w:rsid w:val="00174080"/>
    <w:rsid w:val="0017410E"/>
    <w:rsid w:val="001741A3"/>
    <w:rsid w:val="001745B2"/>
    <w:rsid w:val="00174617"/>
    <w:rsid w:val="0017483D"/>
    <w:rsid w:val="001748DE"/>
    <w:rsid w:val="001749EF"/>
    <w:rsid w:val="00175218"/>
    <w:rsid w:val="001753BE"/>
    <w:rsid w:val="001756D5"/>
    <w:rsid w:val="00175846"/>
    <w:rsid w:val="00175E3A"/>
    <w:rsid w:val="00176691"/>
    <w:rsid w:val="00176CE6"/>
    <w:rsid w:val="00176DBE"/>
    <w:rsid w:val="00176E28"/>
    <w:rsid w:val="0017727B"/>
    <w:rsid w:val="001772A0"/>
    <w:rsid w:val="0017736B"/>
    <w:rsid w:val="001773F3"/>
    <w:rsid w:val="001775AA"/>
    <w:rsid w:val="00177E0A"/>
    <w:rsid w:val="0018003B"/>
    <w:rsid w:val="00180668"/>
    <w:rsid w:val="00180C1E"/>
    <w:rsid w:val="00180CFC"/>
    <w:rsid w:val="00180D53"/>
    <w:rsid w:val="001812DB"/>
    <w:rsid w:val="00181320"/>
    <w:rsid w:val="00181491"/>
    <w:rsid w:val="00181594"/>
    <w:rsid w:val="00181676"/>
    <w:rsid w:val="001819D1"/>
    <w:rsid w:val="00181B0A"/>
    <w:rsid w:val="00181BC5"/>
    <w:rsid w:val="00182175"/>
    <w:rsid w:val="001825C9"/>
    <w:rsid w:val="00182882"/>
    <w:rsid w:val="00182A9A"/>
    <w:rsid w:val="00182C56"/>
    <w:rsid w:val="00183278"/>
    <w:rsid w:val="00183376"/>
    <w:rsid w:val="00183512"/>
    <w:rsid w:val="00183977"/>
    <w:rsid w:val="00183AEC"/>
    <w:rsid w:val="00183F74"/>
    <w:rsid w:val="00184A0D"/>
    <w:rsid w:val="00184D71"/>
    <w:rsid w:val="00184EE1"/>
    <w:rsid w:val="00184F09"/>
    <w:rsid w:val="001854AD"/>
    <w:rsid w:val="00185525"/>
    <w:rsid w:val="001855F6"/>
    <w:rsid w:val="001859B9"/>
    <w:rsid w:val="00185A2C"/>
    <w:rsid w:val="00186E7E"/>
    <w:rsid w:val="00186FE0"/>
    <w:rsid w:val="00187655"/>
    <w:rsid w:val="001877DD"/>
    <w:rsid w:val="00187A25"/>
    <w:rsid w:val="00187DF0"/>
    <w:rsid w:val="00187ED2"/>
    <w:rsid w:val="001901F3"/>
    <w:rsid w:val="001904AD"/>
    <w:rsid w:val="0019076A"/>
    <w:rsid w:val="00190BEB"/>
    <w:rsid w:val="00190DF7"/>
    <w:rsid w:val="00191221"/>
    <w:rsid w:val="0019131F"/>
    <w:rsid w:val="00191540"/>
    <w:rsid w:val="0019179E"/>
    <w:rsid w:val="00191D04"/>
    <w:rsid w:val="00191FA1"/>
    <w:rsid w:val="00192516"/>
    <w:rsid w:val="00192693"/>
    <w:rsid w:val="001926B6"/>
    <w:rsid w:val="0019275C"/>
    <w:rsid w:val="001932F2"/>
    <w:rsid w:val="001933C9"/>
    <w:rsid w:val="0019342E"/>
    <w:rsid w:val="00193C55"/>
    <w:rsid w:val="00193C91"/>
    <w:rsid w:val="0019422E"/>
    <w:rsid w:val="00194676"/>
    <w:rsid w:val="0019483F"/>
    <w:rsid w:val="00194D82"/>
    <w:rsid w:val="00194F8F"/>
    <w:rsid w:val="001950AF"/>
    <w:rsid w:val="0019576B"/>
    <w:rsid w:val="00195B8A"/>
    <w:rsid w:val="00195DF6"/>
    <w:rsid w:val="00196032"/>
    <w:rsid w:val="0019607F"/>
    <w:rsid w:val="001960CE"/>
    <w:rsid w:val="00196417"/>
    <w:rsid w:val="001965B9"/>
    <w:rsid w:val="001968FE"/>
    <w:rsid w:val="00196EEB"/>
    <w:rsid w:val="0019710C"/>
    <w:rsid w:val="001979C4"/>
    <w:rsid w:val="00197AE0"/>
    <w:rsid w:val="00197C3C"/>
    <w:rsid w:val="001A00C3"/>
    <w:rsid w:val="001A020C"/>
    <w:rsid w:val="001A0249"/>
    <w:rsid w:val="001A0A02"/>
    <w:rsid w:val="001A0AFA"/>
    <w:rsid w:val="001A0D91"/>
    <w:rsid w:val="001A1634"/>
    <w:rsid w:val="001A18E9"/>
    <w:rsid w:val="001A1A06"/>
    <w:rsid w:val="001A1EE2"/>
    <w:rsid w:val="001A1F3F"/>
    <w:rsid w:val="001A2066"/>
    <w:rsid w:val="001A21D8"/>
    <w:rsid w:val="001A24CC"/>
    <w:rsid w:val="001A262D"/>
    <w:rsid w:val="001A2C3A"/>
    <w:rsid w:val="001A31A5"/>
    <w:rsid w:val="001A381C"/>
    <w:rsid w:val="001A3FDC"/>
    <w:rsid w:val="001A4649"/>
    <w:rsid w:val="001A4A2F"/>
    <w:rsid w:val="001A4B27"/>
    <w:rsid w:val="001A4BDF"/>
    <w:rsid w:val="001A4F03"/>
    <w:rsid w:val="001A565F"/>
    <w:rsid w:val="001A5D13"/>
    <w:rsid w:val="001A645B"/>
    <w:rsid w:val="001A64B1"/>
    <w:rsid w:val="001A6C11"/>
    <w:rsid w:val="001A6EFD"/>
    <w:rsid w:val="001A72F1"/>
    <w:rsid w:val="001A7405"/>
    <w:rsid w:val="001A7BF8"/>
    <w:rsid w:val="001A7F94"/>
    <w:rsid w:val="001B00EF"/>
    <w:rsid w:val="001B01A8"/>
    <w:rsid w:val="001B0E1B"/>
    <w:rsid w:val="001B1048"/>
    <w:rsid w:val="001B1304"/>
    <w:rsid w:val="001B1350"/>
    <w:rsid w:val="001B186C"/>
    <w:rsid w:val="001B1B13"/>
    <w:rsid w:val="001B2031"/>
    <w:rsid w:val="001B2529"/>
    <w:rsid w:val="001B32A3"/>
    <w:rsid w:val="001B334C"/>
    <w:rsid w:val="001B3363"/>
    <w:rsid w:val="001B35A5"/>
    <w:rsid w:val="001B41E7"/>
    <w:rsid w:val="001B42D7"/>
    <w:rsid w:val="001B45B5"/>
    <w:rsid w:val="001B5262"/>
    <w:rsid w:val="001B59A8"/>
    <w:rsid w:val="001B5A9E"/>
    <w:rsid w:val="001B5F05"/>
    <w:rsid w:val="001B6309"/>
    <w:rsid w:val="001B638A"/>
    <w:rsid w:val="001B6968"/>
    <w:rsid w:val="001B6A6F"/>
    <w:rsid w:val="001B6C06"/>
    <w:rsid w:val="001B6F46"/>
    <w:rsid w:val="001B700E"/>
    <w:rsid w:val="001B72C6"/>
    <w:rsid w:val="001B736A"/>
    <w:rsid w:val="001B7468"/>
    <w:rsid w:val="001B74DF"/>
    <w:rsid w:val="001B761D"/>
    <w:rsid w:val="001B7628"/>
    <w:rsid w:val="001C0224"/>
    <w:rsid w:val="001C0467"/>
    <w:rsid w:val="001C057D"/>
    <w:rsid w:val="001C06E6"/>
    <w:rsid w:val="001C0A53"/>
    <w:rsid w:val="001C12E7"/>
    <w:rsid w:val="001C193F"/>
    <w:rsid w:val="001C1CF6"/>
    <w:rsid w:val="001C1D58"/>
    <w:rsid w:val="001C24A5"/>
    <w:rsid w:val="001C263B"/>
    <w:rsid w:val="001C2790"/>
    <w:rsid w:val="001C2B22"/>
    <w:rsid w:val="001C30C6"/>
    <w:rsid w:val="001C32E3"/>
    <w:rsid w:val="001C3303"/>
    <w:rsid w:val="001C34E4"/>
    <w:rsid w:val="001C36D5"/>
    <w:rsid w:val="001C3863"/>
    <w:rsid w:val="001C3915"/>
    <w:rsid w:val="001C3997"/>
    <w:rsid w:val="001C3C82"/>
    <w:rsid w:val="001C3EBB"/>
    <w:rsid w:val="001C431B"/>
    <w:rsid w:val="001C440E"/>
    <w:rsid w:val="001C4A53"/>
    <w:rsid w:val="001C4EB8"/>
    <w:rsid w:val="001C5BB5"/>
    <w:rsid w:val="001C5F81"/>
    <w:rsid w:val="001C658D"/>
    <w:rsid w:val="001C677C"/>
    <w:rsid w:val="001C677F"/>
    <w:rsid w:val="001C68E3"/>
    <w:rsid w:val="001C6EDF"/>
    <w:rsid w:val="001C70F3"/>
    <w:rsid w:val="001C7932"/>
    <w:rsid w:val="001D08C8"/>
    <w:rsid w:val="001D0A50"/>
    <w:rsid w:val="001D0AF5"/>
    <w:rsid w:val="001D0C6F"/>
    <w:rsid w:val="001D0DC7"/>
    <w:rsid w:val="001D0DFA"/>
    <w:rsid w:val="001D1797"/>
    <w:rsid w:val="001D18BE"/>
    <w:rsid w:val="001D18D7"/>
    <w:rsid w:val="001D199F"/>
    <w:rsid w:val="001D1D56"/>
    <w:rsid w:val="001D1E80"/>
    <w:rsid w:val="001D2060"/>
    <w:rsid w:val="001D211F"/>
    <w:rsid w:val="001D240D"/>
    <w:rsid w:val="001D24CB"/>
    <w:rsid w:val="001D2CCE"/>
    <w:rsid w:val="001D39C8"/>
    <w:rsid w:val="001D3C23"/>
    <w:rsid w:val="001D40C4"/>
    <w:rsid w:val="001D4400"/>
    <w:rsid w:val="001D46CD"/>
    <w:rsid w:val="001D4C8D"/>
    <w:rsid w:val="001D52C6"/>
    <w:rsid w:val="001D5640"/>
    <w:rsid w:val="001D59C6"/>
    <w:rsid w:val="001D6589"/>
    <w:rsid w:val="001D6660"/>
    <w:rsid w:val="001D688E"/>
    <w:rsid w:val="001D68FB"/>
    <w:rsid w:val="001D693B"/>
    <w:rsid w:val="001D6A8C"/>
    <w:rsid w:val="001D6AB5"/>
    <w:rsid w:val="001D7068"/>
    <w:rsid w:val="001D762D"/>
    <w:rsid w:val="001D793B"/>
    <w:rsid w:val="001D7CC0"/>
    <w:rsid w:val="001D7D93"/>
    <w:rsid w:val="001D7DF4"/>
    <w:rsid w:val="001E0030"/>
    <w:rsid w:val="001E0179"/>
    <w:rsid w:val="001E0418"/>
    <w:rsid w:val="001E048E"/>
    <w:rsid w:val="001E062C"/>
    <w:rsid w:val="001E071C"/>
    <w:rsid w:val="001E1751"/>
    <w:rsid w:val="001E192E"/>
    <w:rsid w:val="001E1A53"/>
    <w:rsid w:val="001E2137"/>
    <w:rsid w:val="001E2323"/>
    <w:rsid w:val="001E279E"/>
    <w:rsid w:val="001E27DB"/>
    <w:rsid w:val="001E293C"/>
    <w:rsid w:val="001E2BF9"/>
    <w:rsid w:val="001E3095"/>
    <w:rsid w:val="001E3220"/>
    <w:rsid w:val="001E5135"/>
    <w:rsid w:val="001E595D"/>
    <w:rsid w:val="001E626C"/>
    <w:rsid w:val="001E631A"/>
    <w:rsid w:val="001E6320"/>
    <w:rsid w:val="001E6A4C"/>
    <w:rsid w:val="001E6B09"/>
    <w:rsid w:val="001E709A"/>
    <w:rsid w:val="001E7272"/>
    <w:rsid w:val="001E764C"/>
    <w:rsid w:val="001E77F4"/>
    <w:rsid w:val="001E788B"/>
    <w:rsid w:val="001E7928"/>
    <w:rsid w:val="001E7AE2"/>
    <w:rsid w:val="001E7CB8"/>
    <w:rsid w:val="001E7D5B"/>
    <w:rsid w:val="001F00BE"/>
    <w:rsid w:val="001F0405"/>
    <w:rsid w:val="001F0774"/>
    <w:rsid w:val="001F0BBF"/>
    <w:rsid w:val="001F0D81"/>
    <w:rsid w:val="001F0E4F"/>
    <w:rsid w:val="001F15E8"/>
    <w:rsid w:val="001F1738"/>
    <w:rsid w:val="001F1CB2"/>
    <w:rsid w:val="001F2ADF"/>
    <w:rsid w:val="001F2B43"/>
    <w:rsid w:val="001F2E9D"/>
    <w:rsid w:val="001F33C3"/>
    <w:rsid w:val="001F341E"/>
    <w:rsid w:val="001F3445"/>
    <w:rsid w:val="001F3960"/>
    <w:rsid w:val="001F3A32"/>
    <w:rsid w:val="001F3B3D"/>
    <w:rsid w:val="001F3CF6"/>
    <w:rsid w:val="001F4154"/>
    <w:rsid w:val="001F4492"/>
    <w:rsid w:val="001F4BAE"/>
    <w:rsid w:val="001F4CE9"/>
    <w:rsid w:val="001F4DE3"/>
    <w:rsid w:val="001F52E1"/>
    <w:rsid w:val="001F65CF"/>
    <w:rsid w:val="001F6737"/>
    <w:rsid w:val="001F6948"/>
    <w:rsid w:val="001F6C1C"/>
    <w:rsid w:val="001F75D3"/>
    <w:rsid w:val="001F79B6"/>
    <w:rsid w:val="001F7AB6"/>
    <w:rsid w:val="001F7AFB"/>
    <w:rsid w:val="001F7BF3"/>
    <w:rsid w:val="00200281"/>
    <w:rsid w:val="00200329"/>
    <w:rsid w:val="0020049C"/>
    <w:rsid w:val="002017F4"/>
    <w:rsid w:val="00201A6E"/>
    <w:rsid w:val="002022C1"/>
    <w:rsid w:val="0020235B"/>
    <w:rsid w:val="002023F2"/>
    <w:rsid w:val="00202D08"/>
    <w:rsid w:val="002031EC"/>
    <w:rsid w:val="002032D3"/>
    <w:rsid w:val="002033A6"/>
    <w:rsid w:val="00203551"/>
    <w:rsid w:val="00203A51"/>
    <w:rsid w:val="00203B3D"/>
    <w:rsid w:val="00203BAA"/>
    <w:rsid w:val="00203C32"/>
    <w:rsid w:val="00203C3D"/>
    <w:rsid w:val="00203C79"/>
    <w:rsid w:val="00203E0F"/>
    <w:rsid w:val="002043FD"/>
    <w:rsid w:val="0020455E"/>
    <w:rsid w:val="00204752"/>
    <w:rsid w:val="00204A6F"/>
    <w:rsid w:val="00204B6D"/>
    <w:rsid w:val="00204BC4"/>
    <w:rsid w:val="00204D81"/>
    <w:rsid w:val="002052C9"/>
    <w:rsid w:val="0020540A"/>
    <w:rsid w:val="00205423"/>
    <w:rsid w:val="00206857"/>
    <w:rsid w:val="00206BC7"/>
    <w:rsid w:val="0020742C"/>
    <w:rsid w:val="00207C86"/>
    <w:rsid w:val="00210378"/>
    <w:rsid w:val="0021067E"/>
    <w:rsid w:val="00210815"/>
    <w:rsid w:val="00210A63"/>
    <w:rsid w:val="00210D2A"/>
    <w:rsid w:val="00210E51"/>
    <w:rsid w:val="00210F8D"/>
    <w:rsid w:val="002111EE"/>
    <w:rsid w:val="00211430"/>
    <w:rsid w:val="002114DB"/>
    <w:rsid w:val="002118E5"/>
    <w:rsid w:val="00211EBF"/>
    <w:rsid w:val="00211F70"/>
    <w:rsid w:val="002120D4"/>
    <w:rsid w:val="002123A7"/>
    <w:rsid w:val="002127F8"/>
    <w:rsid w:val="00212951"/>
    <w:rsid w:val="00212DB0"/>
    <w:rsid w:val="00212E2A"/>
    <w:rsid w:val="00213882"/>
    <w:rsid w:val="00213A65"/>
    <w:rsid w:val="00213B03"/>
    <w:rsid w:val="00213C50"/>
    <w:rsid w:val="00213FCA"/>
    <w:rsid w:val="002148AB"/>
    <w:rsid w:val="00214985"/>
    <w:rsid w:val="00214D25"/>
    <w:rsid w:val="002154EF"/>
    <w:rsid w:val="00215B27"/>
    <w:rsid w:val="00215C3B"/>
    <w:rsid w:val="00215F55"/>
    <w:rsid w:val="002165A2"/>
    <w:rsid w:val="002167D6"/>
    <w:rsid w:val="002168D2"/>
    <w:rsid w:val="0021696C"/>
    <w:rsid w:val="002174B9"/>
    <w:rsid w:val="002175B1"/>
    <w:rsid w:val="0021762A"/>
    <w:rsid w:val="002179EA"/>
    <w:rsid w:val="00217B4C"/>
    <w:rsid w:val="00217F14"/>
    <w:rsid w:val="0022004C"/>
    <w:rsid w:val="0022023B"/>
    <w:rsid w:val="002204B7"/>
    <w:rsid w:val="00220AF6"/>
    <w:rsid w:val="002213E9"/>
    <w:rsid w:val="002215C9"/>
    <w:rsid w:val="00221BEA"/>
    <w:rsid w:val="00221BF1"/>
    <w:rsid w:val="002220FE"/>
    <w:rsid w:val="00222254"/>
    <w:rsid w:val="002225CD"/>
    <w:rsid w:val="00222641"/>
    <w:rsid w:val="0022278E"/>
    <w:rsid w:val="002228D6"/>
    <w:rsid w:val="00223CDF"/>
    <w:rsid w:val="00223D10"/>
    <w:rsid w:val="00223D9F"/>
    <w:rsid w:val="00223E8F"/>
    <w:rsid w:val="00224A51"/>
    <w:rsid w:val="00224BAA"/>
    <w:rsid w:val="00224BAD"/>
    <w:rsid w:val="002258D5"/>
    <w:rsid w:val="00225F99"/>
    <w:rsid w:val="002261F3"/>
    <w:rsid w:val="00226254"/>
    <w:rsid w:val="00226ABF"/>
    <w:rsid w:val="00226CB8"/>
    <w:rsid w:val="00226F98"/>
    <w:rsid w:val="00227063"/>
    <w:rsid w:val="002272A2"/>
    <w:rsid w:val="0022731A"/>
    <w:rsid w:val="002275FA"/>
    <w:rsid w:val="00230886"/>
    <w:rsid w:val="00230944"/>
    <w:rsid w:val="00230DF0"/>
    <w:rsid w:val="00230FC2"/>
    <w:rsid w:val="0023153A"/>
    <w:rsid w:val="00231872"/>
    <w:rsid w:val="0023200A"/>
    <w:rsid w:val="00232A10"/>
    <w:rsid w:val="00232B7E"/>
    <w:rsid w:val="00232FA8"/>
    <w:rsid w:val="0023355D"/>
    <w:rsid w:val="002336EF"/>
    <w:rsid w:val="00233C21"/>
    <w:rsid w:val="0023474F"/>
    <w:rsid w:val="002347FA"/>
    <w:rsid w:val="002355B4"/>
    <w:rsid w:val="00235B2E"/>
    <w:rsid w:val="00235F49"/>
    <w:rsid w:val="00236014"/>
    <w:rsid w:val="00236523"/>
    <w:rsid w:val="00236986"/>
    <w:rsid w:val="00237191"/>
    <w:rsid w:val="00237A23"/>
    <w:rsid w:val="00237B0D"/>
    <w:rsid w:val="00237B28"/>
    <w:rsid w:val="00237D53"/>
    <w:rsid w:val="0024006A"/>
    <w:rsid w:val="00240677"/>
    <w:rsid w:val="00240E53"/>
    <w:rsid w:val="00241188"/>
    <w:rsid w:val="002414A7"/>
    <w:rsid w:val="00241810"/>
    <w:rsid w:val="00241AFF"/>
    <w:rsid w:val="002423F5"/>
    <w:rsid w:val="002427F7"/>
    <w:rsid w:val="0024426C"/>
    <w:rsid w:val="00244365"/>
    <w:rsid w:val="0024440D"/>
    <w:rsid w:val="002446FB"/>
    <w:rsid w:val="00244751"/>
    <w:rsid w:val="002447AE"/>
    <w:rsid w:val="00244A04"/>
    <w:rsid w:val="00244DBA"/>
    <w:rsid w:val="00244DCB"/>
    <w:rsid w:val="002450E7"/>
    <w:rsid w:val="002450E9"/>
    <w:rsid w:val="00245536"/>
    <w:rsid w:val="00245737"/>
    <w:rsid w:val="002457A6"/>
    <w:rsid w:val="00245903"/>
    <w:rsid w:val="00245DA5"/>
    <w:rsid w:val="002460FF"/>
    <w:rsid w:val="00246E81"/>
    <w:rsid w:val="00247171"/>
    <w:rsid w:val="00247766"/>
    <w:rsid w:val="002478FE"/>
    <w:rsid w:val="00247925"/>
    <w:rsid w:val="00247AAB"/>
    <w:rsid w:val="00247D92"/>
    <w:rsid w:val="0025015B"/>
    <w:rsid w:val="00250429"/>
    <w:rsid w:val="002507F9"/>
    <w:rsid w:val="00250837"/>
    <w:rsid w:val="00250F2F"/>
    <w:rsid w:val="00250FA8"/>
    <w:rsid w:val="002511AF"/>
    <w:rsid w:val="002515E2"/>
    <w:rsid w:val="00251814"/>
    <w:rsid w:val="00251EE1"/>
    <w:rsid w:val="002528BA"/>
    <w:rsid w:val="00252B0B"/>
    <w:rsid w:val="0025311B"/>
    <w:rsid w:val="00253571"/>
    <w:rsid w:val="00253784"/>
    <w:rsid w:val="002539D1"/>
    <w:rsid w:val="00253BF0"/>
    <w:rsid w:val="0025413B"/>
    <w:rsid w:val="0025442A"/>
    <w:rsid w:val="00254507"/>
    <w:rsid w:val="00254609"/>
    <w:rsid w:val="00254751"/>
    <w:rsid w:val="00254854"/>
    <w:rsid w:val="00254B34"/>
    <w:rsid w:val="00254C31"/>
    <w:rsid w:val="00254D28"/>
    <w:rsid w:val="0025518F"/>
    <w:rsid w:val="0025583E"/>
    <w:rsid w:val="0025632A"/>
    <w:rsid w:val="002568B6"/>
    <w:rsid w:val="00257608"/>
    <w:rsid w:val="0025766A"/>
    <w:rsid w:val="00257C96"/>
    <w:rsid w:val="00257DE4"/>
    <w:rsid w:val="00257EA6"/>
    <w:rsid w:val="00260274"/>
    <w:rsid w:val="00260EEB"/>
    <w:rsid w:val="0026136A"/>
    <w:rsid w:val="00261407"/>
    <w:rsid w:val="002614D3"/>
    <w:rsid w:val="00261BFD"/>
    <w:rsid w:val="00262560"/>
    <w:rsid w:val="0026270A"/>
    <w:rsid w:val="00262975"/>
    <w:rsid w:val="00262ACE"/>
    <w:rsid w:val="00262E63"/>
    <w:rsid w:val="00262F7C"/>
    <w:rsid w:val="00263995"/>
    <w:rsid w:val="00263B9F"/>
    <w:rsid w:val="00263BD0"/>
    <w:rsid w:val="00264086"/>
    <w:rsid w:val="00264187"/>
    <w:rsid w:val="00265006"/>
    <w:rsid w:val="00265A7C"/>
    <w:rsid w:val="00265AD5"/>
    <w:rsid w:val="00266440"/>
    <w:rsid w:val="00266BF5"/>
    <w:rsid w:val="00266C7F"/>
    <w:rsid w:val="00267075"/>
    <w:rsid w:val="002675FB"/>
    <w:rsid w:val="00267970"/>
    <w:rsid w:val="00267987"/>
    <w:rsid w:val="00267EF6"/>
    <w:rsid w:val="002703D1"/>
    <w:rsid w:val="00270668"/>
    <w:rsid w:val="00270923"/>
    <w:rsid w:val="00270C6B"/>
    <w:rsid w:val="00270E68"/>
    <w:rsid w:val="00271087"/>
    <w:rsid w:val="002710A8"/>
    <w:rsid w:val="00271159"/>
    <w:rsid w:val="002712D7"/>
    <w:rsid w:val="0027158D"/>
    <w:rsid w:val="002716EE"/>
    <w:rsid w:val="00271AEC"/>
    <w:rsid w:val="00272243"/>
    <w:rsid w:val="002724BB"/>
    <w:rsid w:val="00272730"/>
    <w:rsid w:val="00273380"/>
    <w:rsid w:val="002734CA"/>
    <w:rsid w:val="0027399D"/>
    <w:rsid w:val="002739B2"/>
    <w:rsid w:val="00273AFB"/>
    <w:rsid w:val="00273BFB"/>
    <w:rsid w:val="0027410E"/>
    <w:rsid w:val="002744F9"/>
    <w:rsid w:val="00274945"/>
    <w:rsid w:val="002750AE"/>
    <w:rsid w:val="00275C60"/>
    <w:rsid w:val="00276121"/>
    <w:rsid w:val="0027665C"/>
    <w:rsid w:val="00276B75"/>
    <w:rsid w:val="00276FB8"/>
    <w:rsid w:val="0027738E"/>
    <w:rsid w:val="002778AF"/>
    <w:rsid w:val="00277BB7"/>
    <w:rsid w:val="00277D94"/>
    <w:rsid w:val="00277F3B"/>
    <w:rsid w:val="00280002"/>
    <w:rsid w:val="002803E1"/>
    <w:rsid w:val="00280ECF"/>
    <w:rsid w:val="002810B6"/>
    <w:rsid w:val="0028110F"/>
    <w:rsid w:val="0028162A"/>
    <w:rsid w:val="002816B7"/>
    <w:rsid w:val="00282382"/>
    <w:rsid w:val="00282E4B"/>
    <w:rsid w:val="00282FA3"/>
    <w:rsid w:val="00283053"/>
    <w:rsid w:val="002835E6"/>
    <w:rsid w:val="00283926"/>
    <w:rsid w:val="00284782"/>
    <w:rsid w:val="00284CA8"/>
    <w:rsid w:val="00284D5F"/>
    <w:rsid w:val="00284F84"/>
    <w:rsid w:val="00285084"/>
    <w:rsid w:val="0028539F"/>
    <w:rsid w:val="00285405"/>
    <w:rsid w:val="00285583"/>
    <w:rsid w:val="00285781"/>
    <w:rsid w:val="00286181"/>
    <w:rsid w:val="00286191"/>
    <w:rsid w:val="002863EC"/>
    <w:rsid w:val="002867A6"/>
    <w:rsid w:val="00286A88"/>
    <w:rsid w:val="00286A95"/>
    <w:rsid w:val="00286E7B"/>
    <w:rsid w:val="00287223"/>
    <w:rsid w:val="0028742A"/>
    <w:rsid w:val="00287775"/>
    <w:rsid w:val="002879BC"/>
    <w:rsid w:val="00287AD1"/>
    <w:rsid w:val="00287C7C"/>
    <w:rsid w:val="00290215"/>
    <w:rsid w:val="00290BF8"/>
    <w:rsid w:val="00290F6B"/>
    <w:rsid w:val="002917C8"/>
    <w:rsid w:val="002918DF"/>
    <w:rsid w:val="00291914"/>
    <w:rsid w:val="00292298"/>
    <w:rsid w:val="002927F8"/>
    <w:rsid w:val="002928CD"/>
    <w:rsid w:val="002930ED"/>
    <w:rsid w:val="002931F8"/>
    <w:rsid w:val="0029323A"/>
    <w:rsid w:val="00293363"/>
    <w:rsid w:val="002934A4"/>
    <w:rsid w:val="0029350F"/>
    <w:rsid w:val="0029366D"/>
    <w:rsid w:val="00293789"/>
    <w:rsid w:val="00293910"/>
    <w:rsid w:val="00293CFA"/>
    <w:rsid w:val="00293F2C"/>
    <w:rsid w:val="00293F94"/>
    <w:rsid w:val="00294265"/>
    <w:rsid w:val="0029429E"/>
    <w:rsid w:val="002945E2"/>
    <w:rsid w:val="00294942"/>
    <w:rsid w:val="00295100"/>
    <w:rsid w:val="002956BD"/>
    <w:rsid w:val="002957DC"/>
    <w:rsid w:val="0029584F"/>
    <w:rsid w:val="00295CFC"/>
    <w:rsid w:val="0029663E"/>
    <w:rsid w:val="002971FE"/>
    <w:rsid w:val="00297868"/>
    <w:rsid w:val="00297D33"/>
    <w:rsid w:val="002A081C"/>
    <w:rsid w:val="002A0E94"/>
    <w:rsid w:val="002A0F6B"/>
    <w:rsid w:val="002A13D6"/>
    <w:rsid w:val="002A1454"/>
    <w:rsid w:val="002A1818"/>
    <w:rsid w:val="002A1F91"/>
    <w:rsid w:val="002A24F4"/>
    <w:rsid w:val="002A2568"/>
    <w:rsid w:val="002A25FF"/>
    <w:rsid w:val="002A2684"/>
    <w:rsid w:val="002A2BCD"/>
    <w:rsid w:val="002A2F64"/>
    <w:rsid w:val="002A30DA"/>
    <w:rsid w:val="002A3556"/>
    <w:rsid w:val="002A35A7"/>
    <w:rsid w:val="002A36F4"/>
    <w:rsid w:val="002A380E"/>
    <w:rsid w:val="002A3AD9"/>
    <w:rsid w:val="002A3C9E"/>
    <w:rsid w:val="002A3D05"/>
    <w:rsid w:val="002A4124"/>
    <w:rsid w:val="002A41FE"/>
    <w:rsid w:val="002A4546"/>
    <w:rsid w:val="002A48D2"/>
    <w:rsid w:val="002A4D73"/>
    <w:rsid w:val="002A4D74"/>
    <w:rsid w:val="002A508F"/>
    <w:rsid w:val="002A59F9"/>
    <w:rsid w:val="002A5AB2"/>
    <w:rsid w:val="002A622B"/>
    <w:rsid w:val="002A62D5"/>
    <w:rsid w:val="002A6332"/>
    <w:rsid w:val="002A6467"/>
    <w:rsid w:val="002A6497"/>
    <w:rsid w:val="002A69A7"/>
    <w:rsid w:val="002A6D53"/>
    <w:rsid w:val="002A7B09"/>
    <w:rsid w:val="002B03DD"/>
    <w:rsid w:val="002B0625"/>
    <w:rsid w:val="002B09A9"/>
    <w:rsid w:val="002B0E3D"/>
    <w:rsid w:val="002B12FF"/>
    <w:rsid w:val="002B14DA"/>
    <w:rsid w:val="002B14F6"/>
    <w:rsid w:val="002B17BC"/>
    <w:rsid w:val="002B18E3"/>
    <w:rsid w:val="002B1903"/>
    <w:rsid w:val="002B1933"/>
    <w:rsid w:val="002B1CB0"/>
    <w:rsid w:val="002B24AE"/>
    <w:rsid w:val="002B2581"/>
    <w:rsid w:val="002B2761"/>
    <w:rsid w:val="002B2A91"/>
    <w:rsid w:val="002B300B"/>
    <w:rsid w:val="002B34D4"/>
    <w:rsid w:val="002B3D8B"/>
    <w:rsid w:val="002B3DAD"/>
    <w:rsid w:val="002B4178"/>
    <w:rsid w:val="002B4589"/>
    <w:rsid w:val="002B48E6"/>
    <w:rsid w:val="002B4AE1"/>
    <w:rsid w:val="002B4D95"/>
    <w:rsid w:val="002B4E08"/>
    <w:rsid w:val="002B4E9C"/>
    <w:rsid w:val="002B620D"/>
    <w:rsid w:val="002B6266"/>
    <w:rsid w:val="002B6EAE"/>
    <w:rsid w:val="002B721F"/>
    <w:rsid w:val="002B75E4"/>
    <w:rsid w:val="002B7663"/>
    <w:rsid w:val="002B77AB"/>
    <w:rsid w:val="002B7FB0"/>
    <w:rsid w:val="002C0476"/>
    <w:rsid w:val="002C062D"/>
    <w:rsid w:val="002C069C"/>
    <w:rsid w:val="002C0752"/>
    <w:rsid w:val="002C0820"/>
    <w:rsid w:val="002C0848"/>
    <w:rsid w:val="002C091E"/>
    <w:rsid w:val="002C0B2C"/>
    <w:rsid w:val="002C0D0F"/>
    <w:rsid w:val="002C0F54"/>
    <w:rsid w:val="002C0F88"/>
    <w:rsid w:val="002C1028"/>
    <w:rsid w:val="002C1047"/>
    <w:rsid w:val="002C10D2"/>
    <w:rsid w:val="002C1177"/>
    <w:rsid w:val="002C16E9"/>
    <w:rsid w:val="002C1C9E"/>
    <w:rsid w:val="002C1E62"/>
    <w:rsid w:val="002C22F8"/>
    <w:rsid w:val="002C2460"/>
    <w:rsid w:val="002C2529"/>
    <w:rsid w:val="002C27C9"/>
    <w:rsid w:val="002C2906"/>
    <w:rsid w:val="002C2F93"/>
    <w:rsid w:val="002C3029"/>
    <w:rsid w:val="002C31FA"/>
    <w:rsid w:val="002C438F"/>
    <w:rsid w:val="002C44E2"/>
    <w:rsid w:val="002C47C0"/>
    <w:rsid w:val="002C48AC"/>
    <w:rsid w:val="002C4A85"/>
    <w:rsid w:val="002C4B9D"/>
    <w:rsid w:val="002C57A6"/>
    <w:rsid w:val="002C5E35"/>
    <w:rsid w:val="002C5F3B"/>
    <w:rsid w:val="002C61C0"/>
    <w:rsid w:val="002C6248"/>
    <w:rsid w:val="002C627F"/>
    <w:rsid w:val="002C630D"/>
    <w:rsid w:val="002C69D8"/>
    <w:rsid w:val="002C6F22"/>
    <w:rsid w:val="002C7220"/>
    <w:rsid w:val="002C7CD5"/>
    <w:rsid w:val="002D0631"/>
    <w:rsid w:val="002D07BE"/>
    <w:rsid w:val="002D0E47"/>
    <w:rsid w:val="002D1189"/>
    <w:rsid w:val="002D18AF"/>
    <w:rsid w:val="002D1CBF"/>
    <w:rsid w:val="002D1E18"/>
    <w:rsid w:val="002D1E62"/>
    <w:rsid w:val="002D2039"/>
    <w:rsid w:val="002D2449"/>
    <w:rsid w:val="002D2957"/>
    <w:rsid w:val="002D2AA3"/>
    <w:rsid w:val="002D30F8"/>
    <w:rsid w:val="002D36BB"/>
    <w:rsid w:val="002D37A9"/>
    <w:rsid w:val="002D3C9F"/>
    <w:rsid w:val="002D41EB"/>
    <w:rsid w:val="002D4537"/>
    <w:rsid w:val="002D45C0"/>
    <w:rsid w:val="002D4EB4"/>
    <w:rsid w:val="002D5038"/>
    <w:rsid w:val="002D5356"/>
    <w:rsid w:val="002D55FD"/>
    <w:rsid w:val="002D572D"/>
    <w:rsid w:val="002D578E"/>
    <w:rsid w:val="002D5ABE"/>
    <w:rsid w:val="002D5EAF"/>
    <w:rsid w:val="002D5F92"/>
    <w:rsid w:val="002D62A2"/>
    <w:rsid w:val="002D636E"/>
    <w:rsid w:val="002D6470"/>
    <w:rsid w:val="002D6A53"/>
    <w:rsid w:val="002D72CD"/>
    <w:rsid w:val="002D7809"/>
    <w:rsid w:val="002D7B04"/>
    <w:rsid w:val="002E009D"/>
    <w:rsid w:val="002E00E7"/>
    <w:rsid w:val="002E0542"/>
    <w:rsid w:val="002E0563"/>
    <w:rsid w:val="002E087B"/>
    <w:rsid w:val="002E08EC"/>
    <w:rsid w:val="002E09F1"/>
    <w:rsid w:val="002E0B9E"/>
    <w:rsid w:val="002E0E7A"/>
    <w:rsid w:val="002E0F40"/>
    <w:rsid w:val="002E1154"/>
    <w:rsid w:val="002E124E"/>
    <w:rsid w:val="002E129A"/>
    <w:rsid w:val="002E14CA"/>
    <w:rsid w:val="002E1E6B"/>
    <w:rsid w:val="002E1EC1"/>
    <w:rsid w:val="002E22A5"/>
    <w:rsid w:val="002E2CCE"/>
    <w:rsid w:val="002E3051"/>
    <w:rsid w:val="002E3171"/>
    <w:rsid w:val="002E37D4"/>
    <w:rsid w:val="002E3AAC"/>
    <w:rsid w:val="002E3ADB"/>
    <w:rsid w:val="002E3DDA"/>
    <w:rsid w:val="002E4A6D"/>
    <w:rsid w:val="002E514F"/>
    <w:rsid w:val="002E563E"/>
    <w:rsid w:val="002E5A3C"/>
    <w:rsid w:val="002E5ACC"/>
    <w:rsid w:val="002E5CED"/>
    <w:rsid w:val="002E602D"/>
    <w:rsid w:val="002E607A"/>
    <w:rsid w:val="002E6223"/>
    <w:rsid w:val="002E63BE"/>
    <w:rsid w:val="002E63D1"/>
    <w:rsid w:val="002E7792"/>
    <w:rsid w:val="002E7A98"/>
    <w:rsid w:val="002E7E6D"/>
    <w:rsid w:val="002F008B"/>
    <w:rsid w:val="002F02CD"/>
    <w:rsid w:val="002F034B"/>
    <w:rsid w:val="002F03CE"/>
    <w:rsid w:val="002F06A1"/>
    <w:rsid w:val="002F0C81"/>
    <w:rsid w:val="002F0E77"/>
    <w:rsid w:val="002F1166"/>
    <w:rsid w:val="002F2635"/>
    <w:rsid w:val="002F2871"/>
    <w:rsid w:val="002F2950"/>
    <w:rsid w:val="002F2AE5"/>
    <w:rsid w:val="002F2D9C"/>
    <w:rsid w:val="002F34C5"/>
    <w:rsid w:val="002F35A8"/>
    <w:rsid w:val="002F386A"/>
    <w:rsid w:val="002F3BF6"/>
    <w:rsid w:val="002F3D06"/>
    <w:rsid w:val="002F4A2F"/>
    <w:rsid w:val="002F4A43"/>
    <w:rsid w:val="002F4AB5"/>
    <w:rsid w:val="002F4AE6"/>
    <w:rsid w:val="002F4B4D"/>
    <w:rsid w:val="002F5049"/>
    <w:rsid w:val="002F54E2"/>
    <w:rsid w:val="002F5699"/>
    <w:rsid w:val="002F5A22"/>
    <w:rsid w:val="002F5E8F"/>
    <w:rsid w:val="002F6A41"/>
    <w:rsid w:val="002F6AD7"/>
    <w:rsid w:val="002F6ECB"/>
    <w:rsid w:val="002F7038"/>
    <w:rsid w:val="002F7098"/>
    <w:rsid w:val="002F7363"/>
    <w:rsid w:val="002F799C"/>
    <w:rsid w:val="002F7B5F"/>
    <w:rsid w:val="002F7D8C"/>
    <w:rsid w:val="00300095"/>
    <w:rsid w:val="003001C0"/>
    <w:rsid w:val="0030022C"/>
    <w:rsid w:val="00300852"/>
    <w:rsid w:val="00300D53"/>
    <w:rsid w:val="003010DE"/>
    <w:rsid w:val="003015D1"/>
    <w:rsid w:val="003023F5"/>
    <w:rsid w:val="00302723"/>
    <w:rsid w:val="00302ADC"/>
    <w:rsid w:val="00302E1F"/>
    <w:rsid w:val="00303251"/>
    <w:rsid w:val="00303435"/>
    <w:rsid w:val="00303637"/>
    <w:rsid w:val="00303AC5"/>
    <w:rsid w:val="00303E26"/>
    <w:rsid w:val="00304356"/>
    <w:rsid w:val="00304458"/>
    <w:rsid w:val="00305075"/>
    <w:rsid w:val="00305125"/>
    <w:rsid w:val="00305707"/>
    <w:rsid w:val="0030597F"/>
    <w:rsid w:val="00305C96"/>
    <w:rsid w:val="00305EC2"/>
    <w:rsid w:val="00305FC9"/>
    <w:rsid w:val="003067DE"/>
    <w:rsid w:val="00306F57"/>
    <w:rsid w:val="003078C7"/>
    <w:rsid w:val="00307B12"/>
    <w:rsid w:val="00307B6F"/>
    <w:rsid w:val="00307CE5"/>
    <w:rsid w:val="00307D66"/>
    <w:rsid w:val="0031049A"/>
    <w:rsid w:val="003104E0"/>
    <w:rsid w:val="003106F7"/>
    <w:rsid w:val="003107CC"/>
    <w:rsid w:val="00310AB2"/>
    <w:rsid w:val="00310C1F"/>
    <w:rsid w:val="0031129D"/>
    <w:rsid w:val="00311405"/>
    <w:rsid w:val="0031146D"/>
    <w:rsid w:val="0031152A"/>
    <w:rsid w:val="00311766"/>
    <w:rsid w:val="00311941"/>
    <w:rsid w:val="0031204F"/>
    <w:rsid w:val="003121D6"/>
    <w:rsid w:val="003125D4"/>
    <w:rsid w:val="003125DC"/>
    <w:rsid w:val="003126FB"/>
    <w:rsid w:val="003128E9"/>
    <w:rsid w:val="00312D07"/>
    <w:rsid w:val="00312E7E"/>
    <w:rsid w:val="00313294"/>
    <w:rsid w:val="003133E2"/>
    <w:rsid w:val="00313643"/>
    <w:rsid w:val="00313655"/>
    <w:rsid w:val="00313BCA"/>
    <w:rsid w:val="00313C82"/>
    <w:rsid w:val="00313CEB"/>
    <w:rsid w:val="00313E8C"/>
    <w:rsid w:val="00313EA2"/>
    <w:rsid w:val="0031438A"/>
    <w:rsid w:val="00314AF5"/>
    <w:rsid w:val="00314EC2"/>
    <w:rsid w:val="00315138"/>
    <w:rsid w:val="00315234"/>
    <w:rsid w:val="00315565"/>
    <w:rsid w:val="00315CAF"/>
    <w:rsid w:val="00315E27"/>
    <w:rsid w:val="00316387"/>
    <w:rsid w:val="0031674F"/>
    <w:rsid w:val="00316DF8"/>
    <w:rsid w:val="00316F3D"/>
    <w:rsid w:val="003170CF"/>
    <w:rsid w:val="0031761F"/>
    <w:rsid w:val="00317CB7"/>
    <w:rsid w:val="00317F8C"/>
    <w:rsid w:val="0032006F"/>
    <w:rsid w:val="003205BA"/>
    <w:rsid w:val="00320B91"/>
    <w:rsid w:val="00320BFF"/>
    <w:rsid w:val="00320D6E"/>
    <w:rsid w:val="00320E01"/>
    <w:rsid w:val="00321416"/>
    <w:rsid w:val="0032168D"/>
    <w:rsid w:val="00321E64"/>
    <w:rsid w:val="00322252"/>
    <w:rsid w:val="00322272"/>
    <w:rsid w:val="00322461"/>
    <w:rsid w:val="00322BE1"/>
    <w:rsid w:val="00323399"/>
    <w:rsid w:val="0032339D"/>
    <w:rsid w:val="0032345F"/>
    <w:rsid w:val="00323701"/>
    <w:rsid w:val="00323820"/>
    <w:rsid w:val="003239EC"/>
    <w:rsid w:val="00323BD1"/>
    <w:rsid w:val="00323D58"/>
    <w:rsid w:val="00323DA0"/>
    <w:rsid w:val="00324BA3"/>
    <w:rsid w:val="00324CAB"/>
    <w:rsid w:val="00324D4A"/>
    <w:rsid w:val="00324E8B"/>
    <w:rsid w:val="003251EC"/>
    <w:rsid w:val="00325399"/>
    <w:rsid w:val="003258CC"/>
    <w:rsid w:val="00325B45"/>
    <w:rsid w:val="003262AD"/>
    <w:rsid w:val="003262CA"/>
    <w:rsid w:val="00326340"/>
    <w:rsid w:val="00326867"/>
    <w:rsid w:val="00326FCD"/>
    <w:rsid w:val="00327063"/>
    <w:rsid w:val="0032709B"/>
    <w:rsid w:val="003276D4"/>
    <w:rsid w:val="00327E67"/>
    <w:rsid w:val="00327F54"/>
    <w:rsid w:val="00330026"/>
    <w:rsid w:val="0033046E"/>
    <w:rsid w:val="003307E9"/>
    <w:rsid w:val="00331117"/>
    <w:rsid w:val="00331363"/>
    <w:rsid w:val="003318BD"/>
    <w:rsid w:val="003320C7"/>
    <w:rsid w:val="003320E2"/>
    <w:rsid w:val="00332471"/>
    <w:rsid w:val="00332876"/>
    <w:rsid w:val="00332B3E"/>
    <w:rsid w:val="00332BC3"/>
    <w:rsid w:val="00333598"/>
    <w:rsid w:val="003337A3"/>
    <w:rsid w:val="003338A3"/>
    <w:rsid w:val="00333C82"/>
    <w:rsid w:val="00333CD4"/>
    <w:rsid w:val="00333FEE"/>
    <w:rsid w:val="00334327"/>
    <w:rsid w:val="00334926"/>
    <w:rsid w:val="00334AF9"/>
    <w:rsid w:val="0033508D"/>
    <w:rsid w:val="003353A7"/>
    <w:rsid w:val="0033544B"/>
    <w:rsid w:val="00335641"/>
    <w:rsid w:val="003356DF"/>
    <w:rsid w:val="003357C6"/>
    <w:rsid w:val="003358ED"/>
    <w:rsid w:val="00335B25"/>
    <w:rsid w:val="003363B0"/>
    <w:rsid w:val="00336F4B"/>
    <w:rsid w:val="0033714D"/>
    <w:rsid w:val="0033732D"/>
    <w:rsid w:val="00337938"/>
    <w:rsid w:val="00337BD5"/>
    <w:rsid w:val="0034017B"/>
    <w:rsid w:val="00340505"/>
    <w:rsid w:val="003406B4"/>
    <w:rsid w:val="00340728"/>
    <w:rsid w:val="003407E9"/>
    <w:rsid w:val="003411C9"/>
    <w:rsid w:val="00341285"/>
    <w:rsid w:val="00341492"/>
    <w:rsid w:val="00341E5F"/>
    <w:rsid w:val="00341E7F"/>
    <w:rsid w:val="00341F0F"/>
    <w:rsid w:val="00342930"/>
    <w:rsid w:val="00342BB1"/>
    <w:rsid w:val="003431E1"/>
    <w:rsid w:val="003432B7"/>
    <w:rsid w:val="003432D2"/>
    <w:rsid w:val="0034337C"/>
    <w:rsid w:val="00343D88"/>
    <w:rsid w:val="00343EAB"/>
    <w:rsid w:val="0034420D"/>
    <w:rsid w:val="0034438F"/>
    <w:rsid w:val="00344A40"/>
    <w:rsid w:val="00344B53"/>
    <w:rsid w:val="003453F2"/>
    <w:rsid w:val="00345DB6"/>
    <w:rsid w:val="00345F59"/>
    <w:rsid w:val="003461A4"/>
    <w:rsid w:val="003467AC"/>
    <w:rsid w:val="00346CB9"/>
    <w:rsid w:val="00346CF2"/>
    <w:rsid w:val="00346F8C"/>
    <w:rsid w:val="00346FF8"/>
    <w:rsid w:val="00347077"/>
    <w:rsid w:val="003473F9"/>
    <w:rsid w:val="0034752E"/>
    <w:rsid w:val="0034769C"/>
    <w:rsid w:val="0034778D"/>
    <w:rsid w:val="00350058"/>
    <w:rsid w:val="003502B0"/>
    <w:rsid w:val="0035046B"/>
    <w:rsid w:val="003504A6"/>
    <w:rsid w:val="003506ED"/>
    <w:rsid w:val="003509A7"/>
    <w:rsid w:val="00350BC6"/>
    <w:rsid w:val="00351192"/>
    <w:rsid w:val="0035124C"/>
    <w:rsid w:val="00351925"/>
    <w:rsid w:val="00351DED"/>
    <w:rsid w:val="0035291E"/>
    <w:rsid w:val="00352A74"/>
    <w:rsid w:val="00353014"/>
    <w:rsid w:val="003533CC"/>
    <w:rsid w:val="003535E2"/>
    <w:rsid w:val="00353677"/>
    <w:rsid w:val="00353C95"/>
    <w:rsid w:val="00353E99"/>
    <w:rsid w:val="00354091"/>
    <w:rsid w:val="0035418D"/>
    <w:rsid w:val="0035430D"/>
    <w:rsid w:val="003546CA"/>
    <w:rsid w:val="003546E4"/>
    <w:rsid w:val="0035479E"/>
    <w:rsid w:val="003558BA"/>
    <w:rsid w:val="00355B7E"/>
    <w:rsid w:val="00356596"/>
    <w:rsid w:val="00356598"/>
    <w:rsid w:val="00356BA5"/>
    <w:rsid w:val="00356C70"/>
    <w:rsid w:val="003572B6"/>
    <w:rsid w:val="00357EA4"/>
    <w:rsid w:val="00360495"/>
    <w:rsid w:val="00360C9E"/>
    <w:rsid w:val="00360CB2"/>
    <w:rsid w:val="00360F53"/>
    <w:rsid w:val="00361899"/>
    <w:rsid w:val="00361C56"/>
    <w:rsid w:val="00361D7F"/>
    <w:rsid w:val="00361F84"/>
    <w:rsid w:val="0036233B"/>
    <w:rsid w:val="00362471"/>
    <w:rsid w:val="00362532"/>
    <w:rsid w:val="003625C9"/>
    <w:rsid w:val="00362690"/>
    <w:rsid w:val="003627A6"/>
    <w:rsid w:val="00362A09"/>
    <w:rsid w:val="00362BA6"/>
    <w:rsid w:val="0036324B"/>
    <w:rsid w:val="003632D0"/>
    <w:rsid w:val="00363534"/>
    <w:rsid w:val="00363A82"/>
    <w:rsid w:val="00363CCF"/>
    <w:rsid w:val="00363D27"/>
    <w:rsid w:val="00363F5B"/>
    <w:rsid w:val="00363F8C"/>
    <w:rsid w:val="003649A9"/>
    <w:rsid w:val="00364B34"/>
    <w:rsid w:val="00364FEA"/>
    <w:rsid w:val="00365063"/>
    <w:rsid w:val="003655F6"/>
    <w:rsid w:val="0036581B"/>
    <w:rsid w:val="00365B23"/>
    <w:rsid w:val="00365E5A"/>
    <w:rsid w:val="00365EE8"/>
    <w:rsid w:val="00366598"/>
    <w:rsid w:val="003665F3"/>
    <w:rsid w:val="0036684B"/>
    <w:rsid w:val="00366A05"/>
    <w:rsid w:val="00366C28"/>
    <w:rsid w:val="0036740A"/>
    <w:rsid w:val="0036776C"/>
    <w:rsid w:val="00367878"/>
    <w:rsid w:val="003678F8"/>
    <w:rsid w:val="00367BE7"/>
    <w:rsid w:val="00370379"/>
    <w:rsid w:val="00370AC7"/>
    <w:rsid w:val="003712C7"/>
    <w:rsid w:val="0037151B"/>
    <w:rsid w:val="0037175F"/>
    <w:rsid w:val="00371AA1"/>
    <w:rsid w:val="00371ABA"/>
    <w:rsid w:val="00371C36"/>
    <w:rsid w:val="00371ED2"/>
    <w:rsid w:val="003728A7"/>
    <w:rsid w:val="00372F83"/>
    <w:rsid w:val="0037319A"/>
    <w:rsid w:val="003732E8"/>
    <w:rsid w:val="00373D68"/>
    <w:rsid w:val="00373F0C"/>
    <w:rsid w:val="00374163"/>
    <w:rsid w:val="00374344"/>
    <w:rsid w:val="003745BB"/>
    <w:rsid w:val="003745D9"/>
    <w:rsid w:val="00374BA0"/>
    <w:rsid w:val="0037507E"/>
    <w:rsid w:val="00375559"/>
    <w:rsid w:val="0037578A"/>
    <w:rsid w:val="00375BBD"/>
    <w:rsid w:val="00375E1F"/>
    <w:rsid w:val="00376610"/>
    <w:rsid w:val="003767F3"/>
    <w:rsid w:val="003769F8"/>
    <w:rsid w:val="00376A34"/>
    <w:rsid w:val="00376CC9"/>
    <w:rsid w:val="00376E6B"/>
    <w:rsid w:val="00377003"/>
    <w:rsid w:val="00377216"/>
    <w:rsid w:val="003774EA"/>
    <w:rsid w:val="00377661"/>
    <w:rsid w:val="00377A09"/>
    <w:rsid w:val="00377F7A"/>
    <w:rsid w:val="003800EC"/>
    <w:rsid w:val="003805B4"/>
    <w:rsid w:val="00380989"/>
    <w:rsid w:val="00380EE5"/>
    <w:rsid w:val="00380F0D"/>
    <w:rsid w:val="00381C0C"/>
    <w:rsid w:val="00381D48"/>
    <w:rsid w:val="00381E8C"/>
    <w:rsid w:val="003821BD"/>
    <w:rsid w:val="00382750"/>
    <w:rsid w:val="00382A4D"/>
    <w:rsid w:val="00382DA7"/>
    <w:rsid w:val="00382EF6"/>
    <w:rsid w:val="0038327E"/>
    <w:rsid w:val="003834C6"/>
    <w:rsid w:val="00383F9F"/>
    <w:rsid w:val="00384642"/>
    <w:rsid w:val="00384800"/>
    <w:rsid w:val="00384835"/>
    <w:rsid w:val="00384A62"/>
    <w:rsid w:val="00384BB0"/>
    <w:rsid w:val="00384F75"/>
    <w:rsid w:val="00385123"/>
    <w:rsid w:val="00385DAD"/>
    <w:rsid w:val="00385F73"/>
    <w:rsid w:val="00385FA9"/>
    <w:rsid w:val="0038614C"/>
    <w:rsid w:val="003868DE"/>
    <w:rsid w:val="00387062"/>
    <w:rsid w:val="00387290"/>
    <w:rsid w:val="0038788C"/>
    <w:rsid w:val="00387979"/>
    <w:rsid w:val="00387A8A"/>
    <w:rsid w:val="0039010E"/>
    <w:rsid w:val="00390694"/>
    <w:rsid w:val="00390757"/>
    <w:rsid w:val="00390874"/>
    <w:rsid w:val="00390B7D"/>
    <w:rsid w:val="00390C36"/>
    <w:rsid w:val="00390D02"/>
    <w:rsid w:val="00390F5E"/>
    <w:rsid w:val="00391189"/>
    <w:rsid w:val="003917BA"/>
    <w:rsid w:val="003919EE"/>
    <w:rsid w:val="00391BB0"/>
    <w:rsid w:val="00391D01"/>
    <w:rsid w:val="00391E8D"/>
    <w:rsid w:val="00392462"/>
    <w:rsid w:val="00392624"/>
    <w:rsid w:val="0039292B"/>
    <w:rsid w:val="00392A40"/>
    <w:rsid w:val="00392D32"/>
    <w:rsid w:val="003934BB"/>
    <w:rsid w:val="00393724"/>
    <w:rsid w:val="00393AF0"/>
    <w:rsid w:val="00393C0A"/>
    <w:rsid w:val="00393E30"/>
    <w:rsid w:val="003942F2"/>
    <w:rsid w:val="003943CA"/>
    <w:rsid w:val="00394407"/>
    <w:rsid w:val="003944B3"/>
    <w:rsid w:val="003948CA"/>
    <w:rsid w:val="00394F53"/>
    <w:rsid w:val="00395F5C"/>
    <w:rsid w:val="00395FD1"/>
    <w:rsid w:val="00396408"/>
    <w:rsid w:val="00396466"/>
    <w:rsid w:val="003965C8"/>
    <w:rsid w:val="003966CA"/>
    <w:rsid w:val="0039690B"/>
    <w:rsid w:val="00396A86"/>
    <w:rsid w:val="003970DC"/>
    <w:rsid w:val="00397389"/>
    <w:rsid w:val="0039795D"/>
    <w:rsid w:val="00397DEB"/>
    <w:rsid w:val="00397F8C"/>
    <w:rsid w:val="003A0087"/>
    <w:rsid w:val="003A0606"/>
    <w:rsid w:val="003A08B7"/>
    <w:rsid w:val="003A11C8"/>
    <w:rsid w:val="003A141C"/>
    <w:rsid w:val="003A1C5E"/>
    <w:rsid w:val="003A1ECF"/>
    <w:rsid w:val="003A1F74"/>
    <w:rsid w:val="003A28D4"/>
    <w:rsid w:val="003A2FEB"/>
    <w:rsid w:val="003A34B2"/>
    <w:rsid w:val="003A34C2"/>
    <w:rsid w:val="003A36E9"/>
    <w:rsid w:val="003A36FC"/>
    <w:rsid w:val="003A370A"/>
    <w:rsid w:val="003A3941"/>
    <w:rsid w:val="003A41CF"/>
    <w:rsid w:val="003A45D8"/>
    <w:rsid w:val="003A4931"/>
    <w:rsid w:val="003A4F36"/>
    <w:rsid w:val="003A514C"/>
    <w:rsid w:val="003A552E"/>
    <w:rsid w:val="003A578A"/>
    <w:rsid w:val="003A5B97"/>
    <w:rsid w:val="003A5F92"/>
    <w:rsid w:val="003A61E0"/>
    <w:rsid w:val="003A684B"/>
    <w:rsid w:val="003A68D8"/>
    <w:rsid w:val="003A71B7"/>
    <w:rsid w:val="003A7811"/>
    <w:rsid w:val="003A7B12"/>
    <w:rsid w:val="003B003A"/>
    <w:rsid w:val="003B00B8"/>
    <w:rsid w:val="003B01E3"/>
    <w:rsid w:val="003B055D"/>
    <w:rsid w:val="003B0562"/>
    <w:rsid w:val="003B1391"/>
    <w:rsid w:val="003B17A3"/>
    <w:rsid w:val="003B1DF5"/>
    <w:rsid w:val="003B2017"/>
    <w:rsid w:val="003B22C6"/>
    <w:rsid w:val="003B29F7"/>
    <w:rsid w:val="003B2BE1"/>
    <w:rsid w:val="003B2C1D"/>
    <w:rsid w:val="003B2F89"/>
    <w:rsid w:val="003B3190"/>
    <w:rsid w:val="003B3905"/>
    <w:rsid w:val="003B39F0"/>
    <w:rsid w:val="003B3B68"/>
    <w:rsid w:val="003B3EA9"/>
    <w:rsid w:val="003B45F8"/>
    <w:rsid w:val="003B4822"/>
    <w:rsid w:val="003B4D62"/>
    <w:rsid w:val="003B544B"/>
    <w:rsid w:val="003B5B53"/>
    <w:rsid w:val="003B667B"/>
    <w:rsid w:val="003B75AF"/>
    <w:rsid w:val="003B7E04"/>
    <w:rsid w:val="003C00B1"/>
    <w:rsid w:val="003C031D"/>
    <w:rsid w:val="003C07AD"/>
    <w:rsid w:val="003C099F"/>
    <w:rsid w:val="003C0BAC"/>
    <w:rsid w:val="003C0C88"/>
    <w:rsid w:val="003C0CA3"/>
    <w:rsid w:val="003C118E"/>
    <w:rsid w:val="003C1A85"/>
    <w:rsid w:val="003C1ED4"/>
    <w:rsid w:val="003C23C1"/>
    <w:rsid w:val="003C2A9A"/>
    <w:rsid w:val="003C328D"/>
    <w:rsid w:val="003C3FFC"/>
    <w:rsid w:val="003C44A7"/>
    <w:rsid w:val="003C49E8"/>
    <w:rsid w:val="003C4BE7"/>
    <w:rsid w:val="003C4C18"/>
    <w:rsid w:val="003C4F4B"/>
    <w:rsid w:val="003C5516"/>
    <w:rsid w:val="003C579F"/>
    <w:rsid w:val="003C597B"/>
    <w:rsid w:val="003C5D06"/>
    <w:rsid w:val="003C5EBE"/>
    <w:rsid w:val="003C6340"/>
    <w:rsid w:val="003C68BD"/>
    <w:rsid w:val="003C7520"/>
    <w:rsid w:val="003C7A6A"/>
    <w:rsid w:val="003D0090"/>
    <w:rsid w:val="003D022C"/>
    <w:rsid w:val="003D06E2"/>
    <w:rsid w:val="003D0A37"/>
    <w:rsid w:val="003D0A52"/>
    <w:rsid w:val="003D1128"/>
    <w:rsid w:val="003D20CF"/>
    <w:rsid w:val="003D2556"/>
    <w:rsid w:val="003D27CC"/>
    <w:rsid w:val="003D2E6D"/>
    <w:rsid w:val="003D3142"/>
    <w:rsid w:val="003D3322"/>
    <w:rsid w:val="003D33C0"/>
    <w:rsid w:val="003D3B79"/>
    <w:rsid w:val="003D3C24"/>
    <w:rsid w:val="003D3C9E"/>
    <w:rsid w:val="003D4479"/>
    <w:rsid w:val="003D45A6"/>
    <w:rsid w:val="003D46EF"/>
    <w:rsid w:val="003D4B3C"/>
    <w:rsid w:val="003D4C5C"/>
    <w:rsid w:val="003D5B39"/>
    <w:rsid w:val="003D5D0C"/>
    <w:rsid w:val="003D61CF"/>
    <w:rsid w:val="003D663D"/>
    <w:rsid w:val="003D66FE"/>
    <w:rsid w:val="003D6700"/>
    <w:rsid w:val="003D6AD9"/>
    <w:rsid w:val="003D6E63"/>
    <w:rsid w:val="003D6F77"/>
    <w:rsid w:val="003D7104"/>
    <w:rsid w:val="003D7288"/>
    <w:rsid w:val="003D76CB"/>
    <w:rsid w:val="003D7F8D"/>
    <w:rsid w:val="003E07C6"/>
    <w:rsid w:val="003E07F2"/>
    <w:rsid w:val="003E09AC"/>
    <w:rsid w:val="003E09C5"/>
    <w:rsid w:val="003E0B28"/>
    <w:rsid w:val="003E0CD0"/>
    <w:rsid w:val="003E10C9"/>
    <w:rsid w:val="003E11D8"/>
    <w:rsid w:val="003E12C5"/>
    <w:rsid w:val="003E1400"/>
    <w:rsid w:val="003E238F"/>
    <w:rsid w:val="003E2589"/>
    <w:rsid w:val="003E25DA"/>
    <w:rsid w:val="003E2A9E"/>
    <w:rsid w:val="003E2BE7"/>
    <w:rsid w:val="003E2D58"/>
    <w:rsid w:val="003E311B"/>
    <w:rsid w:val="003E32F8"/>
    <w:rsid w:val="003E3C7E"/>
    <w:rsid w:val="003E5305"/>
    <w:rsid w:val="003E55D7"/>
    <w:rsid w:val="003E58E2"/>
    <w:rsid w:val="003E5D75"/>
    <w:rsid w:val="003E6176"/>
    <w:rsid w:val="003E66E0"/>
    <w:rsid w:val="003E67DB"/>
    <w:rsid w:val="003E687D"/>
    <w:rsid w:val="003E6D2B"/>
    <w:rsid w:val="003E6EF6"/>
    <w:rsid w:val="003E7312"/>
    <w:rsid w:val="003E7485"/>
    <w:rsid w:val="003E75E3"/>
    <w:rsid w:val="003E7673"/>
    <w:rsid w:val="003E7816"/>
    <w:rsid w:val="003E79CF"/>
    <w:rsid w:val="003E7E19"/>
    <w:rsid w:val="003F0585"/>
    <w:rsid w:val="003F05ED"/>
    <w:rsid w:val="003F07C3"/>
    <w:rsid w:val="003F0BD0"/>
    <w:rsid w:val="003F1078"/>
    <w:rsid w:val="003F1AF8"/>
    <w:rsid w:val="003F1F52"/>
    <w:rsid w:val="003F2666"/>
    <w:rsid w:val="003F2698"/>
    <w:rsid w:val="003F26D0"/>
    <w:rsid w:val="003F2771"/>
    <w:rsid w:val="003F2AD8"/>
    <w:rsid w:val="003F2BB2"/>
    <w:rsid w:val="003F2E90"/>
    <w:rsid w:val="003F36DC"/>
    <w:rsid w:val="003F3711"/>
    <w:rsid w:val="003F38DB"/>
    <w:rsid w:val="003F3B40"/>
    <w:rsid w:val="003F3C2F"/>
    <w:rsid w:val="003F41B8"/>
    <w:rsid w:val="003F462B"/>
    <w:rsid w:val="003F47BE"/>
    <w:rsid w:val="003F545A"/>
    <w:rsid w:val="003F5547"/>
    <w:rsid w:val="003F65B4"/>
    <w:rsid w:val="003F65C3"/>
    <w:rsid w:val="003F6E1D"/>
    <w:rsid w:val="003F73FF"/>
    <w:rsid w:val="003F7BD7"/>
    <w:rsid w:val="003F7CCF"/>
    <w:rsid w:val="00400057"/>
    <w:rsid w:val="004001E7"/>
    <w:rsid w:val="0040031F"/>
    <w:rsid w:val="004005B5"/>
    <w:rsid w:val="00400827"/>
    <w:rsid w:val="00400EED"/>
    <w:rsid w:val="004016B4"/>
    <w:rsid w:val="0040189C"/>
    <w:rsid w:val="00401BAA"/>
    <w:rsid w:val="00401DC3"/>
    <w:rsid w:val="00401FCC"/>
    <w:rsid w:val="004023C4"/>
    <w:rsid w:val="0040242E"/>
    <w:rsid w:val="0040284B"/>
    <w:rsid w:val="00402F82"/>
    <w:rsid w:val="0040319B"/>
    <w:rsid w:val="0040330E"/>
    <w:rsid w:val="00403312"/>
    <w:rsid w:val="00403D3C"/>
    <w:rsid w:val="00403E0C"/>
    <w:rsid w:val="0040439E"/>
    <w:rsid w:val="004043F5"/>
    <w:rsid w:val="00404723"/>
    <w:rsid w:val="00404D62"/>
    <w:rsid w:val="004057B9"/>
    <w:rsid w:val="00405988"/>
    <w:rsid w:val="004065E1"/>
    <w:rsid w:val="00406628"/>
    <w:rsid w:val="00406790"/>
    <w:rsid w:val="00406CCD"/>
    <w:rsid w:val="00406ECA"/>
    <w:rsid w:val="0040704C"/>
    <w:rsid w:val="00407538"/>
    <w:rsid w:val="004101AA"/>
    <w:rsid w:val="004102A9"/>
    <w:rsid w:val="00410430"/>
    <w:rsid w:val="004108A6"/>
    <w:rsid w:val="00410F9C"/>
    <w:rsid w:val="004112AC"/>
    <w:rsid w:val="004112C5"/>
    <w:rsid w:val="004114B5"/>
    <w:rsid w:val="0041159F"/>
    <w:rsid w:val="00411684"/>
    <w:rsid w:val="0041241E"/>
    <w:rsid w:val="004127A3"/>
    <w:rsid w:val="00412EE3"/>
    <w:rsid w:val="00412FAF"/>
    <w:rsid w:val="00412FBC"/>
    <w:rsid w:val="00413387"/>
    <w:rsid w:val="0041354E"/>
    <w:rsid w:val="00413554"/>
    <w:rsid w:val="00413673"/>
    <w:rsid w:val="0041407E"/>
    <w:rsid w:val="004145E0"/>
    <w:rsid w:val="00414684"/>
    <w:rsid w:val="004148B0"/>
    <w:rsid w:val="0041543B"/>
    <w:rsid w:val="00415759"/>
    <w:rsid w:val="0041581D"/>
    <w:rsid w:val="00415883"/>
    <w:rsid w:val="00415A4C"/>
    <w:rsid w:val="00415C56"/>
    <w:rsid w:val="00415C89"/>
    <w:rsid w:val="004161BF"/>
    <w:rsid w:val="004162FD"/>
    <w:rsid w:val="00416AE0"/>
    <w:rsid w:val="0041744E"/>
    <w:rsid w:val="00417AE2"/>
    <w:rsid w:val="00417C71"/>
    <w:rsid w:val="00420916"/>
    <w:rsid w:val="004211A9"/>
    <w:rsid w:val="00421353"/>
    <w:rsid w:val="00421566"/>
    <w:rsid w:val="00421A66"/>
    <w:rsid w:val="00421D48"/>
    <w:rsid w:val="0042222D"/>
    <w:rsid w:val="00422292"/>
    <w:rsid w:val="00422A87"/>
    <w:rsid w:val="00422E0D"/>
    <w:rsid w:val="00423774"/>
    <w:rsid w:val="00423DDB"/>
    <w:rsid w:val="00424064"/>
    <w:rsid w:val="00424285"/>
    <w:rsid w:val="00424982"/>
    <w:rsid w:val="004249A6"/>
    <w:rsid w:val="00424D1A"/>
    <w:rsid w:val="00424ED5"/>
    <w:rsid w:val="00424EF7"/>
    <w:rsid w:val="00425748"/>
    <w:rsid w:val="0042592D"/>
    <w:rsid w:val="004261E4"/>
    <w:rsid w:val="0042628E"/>
    <w:rsid w:val="0042659A"/>
    <w:rsid w:val="004267A8"/>
    <w:rsid w:val="0042713D"/>
    <w:rsid w:val="00427A31"/>
    <w:rsid w:val="00427ED0"/>
    <w:rsid w:val="00427F9B"/>
    <w:rsid w:val="004301E2"/>
    <w:rsid w:val="00430BE3"/>
    <w:rsid w:val="004311B9"/>
    <w:rsid w:val="004314AF"/>
    <w:rsid w:val="00432844"/>
    <w:rsid w:val="00432920"/>
    <w:rsid w:val="00432B26"/>
    <w:rsid w:val="004330E5"/>
    <w:rsid w:val="00433103"/>
    <w:rsid w:val="0043319E"/>
    <w:rsid w:val="0043335A"/>
    <w:rsid w:val="0043379D"/>
    <w:rsid w:val="00433DAE"/>
    <w:rsid w:val="00434039"/>
    <w:rsid w:val="004347B4"/>
    <w:rsid w:val="00434B71"/>
    <w:rsid w:val="0043536D"/>
    <w:rsid w:val="00435408"/>
    <w:rsid w:val="0043541A"/>
    <w:rsid w:val="004355E5"/>
    <w:rsid w:val="004356C3"/>
    <w:rsid w:val="00435806"/>
    <w:rsid w:val="00435940"/>
    <w:rsid w:val="00435CEE"/>
    <w:rsid w:val="00436034"/>
    <w:rsid w:val="0043657B"/>
    <w:rsid w:val="00436900"/>
    <w:rsid w:val="00436E36"/>
    <w:rsid w:val="004371F9"/>
    <w:rsid w:val="0043728E"/>
    <w:rsid w:val="0043767F"/>
    <w:rsid w:val="0043768F"/>
    <w:rsid w:val="004376E8"/>
    <w:rsid w:val="00437947"/>
    <w:rsid w:val="004401CF"/>
    <w:rsid w:val="00440402"/>
    <w:rsid w:val="00440517"/>
    <w:rsid w:val="004407C9"/>
    <w:rsid w:val="0044145F"/>
    <w:rsid w:val="00441B0C"/>
    <w:rsid w:val="00441FEE"/>
    <w:rsid w:val="00442B96"/>
    <w:rsid w:val="004431DA"/>
    <w:rsid w:val="00443639"/>
    <w:rsid w:val="0044381F"/>
    <w:rsid w:val="004440A7"/>
    <w:rsid w:val="00444BF9"/>
    <w:rsid w:val="00444D85"/>
    <w:rsid w:val="00445266"/>
    <w:rsid w:val="00445414"/>
    <w:rsid w:val="004456F0"/>
    <w:rsid w:val="0044583B"/>
    <w:rsid w:val="00446BC3"/>
    <w:rsid w:val="004470BA"/>
    <w:rsid w:val="00447664"/>
    <w:rsid w:val="00447862"/>
    <w:rsid w:val="00447B93"/>
    <w:rsid w:val="00447C35"/>
    <w:rsid w:val="00447D74"/>
    <w:rsid w:val="00450058"/>
    <w:rsid w:val="00450447"/>
    <w:rsid w:val="004511FA"/>
    <w:rsid w:val="0045138C"/>
    <w:rsid w:val="004518E1"/>
    <w:rsid w:val="00451BAE"/>
    <w:rsid w:val="0045203E"/>
    <w:rsid w:val="004521F5"/>
    <w:rsid w:val="00452256"/>
    <w:rsid w:val="00452585"/>
    <w:rsid w:val="00452BDF"/>
    <w:rsid w:val="00452CBF"/>
    <w:rsid w:val="00452E21"/>
    <w:rsid w:val="0045329D"/>
    <w:rsid w:val="00453612"/>
    <w:rsid w:val="004537C7"/>
    <w:rsid w:val="004537D3"/>
    <w:rsid w:val="00453D09"/>
    <w:rsid w:val="00454476"/>
    <w:rsid w:val="00454D24"/>
    <w:rsid w:val="00456408"/>
    <w:rsid w:val="0045646A"/>
    <w:rsid w:val="00456C9E"/>
    <w:rsid w:val="00456E40"/>
    <w:rsid w:val="00457A21"/>
    <w:rsid w:val="00457B53"/>
    <w:rsid w:val="00457E4C"/>
    <w:rsid w:val="00460502"/>
    <w:rsid w:val="00460604"/>
    <w:rsid w:val="004608A6"/>
    <w:rsid w:val="00460DEB"/>
    <w:rsid w:val="00461595"/>
    <w:rsid w:val="00461BB9"/>
    <w:rsid w:val="00461E0B"/>
    <w:rsid w:val="00461F7D"/>
    <w:rsid w:val="00462150"/>
    <w:rsid w:val="004626F9"/>
    <w:rsid w:val="00462751"/>
    <w:rsid w:val="00462A71"/>
    <w:rsid w:val="00462C55"/>
    <w:rsid w:val="00462E78"/>
    <w:rsid w:val="00462EF8"/>
    <w:rsid w:val="00463391"/>
    <w:rsid w:val="004639D1"/>
    <w:rsid w:val="00463A7F"/>
    <w:rsid w:val="0046410B"/>
    <w:rsid w:val="0046437E"/>
    <w:rsid w:val="00464553"/>
    <w:rsid w:val="00464578"/>
    <w:rsid w:val="00464BAA"/>
    <w:rsid w:val="00464C8F"/>
    <w:rsid w:val="00464E89"/>
    <w:rsid w:val="004655F6"/>
    <w:rsid w:val="004656A3"/>
    <w:rsid w:val="00466769"/>
    <w:rsid w:val="00466B6D"/>
    <w:rsid w:val="004670E8"/>
    <w:rsid w:val="00467268"/>
    <w:rsid w:val="00467502"/>
    <w:rsid w:val="004676B3"/>
    <w:rsid w:val="004678E9"/>
    <w:rsid w:val="00467915"/>
    <w:rsid w:val="00467ACA"/>
    <w:rsid w:val="00467CB9"/>
    <w:rsid w:val="00470242"/>
    <w:rsid w:val="00470E2A"/>
    <w:rsid w:val="00470FBA"/>
    <w:rsid w:val="004714E6"/>
    <w:rsid w:val="0047158E"/>
    <w:rsid w:val="00471AA3"/>
    <w:rsid w:val="00471AAE"/>
    <w:rsid w:val="00471CD5"/>
    <w:rsid w:val="00471E42"/>
    <w:rsid w:val="0047202E"/>
    <w:rsid w:val="00472368"/>
    <w:rsid w:val="0047259E"/>
    <w:rsid w:val="00472673"/>
    <w:rsid w:val="00472890"/>
    <w:rsid w:val="00472A0E"/>
    <w:rsid w:val="00472A23"/>
    <w:rsid w:val="00472BBA"/>
    <w:rsid w:val="00472C23"/>
    <w:rsid w:val="00473424"/>
    <w:rsid w:val="00473506"/>
    <w:rsid w:val="004735BD"/>
    <w:rsid w:val="00473648"/>
    <w:rsid w:val="00473989"/>
    <w:rsid w:val="00473D3F"/>
    <w:rsid w:val="00474B16"/>
    <w:rsid w:val="00474BA0"/>
    <w:rsid w:val="004750FC"/>
    <w:rsid w:val="004751DD"/>
    <w:rsid w:val="00475239"/>
    <w:rsid w:val="004754F7"/>
    <w:rsid w:val="0047578B"/>
    <w:rsid w:val="00476A0A"/>
    <w:rsid w:val="00476A2D"/>
    <w:rsid w:val="00477009"/>
    <w:rsid w:val="00477110"/>
    <w:rsid w:val="004775C7"/>
    <w:rsid w:val="0047763A"/>
    <w:rsid w:val="00477939"/>
    <w:rsid w:val="00477D83"/>
    <w:rsid w:val="0048035B"/>
    <w:rsid w:val="00480AD8"/>
    <w:rsid w:val="00481360"/>
    <w:rsid w:val="00481402"/>
    <w:rsid w:val="004814C9"/>
    <w:rsid w:val="004815C3"/>
    <w:rsid w:val="0048183E"/>
    <w:rsid w:val="00481D41"/>
    <w:rsid w:val="00481DA0"/>
    <w:rsid w:val="00482284"/>
    <w:rsid w:val="004823AF"/>
    <w:rsid w:val="0048255D"/>
    <w:rsid w:val="004831AF"/>
    <w:rsid w:val="004837CB"/>
    <w:rsid w:val="00483BE2"/>
    <w:rsid w:val="0048408A"/>
    <w:rsid w:val="004847DF"/>
    <w:rsid w:val="00484E4F"/>
    <w:rsid w:val="0048502E"/>
    <w:rsid w:val="004856F3"/>
    <w:rsid w:val="0048614B"/>
    <w:rsid w:val="004861DA"/>
    <w:rsid w:val="004862FB"/>
    <w:rsid w:val="00486520"/>
    <w:rsid w:val="004873C7"/>
    <w:rsid w:val="0048741B"/>
    <w:rsid w:val="004876CE"/>
    <w:rsid w:val="00487898"/>
    <w:rsid w:val="00487A11"/>
    <w:rsid w:val="00490814"/>
    <w:rsid w:val="00490E39"/>
    <w:rsid w:val="00491107"/>
    <w:rsid w:val="00491348"/>
    <w:rsid w:val="00491437"/>
    <w:rsid w:val="00491526"/>
    <w:rsid w:val="004916E1"/>
    <w:rsid w:val="00491760"/>
    <w:rsid w:val="00491902"/>
    <w:rsid w:val="00491A49"/>
    <w:rsid w:val="00491CF2"/>
    <w:rsid w:val="00491ECF"/>
    <w:rsid w:val="00491FE8"/>
    <w:rsid w:val="004920E9"/>
    <w:rsid w:val="004925EF"/>
    <w:rsid w:val="0049381D"/>
    <w:rsid w:val="00493D45"/>
    <w:rsid w:val="00493EFF"/>
    <w:rsid w:val="00493F3B"/>
    <w:rsid w:val="0049431F"/>
    <w:rsid w:val="0049454C"/>
    <w:rsid w:val="00494744"/>
    <w:rsid w:val="00494D91"/>
    <w:rsid w:val="00494EB4"/>
    <w:rsid w:val="00494EE7"/>
    <w:rsid w:val="004952C6"/>
    <w:rsid w:val="0049532F"/>
    <w:rsid w:val="00495443"/>
    <w:rsid w:val="004954F7"/>
    <w:rsid w:val="004959E8"/>
    <w:rsid w:val="004959F9"/>
    <w:rsid w:val="00495A4B"/>
    <w:rsid w:val="00495BC7"/>
    <w:rsid w:val="004961C6"/>
    <w:rsid w:val="004964AA"/>
    <w:rsid w:val="004965C4"/>
    <w:rsid w:val="004965CA"/>
    <w:rsid w:val="004965ED"/>
    <w:rsid w:val="004966D9"/>
    <w:rsid w:val="00496981"/>
    <w:rsid w:val="00496AF0"/>
    <w:rsid w:val="00496BBB"/>
    <w:rsid w:val="00496C0A"/>
    <w:rsid w:val="0049701D"/>
    <w:rsid w:val="0049711B"/>
    <w:rsid w:val="004977C8"/>
    <w:rsid w:val="004977E3"/>
    <w:rsid w:val="00497B69"/>
    <w:rsid w:val="004A0665"/>
    <w:rsid w:val="004A089E"/>
    <w:rsid w:val="004A0A77"/>
    <w:rsid w:val="004A1058"/>
    <w:rsid w:val="004A1320"/>
    <w:rsid w:val="004A14D2"/>
    <w:rsid w:val="004A1F80"/>
    <w:rsid w:val="004A2550"/>
    <w:rsid w:val="004A29DF"/>
    <w:rsid w:val="004A2B13"/>
    <w:rsid w:val="004A2DB1"/>
    <w:rsid w:val="004A2FCB"/>
    <w:rsid w:val="004A3353"/>
    <w:rsid w:val="004A3757"/>
    <w:rsid w:val="004A384C"/>
    <w:rsid w:val="004A38C8"/>
    <w:rsid w:val="004A399B"/>
    <w:rsid w:val="004A4168"/>
    <w:rsid w:val="004A44D9"/>
    <w:rsid w:val="004A4B44"/>
    <w:rsid w:val="004A552C"/>
    <w:rsid w:val="004A5FE4"/>
    <w:rsid w:val="004A607E"/>
    <w:rsid w:val="004A60DD"/>
    <w:rsid w:val="004A6811"/>
    <w:rsid w:val="004A7210"/>
    <w:rsid w:val="004A754C"/>
    <w:rsid w:val="004A76DB"/>
    <w:rsid w:val="004A7D0C"/>
    <w:rsid w:val="004B0E75"/>
    <w:rsid w:val="004B0F30"/>
    <w:rsid w:val="004B10FB"/>
    <w:rsid w:val="004B121C"/>
    <w:rsid w:val="004B1417"/>
    <w:rsid w:val="004B182B"/>
    <w:rsid w:val="004B1F24"/>
    <w:rsid w:val="004B2220"/>
    <w:rsid w:val="004B22DF"/>
    <w:rsid w:val="004B25A0"/>
    <w:rsid w:val="004B2F07"/>
    <w:rsid w:val="004B3F06"/>
    <w:rsid w:val="004B4349"/>
    <w:rsid w:val="004B48DB"/>
    <w:rsid w:val="004B49F6"/>
    <w:rsid w:val="004B4B14"/>
    <w:rsid w:val="004B5141"/>
    <w:rsid w:val="004B5190"/>
    <w:rsid w:val="004B57E6"/>
    <w:rsid w:val="004B5C2C"/>
    <w:rsid w:val="004B5C31"/>
    <w:rsid w:val="004B6056"/>
    <w:rsid w:val="004B66AF"/>
    <w:rsid w:val="004B67CA"/>
    <w:rsid w:val="004B72AE"/>
    <w:rsid w:val="004B77CE"/>
    <w:rsid w:val="004B7A6A"/>
    <w:rsid w:val="004B7BAB"/>
    <w:rsid w:val="004B7C58"/>
    <w:rsid w:val="004C04BB"/>
    <w:rsid w:val="004C0B98"/>
    <w:rsid w:val="004C0E37"/>
    <w:rsid w:val="004C0F45"/>
    <w:rsid w:val="004C11B6"/>
    <w:rsid w:val="004C1278"/>
    <w:rsid w:val="004C1288"/>
    <w:rsid w:val="004C1557"/>
    <w:rsid w:val="004C15FC"/>
    <w:rsid w:val="004C18F9"/>
    <w:rsid w:val="004C19B2"/>
    <w:rsid w:val="004C21AE"/>
    <w:rsid w:val="004C227F"/>
    <w:rsid w:val="004C2938"/>
    <w:rsid w:val="004C2A25"/>
    <w:rsid w:val="004C2ACB"/>
    <w:rsid w:val="004C2B3E"/>
    <w:rsid w:val="004C3076"/>
    <w:rsid w:val="004C3415"/>
    <w:rsid w:val="004C3564"/>
    <w:rsid w:val="004C35FA"/>
    <w:rsid w:val="004C3A00"/>
    <w:rsid w:val="004C3F97"/>
    <w:rsid w:val="004C40D6"/>
    <w:rsid w:val="004C4610"/>
    <w:rsid w:val="004C47B1"/>
    <w:rsid w:val="004C4A82"/>
    <w:rsid w:val="004C4C87"/>
    <w:rsid w:val="004C4D5D"/>
    <w:rsid w:val="004C60C5"/>
    <w:rsid w:val="004C6573"/>
    <w:rsid w:val="004C67AF"/>
    <w:rsid w:val="004C6AE5"/>
    <w:rsid w:val="004C6C3F"/>
    <w:rsid w:val="004C742B"/>
    <w:rsid w:val="004C7D24"/>
    <w:rsid w:val="004D0751"/>
    <w:rsid w:val="004D0A97"/>
    <w:rsid w:val="004D0D81"/>
    <w:rsid w:val="004D167B"/>
    <w:rsid w:val="004D172C"/>
    <w:rsid w:val="004D1774"/>
    <w:rsid w:val="004D1832"/>
    <w:rsid w:val="004D1CBD"/>
    <w:rsid w:val="004D1F4A"/>
    <w:rsid w:val="004D274C"/>
    <w:rsid w:val="004D27EA"/>
    <w:rsid w:val="004D2BB7"/>
    <w:rsid w:val="004D2C06"/>
    <w:rsid w:val="004D3E0E"/>
    <w:rsid w:val="004D411B"/>
    <w:rsid w:val="004D44B9"/>
    <w:rsid w:val="004D4A1F"/>
    <w:rsid w:val="004D4F93"/>
    <w:rsid w:val="004D53B3"/>
    <w:rsid w:val="004D5884"/>
    <w:rsid w:val="004D5AA0"/>
    <w:rsid w:val="004D5B5B"/>
    <w:rsid w:val="004D5BD4"/>
    <w:rsid w:val="004D5C91"/>
    <w:rsid w:val="004D5D3F"/>
    <w:rsid w:val="004D5F6C"/>
    <w:rsid w:val="004D60D7"/>
    <w:rsid w:val="004D6158"/>
    <w:rsid w:val="004D62CC"/>
    <w:rsid w:val="004D6891"/>
    <w:rsid w:val="004D68EF"/>
    <w:rsid w:val="004D6B3E"/>
    <w:rsid w:val="004D6E65"/>
    <w:rsid w:val="004D768E"/>
    <w:rsid w:val="004D7771"/>
    <w:rsid w:val="004D783E"/>
    <w:rsid w:val="004D789A"/>
    <w:rsid w:val="004D7EAF"/>
    <w:rsid w:val="004D7F70"/>
    <w:rsid w:val="004E0554"/>
    <w:rsid w:val="004E0950"/>
    <w:rsid w:val="004E0986"/>
    <w:rsid w:val="004E0CA1"/>
    <w:rsid w:val="004E0F0B"/>
    <w:rsid w:val="004E0F2F"/>
    <w:rsid w:val="004E1315"/>
    <w:rsid w:val="004E152A"/>
    <w:rsid w:val="004E1B42"/>
    <w:rsid w:val="004E247A"/>
    <w:rsid w:val="004E2862"/>
    <w:rsid w:val="004E2AA4"/>
    <w:rsid w:val="004E2AB5"/>
    <w:rsid w:val="004E2C56"/>
    <w:rsid w:val="004E2CFB"/>
    <w:rsid w:val="004E2EB3"/>
    <w:rsid w:val="004E301D"/>
    <w:rsid w:val="004E332B"/>
    <w:rsid w:val="004E37FF"/>
    <w:rsid w:val="004E4225"/>
    <w:rsid w:val="004E4265"/>
    <w:rsid w:val="004E44DE"/>
    <w:rsid w:val="004E476E"/>
    <w:rsid w:val="004E4E7F"/>
    <w:rsid w:val="004E4FAA"/>
    <w:rsid w:val="004E594A"/>
    <w:rsid w:val="004E5BB5"/>
    <w:rsid w:val="004E60F6"/>
    <w:rsid w:val="004E61FA"/>
    <w:rsid w:val="004E652C"/>
    <w:rsid w:val="004E656C"/>
    <w:rsid w:val="004E6AD6"/>
    <w:rsid w:val="004E6BC4"/>
    <w:rsid w:val="004E6ED9"/>
    <w:rsid w:val="004E6FD8"/>
    <w:rsid w:val="004E73E8"/>
    <w:rsid w:val="004E7601"/>
    <w:rsid w:val="004E76F9"/>
    <w:rsid w:val="004E789E"/>
    <w:rsid w:val="004E7F1F"/>
    <w:rsid w:val="004F0470"/>
    <w:rsid w:val="004F0821"/>
    <w:rsid w:val="004F0CAD"/>
    <w:rsid w:val="004F0E17"/>
    <w:rsid w:val="004F1038"/>
    <w:rsid w:val="004F12CF"/>
    <w:rsid w:val="004F1347"/>
    <w:rsid w:val="004F14CD"/>
    <w:rsid w:val="004F152D"/>
    <w:rsid w:val="004F15B5"/>
    <w:rsid w:val="004F15CC"/>
    <w:rsid w:val="004F1689"/>
    <w:rsid w:val="004F19E5"/>
    <w:rsid w:val="004F1A0D"/>
    <w:rsid w:val="004F1C26"/>
    <w:rsid w:val="004F1C55"/>
    <w:rsid w:val="004F2108"/>
    <w:rsid w:val="004F24CF"/>
    <w:rsid w:val="004F2651"/>
    <w:rsid w:val="004F267B"/>
    <w:rsid w:val="004F2759"/>
    <w:rsid w:val="004F2B1D"/>
    <w:rsid w:val="004F2BD8"/>
    <w:rsid w:val="004F2CE5"/>
    <w:rsid w:val="004F3E60"/>
    <w:rsid w:val="004F3E78"/>
    <w:rsid w:val="004F3FAD"/>
    <w:rsid w:val="004F4771"/>
    <w:rsid w:val="004F49CC"/>
    <w:rsid w:val="004F5039"/>
    <w:rsid w:val="004F58F5"/>
    <w:rsid w:val="004F5A8E"/>
    <w:rsid w:val="004F5B26"/>
    <w:rsid w:val="004F5B3C"/>
    <w:rsid w:val="004F5C10"/>
    <w:rsid w:val="004F6341"/>
    <w:rsid w:val="004F634C"/>
    <w:rsid w:val="004F64CB"/>
    <w:rsid w:val="004F695C"/>
    <w:rsid w:val="004F6BF0"/>
    <w:rsid w:val="004F71D1"/>
    <w:rsid w:val="004F7628"/>
    <w:rsid w:val="004F7C72"/>
    <w:rsid w:val="005001C6"/>
    <w:rsid w:val="005002F0"/>
    <w:rsid w:val="005006AC"/>
    <w:rsid w:val="00500775"/>
    <w:rsid w:val="00500875"/>
    <w:rsid w:val="00500FDE"/>
    <w:rsid w:val="00501852"/>
    <w:rsid w:val="00501892"/>
    <w:rsid w:val="00501934"/>
    <w:rsid w:val="00501966"/>
    <w:rsid w:val="00501A98"/>
    <w:rsid w:val="00501AB1"/>
    <w:rsid w:val="00501AB3"/>
    <w:rsid w:val="00501C70"/>
    <w:rsid w:val="00501D9B"/>
    <w:rsid w:val="0050245C"/>
    <w:rsid w:val="00502661"/>
    <w:rsid w:val="0050289F"/>
    <w:rsid w:val="00502986"/>
    <w:rsid w:val="00502AAA"/>
    <w:rsid w:val="00502B82"/>
    <w:rsid w:val="005030FC"/>
    <w:rsid w:val="005031C5"/>
    <w:rsid w:val="00503B38"/>
    <w:rsid w:val="00503C96"/>
    <w:rsid w:val="0050452B"/>
    <w:rsid w:val="005048F3"/>
    <w:rsid w:val="00504AD5"/>
    <w:rsid w:val="0050536E"/>
    <w:rsid w:val="00505499"/>
    <w:rsid w:val="00505B02"/>
    <w:rsid w:val="00505FFB"/>
    <w:rsid w:val="0050615F"/>
    <w:rsid w:val="0050693E"/>
    <w:rsid w:val="00506CD1"/>
    <w:rsid w:val="00506D0E"/>
    <w:rsid w:val="00506D96"/>
    <w:rsid w:val="0050704A"/>
    <w:rsid w:val="0050722D"/>
    <w:rsid w:val="005074C8"/>
    <w:rsid w:val="00507720"/>
    <w:rsid w:val="00507AE6"/>
    <w:rsid w:val="00507CFD"/>
    <w:rsid w:val="005101F9"/>
    <w:rsid w:val="00510597"/>
    <w:rsid w:val="0051085B"/>
    <w:rsid w:val="0051119B"/>
    <w:rsid w:val="0051166E"/>
    <w:rsid w:val="00511CD5"/>
    <w:rsid w:val="005124E7"/>
    <w:rsid w:val="00512504"/>
    <w:rsid w:val="00512515"/>
    <w:rsid w:val="00512880"/>
    <w:rsid w:val="00512C48"/>
    <w:rsid w:val="00513834"/>
    <w:rsid w:val="0051408B"/>
    <w:rsid w:val="0051467F"/>
    <w:rsid w:val="005147DE"/>
    <w:rsid w:val="00514A17"/>
    <w:rsid w:val="00514C29"/>
    <w:rsid w:val="005154C8"/>
    <w:rsid w:val="005154D5"/>
    <w:rsid w:val="005161CE"/>
    <w:rsid w:val="00516335"/>
    <w:rsid w:val="00516B57"/>
    <w:rsid w:val="00516BBF"/>
    <w:rsid w:val="00516C95"/>
    <w:rsid w:val="00516E31"/>
    <w:rsid w:val="00516F18"/>
    <w:rsid w:val="005170DF"/>
    <w:rsid w:val="005173C5"/>
    <w:rsid w:val="00517652"/>
    <w:rsid w:val="00517D7E"/>
    <w:rsid w:val="00517E16"/>
    <w:rsid w:val="00517EB4"/>
    <w:rsid w:val="00520B9F"/>
    <w:rsid w:val="005218BC"/>
    <w:rsid w:val="00521918"/>
    <w:rsid w:val="005219EA"/>
    <w:rsid w:val="00521BB5"/>
    <w:rsid w:val="00521BD3"/>
    <w:rsid w:val="00521CDB"/>
    <w:rsid w:val="00521EB1"/>
    <w:rsid w:val="00521F64"/>
    <w:rsid w:val="005223B3"/>
    <w:rsid w:val="00522493"/>
    <w:rsid w:val="00522924"/>
    <w:rsid w:val="0052310C"/>
    <w:rsid w:val="00523A56"/>
    <w:rsid w:val="00523CB2"/>
    <w:rsid w:val="00523FAC"/>
    <w:rsid w:val="005246C6"/>
    <w:rsid w:val="00524799"/>
    <w:rsid w:val="0052507F"/>
    <w:rsid w:val="00525265"/>
    <w:rsid w:val="00525342"/>
    <w:rsid w:val="005253EE"/>
    <w:rsid w:val="005255E0"/>
    <w:rsid w:val="0052631B"/>
    <w:rsid w:val="005264A5"/>
    <w:rsid w:val="00526716"/>
    <w:rsid w:val="005268CC"/>
    <w:rsid w:val="005277CC"/>
    <w:rsid w:val="00527EF4"/>
    <w:rsid w:val="005305A2"/>
    <w:rsid w:val="00530F84"/>
    <w:rsid w:val="00531232"/>
    <w:rsid w:val="0053131A"/>
    <w:rsid w:val="005314C2"/>
    <w:rsid w:val="00531844"/>
    <w:rsid w:val="005319A1"/>
    <w:rsid w:val="00531F0E"/>
    <w:rsid w:val="0053262E"/>
    <w:rsid w:val="005326A3"/>
    <w:rsid w:val="005326A8"/>
    <w:rsid w:val="005327B5"/>
    <w:rsid w:val="005327DA"/>
    <w:rsid w:val="0053286F"/>
    <w:rsid w:val="005329A0"/>
    <w:rsid w:val="00532A7F"/>
    <w:rsid w:val="00532B57"/>
    <w:rsid w:val="00532EAA"/>
    <w:rsid w:val="00532F92"/>
    <w:rsid w:val="00533023"/>
    <w:rsid w:val="005339B0"/>
    <w:rsid w:val="00533CDD"/>
    <w:rsid w:val="00534037"/>
    <w:rsid w:val="0053423B"/>
    <w:rsid w:val="00534649"/>
    <w:rsid w:val="00534804"/>
    <w:rsid w:val="0053496E"/>
    <w:rsid w:val="00534DF3"/>
    <w:rsid w:val="005357F9"/>
    <w:rsid w:val="005368A6"/>
    <w:rsid w:val="00536A48"/>
    <w:rsid w:val="00536B26"/>
    <w:rsid w:val="00536DDD"/>
    <w:rsid w:val="00537107"/>
    <w:rsid w:val="005371BF"/>
    <w:rsid w:val="00537B68"/>
    <w:rsid w:val="00537F6C"/>
    <w:rsid w:val="00537FC7"/>
    <w:rsid w:val="005401BE"/>
    <w:rsid w:val="00540563"/>
    <w:rsid w:val="00540AB1"/>
    <w:rsid w:val="00540ACB"/>
    <w:rsid w:val="00540F29"/>
    <w:rsid w:val="005410AD"/>
    <w:rsid w:val="00541210"/>
    <w:rsid w:val="00541367"/>
    <w:rsid w:val="005416F1"/>
    <w:rsid w:val="005419E9"/>
    <w:rsid w:val="00542599"/>
    <w:rsid w:val="005428EB"/>
    <w:rsid w:val="00542CC7"/>
    <w:rsid w:val="00542F7C"/>
    <w:rsid w:val="00543499"/>
    <w:rsid w:val="005434D1"/>
    <w:rsid w:val="0054353C"/>
    <w:rsid w:val="005447A6"/>
    <w:rsid w:val="005448BB"/>
    <w:rsid w:val="0054498C"/>
    <w:rsid w:val="00544A3F"/>
    <w:rsid w:val="00544C12"/>
    <w:rsid w:val="0054513C"/>
    <w:rsid w:val="005451DD"/>
    <w:rsid w:val="005451EB"/>
    <w:rsid w:val="0054582C"/>
    <w:rsid w:val="0054589B"/>
    <w:rsid w:val="00546D9F"/>
    <w:rsid w:val="005470B4"/>
    <w:rsid w:val="005473FD"/>
    <w:rsid w:val="00547571"/>
    <w:rsid w:val="00550423"/>
    <w:rsid w:val="0055050D"/>
    <w:rsid w:val="005505FE"/>
    <w:rsid w:val="0055066F"/>
    <w:rsid w:val="005506AF"/>
    <w:rsid w:val="005506C0"/>
    <w:rsid w:val="00550DAE"/>
    <w:rsid w:val="005513BF"/>
    <w:rsid w:val="00551429"/>
    <w:rsid w:val="0055175E"/>
    <w:rsid w:val="00551926"/>
    <w:rsid w:val="00551B15"/>
    <w:rsid w:val="00551B1B"/>
    <w:rsid w:val="00551B9F"/>
    <w:rsid w:val="00551C5B"/>
    <w:rsid w:val="00551C78"/>
    <w:rsid w:val="005523A0"/>
    <w:rsid w:val="00552475"/>
    <w:rsid w:val="00552493"/>
    <w:rsid w:val="005525F8"/>
    <w:rsid w:val="00552953"/>
    <w:rsid w:val="00552D5B"/>
    <w:rsid w:val="00552DD4"/>
    <w:rsid w:val="00552EFE"/>
    <w:rsid w:val="00553304"/>
    <w:rsid w:val="00553309"/>
    <w:rsid w:val="005539D7"/>
    <w:rsid w:val="00553A18"/>
    <w:rsid w:val="00553ABB"/>
    <w:rsid w:val="00553C3F"/>
    <w:rsid w:val="00553D12"/>
    <w:rsid w:val="00553D80"/>
    <w:rsid w:val="00553E53"/>
    <w:rsid w:val="00554105"/>
    <w:rsid w:val="00554AF6"/>
    <w:rsid w:val="00554BF8"/>
    <w:rsid w:val="00554ECA"/>
    <w:rsid w:val="00555337"/>
    <w:rsid w:val="005553CC"/>
    <w:rsid w:val="005554A2"/>
    <w:rsid w:val="0055586C"/>
    <w:rsid w:val="00555916"/>
    <w:rsid w:val="00555D9E"/>
    <w:rsid w:val="00555F95"/>
    <w:rsid w:val="005566B8"/>
    <w:rsid w:val="00556970"/>
    <w:rsid w:val="00556FC1"/>
    <w:rsid w:val="005570C1"/>
    <w:rsid w:val="005570F9"/>
    <w:rsid w:val="005572D9"/>
    <w:rsid w:val="00557828"/>
    <w:rsid w:val="00560003"/>
    <w:rsid w:val="005609C1"/>
    <w:rsid w:val="0056127E"/>
    <w:rsid w:val="005620BA"/>
    <w:rsid w:val="005622D1"/>
    <w:rsid w:val="0056260A"/>
    <w:rsid w:val="00562AA1"/>
    <w:rsid w:val="00562FFB"/>
    <w:rsid w:val="00563431"/>
    <w:rsid w:val="005640D3"/>
    <w:rsid w:val="00564632"/>
    <w:rsid w:val="00564861"/>
    <w:rsid w:val="00564AB4"/>
    <w:rsid w:val="005657A3"/>
    <w:rsid w:val="00565989"/>
    <w:rsid w:val="00565B96"/>
    <w:rsid w:val="0056620D"/>
    <w:rsid w:val="005663C0"/>
    <w:rsid w:val="00566943"/>
    <w:rsid w:val="00566F05"/>
    <w:rsid w:val="00566F17"/>
    <w:rsid w:val="005673E3"/>
    <w:rsid w:val="0056755E"/>
    <w:rsid w:val="00567FCA"/>
    <w:rsid w:val="00570562"/>
    <w:rsid w:val="005706C1"/>
    <w:rsid w:val="00570914"/>
    <w:rsid w:val="00570EDA"/>
    <w:rsid w:val="005710EB"/>
    <w:rsid w:val="005717BF"/>
    <w:rsid w:val="00571BD5"/>
    <w:rsid w:val="00571BFA"/>
    <w:rsid w:val="00571CC9"/>
    <w:rsid w:val="00571E49"/>
    <w:rsid w:val="005720F6"/>
    <w:rsid w:val="00572825"/>
    <w:rsid w:val="00572F5B"/>
    <w:rsid w:val="0057348E"/>
    <w:rsid w:val="00573EC4"/>
    <w:rsid w:val="00573FBE"/>
    <w:rsid w:val="005742A8"/>
    <w:rsid w:val="00574336"/>
    <w:rsid w:val="005744CD"/>
    <w:rsid w:val="00574799"/>
    <w:rsid w:val="00574A27"/>
    <w:rsid w:val="00574C90"/>
    <w:rsid w:val="00574D5A"/>
    <w:rsid w:val="00574EFC"/>
    <w:rsid w:val="0057536C"/>
    <w:rsid w:val="00575DE1"/>
    <w:rsid w:val="00576139"/>
    <w:rsid w:val="005761E5"/>
    <w:rsid w:val="00576503"/>
    <w:rsid w:val="005767B4"/>
    <w:rsid w:val="005767F8"/>
    <w:rsid w:val="00576808"/>
    <w:rsid w:val="00576B12"/>
    <w:rsid w:val="00577528"/>
    <w:rsid w:val="005775CC"/>
    <w:rsid w:val="0058006C"/>
    <w:rsid w:val="0058027B"/>
    <w:rsid w:val="00580879"/>
    <w:rsid w:val="00580BFF"/>
    <w:rsid w:val="00580E45"/>
    <w:rsid w:val="00581370"/>
    <w:rsid w:val="005813BA"/>
    <w:rsid w:val="005817EB"/>
    <w:rsid w:val="0058198A"/>
    <w:rsid w:val="00581E2B"/>
    <w:rsid w:val="00582097"/>
    <w:rsid w:val="00582228"/>
    <w:rsid w:val="00582306"/>
    <w:rsid w:val="005824EE"/>
    <w:rsid w:val="00582786"/>
    <w:rsid w:val="005827A1"/>
    <w:rsid w:val="00583134"/>
    <w:rsid w:val="005837B4"/>
    <w:rsid w:val="0058398C"/>
    <w:rsid w:val="00583A30"/>
    <w:rsid w:val="00583D6D"/>
    <w:rsid w:val="00583E1B"/>
    <w:rsid w:val="0058408C"/>
    <w:rsid w:val="0058464D"/>
    <w:rsid w:val="00584797"/>
    <w:rsid w:val="00584A10"/>
    <w:rsid w:val="00585502"/>
    <w:rsid w:val="0058571E"/>
    <w:rsid w:val="00585A12"/>
    <w:rsid w:val="00585B29"/>
    <w:rsid w:val="00585BFA"/>
    <w:rsid w:val="0058643E"/>
    <w:rsid w:val="005867CF"/>
    <w:rsid w:val="00586884"/>
    <w:rsid w:val="00586A4B"/>
    <w:rsid w:val="00586E71"/>
    <w:rsid w:val="00587617"/>
    <w:rsid w:val="00587A25"/>
    <w:rsid w:val="00590248"/>
    <w:rsid w:val="005902D3"/>
    <w:rsid w:val="005903A3"/>
    <w:rsid w:val="0059096D"/>
    <w:rsid w:val="0059105E"/>
    <w:rsid w:val="0059124E"/>
    <w:rsid w:val="0059151D"/>
    <w:rsid w:val="00591EE7"/>
    <w:rsid w:val="00592299"/>
    <w:rsid w:val="00592668"/>
    <w:rsid w:val="0059293C"/>
    <w:rsid w:val="00592D3D"/>
    <w:rsid w:val="00592F1B"/>
    <w:rsid w:val="00592F6C"/>
    <w:rsid w:val="005933D2"/>
    <w:rsid w:val="0059340F"/>
    <w:rsid w:val="005934FF"/>
    <w:rsid w:val="0059474F"/>
    <w:rsid w:val="00594A21"/>
    <w:rsid w:val="00594C86"/>
    <w:rsid w:val="00594CF3"/>
    <w:rsid w:val="00594E57"/>
    <w:rsid w:val="005955A3"/>
    <w:rsid w:val="005955B9"/>
    <w:rsid w:val="00595817"/>
    <w:rsid w:val="00596A78"/>
    <w:rsid w:val="00596B79"/>
    <w:rsid w:val="00596FD6"/>
    <w:rsid w:val="0059711A"/>
    <w:rsid w:val="0059784A"/>
    <w:rsid w:val="005979D7"/>
    <w:rsid w:val="00597B7F"/>
    <w:rsid w:val="005A036F"/>
    <w:rsid w:val="005A05E9"/>
    <w:rsid w:val="005A0656"/>
    <w:rsid w:val="005A0A71"/>
    <w:rsid w:val="005A0B25"/>
    <w:rsid w:val="005A0C3D"/>
    <w:rsid w:val="005A1333"/>
    <w:rsid w:val="005A13C7"/>
    <w:rsid w:val="005A1A08"/>
    <w:rsid w:val="005A21D8"/>
    <w:rsid w:val="005A2252"/>
    <w:rsid w:val="005A26DC"/>
    <w:rsid w:val="005A299D"/>
    <w:rsid w:val="005A2B85"/>
    <w:rsid w:val="005A32A8"/>
    <w:rsid w:val="005A3BE9"/>
    <w:rsid w:val="005A3CD0"/>
    <w:rsid w:val="005A3F9D"/>
    <w:rsid w:val="005A45D4"/>
    <w:rsid w:val="005A4754"/>
    <w:rsid w:val="005A49DA"/>
    <w:rsid w:val="005A500E"/>
    <w:rsid w:val="005A50E4"/>
    <w:rsid w:val="005A57AB"/>
    <w:rsid w:val="005A5D9E"/>
    <w:rsid w:val="005A6370"/>
    <w:rsid w:val="005A688C"/>
    <w:rsid w:val="005A6AAD"/>
    <w:rsid w:val="005A6D87"/>
    <w:rsid w:val="005A6F2D"/>
    <w:rsid w:val="005A6FC2"/>
    <w:rsid w:val="005A70DF"/>
    <w:rsid w:val="005A7126"/>
    <w:rsid w:val="005A71EA"/>
    <w:rsid w:val="005A73D7"/>
    <w:rsid w:val="005A75BF"/>
    <w:rsid w:val="005A78E0"/>
    <w:rsid w:val="005A7C5C"/>
    <w:rsid w:val="005A7DFB"/>
    <w:rsid w:val="005B04D2"/>
    <w:rsid w:val="005B075F"/>
    <w:rsid w:val="005B07A2"/>
    <w:rsid w:val="005B07B3"/>
    <w:rsid w:val="005B07D2"/>
    <w:rsid w:val="005B0F5D"/>
    <w:rsid w:val="005B0FAA"/>
    <w:rsid w:val="005B11B1"/>
    <w:rsid w:val="005B12D2"/>
    <w:rsid w:val="005B1502"/>
    <w:rsid w:val="005B1784"/>
    <w:rsid w:val="005B18B6"/>
    <w:rsid w:val="005B1C81"/>
    <w:rsid w:val="005B30C8"/>
    <w:rsid w:val="005B34E5"/>
    <w:rsid w:val="005B353F"/>
    <w:rsid w:val="005B3BD5"/>
    <w:rsid w:val="005B3F84"/>
    <w:rsid w:val="005B451C"/>
    <w:rsid w:val="005B522D"/>
    <w:rsid w:val="005B5751"/>
    <w:rsid w:val="005B58A7"/>
    <w:rsid w:val="005B5C1D"/>
    <w:rsid w:val="005B5F23"/>
    <w:rsid w:val="005B603A"/>
    <w:rsid w:val="005B6115"/>
    <w:rsid w:val="005B692C"/>
    <w:rsid w:val="005B6AFA"/>
    <w:rsid w:val="005B6B72"/>
    <w:rsid w:val="005B7039"/>
    <w:rsid w:val="005B756B"/>
    <w:rsid w:val="005B7F6D"/>
    <w:rsid w:val="005C06E4"/>
    <w:rsid w:val="005C0795"/>
    <w:rsid w:val="005C0ADF"/>
    <w:rsid w:val="005C1256"/>
    <w:rsid w:val="005C153F"/>
    <w:rsid w:val="005C1F39"/>
    <w:rsid w:val="005C1F3C"/>
    <w:rsid w:val="005C1F83"/>
    <w:rsid w:val="005C2247"/>
    <w:rsid w:val="005C2B81"/>
    <w:rsid w:val="005C2E1F"/>
    <w:rsid w:val="005C3095"/>
    <w:rsid w:val="005C31D8"/>
    <w:rsid w:val="005C3464"/>
    <w:rsid w:val="005C3531"/>
    <w:rsid w:val="005C355A"/>
    <w:rsid w:val="005C3A91"/>
    <w:rsid w:val="005C3B7F"/>
    <w:rsid w:val="005C3C54"/>
    <w:rsid w:val="005C3FA2"/>
    <w:rsid w:val="005C416C"/>
    <w:rsid w:val="005C4431"/>
    <w:rsid w:val="005C4656"/>
    <w:rsid w:val="005C4B9C"/>
    <w:rsid w:val="005C4CE1"/>
    <w:rsid w:val="005C4D14"/>
    <w:rsid w:val="005C51D2"/>
    <w:rsid w:val="005C5570"/>
    <w:rsid w:val="005C5F98"/>
    <w:rsid w:val="005C6074"/>
    <w:rsid w:val="005C67A4"/>
    <w:rsid w:val="005C6D39"/>
    <w:rsid w:val="005C6E0F"/>
    <w:rsid w:val="005C6E92"/>
    <w:rsid w:val="005C711D"/>
    <w:rsid w:val="005C77EF"/>
    <w:rsid w:val="005C7964"/>
    <w:rsid w:val="005C7D3E"/>
    <w:rsid w:val="005D00C6"/>
    <w:rsid w:val="005D014E"/>
    <w:rsid w:val="005D1ACA"/>
    <w:rsid w:val="005D1EAC"/>
    <w:rsid w:val="005D2245"/>
    <w:rsid w:val="005D22FA"/>
    <w:rsid w:val="005D24A4"/>
    <w:rsid w:val="005D283F"/>
    <w:rsid w:val="005D2B02"/>
    <w:rsid w:val="005D2EF0"/>
    <w:rsid w:val="005D33FA"/>
    <w:rsid w:val="005D465E"/>
    <w:rsid w:val="005D46A4"/>
    <w:rsid w:val="005D47A0"/>
    <w:rsid w:val="005D4882"/>
    <w:rsid w:val="005D4CEA"/>
    <w:rsid w:val="005D5018"/>
    <w:rsid w:val="005D526B"/>
    <w:rsid w:val="005D5369"/>
    <w:rsid w:val="005D5488"/>
    <w:rsid w:val="005D5530"/>
    <w:rsid w:val="005D5B04"/>
    <w:rsid w:val="005D5E13"/>
    <w:rsid w:val="005D5E67"/>
    <w:rsid w:val="005D5F1F"/>
    <w:rsid w:val="005D5F97"/>
    <w:rsid w:val="005D625B"/>
    <w:rsid w:val="005D6446"/>
    <w:rsid w:val="005D6ABF"/>
    <w:rsid w:val="005D6FCC"/>
    <w:rsid w:val="005D7475"/>
    <w:rsid w:val="005D76D7"/>
    <w:rsid w:val="005D7D6D"/>
    <w:rsid w:val="005D7F04"/>
    <w:rsid w:val="005E00D2"/>
    <w:rsid w:val="005E06EA"/>
    <w:rsid w:val="005E0B72"/>
    <w:rsid w:val="005E0D08"/>
    <w:rsid w:val="005E1503"/>
    <w:rsid w:val="005E197F"/>
    <w:rsid w:val="005E1C15"/>
    <w:rsid w:val="005E1C22"/>
    <w:rsid w:val="005E25D1"/>
    <w:rsid w:val="005E3046"/>
    <w:rsid w:val="005E304D"/>
    <w:rsid w:val="005E3171"/>
    <w:rsid w:val="005E3368"/>
    <w:rsid w:val="005E351C"/>
    <w:rsid w:val="005E37D2"/>
    <w:rsid w:val="005E3807"/>
    <w:rsid w:val="005E3929"/>
    <w:rsid w:val="005E39B4"/>
    <w:rsid w:val="005E3B1B"/>
    <w:rsid w:val="005E3B34"/>
    <w:rsid w:val="005E3C5B"/>
    <w:rsid w:val="005E406D"/>
    <w:rsid w:val="005E4182"/>
    <w:rsid w:val="005E456A"/>
    <w:rsid w:val="005E4B7F"/>
    <w:rsid w:val="005E4E59"/>
    <w:rsid w:val="005E4F62"/>
    <w:rsid w:val="005E5050"/>
    <w:rsid w:val="005E5158"/>
    <w:rsid w:val="005E523F"/>
    <w:rsid w:val="005E5392"/>
    <w:rsid w:val="005E5B09"/>
    <w:rsid w:val="005E5DD9"/>
    <w:rsid w:val="005E5E6A"/>
    <w:rsid w:val="005E65FA"/>
    <w:rsid w:val="005E66B6"/>
    <w:rsid w:val="005E6E6F"/>
    <w:rsid w:val="005E7498"/>
    <w:rsid w:val="005E75C1"/>
    <w:rsid w:val="005E7E61"/>
    <w:rsid w:val="005F0147"/>
    <w:rsid w:val="005F04A7"/>
    <w:rsid w:val="005F09B4"/>
    <w:rsid w:val="005F0CF7"/>
    <w:rsid w:val="005F11CB"/>
    <w:rsid w:val="005F1ABB"/>
    <w:rsid w:val="005F1FB9"/>
    <w:rsid w:val="005F2116"/>
    <w:rsid w:val="005F2F61"/>
    <w:rsid w:val="005F2F6F"/>
    <w:rsid w:val="005F2F9C"/>
    <w:rsid w:val="005F2FEC"/>
    <w:rsid w:val="005F2FED"/>
    <w:rsid w:val="005F3071"/>
    <w:rsid w:val="005F32CD"/>
    <w:rsid w:val="005F34DA"/>
    <w:rsid w:val="005F3937"/>
    <w:rsid w:val="005F40A5"/>
    <w:rsid w:val="005F441E"/>
    <w:rsid w:val="005F442D"/>
    <w:rsid w:val="005F4459"/>
    <w:rsid w:val="005F4662"/>
    <w:rsid w:val="005F4674"/>
    <w:rsid w:val="005F4B90"/>
    <w:rsid w:val="005F4CBC"/>
    <w:rsid w:val="005F4E62"/>
    <w:rsid w:val="005F4EAF"/>
    <w:rsid w:val="005F4FE4"/>
    <w:rsid w:val="005F5011"/>
    <w:rsid w:val="005F5435"/>
    <w:rsid w:val="005F54CC"/>
    <w:rsid w:val="005F5643"/>
    <w:rsid w:val="005F5813"/>
    <w:rsid w:val="005F5D1B"/>
    <w:rsid w:val="005F6A4F"/>
    <w:rsid w:val="005F6FEE"/>
    <w:rsid w:val="005F72AA"/>
    <w:rsid w:val="00600348"/>
    <w:rsid w:val="006007C1"/>
    <w:rsid w:val="00600954"/>
    <w:rsid w:val="00600A14"/>
    <w:rsid w:val="00600A86"/>
    <w:rsid w:val="00600CA1"/>
    <w:rsid w:val="00600E4C"/>
    <w:rsid w:val="0060111E"/>
    <w:rsid w:val="00601539"/>
    <w:rsid w:val="0060163E"/>
    <w:rsid w:val="0060172D"/>
    <w:rsid w:val="00601CC3"/>
    <w:rsid w:val="00601DB6"/>
    <w:rsid w:val="00601EA9"/>
    <w:rsid w:val="00601F9F"/>
    <w:rsid w:val="006024C2"/>
    <w:rsid w:val="00602808"/>
    <w:rsid w:val="00602BC5"/>
    <w:rsid w:val="00602E1C"/>
    <w:rsid w:val="00602F75"/>
    <w:rsid w:val="00603225"/>
    <w:rsid w:val="00603620"/>
    <w:rsid w:val="0060380C"/>
    <w:rsid w:val="00603BE6"/>
    <w:rsid w:val="00604057"/>
    <w:rsid w:val="006042D4"/>
    <w:rsid w:val="0060491B"/>
    <w:rsid w:val="00604E20"/>
    <w:rsid w:val="006053B0"/>
    <w:rsid w:val="006056FC"/>
    <w:rsid w:val="006057D0"/>
    <w:rsid w:val="00605829"/>
    <w:rsid w:val="0060586E"/>
    <w:rsid w:val="00605934"/>
    <w:rsid w:val="0060595B"/>
    <w:rsid w:val="00605A48"/>
    <w:rsid w:val="00605BB9"/>
    <w:rsid w:val="0060615B"/>
    <w:rsid w:val="0060627D"/>
    <w:rsid w:val="006063CD"/>
    <w:rsid w:val="0060646A"/>
    <w:rsid w:val="0060669C"/>
    <w:rsid w:val="00606826"/>
    <w:rsid w:val="00606E3E"/>
    <w:rsid w:val="00606FD6"/>
    <w:rsid w:val="006077B6"/>
    <w:rsid w:val="006079BF"/>
    <w:rsid w:val="00607F64"/>
    <w:rsid w:val="006103D2"/>
    <w:rsid w:val="00610910"/>
    <w:rsid w:val="006111F9"/>
    <w:rsid w:val="0061182B"/>
    <w:rsid w:val="00611A4B"/>
    <w:rsid w:val="00611DBD"/>
    <w:rsid w:val="00611DCD"/>
    <w:rsid w:val="00611F9C"/>
    <w:rsid w:val="00612CB4"/>
    <w:rsid w:val="00612DED"/>
    <w:rsid w:val="00612E06"/>
    <w:rsid w:val="006131D4"/>
    <w:rsid w:val="00613239"/>
    <w:rsid w:val="0061334E"/>
    <w:rsid w:val="0061336A"/>
    <w:rsid w:val="006139E4"/>
    <w:rsid w:val="006140A7"/>
    <w:rsid w:val="0061439C"/>
    <w:rsid w:val="006144E3"/>
    <w:rsid w:val="00614676"/>
    <w:rsid w:val="00614AE6"/>
    <w:rsid w:val="00614B1F"/>
    <w:rsid w:val="00614C3D"/>
    <w:rsid w:val="00614CBD"/>
    <w:rsid w:val="0061528E"/>
    <w:rsid w:val="00615EDE"/>
    <w:rsid w:val="00616008"/>
    <w:rsid w:val="0061608E"/>
    <w:rsid w:val="006163ED"/>
    <w:rsid w:val="00616B9C"/>
    <w:rsid w:val="00616EFA"/>
    <w:rsid w:val="006171C6"/>
    <w:rsid w:val="00617B4F"/>
    <w:rsid w:val="00617D3C"/>
    <w:rsid w:val="00617DC4"/>
    <w:rsid w:val="00620CD3"/>
    <w:rsid w:val="006212A3"/>
    <w:rsid w:val="00621400"/>
    <w:rsid w:val="006218D7"/>
    <w:rsid w:val="006219AF"/>
    <w:rsid w:val="00621EC3"/>
    <w:rsid w:val="00622427"/>
    <w:rsid w:val="00622707"/>
    <w:rsid w:val="006227FC"/>
    <w:rsid w:val="00622A33"/>
    <w:rsid w:val="00622A42"/>
    <w:rsid w:val="00622C23"/>
    <w:rsid w:val="00622F74"/>
    <w:rsid w:val="00623093"/>
    <w:rsid w:val="006231DE"/>
    <w:rsid w:val="00623358"/>
    <w:rsid w:val="00623372"/>
    <w:rsid w:val="006241CF"/>
    <w:rsid w:val="00625C3E"/>
    <w:rsid w:val="00625CB8"/>
    <w:rsid w:val="00626A94"/>
    <w:rsid w:val="00626ABB"/>
    <w:rsid w:val="00626F5C"/>
    <w:rsid w:val="0062794D"/>
    <w:rsid w:val="00630878"/>
    <w:rsid w:val="00630B4A"/>
    <w:rsid w:val="006311DE"/>
    <w:rsid w:val="006312EE"/>
    <w:rsid w:val="00632128"/>
    <w:rsid w:val="00632262"/>
    <w:rsid w:val="00632769"/>
    <w:rsid w:val="00633302"/>
    <w:rsid w:val="0063394F"/>
    <w:rsid w:val="00633C48"/>
    <w:rsid w:val="006342AC"/>
    <w:rsid w:val="00634FF9"/>
    <w:rsid w:val="006351B8"/>
    <w:rsid w:val="006353D2"/>
    <w:rsid w:val="00635D60"/>
    <w:rsid w:val="00635ED9"/>
    <w:rsid w:val="00635EF0"/>
    <w:rsid w:val="00635F42"/>
    <w:rsid w:val="00636032"/>
    <w:rsid w:val="00636200"/>
    <w:rsid w:val="006362D7"/>
    <w:rsid w:val="006366BE"/>
    <w:rsid w:val="0063692E"/>
    <w:rsid w:val="00636A4E"/>
    <w:rsid w:val="00637B76"/>
    <w:rsid w:val="00637C8D"/>
    <w:rsid w:val="00637DD0"/>
    <w:rsid w:val="00637F3D"/>
    <w:rsid w:val="006401F7"/>
    <w:rsid w:val="006404E4"/>
    <w:rsid w:val="00640907"/>
    <w:rsid w:val="00641562"/>
    <w:rsid w:val="0064184C"/>
    <w:rsid w:val="00641F48"/>
    <w:rsid w:val="00642285"/>
    <w:rsid w:val="0064249B"/>
    <w:rsid w:val="006424AB"/>
    <w:rsid w:val="0064274C"/>
    <w:rsid w:val="0064274D"/>
    <w:rsid w:val="00642ACE"/>
    <w:rsid w:val="00642CBA"/>
    <w:rsid w:val="006432A9"/>
    <w:rsid w:val="00643CA5"/>
    <w:rsid w:val="00643F47"/>
    <w:rsid w:val="00644B5C"/>
    <w:rsid w:val="006452D9"/>
    <w:rsid w:val="006457EB"/>
    <w:rsid w:val="00645BC1"/>
    <w:rsid w:val="006461E6"/>
    <w:rsid w:val="0064622B"/>
    <w:rsid w:val="00646589"/>
    <w:rsid w:val="0064663F"/>
    <w:rsid w:val="006467F0"/>
    <w:rsid w:val="00647168"/>
    <w:rsid w:val="006472A4"/>
    <w:rsid w:val="00647593"/>
    <w:rsid w:val="0064764A"/>
    <w:rsid w:val="00647812"/>
    <w:rsid w:val="00647A6E"/>
    <w:rsid w:val="006503C2"/>
    <w:rsid w:val="00650A9F"/>
    <w:rsid w:val="00650B83"/>
    <w:rsid w:val="00650CAC"/>
    <w:rsid w:val="00650CB5"/>
    <w:rsid w:val="0065115E"/>
    <w:rsid w:val="006512D7"/>
    <w:rsid w:val="00651465"/>
    <w:rsid w:val="006515B4"/>
    <w:rsid w:val="0065163A"/>
    <w:rsid w:val="006519E4"/>
    <w:rsid w:val="00651DAE"/>
    <w:rsid w:val="00651FCB"/>
    <w:rsid w:val="00652391"/>
    <w:rsid w:val="0065266D"/>
    <w:rsid w:val="006529BF"/>
    <w:rsid w:val="00652AAA"/>
    <w:rsid w:val="006530EF"/>
    <w:rsid w:val="0065326F"/>
    <w:rsid w:val="00653AD2"/>
    <w:rsid w:val="00653D68"/>
    <w:rsid w:val="00654168"/>
    <w:rsid w:val="00654304"/>
    <w:rsid w:val="006545E7"/>
    <w:rsid w:val="006549D3"/>
    <w:rsid w:val="00654A9E"/>
    <w:rsid w:val="00654E29"/>
    <w:rsid w:val="00655175"/>
    <w:rsid w:val="006552B0"/>
    <w:rsid w:val="006557D6"/>
    <w:rsid w:val="00655C56"/>
    <w:rsid w:val="00655FC0"/>
    <w:rsid w:val="006562BA"/>
    <w:rsid w:val="006568BF"/>
    <w:rsid w:val="00656D1F"/>
    <w:rsid w:val="006570EC"/>
    <w:rsid w:val="006577C3"/>
    <w:rsid w:val="00657F60"/>
    <w:rsid w:val="006608BF"/>
    <w:rsid w:val="00660AA1"/>
    <w:rsid w:val="00660BD7"/>
    <w:rsid w:val="00661033"/>
    <w:rsid w:val="006617F6"/>
    <w:rsid w:val="00661CCE"/>
    <w:rsid w:val="00661FE9"/>
    <w:rsid w:val="00662C6E"/>
    <w:rsid w:val="00662E1E"/>
    <w:rsid w:val="00662F04"/>
    <w:rsid w:val="006636DF"/>
    <w:rsid w:val="00663726"/>
    <w:rsid w:val="006637DA"/>
    <w:rsid w:val="00663AE0"/>
    <w:rsid w:val="00663F3F"/>
    <w:rsid w:val="0066401B"/>
    <w:rsid w:val="0066460A"/>
    <w:rsid w:val="00664692"/>
    <w:rsid w:val="00664B50"/>
    <w:rsid w:val="00664D85"/>
    <w:rsid w:val="00664E47"/>
    <w:rsid w:val="00664F37"/>
    <w:rsid w:val="006650B9"/>
    <w:rsid w:val="00665F30"/>
    <w:rsid w:val="006661E0"/>
    <w:rsid w:val="006665DB"/>
    <w:rsid w:val="006665EB"/>
    <w:rsid w:val="00666815"/>
    <w:rsid w:val="00666AC6"/>
    <w:rsid w:val="006670E0"/>
    <w:rsid w:val="00667508"/>
    <w:rsid w:val="00667616"/>
    <w:rsid w:val="00667B43"/>
    <w:rsid w:val="00667D9C"/>
    <w:rsid w:val="00670594"/>
    <w:rsid w:val="00670872"/>
    <w:rsid w:val="006708FD"/>
    <w:rsid w:val="00670E02"/>
    <w:rsid w:val="0067106D"/>
    <w:rsid w:val="0067110E"/>
    <w:rsid w:val="00671111"/>
    <w:rsid w:val="006719FB"/>
    <w:rsid w:val="00671BE1"/>
    <w:rsid w:val="00671CEA"/>
    <w:rsid w:val="00671FB0"/>
    <w:rsid w:val="006722B0"/>
    <w:rsid w:val="006723A2"/>
    <w:rsid w:val="006723A5"/>
    <w:rsid w:val="00672988"/>
    <w:rsid w:val="00672C97"/>
    <w:rsid w:val="00672CA1"/>
    <w:rsid w:val="00672D35"/>
    <w:rsid w:val="00673252"/>
    <w:rsid w:val="00673772"/>
    <w:rsid w:val="006737EC"/>
    <w:rsid w:val="006739CA"/>
    <w:rsid w:val="00673BA8"/>
    <w:rsid w:val="00673E65"/>
    <w:rsid w:val="00673EFB"/>
    <w:rsid w:val="00673FF8"/>
    <w:rsid w:val="006744A7"/>
    <w:rsid w:val="006746A7"/>
    <w:rsid w:val="006748BC"/>
    <w:rsid w:val="00674A48"/>
    <w:rsid w:val="00674A67"/>
    <w:rsid w:val="0067512F"/>
    <w:rsid w:val="0067537F"/>
    <w:rsid w:val="00675527"/>
    <w:rsid w:val="0067611A"/>
    <w:rsid w:val="00676BEC"/>
    <w:rsid w:val="00676EF6"/>
    <w:rsid w:val="006772D8"/>
    <w:rsid w:val="00677A96"/>
    <w:rsid w:val="00677DE8"/>
    <w:rsid w:val="00677E1C"/>
    <w:rsid w:val="00677EC3"/>
    <w:rsid w:val="00677F04"/>
    <w:rsid w:val="00677F45"/>
    <w:rsid w:val="00680C04"/>
    <w:rsid w:val="00680C5A"/>
    <w:rsid w:val="00681170"/>
    <w:rsid w:val="006811AD"/>
    <w:rsid w:val="00681522"/>
    <w:rsid w:val="00681711"/>
    <w:rsid w:val="00681C7D"/>
    <w:rsid w:val="00682639"/>
    <w:rsid w:val="006826C4"/>
    <w:rsid w:val="00682831"/>
    <w:rsid w:val="006839F0"/>
    <w:rsid w:val="00683C47"/>
    <w:rsid w:val="00683D78"/>
    <w:rsid w:val="0068421C"/>
    <w:rsid w:val="006842E1"/>
    <w:rsid w:val="00684422"/>
    <w:rsid w:val="006846D6"/>
    <w:rsid w:val="00684844"/>
    <w:rsid w:val="00684DA4"/>
    <w:rsid w:val="00684E56"/>
    <w:rsid w:val="006852DC"/>
    <w:rsid w:val="00685819"/>
    <w:rsid w:val="00685986"/>
    <w:rsid w:val="006859F5"/>
    <w:rsid w:val="00685F0D"/>
    <w:rsid w:val="00686F7A"/>
    <w:rsid w:val="0068712C"/>
    <w:rsid w:val="006878A7"/>
    <w:rsid w:val="00687D74"/>
    <w:rsid w:val="00687D7B"/>
    <w:rsid w:val="00690424"/>
    <w:rsid w:val="006904E2"/>
    <w:rsid w:val="00690628"/>
    <w:rsid w:val="006907FD"/>
    <w:rsid w:val="0069096C"/>
    <w:rsid w:val="00690FD8"/>
    <w:rsid w:val="006910E1"/>
    <w:rsid w:val="0069146B"/>
    <w:rsid w:val="0069154A"/>
    <w:rsid w:val="00691776"/>
    <w:rsid w:val="006917B1"/>
    <w:rsid w:val="006919F0"/>
    <w:rsid w:val="0069296D"/>
    <w:rsid w:val="00692A31"/>
    <w:rsid w:val="00693077"/>
    <w:rsid w:val="006930C0"/>
    <w:rsid w:val="00693451"/>
    <w:rsid w:val="00693916"/>
    <w:rsid w:val="00693A07"/>
    <w:rsid w:val="00693BA7"/>
    <w:rsid w:val="00693D1D"/>
    <w:rsid w:val="00693E5C"/>
    <w:rsid w:val="00693E84"/>
    <w:rsid w:val="00694A0F"/>
    <w:rsid w:val="00694AC9"/>
    <w:rsid w:val="00694D3E"/>
    <w:rsid w:val="0069507F"/>
    <w:rsid w:val="00695290"/>
    <w:rsid w:val="00695A19"/>
    <w:rsid w:val="00696355"/>
    <w:rsid w:val="0069640C"/>
    <w:rsid w:val="0069650A"/>
    <w:rsid w:val="00696A98"/>
    <w:rsid w:val="00696BAD"/>
    <w:rsid w:val="00696D4D"/>
    <w:rsid w:val="00696ECE"/>
    <w:rsid w:val="00697595"/>
    <w:rsid w:val="006975AF"/>
    <w:rsid w:val="00697700"/>
    <w:rsid w:val="00697E1B"/>
    <w:rsid w:val="006A0602"/>
    <w:rsid w:val="006A084C"/>
    <w:rsid w:val="006A0AEA"/>
    <w:rsid w:val="006A0BFA"/>
    <w:rsid w:val="006A0F43"/>
    <w:rsid w:val="006A1212"/>
    <w:rsid w:val="006A15B3"/>
    <w:rsid w:val="006A19B1"/>
    <w:rsid w:val="006A1AC9"/>
    <w:rsid w:val="006A1C3D"/>
    <w:rsid w:val="006A1E3A"/>
    <w:rsid w:val="006A2577"/>
    <w:rsid w:val="006A26D9"/>
    <w:rsid w:val="006A27EA"/>
    <w:rsid w:val="006A2AF3"/>
    <w:rsid w:val="006A351D"/>
    <w:rsid w:val="006A35A9"/>
    <w:rsid w:val="006A389E"/>
    <w:rsid w:val="006A3928"/>
    <w:rsid w:val="006A4C61"/>
    <w:rsid w:val="006A4C8D"/>
    <w:rsid w:val="006A4D73"/>
    <w:rsid w:val="006A4F94"/>
    <w:rsid w:val="006A5F95"/>
    <w:rsid w:val="006A6B61"/>
    <w:rsid w:val="006A7081"/>
    <w:rsid w:val="006A799C"/>
    <w:rsid w:val="006A7ADB"/>
    <w:rsid w:val="006A7BF8"/>
    <w:rsid w:val="006A7F8F"/>
    <w:rsid w:val="006B009C"/>
    <w:rsid w:val="006B0152"/>
    <w:rsid w:val="006B03FE"/>
    <w:rsid w:val="006B040E"/>
    <w:rsid w:val="006B04CE"/>
    <w:rsid w:val="006B04DD"/>
    <w:rsid w:val="006B06BE"/>
    <w:rsid w:val="006B1640"/>
    <w:rsid w:val="006B1B23"/>
    <w:rsid w:val="006B2550"/>
    <w:rsid w:val="006B2829"/>
    <w:rsid w:val="006B419B"/>
    <w:rsid w:val="006B41D1"/>
    <w:rsid w:val="006B43F0"/>
    <w:rsid w:val="006B4C70"/>
    <w:rsid w:val="006B504A"/>
    <w:rsid w:val="006B5103"/>
    <w:rsid w:val="006B53A5"/>
    <w:rsid w:val="006B5503"/>
    <w:rsid w:val="006B57C5"/>
    <w:rsid w:val="006B594F"/>
    <w:rsid w:val="006B5ED6"/>
    <w:rsid w:val="006B5F74"/>
    <w:rsid w:val="006B672A"/>
    <w:rsid w:val="006B67C7"/>
    <w:rsid w:val="006B6D58"/>
    <w:rsid w:val="006B6D62"/>
    <w:rsid w:val="006B6F29"/>
    <w:rsid w:val="006B7118"/>
    <w:rsid w:val="006B71DA"/>
    <w:rsid w:val="006B7262"/>
    <w:rsid w:val="006B7832"/>
    <w:rsid w:val="006C00CF"/>
    <w:rsid w:val="006C027C"/>
    <w:rsid w:val="006C06F8"/>
    <w:rsid w:val="006C0A75"/>
    <w:rsid w:val="006C0EDC"/>
    <w:rsid w:val="006C1527"/>
    <w:rsid w:val="006C164C"/>
    <w:rsid w:val="006C1908"/>
    <w:rsid w:val="006C19AC"/>
    <w:rsid w:val="006C1C02"/>
    <w:rsid w:val="006C1F68"/>
    <w:rsid w:val="006C2E18"/>
    <w:rsid w:val="006C3145"/>
    <w:rsid w:val="006C31AF"/>
    <w:rsid w:val="006C3393"/>
    <w:rsid w:val="006C34ED"/>
    <w:rsid w:val="006C370D"/>
    <w:rsid w:val="006C3AD6"/>
    <w:rsid w:val="006C3C4E"/>
    <w:rsid w:val="006C4914"/>
    <w:rsid w:val="006C4B99"/>
    <w:rsid w:val="006C4DE4"/>
    <w:rsid w:val="006C4E36"/>
    <w:rsid w:val="006C4EB6"/>
    <w:rsid w:val="006C4F16"/>
    <w:rsid w:val="006C5301"/>
    <w:rsid w:val="006C54DB"/>
    <w:rsid w:val="006C577B"/>
    <w:rsid w:val="006C584D"/>
    <w:rsid w:val="006C586F"/>
    <w:rsid w:val="006C5915"/>
    <w:rsid w:val="006C5975"/>
    <w:rsid w:val="006C5D61"/>
    <w:rsid w:val="006C6158"/>
    <w:rsid w:val="006C6324"/>
    <w:rsid w:val="006C668D"/>
    <w:rsid w:val="006C66D1"/>
    <w:rsid w:val="006C69B7"/>
    <w:rsid w:val="006C69F9"/>
    <w:rsid w:val="006C6BDE"/>
    <w:rsid w:val="006C6FA7"/>
    <w:rsid w:val="006C6FD7"/>
    <w:rsid w:val="006C71C2"/>
    <w:rsid w:val="006C7221"/>
    <w:rsid w:val="006C783F"/>
    <w:rsid w:val="006C7952"/>
    <w:rsid w:val="006C7ABA"/>
    <w:rsid w:val="006C7AF9"/>
    <w:rsid w:val="006C7FB7"/>
    <w:rsid w:val="006D01F2"/>
    <w:rsid w:val="006D0201"/>
    <w:rsid w:val="006D0881"/>
    <w:rsid w:val="006D0BBD"/>
    <w:rsid w:val="006D0BED"/>
    <w:rsid w:val="006D0EE9"/>
    <w:rsid w:val="006D0F80"/>
    <w:rsid w:val="006D10B2"/>
    <w:rsid w:val="006D1615"/>
    <w:rsid w:val="006D16AA"/>
    <w:rsid w:val="006D1A19"/>
    <w:rsid w:val="006D1D1A"/>
    <w:rsid w:val="006D22E1"/>
    <w:rsid w:val="006D23A9"/>
    <w:rsid w:val="006D23F0"/>
    <w:rsid w:val="006D24F5"/>
    <w:rsid w:val="006D2778"/>
    <w:rsid w:val="006D2952"/>
    <w:rsid w:val="006D2990"/>
    <w:rsid w:val="006D299B"/>
    <w:rsid w:val="006D2B88"/>
    <w:rsid w:val="006D2EEB"/>
    <w:rsid w:val="006D2F6D"/>
    <w:rsid w:val="006D4452"/>
    <w:rsid w:val="006D451D"/>
    <w:rsid w:val="006D4A6E"/>
    <w:rsid w:val="006D4C3A"/>
    <w:rsid w:val="006D4E94"/>
    <w:rsid w:val="006D4F36"/>
    <w:rsid w:val="006D5B99"/>
    <w:rsid w:val="006D5F4C"/>
    <w:rsid w:val="006D6081"/>
    <w:rsid w:val="006D6200"/>
    <w:rsid w:val="006D62B8"/>
    <w:rsid w:val="006D635A"/>
    <w:rsid w:val="006D646F"/>
    <w:rsid w:val="006D655A"/>
    <w:rsid w:val="006D65BA"/>
    <w:rsid w:val="006D740C"/>
    <w:rsid w:val="006D7525"/>
    <w:rsid w:val="006D784E"/>
    <w:rsid w:val="006D799F"/>
    <w:rsid w:val="006D7EB1"/>
    <w:rsid w:val="006D7F80"/>
    <w:rsid w:val="006E0199"/>
    <w:rsid w:val="006E066B"/>
    <w:rsid w:val="006E0707"/>
    <w:rsid w:val="006E143C"/>
    <w:rsid w:val="006E14F8"/>
    <w:rsid w:val="006E18E7"/>
    <w:rsid w:val="006E19ED"/>
    <w:rsid w:val="006E1BAB"/>
    <w:rsid w:val="006E2331"/>
    <w:rsid w:val="006E2751"/>
    <w:rsid w:val="006E2757"/>
    <w:rsid w:val="006E28AD"/>
    <w:rsid w:val="006E29BD"/>
    <w:rsid w:val="006E34E6"/>
    <w:rsid w:val="006E3BA1"/>
    <w:rsid w:val="006E3C3F"/>
    <w:rsid w:val="006E3D5A"/>
    <w:rsid w:val="006E4459"/>
    <w:rsid w:val="006E49BB"/>
    <w:rsid w:val="006E4C92"/>
    <w:rsid w:val="006E5367"/>
    <w:rsid w:val="006E5A9D"/>
    <w:rsid w:val="006E5D1D"/>
    <w:rsid w:val="006E5E2B"/>
    <w:rsid w:val="006E5FFD"/>
    <w:rsid w:val="006E612C"/>
    <w:rsid w:val="006E64BC"/>
    <w:rsid w:val="006E6605"/>
    <w:rsid w:val="006E68D7"/>
    <w:rsid w:val="006E6BC2"/>
    <w:rsid w:val="006E6EBB"/>
    <w:rsid w:val="006E7765"/>
    <w:rsid w:val="006E7D0B"/>
    <w:rsid w:val="006F0372"/>
    <w:rsid w:val="006F0432"/>
    <w:rsid w:val="006F074C"/>
    <w:rsid w:val="006F0755"/>
    <w:rsid w:val="006F08C6"/>
    <w:rsid w:val="006F0ADC"/>
    <w:rsid w:val="006F146F"/>
    <w:rsid w:val="006F1955"/>
    <w:rsid w:val="006F1F6A"/>
    <w:rsid w:val="006F233B"/>
    <w:rsid w:val="006F266E"/>
    <w:rsid w:val="006F26E7"/>
    <w:rsid w:val="006F275A"/>
    <w:rsid w:val="006F2870"/>
    <w:rsid w:val="006F3616"/>
    <w:rsid w:val="006F3806"/>
    <w:rsid w:val="006F3AF9"/>
    <w:rsid w:val="006F4567"/>
    <w:rsid w:val="006F484C"/>
    <w:rsid w:val="006F4E85"/>
    <w:rsid w:val="006F53A0"/>
    <w:rsid w:val="006F57D7"/>
    <w:rsid w:val="006F5AD6"/>
    <w:rsid w:val="006F5BAD"/>
    <w:rsid w:val="006F5EE4"/>
    <w:rsid w:val="006F60A1"/>
    <w:rsid w:val="006F60C1"/>
    <w:rsid w:val="006F6A3F"/>
    <w:rsid w:val="006F70F3"/>
    <w:rsid w:val="006F7367"/>
    <w:rsid w:val="006F7844"/>
    <w:rsid w:val="006F7A15"/>
    <w:rsid w:val="006F7F7C"/>
    <w:rsid w:val="006F7FAC"/>
    <w:rsid w:val="00700302"/>
    <w:rsid w:val="00700418"/>
    <w:rsid w:val="007004FB"/>
    <w:rsid w:val="007005CE"/>
    <w:rsid w:val="007007C0"/>
    <w:rsid w:val="007007E6"/>
    <w:rsid w:val="00700866"/>
    <w:rsid w:val="007009E3"/>
    <w:rsid w:val="00700ADC"/>
    <w:rsid w:val="00700DAC"/>
    <w:rsid w:val="007014FB"/>
    <w:rsid w:val="0070173B"/>
    <w:rsid w:val="0070196A"/>
    <w:rsid w:val="00701B24"/>
    <w:rsid w:val="00701ED0"/>
    <w:rsid w:val="00702630"/>
    <w:rsid w:val="0070278D"/>
    <w:rsid w:val="007027DC"/>
    <w:rsid w:val="00702832"/>
    <w:rsid w:val="00702C8C"/>
    <w:rsid w:val="00702CAC"/>
    <w:rsid w:val="00702D47"/>
    <w:rsid w:val="00703924"/>
    <w:rsid w:val="00703ECD"/>
    <w:rsid w:val="00703F14"/>
    <w:rsid w:val="007040E1"/>
    <w:rsid w:val="00704916"/>
    <w:rsid w:val="0070496A"/>
    <w:rsid w:val="007049AB"/>
    <w:rsid w:val="00704AE1"/>
    <w:rsid w:val="00704B88"/>
    <w:rsid w:val="00704ED8"/>
    <w:rsid w:val="00705063"/>
    <w:rsid w:val="0070536B"/>
    <w:rsid w:val="0070555C"/>
    <w:rsid w:val="007055E1"/>
    <w:rsid w:val="00705D36"/>
    <w:rsid w:val="00705F55"/>
    <w:rsid w:val="00706018"/>
    <w:rsid w:val="0070637E"/>
    <w:rsid w:val="00706FD4"/>
    <w:rsid w:val="00707087"/>
    <w:rsid w:val="00707A7C"/>
    <w:rsid w:val="00707B7E"/>
    <w:rsid w:val="00707D13"/>
    <w:rsid w:val="00710C02"/>
    <w:rsid w:val="00710C61"/>
    <w:rsid w:val="007110EF"/>
    <w:rsid w:val="007113B3"/>
    <w:rsid w:val="00711607"/>
    <w:rsid w:val="007119F4"/>
    <w:rsid w:val="00711BAA"/>
    <w:rsid w:val="00711C21"/>
    <w:rsid w:val="00711F87"/>
    <w:rsid w:val="007120BC"/>
    <w:rsid w:val="007120EC"/>
    <w:rsid w:val="007124F0"/>
    <w:rsid w:val="00712547"/>
    <w:rsid w:val="00712F19"/>
    <w:rsid w:val="00712FD9"/>
    <w:rsid w:val="007131D3"/>
    <w:rsid w:val="00713555"/>
    <w:rsid w:val="00713E2C"/>
    <w:rsid w:val="00714083"/>
    <w:rsid w:val="0071532A"/>
    <w:rsid w:val="0071537E"/>
    <w:rsid w:val="007155C4"/>
    <w:rsid w:val="00715613"/>
    <w:rsid w:val="00715D98"/>
    <w:rsid w:val="007165F6"/>
    <w:rsid w:val="00716AB6"/>
    <w:rsid w:val="00716E1F"/>
    <w:rsid w:val="00716E86"/>
    <w:rsid w:val="00717869"/>
    <w:rsid w:val="00717B4C"/>
    <w:rsid w:val="00717B5B"/>
    <w:rsid w:val="00717C8E"/>
    <w:rsid w:val="00717FC3"/>
    <w:rsid w:val="00720084"/>
    <w:rsid w:val="00720454"/>
    <w:rsid w:val="00720B02"/>
    <w:rsid w:val="00720B0F"/>
    <w:rsid w:val="00720D9F"/>
    <w:rsid w:val="00720DC2"/>
    <w:rsid w:val="007211E2"/>
    <w:rsid w:val="0072129C"/>
    <w:rsid w:val="0072162F"/>
    <w:rsid w:val="00721C00"/>
    <w:rsid w:val="00721C11"/>
    <w:rsid w:val="00722110"/>
    <w:rsid w:val="00722481"/>
    <w:rsid w:val="00722591"/>
    <w:rsid w:val="007226AA"/>
    <w:rsid w:val="007226C5"/>
    <w:rsid w:val="007228F9"/>
    <w:rsid w:val="00722E67"/>
    <w:rsid w:val="007232D0"/>
    <w:rsid w:val="007234EE"/>
    <w:rsid w:val="00723FDE"/>
    <w:rsid w:val="00724120"/>
    <w:rsid w:val="00724426"/>
    <w:rsid w:val="00724A69"/>
    <w:rsid w:val="00724F99"/>
    <w:rsid w:val="00725D38"/>
    <w:rsid w:val="00726096"/>
    <w:rsid w:val="007260CF"/>
    <w:rsid w:val="007261CC"/>
    <w:rsid w:val="00726CD2"/>
    <w:rsid w:val="00726F0E"/>
    <w:rsid w:val="00726F45"/>
    <w:rsid w:val="00727510"/>
    <w:rsid w:val="007279F0"/>
    <w:rsid w:val="00727D1E"/>
    <w:rsid w:val="00730146"/>
    <w:rsid w:val="00730C6A"/>
    <w:rsid w:val="00730F4F"/>
    <w:rsid w:val="0073119A"/>
    <w:rsid w:val="007314CC"/>
    <w:rsid w:val="007317A7"/>
    <w:rsid w:val="00731918"/>
    <w:rsid w:val="00731E41"/>
    <w:rsid w:val="007320B0"/>
    <w:rsid w:val="0073278F"/>
    <w:rsid w:val="0073298E"/>
    <w:rsid w:val="00733037"/>
    <w:rsid w:val="0073307A"/>
    <w:rsid w:val="007335A2"/>
    <w:rsid w:val="00734500"/>
    <w:rsid w:val="00734703"/>
    <w:rsid w:val="007348C5"/>
    <w:rsid w:val="00734ABA"/>
    <w:rsid w:val="00734AC9"/>
    <w:rsid w:val="00734D4D"/>
    <w:rsid w:val="007352CC"/>
    <w:rsid w:val="007353AB"/>
    <w:rsid w:val="00735987"/>
    <w:rsid w:val="00735A00"/>
    <w:rsid w:val="00735EC7"/>
    <w:rsid w:val="007360EE"/>
    <w:rsid w:val="007365CF"/>
    <w:rsid w:val="0073660A"/>
    <w:rsid w:val="00736B29"/>
    <w:rsid w:val="00736E2A"/>
    <w:rsid w:val="007374D2"/>
    <w:rsid w:val="007376AA"/>
    <w:rsid w:val="007376C9"/>
    <w:rsid w:val="007376FC"/>
    <w:rsid w:val="0073775D"/>
    <w:rsid w:val="00737C15"/>
    <w:rsid w:val="0074083B"/>
    <w:rsid w:val="00740EE0"/>
    <w:rsid w:val="0074133E"/>
    <w:rsid w:val="00741385"/>
    <w:rsid w:val="0074152B"/>
    <w:rsid w:val="00741A7A"/>
    <w:rsid w:val="00741BDA"/>
    <w:rsid w:val="00741D01"/>
    <w:rsid w:val="00741F78"/>
    <w:rsid w:val="007421AC"/>
    <w:rsid w:val="007422F1"/>
    <w:rsid w:val="0074269C"/>
    <w:rsid w:val="0074276F"/>
    <w:rsid w:val="00742A74"/>
    <w:rsid w:val="00743B52"/>
    <w:rsid w:val="0074434A"/>
    <w:rsid w:val="00744776"/>
    <w:rsid w:val="00744A5E"/>
    <w:rsid w:val="00744DDD"/>
    <w:rsid w:val="00744EA9"/>
    <w:rsid w:val="0074550D"/>
    <w:rsid w:val="007468AF"/>
    <w:rsid w:val="007476D4"/>
    <w:rsid w:val="00747DC1"/>
    <w:rsid w:val="007500C0"/>
    <w:rsid w:val="007508FC"/>
    <w:rsid w:val="00750D3F"/>
    <w:rsid w:val="00750F7A"/>
    <w:rsid w:val="007510DE"/>
    <w:rsid w:val="00751845"/>
    <w:rsid w:val="007519EB"/>
    <w:rsid w:val="00752A01"/>
    <w:rsid w:val="00752D11"/>
    <w:rsid w:val="007536EB"/>
    <w:rsid w:val="00753838"/>
    <w:rsid w:val="00753BF7"/>
    <w:rsid w:val="00753C3D"/>
    <w:rsid w:val="00753CDB"/>
    <w:rsid w:val="00754833"/>
    <w:rsid w:val="0075489B"/>
    <w:rsid w:val="00754EE1"/>
    <w:rsid w:val="007557EF"/>
    <w:rsid w:val="007558F8"/>
    <w:rsid w:val="00755CE6"/>
    <w:rsid w:val="00756408"/>
    <w:rsid w:val="00756465"/>
    <w:rsid w:val="0075667D"/>
    <w:rsid w:val="00756859"/>
    <w:rsid w:val="007569C4"/>
    <w:rsid w:val="00756EA2"/>
    <w:rsid w:val="00756F32"/>
    <w:rsid w:val="00757078"/>
    <w:rsid w:val="00757111"/>
    <w:rsid w:val="007571F0"/>
    <w:rsid w:val="0076003B"/>
    <w:rsid w:val="007604B3"/>
    <w:rsid w:val="00760D55"/>
    <w:rsid w:val="00760F95"/>
    <w:rsid w:val="00761276"/>
    <w:rsid w:val="0076146B"/>
    <w:rsid w:val="007616F3"/>
    <w:rsid w:val="00761E15"/>
    <w:rsid w:val="00761F7D"/>
    <w:rsid w:val="007620A6"/>
    <w:rsid w:val="007625E1"/>
    <w:rsid w:val="00762AF7"/>
    <w:rsid w:val="00762C5D"/>
    <w:rsid w:val="00762EFE"/>
    <w:rsid w:val="007633A8"/>
    <w:rsid w:val="00763B51"/>
    <w:rsid w:val="00763C22"/>
    <w:rsid w:val="00763CEC"/>
    <w:rsid w:val="00764256"/>
    <w:rsid w:val="00764BD1"/>
    <w:rsid w:val="007650AC"/>
    <w:rsid w:val="0076522E"/>
    <w:rsid w:val="007654C8"/>
    <w:rsid w:val="007657E6"/>
    <w:rsid w:val="0076594C"/>
    <w:rsid w:val="00765B77"/>
    <w:rsid w:val="00765D8C"/>
    <w:rsid w:val="00766155"/>
    <w:rsid w:val="0076698F"/>
    <w:rsid w:val="00766B4B"/>
    <w:rsid w:val="00767078"/>
    <w:rsid w:val="00767147"/>
    <w:rsid w:val="0076720B"/>
    <w:rsid w:val="007672B1"/>
    <w:rsid w:val="007673D3"/>
    <w:rsid w:val="007677F2"/>
    <w:rsid w:val="00770589"/>
    <w:rsid w:val="007705B3"/>
    <w:rsid w:val="00771144"/>
    <w:rsid w:val="0077130E"/>
    <w:rsid w:val="00771484"/>
    <w:rsid w:val="007719E7"/>
    <w:rsid w:val="00771BC4"/>
    <w:rsid w:val="00772557"/>
    <w:rsid w:val="0077255A"/>
    <w:rsid w:val="00772870"/>
    <w:rsid w:val="00772BDF"/>
    <w:rsid w:val="007730A3"/>
    <w:rsid w:val="00773469"/>
    <w:rsid w:val="00773EC1"/>
    <w:rsid w:val="007740EB"/>
    <w:rsid w:val="007742F4"/>
    <w:rsid w:val="00774463"/>
    <w:rsid w:val="00774512"/>
    <w:rsid w:val="00774649"/>
    <w:rsid w:val="007747FC"/>
    <w:rsid w:val="00774832"/>
    <w:rsid w:val="00774CFD"/>
    <w:rsid w:val="00774EA9"/>
    <w:rsid w:val="007753F9"/>
    <w:rsid w:val="007755CC"/>
    <w:rsid w:val="007758C4"/>
    <w:rsid w:val="00775B78"/>
    <w:rsid w:val="00775EF4"/>
    <w:rsid w:val="00775F54"/>
    <w:rsid w:val="00776020"/>
    <w:rsid w:val="0077637D"/>
    <w:rsid w:val="007767EF"/>
    <w:rsid w:val="007768B0"/>
    <w:rsid w:val="00776A49"/>
    <w:rsid w:val="00776B7C"/>
    <w:rsid w:val="007771AE"/>
    <w:rsid w:val="007774E2"/>
    <w:rsid w:val="007775F3"/>
    <w:rsid w:val="00777725"/>
    <w:rsid w:val="007801F4"/>
    <w:rsid w:val="00780425"/>
    <w:rsid w:val="00780617"/>
    <w:rsid w:val="00780882"/>
    <w:rsid w:val="00780B97"/>
    <w:rsid w:val="00780BBC"/>
    <w:rsid w:val="00780E92"/>
    <w:rsid w:val="007810ED"/>
    <w:rsid w:val="00781A70"/>
    <w:rsid w:val="00781C3B"/>
    <w:rsid w:val="00781D77"/>
    <w:rsid w:val="007821B5"/>
    <w:rsid w:val="00782226"/>
    <w:rsid w:val="00782673"/>
    <w:rsid w:val="00782674"/>
    <w:rsid w:val="00782886"/>
    <w:rsid w:val="00782A68"/>
    <w:rsid w:val="00782AE0"/>
    <w:rsid w:val="00782AFE"/>
    <w:rsid w:val="00782F27"/>
    <w:rsid w:val="00783AF3"/>
    <w:rsid w:val="00783CC3"/>
    <w:rsid w:val="00783D37"/>
    <w:rsid w:val="007842ED"/>
    <w:rsid w:val="007843C3"/>
    <w:rsid w:val="007844EA"/>
    <w:rsid w:val="0078478A"/>
    <w:rsid w:val="007848A6"/>
    <w:rsid w:val="00785266"/>
    <w:rsid w:val="007853E2"/>
    <w:rsid w:val="0078584F"/>
    <w:rsid w:val="00785A01"/>
    <w:rsid w:val="00785A98"/>
    <w:rsid w:val="00785E66"/>
    <w:rsid w:val="00786FAC"/>
    <w:rsid w:val="00787052"/>
    <w:rsid w:val="00787496"/>
    <w:rsid w:val="00787923"/>
    <w:rsid w:val="00787EBD"/>
    <w:rsid w:val="00787FBC"/>
    <w:rsid w:val="007904C9"/>
    <w:rsid w:val="007906E5"/>
    <w:rsid w:val="007910D2"/>
    <w:rsid w:val="00791B0B"/>
    <w:rsid w:val="0079205D"/>
    <w:rsid w:val="00792190"/>
    <w:rsid w:val="00792959"/>
    <w:rsid w:val="00792F1B"/>
    <w:rsid w:val="00792F52"/>
    <w:rsid w:val="0079327B"/>
    <w:rsid w:val="0079337A"/>
    <w:rsid w:val="00793616"/>
    <w:rsid w:val="00793BB6"/>
    <w:rsid w:val="00793E0C"/>
    <w:rsid w:val="0079412F"/>
    <w:rsid w:val="00794304"/>
    <w:rsid w:val="00794A19"/>
    <w:rsid w:val="00794B7B"/>
    <w:rsid w:val="00794C68"/>
    <w:rsid w:val="0079530A"/>
    <w:rsid w:val="007955A6"/>
    <w:rsid w:val="007955F5"/>
    <w:rsid w:val="0079565F"/>
    <w:rsid w:val="007956F2"/>
    <w:rsid w:val="0079593B"/>
    <w:rsid w:val="00795940"/>
    <w:rsid w:val="00795A1A"/>
    <w:rsid w:val="00795D07"/>
    <w:rsid w:val="00795ECB"/>
    <w:rsid w:val="00796071"/>
    <w:rsid w:val="00796159"/>
    <w:rsid w:val="00796416"/>
    <w:rsid w:val="00796BBC"/>
    <w:rsid w:val="00796E8C"/>
    <w:rsid w:val="0079722A"/>
    <w:rsid w:val="007973CA"/>
    <w:rsid w:val="007977FD"/>
    <w:rsid w:val="00797837"/>
    <w:rsid w:val="00797C7C"/>
    <w:rsid w:val="00797D1F"/>
    <w:rsid w:val="00797EEE"/>
    <w:rsid w:val="007A06A0"/>
    <w:rsid w:val="007A0901"/>
    <w:rsid w:val="007A1485"/>
    <w:rsid w:val="007A1A3B"/>
    <w:rsid w:val="007A1CC6"/>
    <w:rsid w:val="007A2509"/>
    <w:rsid w:val="007A2C91"/>
    <w:rsid w:val="007A2D68"/>
    <w:rsid w:val="007A317F"/>
    <w:rsid w:val="007A3FB4"/>
    <w:rsid w:val="007A42AB"/>
    <w:rsid w:val="007A5345"/>
    <w:rsid w:val="007A53C9"/>
    <w:rsid w:val="007A554F"/>
    <w:rsid w:val="007A59CE"/>
    <w:rsid w:val="007A5E6F"/>
    <w:rsid w:val="007A668D"/>
    <w:rsid w:val="007A6E78"/>
    <w:rsid w:val="007A73D7"/>
    <w:rsid w:val="007A7D84"/>
    <w:rsid w:val="007A7EA7"/>
    <w:rsid w:val="007A7F90"/>
    <w:rsid w:val="007B007B"/>
    <w:rsid w:val="007B0319"/>
    <w:rsid w:val="007B03F2"/>
    <w:rsid w:val="007B08C3"/>
    <w:rsid w:val="007B10CC"/>
    <w:rsid w:val="007B10D3"/>
    <w:rsid w:val="007B1141"/>
    <w:rsid w:val="007B1262"/>
    <w:rsid w:val="007B12BA"/>
    <w:rsid w:val="007B1A48"/>
    <w:rsid w:val="007B1ADB"/>
    <w:rsid w:val="007B1ADF"/>
    <w:rsid w:val="007B2048"/>
    <w:rsid w:val="007B2232"/>
    <w:rsid w:val="007B2FEF"/>
    <w:rsid w:val="007B3108"/>
    <w:rsid w:val="007B31B0"/>
    <w:rsid w:val="007B46CE"/>
    <w:rsid w:val="007B5340"/>
    <w:rsid w:val="007B5638"/>
    <w:rsid w:val="007B5DBC"/>
    <w:rsid w:val="007B5F13"/>
    <w:rsid w:val="007B62F9"/>
    <w:rsid w:val="007B64E2"/>
    <w:rsid w:val="007B6553"/>
    <w:rsid w:val="007B686F"/>
    <w:rsid w:val="007B6E27"/>
    <w:rsid w:val="007B7396"/>
    <w:rsid w:val="007B7786"/>
    <w:rsid w:val="007B78AE"/>
    <w:rsid w:val="007B78F7"/>
    <w:rsid w:val="007B7DFF"/>
    <w:rsid w:val="007C0238"/>
    <w:rsid w:val="007C0289"/>
    <w:rsid w:val="007C05C0"/>
    <w:rsid w:val="007C0A60"/>
    <w:rsid w:val="007C0E57"/>
    <w:rsid w:val="007C0F57"/>
    <w:rsid w:val="007C12EE"/>
    <w:rsid w:val="007C12F2"/>
    <w:rsid w:val="007C14A6"/>
    <w:rsid w:val="007C1773"/>
    <w:rsid w:val="007C1E12"/>
    <w:rsid w:val="007C1EAD"/>
    <w:rsid w:val="007C2412"/>
    <w:rsid w:val="007C2CFD"/>
    <w:rsid w:val="007C3004"/>
    <w:rsid w:val="007C3120"/>
    <w:rsid w:val="007C3447"/>
    <w:rsid w:val="007C3A21"/>
    <w:rsid w:val="007C3D59"/>
    <w:rsid w:val="007C3ED9"/>
    <w:rsid w:val="007C4031"/>
    <w:rsid w:val="007C431F"/>
    <w:rsid w:val="007C4800"/>
    <w:rsid w:val="007C4B78"/>
    <w:rsid w:val="007C5142"/>
    <w:rsid w:val="007C57B4"/>
    <w:rsid w:val="007C65D3"/>
    <w:rsid w:val="007C6627"/>
    <w:rsid w:val="007C67FF"/>
    <w:rsid w:val="007C6A64"/>
    <w:rsid w:val="007C7694"/>
    <w:rsid w:val="007C77FB"/>
    <w:rsid w:val="007C7832"/>
    <w:rsid w:val="007C7C08"/>
    <w:rsid w:val="007C7C3B"/>
    <w:rsid w:val="007C7D64"/>
    <w:rsid w:val="007C7DBF"/>
    <w:rsid w:val="007C7DEC"/>
    <w:rsid w:val="007D00E5"/>
    <w:rsid w:val="007D0343"/>
    <w:rsid w:val="007D089B"/>
    <w:rsid w:val="007D0A56"/>
    <w:rsid w:val="007D1015"/>
    <w:rsid w:val="007D11AF"/>
    <w:rsid w:val="007D128A"/>
    <w:rsid w:val="007D17AE"/>
    <w:rsid w:val="007D18AC"/>
    <w:rsid w:val="007D1D8F"/>
    <w:rsid w:val="007D2D5E"/>
    <w:rsid w:val="007D33D1"/>
    <w:rsid w:val="007D3603"/>
    <w:rsid w:val="007D3606"/>
    <w:rsid w:val="007D3B5E"/>
    <w:rsid w:val="007D3E76"/>
    <w:rsid w:val="007D4124"/>
    <w:rsid w:val="007D4395"/>
    <w:rsid w:val="007D4506"/>
    <w:rsid w:val="007D48BD"/>
    <w:rsid w:val="007D4CDF"/>
    <w:rsid w:val="007D4D4D"/>
    <w:rsid w:val="007D4EB9"/>
    <w:rsid w:val="007D50F4"/>
    <w:rsid w:val="007D5261"/>
    <w:rsid w:val="007D59D9"/>
    <w:rsid w:val="007D5D03"/>
    <w:rsid w:val="007D6231"/>
    <w:rsid w:val="007D66C2"/>
    <w:rsid w:val="007D6F6D"/>
    <w:rsid w:val="007D7020"/>
    <w:rsid w:val="007D73C1"/>
    <w:rsid w:val="007D7562"/>
    <w:rsid w:val="007D761A"/>
    <w:rsid w:val="007D77AA"/>
    <w:rsid w:val="007D7E0A"/>
    <w:rsid w:val="007E0560"/>
    <w:rsid w:val="007E06D7"/>
    <w:rsid w:val="007E0C3D"/>
    <w:rsid w:val="007E18A3"/>
    <w:rsid w:val="007E1AAD"/>
    <w:rsid w:val="007E1E42"/>
    <w:rsid w:val="007E1F26"/>
    <w:rsid w:val="007E1FB6"/>
    <w:rsid w:val="007E200B"/>
    <w:rsid w:val="007E2251"/>
    <w:rsid w:val="007E2315"/>
    <w:rsid w:val="007E23C7"/>
    <w:rsid w:val="007E2B7E"/>
    <w:rsid w:val="007E2C27"/>
    <w:rsid w:val="007E2D29"/>
    <w:rsid w:val="007E2E0E"/>
    <w:rsid w:val="007E337E"/>
    <w:rsid w:val="007E3618"/>
    <w:rsid w:val="007E3770"/>
    <w:rsid w:val="007E3B72"/>
    <w:rsid w:val="007E415C"/>
    <w:rsid w:val="007E47DD"/>
    <w:rsid w:val="007E503A"/>
    <w:rsid w:val="007E5273"/>
    <w:rsid w:val="007E5343"/>
    <w:rsid w:val="007E5A72"/>
    <w:rsid w:val="007E5AA4"/>
    <w:rsid w:val="007E5CB0"/>
    <w:rsid w:val="007E60BD"/>
    <w:rsid w:val="007E654D"/>
    <w:rsid w:val="007E687D"/>
    <w:rsid w:val="007E6B98"/>
    <w:rsid w:val="007E6E39"/>
    <w:rsid w:val="007E6F6C"/>
    <w:rsid w:val="007E7211"/>
    <w:rsid w:val="007E7345"/>
    <w:rsid w:val="007E766C"/>
    <w:rsid w:val="007E76BA"/>
    <w:rsid w:val="007E76E3"/>
    <w:rsid w:val="007E7D59"/>
    <w:rsid w:val="007F06F0"/>
    <w:rsid w:val="007F07EF"/>
    <w:rsid w:val="007F0864"/>
    <w:rsid w:val="007F0B16"/>
    <w:rsid w:val="007F0F00"/>
    <w:rsid w:val="007F0F2B"/>
    <w:rsid w:val="007F1AD1"/>
    <w:rsid w:val="007F2397"/>
    <w:rsid w:val="007F2ED5"/>
    <w:rsid w:val="007F301A"/>
    <w:rsid w:val="007F3048"/>
    <w:rsid w:val="007F3085"/>
    <w:rsid w:val="007F389F"/>
    <w:rsid w:val="007F3B37"/>
    <w:rsid w:val="007F3BC9"/>
    <w:rsid w:val="007F4220"/>
    <w:rsid w:val="007F4A2D"/>
    <w:rsid w:val="007F4C5A"/>
    <w:rsid w:val="007F52AF"/>
    <w:rsid w:val="007F540F"/>
    <w:rsid w:val="007F5ABE"/>
    <w:rsid w:val="007F5B85"/>
    <w:rsid w:val="007F5FA6"/>
    <w:rsid w:val="007F602B"/>
    <w:rsid w:val="007F6283"/>
    <w:rsid w:val="007F6532"/>
    <w:rsid w:val="007F67BD"/>
    <w:rsid w:val="007F6CF7"/>
    <w:rsid w:val="007F6DAB"/>
    <w:rsid w:val="007F6FA1"/>
    <w:rsid w:val="007F6FB0"/>
    <w:rsid w:val="007F707D"/>
    <w:rsid w:val="007F7538"/>
    <w:rsid w:val="007F778E"/>
    <w:rsid w:val="008001E4"/>
    <w:rsid w:val="0080049C"/>
    <w:rsid w:val="008009BE"/>
    <w:rsid w:val="00800C56"/>
    <w:rsid w:val="00801548"/>
    <w:rsid w:val="00801824"/>
    <w:rsid w:val="00801D10"/>
    <w:rsid w:val="0080236F"/>
    <w:rsid w:val="008027BD"/>
    <w:rsid w:val="008029CA"/>
    <w:rsid w:val="00803226"/>
    <w:rsid w:val="008032FE"/>
    <w:rsid w:val="0080332C"/>
    <w:rsid w:val="0080344E"/>
    <w:rsid w:val="00803472"/>
    <w:rsid w:val="00803AB1"/>
    <w:rsid w:val="00803D8F"/>
    <w:rsid w:val="00803E0A"/>
    <w:rsid w:val="008044C3"/>
    <w:rsid w:val="0080457D"/>
    <w:rsid w:val="0080471A"/>
    <w:rsid w:val="0080481E"/>
    <w:rsid w:val="00804B69"/>
    <w:rsid w:val="00804CAB"/>
    <w:rsid w:val="00804ED1"/>
    <w:rsid w:val="00805467"/>
    <w:rsid w:val="00805DE6"/>
    <w:rsid w:val="00805EAC"/>
    <w:rsid w:val="008061BF"/>
    <w:rsid w:val="008064C9"/>
    <w:rsid w:val="00806571"/>
    <w:rsid w:val="00806780"/>
    <w:rsid w:val="00806880"/>
    <w:rsid w:val="008068EB"/>
    <w:rsid w:val="00806A84"/>
    <w:rsid w:val="00806BDD"/>
    <w:rsid w:val="008072AA"/>
    <w:rsid w:val="0080789F"/>
    <w:rsid w:val="008079EC"/>
    <w:rsid w:val="00807C63"/>
    <w:rsid w:val="008102A0"/>
    <w:rsid w:val="00810750"/>
    <w:rsid w:val="00810A09"/>
    <w:rsid w:val="00810B41"/>
    <w:rsid w:val="00810BF5"/>
    <w:rsid w:val="008116B8"/>
    <w:rsid w:val="00811E8A"/>
    <w:rsid w:val="00812143"/>
    <w:rsid w:val="00812818"/>
    <w:rsid w:val="00812A93"/>
    <w:rsid w:val="00812EC0"/>
    <w:rsid w:val="0081353B"/>
    <w:rsid w:val="00813B37"/>
    <w:rsid w:val="00813CD8"/>
    <w:rsid w:val="008143C7"/>
    <w:rsid w:val="008148FA"/>
    <w:rsid w:val="00814BCE"/>
    <w:rsid w:val="00815A49"/>
    <w:rsid w:val="00815BA4"/>
    <w:rsid w:val="00816793"/>
    <w:rsid w:val="00816ADB"/>
    <w:rsid w:val="00816C28"/>
    <w:rsid w:val="00816C56"/>
    <w:rsid w:val="00816D3B"/>
    <w:rsid w:val="008171DE"/>
    <w:rsid w:val="008171FD"/>
    <w:rsid w:val="00817340"/>
    <w:rsid w:val="008200BF"/>
    <w:rsid w:val="00820214"/>
    <w:rsid w:val="008207BC"/>
    <w:rsid w:val="00820B4D"/>
    <w:rsid w:val="0082148E"/>
    <w:rsid w:val="0082199B"/>
    <w:rsid w:val="00821B64"/>
    <w:rsid w:val="00821C67"/>
    <w:rsid w:val="00821E85"/>
    <w:rsid w:val="00821EC4"/>
    <w:rsid w:val="00822002"/>
    <w:rsid w:val="008224A8"/>
    <w:rsid w:val="00822570"/>
    <w:rsid w:val="00823006"/>
    <w:rsid w:val="008232BD"/>
    <w:rsid w:val="00823539"/>
    <w:rsid w:val="008235F1"/>
    <w:rsid w:val="008237BE"/>
    <w:rsid w:val="00823B1B"/>
    <w:rsid w:val="008242BB"/>
    <w:rsid w:val="008245BD"/>
    <w:rsid w:val="00824759"/>
    <w:rsid w:val="00825156"/>
    <w:rsid w:val="0082524D"/>
    <w:rsid w:val="00825305"/>
    <w:rsid w:val="00825584"/>
    <w:rsid w:val="00825816"/>
    <w:rsid w:val="00825F45"/>
    <w:rsid w:val="00825FD1"/>
    <w:rsid w:val="008264ED"/>
    <w:rsid w:val="00826C1A"/>
    <w:rsid w:val="00826E7E"/>
    <w:rsid w:val="00826EA7"/>
    <w:rsid w:val="00826F6A"/>
    <w:rsid w:val="0082733D"/>
    <w:rsid w:val="00827441"/>
    <w:rsid w:val="0082754D"/>
    <w:rsid w:val="00827921"/>
    <w:rsid w:val="008302B1"/>
    <w:rsid w:val="0083096C"/>
    <w:rsid w:val="00830CE9"/>
    <w:rsid w:val="00830EC7"/>
    <w:rsid w:val="00830F5C"/>
    <w:rsid w:val="00831493"/>
    <w:rsid w:val="00831808"/>
    <w:rsid w:val="00831C75"/>
    <w:rsid w:val="00832276"/>
    <w:rsid w:val="0083276D"/>
    <w:rsid w:val="00832A8A"/>
    <w:rsid w:val="00833115"/>
    <w:rsid w:val="0083379F"/>
    <w:rsid w:val="008339E5"/>
    <w:rsid w:val="00833F9B"/>
    <w:rsid w:val="008345F2"/>
    <w:rsid w:val="00834663"/>
    <w:rsid w:val="00835007"/>
    <w:rsid w:val="0083525F"/>
    <w:rsid w:val="0083565E"/>
    <w:rsid w:val="00835BB5"/>
    <w:rsid w:val="00835BD1"/>
    <w:rsid w:val="00835BE2"/>
    <w:rsid w:val="00835D18"/>
    <w:rsid w:val="00835D91"/>
    <w:rsid w:val="00835E26"/>
    <w:rsid w:val="0083601E"/>
    <w:rsid w:val="00836368"/>
    <w:rsid w:val="008369BC"/>
    <w:rsid w:val="00836B26"/>
    <w:rsid w:val="00836F3C"/>
    <w:rsid w:val="008372C4"/>
    <w:rsid w:val="008374B2"/>
    <w:rsid w:val="00837A22"/>
    <w:rsid w:val="00837A34"/>
    <w:rsid w:val="00837AF6"/>
    <w:rsid w:val="00837C5B"/>
    <w:rsid w:val="00837DBF"/>
    <w:rsid w:val="00840198"/>
    <w:rsid w:val="00840257"/>
    <w:rsid w:val="0084064B"/>
    <w:rsid w:val="00840BED"/>
    <w:rsid w:val="008410E5"/>
    <w:rsid w:val="008411B9"/>
    <w:rsid w:val="00841452"/>
    <w:rsid w:val="0084156A"/>
    <w:rsid w:val="00841901"/>
    <w:rsid w:val="00842E05"/>
    <w:rsid w:val="00842F35"/>
    <w:rsid w:val="00843040"/>
    <w:rsid w:val="00843356"/>
    <w:rsid w:val="008439EC"/>
    <w:rsid w:val="00843A23"/>
    <w:rsid w:val="00843DC4"/>
    <w:rsid w:val="008440FD"/>
    <w:rsid w:val="00844D0D"/>
    <w:rsid w:val="00844F11"/>
    <w:rsid w:val="0084546A"/>
    <w:rsid w:val="0084549C"/>
    <w:rsid w:val="00845620"/>
    <w:rsid w:val="00845A0F"/>
    <w:rsid w:val="00845FED"/>
    <w:rsid w:val="00846068"/>
    <w:rsid w:val="008460EC"/>
    <w:rsid w:val="00846441"/>
    <w:rsid w:val="00846666"/>
    <w:rsid w:val="008466B6"/>
    <w:rsid w:val="0084685A"/>
    <w:rsid w:val="008468C1"/>
    <w:rsid w:val="00846B36"/>
    <w:rsid w:val="00846F8C"/>
    <w:rsid w:val="00847D6B"/>
    <w:rsid w:val="008504E1"/>
    <w:rsid w:val="00850702"/>
    <w:rsid w:val="00850D3F"/>
    <w:rsid w:val="00850E7B"/>
    <w:rsid w:val="00850FDA"/>
    <w:rsid w:val="008510F1"/>
    <w:rsid w:val="00851275"/>
    <w:rsid w:val="0085191A"/>
    <w:rsid w:val="00851E59"/>
    <w:rsid w:val="008520C3"/>
    <w:rsid w:val="008521EF"/>
    <w:rsid w:val="0085234E"/>
    <w:rsid w:val="00853125"/>
    <w:rsid w:val="00853306"/>
    <w:rsid w:val="00853790"/>
    <w:rsid w:val="008538CF"/>
    <w:rsid w:val="00853C03"/>
    <w:rsid w:val="00853ECA"/>
    <w:rsid w:val="00854469"/>
    <w:rsid w:val="008544E5"/>
    <w:rsid w:val="008547E0"/>
    <w:rsid w:val="00854BF2"/>
    <w:rsid w:val="00855168"/>
    <w:rsid w:val="00855355"/>
    <w:rsid w:val="00855E62"/>
    <w:rsid w:val="00855F8F"/>
    <w:rsid w:val="008561B9"/>
    <w:rsid w:val="00856652"/>
    <w:rsid w:val="008566BF"/>
    <w:rsid w:val="00856746"/>
    <w:rsid w:val="0085692E"/>
    <w:rsid w:val="00856B0C"/>
    <w:rsid w:val="0085748E"/>
    <w:rsid w:val="00857F88"/>
    <w:rsid w:val="00860200"/>
    <w:rsid w:val="008606A9"/>
    <w:rsid w:val="0086093B"/>
    <w:rsid w:val="00860974"/>
    <w:rsid w:val="0086142E"/>
    <w:rsid w:val="008615C4"/>
    <w:rsid w:val="008620EA"/>
    <w:rsid w:val="008631A6"/>
    <w:rsid w:val="00863CBF"/>
    <w:rsid w:val="00864146"/>
    <w:rsid w:val="0086481B"/>
    <w:rsid w:val="00864AD2"/>
    <w:rsid w:val="00864CB7"/>
    <w:rsid w:val="0086578B"/>
    <w:rsid w:val="00865B7D"/>
    <w:rsid w:val="008660A8"/>
    <w:rsid w:val="0086644D"/>
    <w:rsid w:val="008665ED"/>
    <w:rsid w:val="0086661B"/>
    <w:rsid w:val="008667C3"/>
    <w:rsid w:val="00866966"/>
    <w:rsid w:val="00866F89"/>
    <w:rsid w:val="0086730C"/>
    <w:rsid w:val="00867404"/>
    <w:rsid w:val="0086759C"/>
    <w:rsid w:val="0086759D"/>
    <w:rsid w:val="0086779E"/>
    <w:rsid w:val="008679CC"/>
    <w:rsid w:val="00867AA8"/>
    <w:rsid w:val="00867ABF"/>
    <w:rsid w:val="00867F5D"/>
    <w:rsid w:val="00870149"/>
    <w:rsid w:val="00870267"/>
    <w:rsid w:val="00870B42"/>
    <w:rsid w:val="00870BC5"/>
    <w:rsid w:val="0087125E"/>
    <w:rsid w:val="008712E9"/>
    <w:rsid w:val="00871483"/>
    <w:rsid w:val="00871A86"/>
    <w:rsid w:val="00871F09"/>
    <w:rsid w:val="008721A9"/>
    <w:rsid w:val="008721F4"/>
    <w:rsid w:val="00872238"/>
    <w:rsid w:val="0087242D"/>
    <w:rsid w:val="008727C3"/>
    <w:rsid w:val="008732FA"/>
    <w:rsid w:val="008734F4"/>
    <w:rsid w:val="0087371A"/>
    <w:rsid w:val="00873ABD"/>
    <w:rsid w:val="00873F99"/>
    <w:rsid w:val="00874772"/>
    <w:rsid w:val="008749AD"/>
    <w:rsid w:val="00874B84"/>
    <w:rsid w:val="00874FBC"/>
    <w:rsid w:val="008757D8"/>
    <w:rsid w:val="00875ADA"/>
    <w:rsid w:val="00875B14"/>
    <w:rsid w:val="00875EE7"/>
    <w:rsid w:val="0087638A"/>
    <w:rsid w:val="0087659B"/>
    <w:rsid w:val="0087666A"/>
    <w:rsid w:val="00876CC0"/>
    <w:rsid w:val="00877278"/>
    <w:rsid w:val="008775AD"/>
    <w:rsid w:val="00877762"/>
    <w:rsid w:val="00877C6D"/>
    <w:rsid w:val="00877E39"/>
    <w:rsid w:val="008805E2"/>
    <w:rsid w:val="00880DF8"/>
    <w:rsid w:val="00880FD3"/>
    <w:rsid w:val="0088108F"/>
    <w:rsid w:val="0088112B"/>
    <w:rsid w:val="00881363"/>
    <w:rsid w:val="00881552"/>
    <w:rsid w:val="0088160F"/>
    <w:rsid w:val="00881DB2"/>
    <w:rsid w:val="0088227C"/>
    <w:rsid w:val="00882474"/>
    <w:rsid w:val="008825C1"/>
    <w:rsid w:val="008829BF"/>
    <w:rsid w:val="00882FBC"/>
    <w:rsid w:val="0088300D"/>
    <w:rsid w:val="0088309C"/>
    <w:rsid w:val="00883307"/>
    <w:rsid w:val="00884105"/>
    <w:rsid w:val="008845B0"/>
    <w:rsid w:val="00884DC0"/>
    <w:rsid w:val="00884EAA"/>
    <w:rsid w:val="00885336"/>
    <w:rsid w:val="00885476"/>
    <w:rsid w:val="00885682"/>
    <w:rsid w:val="00885810"/>
    <w:rsid w:val="00885CFE"/>
    <w:rsid w:val="0088618D"/>
    <w:rsid w:val="00886216"/>
    <w:rsid w:val="00886528"/>
    <w:rsid w:val="00886723"/>
    <w:rsid w:val="00886B38"/>
    <w:rsid w:val="00886C0E"/>
    <w:rsid w:val="00886E9A"/>
    <w:rsid w:val="0088718C"/>
    <w:rsid w:val="00887DCA"/>
    <w:rsid w:val="00890232"/>
    <w:rsid w:val="00891044"/>
    <w:rsid w:val="008910AE"/>
    <w:rsid w:val="008912CF"/>
    <w:rsid w:val="008914C0"/>
    <w:rsid w:val="0089151F"/>
    <w:rsid w:val="00892088"/>
    <w:rsid w:val="008921A2"/>
    <w:rsid w:val="0089254A"/>
    <w:rsid w:val="008925D0"/>
    <w:rsid w:val="00892E51"/>
    <w:rsid w:val="008930CA"/>
    <w:rsid w:val="0089313E"/>
    <w:rsid w:val="00893272"/>
    <w:rsid w:val="00894947"/>
    <w:rsid w:val="00894EEC"/>
    <w:rsid w:val="00894FCE"/>
    <w:rsid w:val="008956FD"/>
    <w:rsid w:val="00895ED4"/>
    <w:rsid w:val="00895FBA"/>
    <w:rsid w:val="00896F82"/>
    <w:rsid w:val="00896FA8"/>
    <w:rsid w:val="00897769"/>
    <w:rsid w:val="00897C77"/>
    <w:rsid w:val="008A034B"/>
    <w:rsid w:val="008A05B1"/>
    <w:rsid w:val="008A08DA"/>
    <w:rsid w:val="008A16EA"/>
    <w:rsid w:val="008A1888"/>
    <w:rsid w:val="008A1B9D"/>
    <w:rsid w:val="008A1BC1"/>
    <w:rsid w:val="008A1DF4"/>
    <w:rsid w:val="008A229A"/>
    <w:rsid w:val="008A2546"/>
    <w:rsid w:val="008A2662"/>
    <w:rsid w:val="008A267E"/>
    <w:rsid w:val="008A2721"/>
    <w:rsid w:val="008A27C5"/>
    <w:rsid w:val="008A2EDF"/>
    <w:rsid w:val="008A3351"/>
    <w:rsid w:val="008A373D"/>
    <w:rsid w:val="008A37F3"/>
    <w:rsid w:val="008A4102"/>
    <w:rsid w:val="008A460D"/>
    <w:rsid w:val="008A4779"/>
    <w:rsid w:val="008A47EA"/>
    <w:rsid w:val="008A4D16"/>
    <w:rsid w:val="008A5405"/>
    <w:rsid w:val="008A562E"/>
    <w:rsid w:val="008A5739"/>
    <w:rsid w:val="008A574D"/>
    <w:rsid w:val="008A57BE"/>
    <w:rsid w:val="008A5847"/>
    <w:rsid w:val="008A5DE2"/>
    <w:rsid w:val="008A6273"/>
    <w:rsid w:val="008A6C31"/>
    <w:rsid w:val="008A6F8E"/>
    <w:rsid w:val="008A704A"/>
    <w:rsid w:val="008A780A"/>
    <w:rsid w:val="008A7B29"/>
    <w:rsid w:val="008B0701"/>
    <w:rsid w:val="008B080E"/>
    <w:rsid w:val="008B0812"/>
    <w:rsid w:val="008B08DF"/>
    <w:rsid w:val="008B0901"/>
    <w:rsid w:val="008B0B46"/>
    <w:rsid w:val="008B0CA1"/>
    <w:rsid w:val="008B0F84"/>
    <w:rsid w:val="008B11D2"/>
    <w:rsid w:val="008B1686"/>
    <w:rsid w:val="008B1795"/>
    <w:rsid w:val="008B18F7"/>
    <w:rsid w:val="008B1C0A"/>
    <w:rsid w:val="008B1C87"/>
    <w:rsid w:val="008B1FF8"/>
    <w:rsid w:val="008B27A9"/>
    <w:rsid w:val="008B2861"/>
    <w:rsid w:val="008B2EC3"/>
    <w:rsid w:val="008B35D1"/>
    <w:rsid w:val="008B36A2"/>
    <w:rsid w:val="008B36C4"/>
    <w:rsid w:val="008B394F"/>
    <w:rsid w:val="008B3E1E"/>
    <w:rsid w:val="008B44CA"/>
    <w:rsid w:val="008B46C9"/>
    <w:rsid w:val="008B492A"/>
    <w:rsid w:val="008B4D6D"/>
    <w:rsid w:val="008B5250"/>
    <w:rsid w:val="008B56D0"/>
    <w:rsid w:val="008B59B1"/>
    <w:rsid w:val="008B6084"/>
    <w:rsid w:val="008B6656"/>
    <w:rsid w:val="008B6BD9"/>
    <w:rsid w:val="008B705A"/>
    <w:rsid w:val="008B7CDE"/>
    <w:rsid w:val="008B7D99"/>
    <w:rsid w:val="008C026C"/>
    <w:rsid w:val="008C04A8"/>
    <w:rsid w:val="008C09B2"/>
    <w:rsid w:val="008C0AC4"/>
    <w:rsid w:val="008C0F78"/>
    <w:rsid w:val="008C0F84"/>
    <w:rsid w:val="008C110D"/>
    <w:rsid w:val="008C166B"/>
    <w:rsid w:val="008C1A81"/>
    <w:rsid w:val="008C1B00"/>
    <w:rsid w:val="008C1B5A"/>
    <w:rsid w:val="008C1D5A"/>
    <w:rsid w:val="008C1DF4"/>
    <w:rsid w:val="008C20E5"/>
    <w:rsid w:val="008C2676"/>
    <w:rsid w:val="008C270A"/>
    <w:rsid w:val="008C2809"/>
    <w:rsid w:val="008C2964"/>
    <w:rsid w:val="008C307A"/>
    <w:rsid w:val="008C30B8"/>
    <w:rsid w:val="008C36F4"/>
    <w:rsid w:val="008C40AC"/>
    <w:rsid w:val="008C424D"/>
    <w:rsid w:val="008C4411"/>
    <w:rsid w:val="008C467A"/>
    <w:rsid w:val="008C46C8"/>
    <w:rsid w:val="008C4F76"/>
    <w:rsid w:val="008C5958"/>
    <w:rsid w:val="008C5AEC"/>
    <w:rsid w:val="008C5BAE"/>
    <w:rsid w:val="008C5DCA"/>
    <w:rsid w:val="008C5FB3"/>
    <w:rsid w:val="008C6340"/>
    <w:rsid w:val="008C694F"/>
    <w:rsid w:val="008C6979"/>
    <w:rsid w:val="008C6D55"/>
    <w:rsid w:val="008C7086"/>
    <w:rsid w:val="008C70C7"/>
    <w:rsid w:val="008C7CA8"/>
    <w:rsid w:val="008C7E21"/>
    <w:rsid w:val="008D05E1"/>
    <w:rsid w:val="008D05FB"/>
    <w:rsid w:val="008D07BB"/>
    <w:rsid w:val="008D0805"/>
    <w:rsid w:val="008D0F64"/>
    <w:rsid w:val="008D1094"/>
    <w:rsid w:val="008D1739"/>
    <w:rsid w:val="008D1763"/>
    <w:rsid w:val="008D1AFF"/>
    <w:rsid w:val="008D1D47"/>
    <w:rsid w:val="008D25FF"/>
    <w:rsid w:val="008D268B"/>
    <w:rsid w:val="008D2A61"/>
    <w:rsid w:val="008D2EA7"/>
    <w:rsid w:val="008D3351"/>
    <w:rsid w:val="008D376A"/>
    <w:rsid w:val="008D3A7D"/>
    <w:rsid w:val="008D3B2E"/>
    <w:rsid w:val="008D3D64"/>
    <w:rsid w:val="008D4027"/>
    <w:rsid w:val="008D4D43"/>
    <w:rsid w:val="008D4E49"/>
    <w:rsid w:val="008D542C"/>
    <w:rsid w:val="008D5823"/>
    <w:rsid w:val="008D586E"/>
    <w:rsid w:val="008D61B6"/>
    <w:rsid w:val="008D64A0"/>
    <w:rsid w:val="008D67BA"/>
    <w:rsid w:val="008D69D3"/>
    <w:rsid w:val="008D72AC"/>
    <w:rsid w:val="008D7893"/>
    <w:rsid w:val="008D7A56"/>
    <w:rsid w:val="008D7A6F"/>
    <w:rsid w:val="008D7FBE"/>
    <w:rsid w:val="008E00ED"/>
    <w:rsid w:val="008E075E"/>
    <w:rsid w:val="008E137C"/>
    <w:rsid w:val="008E18A7"/>
    <w:rsid w:val="008E19AE"/>
    <w:rsid w:val="008E28ED"/>
    <w:rsid w:val="008E2A1B"/>
    <w:rsid w:val="008E2C3A"/>
    <w:rsid w:val="008E2CD1"/>
    <w:rsid w:val="008E302A"/>
    <w:rsid w:val="008E39FC"/>
    <w:rsid w:val="008E4060"/>
    <w:rsid w:val="008E477C"/>
    <w:rsid w:val="008E4A10"/>
    <w:rsid w:val="008E4A6D"/>
    <w:rsid w:val="008E4B0F"/>
    <w:rsid w:val="008E4B49"/>
    <w:rsid w:val="008E4C05"/>
    <w:rsid w:val="008E4C9B"/>
    <w:rsid w:val="008E4D9B"/>
    <w:rsid w:val="008E5D7B"/>
    <w:rsid w:val="008E5E39"/>
    <w:rsid w:val="008E60A6"/>
    <w:rsid w:val="008E60F3"/>
    <w:rsid w:val="008E65E1"/>
    <w:rsid w:val="008E7B0E"/>
    <w:rsid w:val="008E7B3E"/>
    <w:rsid w:val="008E7EEE"/>
    <w:rsid w:val="008F0046"/>
    <w:rsid w:val="008F02E7"/>
    <w:rsid w:val="008F0547"/>
    <w:rsid w:val="008F0C2A"/>
    <w:rsid w:val="008F0C81"/>
    <w:rsid w:val="008F136D"/>
    <w:rsid w:val="008F157C"/>
    <w:rsid w:val="008F1783"/>
    <w:rsid w:val="008F1BA1"/>
    <w:rsid w:val="008F20CC"/>
    <w:rsid w:val="008F25EA"/>
    <w:rsid w:val="008F2871"/>
    <w:rsid w:val="008F2D23"/>
    <w:rsid w:val="008F2DE2"/>
    <w:rsid w:val="008F3487"/>
    <w:rsid w:val="008F39CC"/>
    <w:rsid w:val="008F3D95"/>
    <w:rsid w:val="008F3FFD"/>
    <w:rsid w:val="008F4298"/>
    <w:rsid w:val="008F4304"/>
    <w:rsid w:val="008F4315"/>
    <w:rsid w:val="008F4F80"/>
    <w:rsid w:val="008F5190"/>
    <w:rsid w:val="008F527C"/>
    <w:rsid w:val="008F5EF1"/>
    <w:rsid w:val="008F6773"/>
    <w:rsid w:val="008F6AF7"/>
    <w:rsid w:val="008F6C0C"/>
    <w:rsid w:val="008F6C96"/>
    <w:rsid w:val="008F6E82"/>
    <w:rsid w:val="008F73B1"/>
    <w:rsid w:val="008F73E8"/>
    <w:rsid w:val="008F79A1"/>
    <w:rsid w:val="008F7C2E"/>
    <w:rsid w:val="008F7D5B"/>
    <w:rsid w:val="009003E1"/>
    <w:rsid w:val="0090074E"/>
    <w:rsid w:val="00900FD0"/>
    <w:rsid w:val="009019B9"/>
    <w:rsid w:val="00901AF7"/>
    <w:rsid w:val="00901E81"/>
    <w:rsid w:val="00901F8F"/>
    <w:rsid w:val="0090290C"/>
    <w:rsid w:val="00903192"/>
    <w:rsid w:val="0090333C"/>
    <w:rsid w:val="00903491"/>
    <w:rsid w:val="0090447F"/>
    <w:rsid w:val="0090548F"/>
    <w:rsid w:val="00905759"/>
    <w:rsid w:val="00906026"/>
    <w:rsid w:val="009060C4"/>
    <w:rsid w:val="009063A2"/>
    <w:rsid w:val="0090641E"/>
    <w:rsid w:val="009064C5"/>
    <w:rsid w:val="00906DF3"/>
    <w:rsid w:val="00907124"/>
    <w:rsid w:val="00907167"/>
    <w:rsid w:val="00907631"/>
    <w:rsid w:val="00907D19"/>
    <w:rsid w:val="00910142"/>
    <w:rsid w:val="00910271"/>
    <w:rsid w:val="009105F9"/>
    <w:rsid w:val="00910681"/>
    <w:rsid w:val="0091082B"/>
    <w:rsid w:val="00910F36"/>
    <w:rsid w:val="00911135"/>
    <w:rsid w:val="00911273"/>
    <w:rsid w:val="0091130D"/>
    <w:rsid w:val="00911AB6"/>
    <w:rsid w:val="00911EEE"/>
    <w:rsid w:val="00912625"/>
    <w:rsid w:val="00912BE0"/>
    <w:rsid w:val="009130BD"/>
    <w:rsid w:val="00913AD7"/>
    <w:rsid w:val="00914075"/>
    <w:rsid w:val="009140A8"/>
    <w:rsid w:val="00914420"/>
    <w:rsid w:val="00914641"/>
    <w:rsid w:val="009146D9"/>
    <w:rsid w:val="00914CB2"/>
    <w:rsid w:val="00915245"/>
    <w:rsid w:val="00915437"/>
    <w:rsid w:val="009159B9"/>
    <w:rsid w:val="00915DC2"/>
    <w:rsid w:val="00915F23"/>
    <w:rsid w:val="00916695"/>
    <w:rsid w:val="00916953"/>
    <w:rsid w:val="00916AE9"/>
    <w:rsid w:val="00916C10"/>
    <w:rsid w:val="00917774"/>
    <w:rsid w:val="00917E2D"/>
    <w:rsid w:val="009204D2"/>
    <w:rsid w:val="0092088B"/>
    <w:rsid w:val="00920978"/>
    <w:rsid w:val="00920C2F"/>
    <w:rsid w:val="0092134D"/>
    <w:rsid w:val="00921377"/>
    <w:rsid w:val="00921509"/>
    <w:rsid w:val="009219B5"/>
    <w:rsid w:val="00921D19"/>
    <w:rsid w:val="00921F10"/>
    <w:rsid w:val="00921FF2"/>
    <w:rsid w:val="00922132"/>
    <w:rsid w:val="00922A93"/>
    <w:rsid w:val="009230C8"/>
    <w:rsid w:val="0092327D"/>
    <w:rsid w:val="009236F7"/>
    <w:rsid w:val="009239F9"/>
    <w:rsid w:val="00924214"/>
    <w:rsid w:val="00924367"/>
    <w:rsid w:val="009245D5"/>
    <w:rsid w:val="009249AD"/>
    <w:rsid w:val="009249D3"/>
    <w:rsid w:val="00924CA3"/>
    <w:rsid w:val="009257A8"/>
    <w:rsid w:val="00925DE3"/>
    <w:rsid w:val="00926042"/>
    <w:rsid w:val="00926584"/>
    <w:rsid w:val="00926CC1"/>
    <w:rsid w:val="009271BD"/>
    <w:rsid w:val="0092748E"/>
    <w:rsid w:val="009277E0"/>
    <w:rsid w:val="00927A46"/>
    <w:rsid w:val="00927AE5"/>
    <w:rsid w:val="00927E43"/>
    <w:rsid w:val="00927F4B"/>
    <w:rsid w:val="00927F5D"/>
    <w:rsid w:val="00930227"/>
    <w:rsid w:val="009309E2"/>
    <w:rsid w:val="0093157C"/>
    <w:rsid w:val="009317FB"/>
    <w:rsid w:val="00931D7E"/>
    <w:rsid w:val="00931ECC"/>
    <w:rsid w:val="00931F72"/>
    <w:rsid w:val="0093221A"/>
    <w:rsid w:val="009328CA"/>
    <w:rsid w:val="00932A46"/>
    <w:rsid w:val="00932C4D"/>
    <w:rsid w:val="00932F41"/>
    <w:rsid w:val="00933975"/>
    <w:rsid w:val="00933AA1"/>
    <w:rsid w:val="0093419E"/>
    <w:rsid w:val="00934272"/>
    <w:rsid w:val="00934B37"/>
    <w:rsid w:val="00934BE8"/>
    <w:rsid w:val="00934DA0"/>
    <w:rsid w:val="009352E6"/>
    <w:rsid w:val="009355A0"/>
    <w:rsid w:val="00935662"/>
    <w:rsid w:val="009357CE"/>
    <w:rsid w:val="0093622C"/>
    <w:rsid w:val="0093712A"/>
    <w:rsid w:val="00937BD6"/>
    <w:rsid w:val="00940201"/>
    <w:rsid w:val="00940B10"/>
    <w:rsid w:val="00940E7F"/>
    <w:rsid w:val="00940EDE"/>
    <w:rsid w:val="009411D0"/>
    <w:rsid w:val="0094141F"/>
    <w:rsid w:val="00941A7B"/>
    <w:rsid w:val="009420AD"/>
    <w:rsid w:val="0094212E"/>
    <w:rsid w:val="0094259A"/>
    <w:rsid w:val="009427F9"/>
    <w:rsid w:val="0094308D"/>
    <w:rsid w:val="00943BE0"/>
    <w:rsid w:val="00943FE3"/>
    <w:rsid w:val="0094406A"/>
    <w:rsid w:val="00944372"/>
    <w:rsid w:val="009444A1"/>
    <w:rsid w:val="00944612"/>
    <w:rsid w:val="009446CC"/>
    <w:rsid w:val="009448CF"/>
    <w:rsid w:val="009448FA"/>
    <w:rsid w:val="00944ADD"/>
    <w:rsid w:val="00944EC4"/>
    <w:rsid w:val="009450FE"/>
    <w:rsid w:val="00945166"/>
    <w:rsid w:val="009456C4"/>
    <w:rsid w:val="00945D18"/>
    <w:rsid w:val="00945D86"/>
    <w:rsid w:val="009461B1"/>
    <w:rsid w:val="009462F7"/>
    <w:rsid w:val="00946393"/>
    <w:rsid w:val="009463A3"/>
    <w:rsid w:val="009469DC"/>
    <w:rsid w:val="00947174"/>
    <w:rsid w:val="00947BA9"/>
    <w:rsid w:val="00947C64"/>
    <w:rsid w:val="00947DB1"/>
    <w:rsid w:val="00947E21"/>
    <w:rsid w:val="00950B35"/>
    <w:rsid w:val="00950CDA"/>
    <w:rsid w:val="00950DB0"/>
    <w:rsid w:val="00950DB5"/>
    <w:rsid w:val="00951059"/>
    <w:rsid w:val="009514C1"/>
    <w:rsid w:val="00951562"/>
    <w:rsid w:val="009515FE"/>
    <w:rsid w:val="009518D0"/>
    <w:rsid w:val="00951CBD"/>
    <w:rsid w:val="00951F01"/>
    <w:rsid w:val="00952084"/>
    <w:rsid w:val="009520DC"/>
    <w:rsid w:val="009523D5"/>
    <w:rsid w:val="0095241C"/>
    <w:rsid w:val="009526C8"/>
    <w:rsid w:val="00952C7C"/>
    <w:rsid w:val="00952C88"/>
    <w:rsid w:val="00952F84"/>
    <w:rsid w:val="0095315D"/>
    <w:rsid w:val="00953675"/>
    <w:rsid w:val="00953949"/>
    <w:rsid w:val="0095417A"/>
    <w:rsid w:val="009547EB"/>
    <w:rsid w:val="00954869"/>
    <w:rsid w:val="00954C01"/>
    <w:rsid w:val="0095575D"/>
    <w:rsid w:val="00955795"/>
    <w:rsid w:val="00955838"/>
    <w:rsid w:val="009558A2"/>
    <w:rsid w:val="00955D52"/>
    <w:rsid w:val="00955E15"/>
    <w:rsid w:val="00955E4D"/>
    <w:rsid w:val="00955F10"/>
    <w:rsid w:val="0095605A"/>
    <w:rsid w:val="00956158"/>
    <w:rsid w:val="0095621D"/>
    <w:rsid w:val="0095623B"/>
    <w:rsid w:val="0095635E"/>
    <w:rsid w:val="00956C51"/>
    <w:rsid w:val="00957014"/>
    <w:rsid w:val="009577FF"/>
    <w:rsid w:val="009600A5"/>
    <w:rsid w:val="009600E1"/>
    <w:rsid w:val="0096065B"/>
    <w:rsid w:val="00960D6B"/>
    <w:rsid w:val="009612D5"/>
    <w:rsid w:val="009612E7"/>
    <w:rsid w:val="00961F17"/>
    <w:rsid w:val="00961FBC"/>
    <w:rsid w:val="00961FC4"/>
    <w:rsid w:val="009628BD"/>
    <w:rsid w:val="0096298A"/>
    <w:rsid w:val="009629C8"/>
    <w:rsid w:val="00962A75"/>
    <w:rsid w:val="00962ED0"/>
    <w:rsid w:val="009632BD"/>
    <w:rsid w:val="0096341D"/>
    <w:rsid w:val="009634CB"/>
    <w:rsid w:val="0096370F"/>
    <w:rsid w:val="009640FA"/>
    <w:rsid w:val="009641D5"/>
    <w:rsid w:val="00964543"/>
    <w:rsid w:val="009646DD"/>
    <w:rsid w:val="00964B15"/>
    <w:rsid w:val="00964CFD"/>
    <w:rsid w:val="00965032"/>
    <w:rsid w:val="009650B4"/>
    <w:rsid w:val="009651DE"/>
    <w:rsid w:val="00965A5F"/>
    <w:rsid w:val="009660C1"/>
    <w:rsid w:val="00966191"/>
    <w:rsid w:val="009663C9"/>
    <w:rsid w:val="009668B4"/>
    <w:rsid w:val="00966A89"/>
    <w:rsid w:val="00967015"/>
    <w:rsid w:val="0096784E"/>
    <w:rsid w:val="00967935"/>
    <w:rsid w:val="00967AF0"/>
    <w:rsid w:val="00970390"/>
    <w:rsid w:val="009705CB"/>
    <w:rsid w:val="00970667"/>
    <w:rsid w:val="0097098B"/>
    <w:rsid w:val="00970BF4"/>
    <w:rsid w:val="00970FE4"/>
    <w:rsid w:val="0097133E"/>
    <w:rsid w:val="0097134E"/>
    <w:rsid w:val="00971A10"/>
    <w:rsid w:val="00971CE5"/>
    <w:rsid w:val="00971D7F"/>
    <w:rsid w:val="00971EE5"/>
    <w:rsid w:val="00971FBF"/>
    <w:rsid w:val="00972549"/>
    <w:rsid w:val="00972922"/>
    <w:rsid w:val="00972A29"/>
    <w:rsid w:val="00972D47"/>
    <w:rsid w:val="00972E7D"/>
    <w:rsid w:val="00973080"/>
    <w:rsid w:val="0097308E"/>
    <w:rsid w:val="00973312"/>
    <w:rsid w:val="00973AC8"/>
    <w:rsid w:val="00973EB3"/>
    <w:rsid w:val="00973F8E"/>
    <w:rsid w:val="0097428E"/>
    <w:rsid w:val="009746EA"/>
    <w:rsid w:val="00974812"/>
    <w:rsid w:val="00974A33"/>
    <w:rsid w:val="00974A42"/>
    <w:rsid w:val="00974D80"/>
    <w:rsid w:val="00974FB9"/>
    <w:rsid w:val="009751C0"/>
    <w:rsid w:val="009752A9"/>
    <w:rsid w:val="00975330"/>
    <w:rsid w:val="0097565F"/>
    <w:rsid w:val="00975838"/>
    <w:rsid w:val="00975CDD"/>
    <w:rsid w:val="00975D38"/>
    <w:rsid w:val="0097610A"/>
    <w:rsid w:val="009763C0"/>
    <w:rsid w:val="00976930"/>
    <w:rsid w:val="00977523"/>
    <w:rsid w:val="009776A8"/>
    <w:rsid w:val="00977830"/>
    <w:rsid w:val="00977857"/>
    <w:rsid w:val="00977B5A"/>
    <w:rsid w:val="009800FB"/>
    <w:rsid w:val="009805F3"/>
    <w:rsid w:val="00980699"/>
    <w:rsid w:val="0098094A"/>
    <w:rsid w:val="00980D74"/>
    <w:rsid w:val="00980E65"/>
    <w:rsid w:val="009811BF"/>
    <w:rsid w:val="009815BC"/>
    <w:rsid w:val="0098182D"/>
    <w:rsid w:val="0098187A"/>
    <w:rsid w:val="009819BE"/>
    <w:rsid w:val="00981B88"/>
    <w:rsid w:val="00981DCF"/>
    <w:rsid w:val="009820DC"/>
    <w:rsid w:val="009822A0"/>
    <w:rsid w:val="00982FD8"/>
    <w:rsid w:val="00983902"/>
    <w:rsid w:val="009839B8"/>
    <w:rsid w:val="00983A84"/>
    <w:rsid w:val="00983ABC"/>
    <w:rsid w:val="00983AD9"/>
    <w:rsid w:val="00983D53"/>
    <w:rsid w:val="009843B7"/>
    <w:rsid w:val="009843D4"/>
    <w:rsid w:val="00984506"/>
    <w:rsid w:val="00984770"/>
    <w:rsid w:val="00984E0A"/>
    <w:rsid w:val="0098524E"/>
    <w:rsid w:val="00985357"/>
    <w:rsid w:val="00985C1B"/>
    <w:rsid w:val="00985DD6"/>
    <w:rsid w:val="00985EF6"/>
    <w:rsid w:val="0098600B"/>
    <w:rsid w:val="00986217"/>
    <w:rsid w:val="009867CE"/>
    <w:rsid w:val="00987824"/>
    <w:rsid w:val="00987943"/>
    <w:rsid w:val="009879D4"/>
    <w:rsid w:val="00987C17"/>
    <w:rsid w:val="00990403"/>
    <w:rsid w:val="0099072A"/>
    <w:rsid w:val="00990730"/>
    <w:rsid w:val="009907D4"/>
    <w:rsid w:val="009907F4"/>
    <w:rsid w:val="00990CEE"/>
    <w:rsid w:val="00991112"/>
    <w:rsid w:val="00991C44"/>
    <w:rsid w:val="00992660"/>
    <w:rsid w:val="0099281C"/>
    <w:rsid w:val="0099296B"/>
    <w:rsid w:val="00993754"/>
    <w:rsid w:val="009937A1"/>
    <w:rsid w:val="00993C05"/>
    <w:rsid w:val="00993F88"/>
    <w:rsid w:val="00994C7B"/>
    <w:rsid w:val="00994DAF"/>
    <w:rsid w:val="009956DA"/>
    <w:rsid w:val="00995F53"/>
    <w:rsid w:val="00996252"/>
    <w:rsid w:val="009964D2"/>
    <w:rsid w:val="0099686D"/>
    <w:rsid w:val="00996942"/>
    <w:rsid w:val="00996E34"/>
    <w:rsid w:val="00996EAD"/>
    <w:rsid w:val="00996F11"/>
    <w:rsid w:val="00996F19"/>
    <w:rsid w:val="00997073"/>
    <w:rsid w:val="00997106"/>
    <w:rsid w:val="00997272"/>
    <w:rsid w:val="00997B8E"/>
    <w:rsid w:val="00997BC4"/>
    <w:rsid w:val="009A0056"/>
    <w:rsid w:val="009A06BE"/>
    <w:rsid w:val="009A071B"/>
    <w:rsid w:val="009A0A34"/>
    <w:rsid w:val="009A0E5C"/>
    <w:rsid w:val="009A0FBD"/>
    <w:rsid w:val="009A10EC"/>
    <w:rsid w:val="009A1438"/>
    <w:rsid w:val="009A14C8"/>
    <w:rsid w:val="009A1699"/>
    <w:rsid w:val="009A19D1"/>
    <w:rsid w:val="009A1B8D"/>
    <w:rsid w:val="009A1CA2"/>
    <w:rsid w:val="009A1CD0"/>
    <w:rsid w:val="009A2374"/>
    <w:rsid w:val="009A241F"/>
    <w:rsid w:val="009A25DF"/>
    <w:rsid w:val="009A266F"/>
    <w:rsid w:val="009A2915"/>
    <w:rsid w:val="009A309F"/>
    <w:rsid w:val="009A31A5"/>
    <w:rsid w:val="009A331A"/>
    <w:rsid w:val="009A3390"/>
    <w:rsid w:val="009A386F"/>
    <w:rsid w:val="009A3B04"/>
    <w:rsid w:val="009A3C4F"/>
    <w:rsid w:val="009A3DDC"/>
    <w:rsid w:val="009A3EC0"/>
    <w:rsid w:val="009A402B"/>
    <w:rsid w:val="009A4C5C"/>
    <w:rsid w:val="009A5668"/>
    <w:rsid w:val="009A5A8D"/>
    <w:rsid w:val="009A5AD9"/>
    <w:rsid w:val="009A5E70"/>
    <w:rsid w:val="009A610E"/>
    <w:rsid w:val="009A64BA"/>
    <w:rsid w:val="009A6576"/>
    <w:rsid w:val="009A69FF"/>
    <w:rsid w:val="009A6E55"/>
    <w:rsid w:val="009A747B"/>
    <w:rsid w:val="009A75E5"/>
    <w:rsid w:val="009A79B2"/>
    <w:rsid w:val="009A7D5C"/>
    <w:rsid w:val="009A7DB9"/>
    <w:rsid w:val="009A7F3C"/>
    <w:rsid w:val="009A7FC7"/>
    <w:rsid w:val="009B0371"/>
    <w:rsid w:val="009B06E7"/>
    <w:rsid w:val="009B103E"/>
    <w:rsid w:val="009B1145"/>
    <w:rsid w:val="009B142A"/>
    <w:rsid w:val="009B1F03"/>
    <w:rsid w:val="009B21DC"/>
    <w:rsid w:val="009B28E9"/>
    <w:rsid w:val="009B2ACE"/>
    <w:rsid w:val="009B2E86"/>
    <w:rsid w:val="009B304E"/>
    <w:rsid w:val="009B306C"/>
    <w:rsid w:val="009B3A06"/>
    <w:rsid w:val="009B434B"/>
    <w:rsid w:val="009B528D"/>
    <w:rsid w:val="009B53E1"/>
    <w:rsid w:val="009B5768"/>
    <w:rsid w:val="009B582B"/>
    <w:rsid w:val="009B5D72"/>
    <w:rsid w:val="009B60B7"/>
    <w:rsid w:val="009B65A4"/>
    <w:rsid w:val="009B6A8B"/>
    <w:rsid w:val="009B6B6C"/>
    <w:rsid w:val="009B726F"/>
    <w:rsid w:val="009B7F38"/>
    <w:rsid w:val="009B7FAD"/>
    <w:rsid w:val="009C0C0F"/>
    <w:rsid w:val="009C0C7C"/>
    <w:rsid w:val="009C1098"/>
    <w:rsid w:val="009C1125"/>
    <w:rsid w:val="009C17FB"/>
    <w:rsid w:val="009C195F"/>
    <w:rsid w:val="009C1B44"/>
    <w:rsid w:val="009C1B80"/>
    <w:rsid w:val="009C1CA5"/>
    <w:rsid w:val="009C2314"/>
    <w:rsid w:val="009C3073"/>
    <w:rsid w:val="009C3D26"/>
    <w:rsid w:val="009C4265"/>
    <w:rsid w:val="009C4745"/>
    <w:rsid w:val="009C484A"/>
    <w:rsid w:val="009C4C52"/>
    <w:rsid w:val="009C4C63"/>
    <w:rsid w:val="009C5517"/>
    <w:rsid w:val="009C5DBB"/>
    <w:rsid w:val="009C6018"/>
    <w:rsid w:val="009C6682"/>
    <w:rsid w:val="009C6743"/>
    <w:rsid w:val="009C688F"/>
    <w:rsid w:val="009C74CB"/>
    <w:rsid w:val="009C774F"/>
    <w:rsid w:val="009C77DF"/>
    <w:rsid w:val="009C7F82"/>
    <w:rsid w:val="009D0292"/>
    <w:rsid w:val="009D0386"/>
    <w:rsid w:val="009D03FA"/>
    <w:rsid w:val="009D05F2"/>
    <w:rsid w:val="009D0758"/>
    <w:rsid w:val="009D148F"/>
    <w:rsid w:val="009D1849"/>
    <w:rsid w:val="009D248C"/>
    <w:rsid w:val="009D25C9"/>
    <w:rsid w:val="009D25E8"/>
    <w:rsid w:val="009D2851"/>
    <w:rsid w:val="009D28AB"/>
    <w:rsid w:val="009D2BC3"/>
    <w:rsid w:val="009D2C08"/>
    <w:rsid w:val="009D2C13"/>
    <w:rsid w:val="009D3000"/>
    <w:rsid w:val="009D332F"/>
    <w:rsid w:val="009D4041"/>
    <w:rsid w:val="009D426D"/>
    <w:rsid w:val="009D4807"/>
    <w:rsid w:val="009D4C3E"/>
    <w:rsid w:val="009D4CD9"/>
    <w:rsid w:val="009D4E63"/>
    <w:rsid w:val="009D4F9A"/>
    <w:rsid w:val="009D5446"/>
    <w:rsid w:val="009D57A4"/>
    <w:rsid w:val="009D57B8"/>
    <w:rsid w:val="009D5BA4"/>
    <w:rsid w:val="009D5BFC"/>
    <w:rsid w:val="009D5D6F"/>
    <w:rsid w:val="009D5F04"/>
    <w:rsid w:val="009D60E7"/>
    <w:rsid w:val="009D6202"/>
    <w:rsid w:val="009D656A"/>
    <w:rsid w:val="009D6CA4"/>
    <w:rsid w:val="009D71E1"/>
    <w:rsid w:val="009D7489"/>
    <w:rsid w:val="009D75A6"/>
    <w:rsid w:val="009D7D5E"/>
    <w:rsid w:val="009E002B"/>
    <w:rsid w:val="009E0526"/>
    <w:rsid w:val="009E07B5"/>
    <w:rsid w:val="009E08D9"/>
    <w:rsid w:val="009E11DA"/>
    <w:rsid w:val="009E1910"/>
    <w:rsid w:val="009E1B93"/>
    <w:rsid w:val="009E1C57"/>
    <w:rsid w:val="009E1E35"/>
    <w:rsid w:val="009E207A"/>
    <w:rsid w:val="009E2228"/>
    <w:rsid w:val="009E2365"/>
    <w:rsid w:val="009E2C95"/>
    <w:rsid w:val="009E2E66"/>
    <w:rsid w:val="009E3047"/>
    <w:rsid w:val="009E329B"/>
    <w:rsid w:val="009E3396"/>
    <w:rsid w:val="009E355C"/>
    <w:rsid w:val="009E36AE"/>
    <w:rsid w:val="009E3A29"/>
    <w:rsid w:val="009E3D16"/>
    <w:rsid w:val="009E3EEF"/>
    <w:rsid w:val="009E3F42"/>
    <w:rsid w:val="009E4428"/>
    <w:rsid w:val="009E46D8"/>
    <w:rsid w:val="009E5185"/>
    <w:rsid w:val="009E544D"/>
    <w:rsid w:val="009E553E"/>
    <w:rsid w:val="009E5767"/>
    <w:rsid w:val="009E59A9"/>
    <w:rsid w:val="009E59D6"/>
    <w:rsid w:val="009E5C5E"/>
    <w:rsid w:val="009E5F0B"/>
    <w:rsid w:val="009E6860"/>
    <w:rsid w:val="009E6DDD"/>
    <w:rsid w:val="009E6F52"/>
    <w:rsid w:val="009E7355"/>
    <w:rsid w:val="009E758E"/>
    <w:rsid w:val="009E790F"/>
    <w:rsid w:val="009F0056"/>
    <w:rsid w:val="009F03CF"/>
    <w:rsid w:val="009F05E0"/>
    <w:rsid w:val="009F18F1"/>
    <w:rsid w:val="009F1D62"/>
    <w:rsid w:val="009F2030"/>
    <w:rsid w:val="009F24F2"/>
    <w:rsid w:val="009F2539"/>
    <w:rsid w:val="009F2ADA"/>
    <w:rsid w:val="009F2C3C"/>
    <w:rsid w:val="009F2CD2"/>
    <w:rsid w:val="009F2CF4"/>
    <w:rsid w:val="009F2DC8"/>
    <w:rsid w:val="009F31BD"/>
    <w:rsid w:val="009F3925"/>
    <w:rsid w:val="009F3DE7"/>
    <w:rsid w:val="009F3FBC"/>
    <w:rsid w:val="009F48FC"/>
    <w:rsid w:val="009F51EC"/>
    <w:rsid w:val="009F5D63"/>
    <w:rsid w:val="009F66BD"/>
    <w:rsid w:val="009F66C9"/>
    <w:rsid w:val="009F6720"/>
    <w:rsid w:val="009F6982"/>
    <w:rsid w:val="009F6E0B"/>
    <w:rsid w:val="009F7127"/>
    <w:rsid w:val="009F7680"/>
    <w:rsid w:val="009F7B03"/>
    <w:rsid w:val="009F7EE1"/>
    <w:rsid w:val="00A0043D"/>
    <w:rsid w:val="00A009BC"/>
    <w:rsid w:val="00A01511"/>
    <w:rsid w:val="00A01C50"/>
    <w:rsid w:val="00A01E7A"/>
    <w:rsid w:val="00A038B2"/>
    <w:rsid w:val="00A03A9E"/>
    <w:rsid w:val="00A04268"/>
    <w:rsid w:val="00A04A1C"/>
    <w:rsid w:val="00A04A8F"/>
    <w:rsid w:val="00A04CB5"/>
    <w:rsid w:val="00A0584A"/>
    <w:rsid w:val="00A059D4"/>
    <w:rsid w:val="00A05AA7"/>
    <w:rsid w:val="00A05D55"/>
    <w:rsid w:val="00A060DB"/>
    <w:rsid w:val="00A0683F"/>
    <w:rsid w:val="00A06B86"/>
    <w:rsid w:val="00A06E3C"/>
    <w:rsid w:val="00A07729"/>
    <w:rsid w:val="00A07AC7"/>
    <w:rsid w:val="00A07D01"/>
    <w:rsid w:val="00A07F3E"/>
    <w:rsid w:val="00A10246"/>
    <w:rsid w:val="00A1092A"/>
    <w:rsid w:val="00A11322"/>
    <w:rsid w:val="00A113DA"/>
    <w:rsid w:val="00A117C4"/>
    <w:rsid w:val="00A11AEC"/>
    <w:rsid w:val="00A12014"/>
    <w:rsid w:val="00A12299"/>
    <w:rsid w:val="00A12338"/>
    <w:rsid w:val="00A12842"/>
    <w:rsid w:val="00A12AB1"/>
    <w:rsid w:val="00A13423"/>
    <w:rsid w:val="00A13986"/>
    <w:rsid w:val="00A13A20"/>
    <w:rsid w:val="00A14B5F"/>
    <w:rsid w:val="00A14C2A"/>
    <w:rsid w:val="00A14CB4"/>
    <w:rsid w:val="00A15301"/>
    <w:rsid w:val="00A15341"/>
    <w:rsid w:val="00A1559E"/>
    <w:rsid w:val="00A160F6"/>
    <w:rsid w:val="00A16742"/>
    <w:rsid w:val="00A1695F"/>
    <w:rsid w:val="00A16C25"/>
    <w:rsid w:val="00A16E96"/>
    <w:rsid w:val="00A1771F"/>
    <w:rsid w:val="00A17C3C"/>
    <w:rsid w:val="00A17CEB"/>
    <w:rsid w:val="00A205E2"/>
    <w:rsid w:val="00A20698"/>
    <w:rsid w:val="00A20722"/>
    <w:rsid w:val="00A20AC4"/>
    <w:rsid w:val="00A218E6"/>
    <w:rsid w:val="00A221E5"/>
    <w:rsid w:val="00A228FF"/>
    <w:rsid w:val="00A22E03"/>
    <w:rsid w:val="00A22FEB"/>
    <w:rsid w:val="00A236FA"/>
    <w:rsid w:val="00A23888"/>
    <w:rsid w:val="00A2429A"/>
    <w:rsid w:val="00A24B1F"/>
    <w:rsid w:val="00A24CBE"/>
    <w:rsid w:val="00A24E40"/>
    <w:rsid w:val="00A258E3"/>
    <w:rsid w:val="00A25DEC"/>
    <w:rsid w:val="00A26691"/>
    <w:rsid w:val="00A266D5"/>
    <w:rsid w:val="00A269A9"/>
    <w:rsid w:val="00A26A7E"/>
    <w:rsid w:val="00A26EE2"/>
    <w:rsid w:val="00A270E5"/>
    <w:rsid w:val="00A2715E"/>
    <w:rsid w:val="00A279E0"/>
    <w:rsid w:val="00A27E5E"/>
    <w:rsid w:val="00A300F4"/>
    <w:rsid w:val="00A30475"/>
    <w:rsid w:val="00A30B37"/>
    <w:rsid w:val="00A30FD9"/>
    <w:rsid w:val="00A312A7"/>
    <w:rsid w:val="00A31867"/>
    <w:rsid w:val="00A31D61"/>
    <w:rsid w:val="00A321CA"/>
    <w:rsid w:val="00A3233E"/>
    <w:rsid w:val="00A3234E"/>
    <w:rsid w:val="00A3282C"/>
    <w:rsid w:val="00A328B8"/>
    <w:rsid w:val="00A329BE"/>
    <w:rsid w:val="00A32E59"/>
    <w:rsid w:val="00A32F28"/>
    <w:rsid w:val="00A3352E"/>
    <w:rsid w:val="00A34419"/>
    <w:rsid w:val="00A34717"/>
    <w:rsid w:val="00A347C9"/>
    <w:rsid w:val="00A34BCD"/>
    <w:rsid w:val="00A34CF5"/>
    <w:rsid w:val="00A356C3"/>
    <w:rsid w:val="00A35A66"/>
    <w:rsid w:val="00A3624D"/>
    <w:rsid w:val="00A3639D"/>
    <w:rsid w:val="00A36448"/>
    <w:rsid w:val="00A364BB"/>
    <w:rsid w:val="00A36509"/>
    <w:rsid w:val="00A3652F"/>
    <w:rsid w:val="00A366A7"/>
    <w:rsid w:val="00A36761"/>
    <w:rsid w:val="00A36B42"/>
    <w:rsid w:val="00A36B9D"/>
    <w:rsid w:val="00A36BFF"/>
    <w:rsid w:val="00A36DC3"/>
    <w:rsid w:val="00A36E8C"/>
    <w:rsid w:val="00A36EF2"/>
    <w:rsid w:val="00A371C1"/>
    <w:rsid w:val="00A373DD"/>
    <w:rsid w:val="00A40228"/>
    <w:rsid w:val="00A40330"/>
    <w:rsid w:val="00A40665"/>
    <w:rsid w:val="00A4085E"/>
    <w:rsid w:val="00A40A60"/>
    <w:rsid w:val="00A40B83"/>
    <w:rsid w:val="00A40DDA"/>
    <w:rsid w:val="00A40E2C"/>
    <w:rsid w:val="00A40FA6"/>
    <w:rsid w:val="00A416D8"/>
    <w:rsid w:val="00A417C1"/>
    <w:rsid w:val="00A41ADE"/>
    <w:rsid w:val="00A41CA3"/>
    <w:rsid w:val="00A41EF9"/>
    <w:rsid w:val="00A42022"/>
    <w:rsid w:val="00A420F2"/>
    <w:rsid w:val="00A4251A"/>
    <w:rsid w:val="00A4256E"/>
    <w:rsid w:val="00A4261A"/>
    <w:rsid w:val="00A4286C"/>
    <w:rsid w:val="00A42DFB"/>
    <w:rsid w:val="00A43113"/>
    <w:rsid w:val="00A432A7"/>
    <w:rsid w:val="00A432DE"/>
    <w:rsid w:val="00A433BB"/>
    <w:rsid w:val="00A43688"/>
    <w:rsid w:val="00A438C4"/>
    <w:rsid w:val="00A4392C"/>
    <w:rsid w:val="00A43B7E"/>
    <w:rsid w:val="00A43D03"/>
    <w:rsid w:val="00A43FFA"/>
    <w:rsid w:val="00A444CF"/>
    <w:rsid w:val="00A4483E"/>
    <w:rsid w:val="00A44BC7"/>
    <w:rsid w:val="00A44EBD"/>
    <w:rsid w:val="00A44ED4"/>
    <w:rsid w:val="00A44EFF"/>
    <w:rsid w:val="00A44F86"/>
    <w:rsid w:val="00A44FE6"/>
    <w:rsid w:val="00A45311"/>
    <w:rsid w:val="00A453E6"/>
    <w:rsid w:val="00A453F3"/>
    <w:rsid w:val="00A453F5"/>
    <w:rsid w:val="00A45627"/>
    <w:rsid w:val="00A4569F"/>
    <w:rsid w:val="00A45B66"/>
    <w:rsid w:val="00A45B8E"/>
    <w:rsid w:val="00A45DFC"/>
    <w:rsid w:val="00A46067"/>
    <w:rsid w:val="00A465A1"/>
    <w:rsid w:val="00A467F9"/>
    <w:rsid w:val="00A46989"/>
    <w:rsid w:val="00A46B45"/>
    <w:rsid w:val="00A46FCF"/>
    <w:rsid w:val="00A472CD"/>
    <w:rsid w:val="00A473D2"/>
    <w:rsid w:val="00A47436"/>
    <w:rsid w:val="00A474AA"/>
    <w:rsid w:val="00A476B7"/>
    <w:rsid w:val="00A47812"/>
    <w:rsid w:val="00A47A2A"/>
    <w:rsid w:val="00A47D7F"/>
    <w:rsid w:val="00A504F5"/>
    <w:rsid w:val="00A50D2F"/>
    <w:rsid w:val="00A51161"/>
    <w:rsid w:val="00A517B7"/>
    <w:rsid w:val="00A51B9D"/>
    <w:rsid w:val="00A51E5E"/>
    <w:rsid w:val="00A51F24"/>
    <w:rsid w:val="00A52001"/>
    <w:rsid w:val="00A525DD"/>
    <w:rsid w:val="00A528BC"/>
    <w:rsid w:val="00A5290E"/>
    <w:rsid w:val="00A52D81"/>
    <w:rsid w:val="00A52F7A"/>
    <w:rsid w:val="00A53590"/>
    <w:rsid w:val="00A5361F"/>
    <w:rsid w:val="00A53814"/>
    <w:rsid w:val="00A53B53"/>
    <w:rsid w:val="00A53CBF"/>
    <w:rsid w:val="00A53E9B"/>
    <w:rsid w:val="00A546D4"/>
    <w:rsid w:val="00A54761"/>
    <w:rsid w:val="00A5491D"/>
    <w:rsid w:val="00A54D46"/>
    <w:rsid w:val="00A5519A"/>
    <w:rsid w:val="00A55268"/>
    <w:rsid w:val="00A557B7"/>
    <w:rsid w:val="00A55884"/>
    <w:rsid w:val="00A558EF"/>
    <w:rsid w:val="00A55B7C"/>
    <w:rsid w:val="00A566B6"/>
    <w:rsid w:val="00A566F2"/>
    <w:rsid w:val="00A56FA0"/>
    <w:rsid w:val="00A57332"/>
    <w:rsid w:val="00A575B7"/>
    <w:rsid w:val="00A57D48"/>
    <w:rsid w:val="00A57F89"/>
    <w:rsid w:val="00A6060E"/>
    <w:rsid w:val="00A606AD"/>
    <w:rsid w:val="00A60899"/>
    <w:rsid w:val="00A60C35"/>
    <w:rsid w:val="00A617D2"/>
    <w:rsid w:val="00A61896"/>
    <w:rsid w:val="00A61D95"/>
    <w:rsid w:val="00A61EF4"/>
    <w:rsid w:val="00A61F45"/>
    <w:rsid w:val="00A6217C"/>
    <w:rsid w:val="00A62278"/>
    <w:rsid w:val="00A622FA"/>
    <w:rsid w:val="00A62699"/>
    <w:rsid w:val="00A62797"/>
    <w:rsid w:val="00A627A1"/>
    <w:rsid w:val="00A62BE2"/>
    <w:rsid w:val="00A62C3B"/>
    <w:rsid w:val="00A62F06"/>
    <w:rsid w:val="00A633B7"/>
    <w:rsid w:val="00A633FB"/>
    <w:rsid w:val="00A6362E"/>
    <w:rsid w:val="00A63743"/>
    <w:rsid w:val="00A63D51"/>
    <w:rsid w:val="00A641C0"/>
    <w:rsid w:val="00A64320"/>
    <w:rsid w:val="00A647A3"/>
    <w:rsid w:val="00A64B87"/>
    <w:rsid w:val="00A64EFA"/>
    <w:rsid w:val="00A64F11"/>
    <w:rsid w:val="00A655B5"/>
    <w:rsid w:val="00A65B7C"/>
    <w:rsid w:val="00A65B99"/>
    <w:rsid w:val="00A65F8A"/>
    <w:rsid w:val="00A6612E"/>
    <w:rsid w:val="00A6620E"/>
    <w:rsid w:val="00A67033"/>
    <w:rsid w:val="00A6732E"/>
    <w:rsid w:val="00A6733B"/>
    <w:rsid w:val="00A673DD"/>
    <w:rsid w:val="00A675B3"/>
    <w:rsid w:val="00A6786D"/>
    <w:rsid w:val="00A6792F"/>
    <w:rsid w:val="00A67DEC"/>
    <w:rsid w:val="00A67E9E"/>
    <w:rsid w:val="00A67F41"/>
    <w:rsid w:val="00A70114"/>
    <w:rsid w:val="00A70484"/>
    <w:rsid w:val="00A71C82"/>
    <w:rsid w:val="00A721BC"/>
    <w:rsid w:val="00A72313"/>
    <w:rsid w:val="00A724C4"/>
    <w:rsid w:val="00A7293E"/>
    <w:rsid w:val="00A7365F"/>
    <w:rsid w:val="00A736BB"/>
    <w:rsid w:val="00A73A49"/>
    <w:rsid w:val="00A73B04"/>
    <w:rsid w:val="00A73C17"/>
    <w:rsid w:val="00A7416F"/>
    <w:rsid w:val="00A74767"/>
    <w:rsid w:val="00A747A3"/>
    <w:rsid w:val="00A74937"/>
    <w:rsid w:val="00A74A03"/>
    <w:rsid w:val="00A74A8A"/>
    <w:rsid w:val="00A754D1"/>
    <w:rsid w:val="00A75A8E"/>
    <w:rsid w:val="00A75F38"/>
    <w:rsid w:val="00A75F4B"/>
    <w:rsid w:val="00A7618D"/>
    <w:rsid w:val="00A76B16"/>
    <w:rsid w:val="00A76F2B"/>
    <w:rsid w:val="00A76FFC"/>
    <w:rsid w:val="00A771BE"/>
    <w:rsid w:val="00A77963"/>
    <w:rsid w:val="00A77C04"/>
    <w:rsid w:val="00A77C7A"/>
    <w:rsid w:val="00A77CA0"/>
    <w:rsid w:val="00A77F81"/>
    <w:rsid w:val="00A80596"/>
    <w:rsid w:val="00A80AE9"/>
    <w:rsid w:val="00A80AEF"/>
    <w:rsid w:val="00A80BA5"/>
    <w:rsid w:val="00A80D21"/>
    <w:rsid w:val="00A80EBD"/>
    <w:rsid w:val="00A81731"/>
    <w:rsid w:val="00A81937"/>
    <w:rsid w:val="00A81F51"/>
    <w:rsid w:val="00A81FE8"/>
    <w:rsid w:val="00A823D1"/>
    <w:rsid w:val="00A824AC"/>
    <w:rsid w:val="00A8252E"/>
    <w:rsid w:val="00A82696"/>
    <w:rsid w:val="00A82850"/>
    <w:rsid w:val="00A82FDE"/>
    <w:rsid w:val="00A8309F"/>
    <w:rsid w:val="00A8358E"/>
    <w:rsid w:val="00A83B88"/>
    <w:rsid w:val="00A84142"/>
    <w:rsid w:val="00A8431A"/>
    <w:rsid w:val="00A844D3"/>
    <w:rsid w:val="00A847C0"/>
    <w:rsid w:val="00A84F9C"/>
    <w:rsid w:val="00A85A11"/>
    <w:rsid w:val="00A85BEE"/>
    <w:rsid w:val="00A85C61"/>
    <w:rsid w:val="00A85C72"/>
    <w:rsid w:val="00A85DFE"/>
    <w:rsid w:val="00A870E2"/>
    <w:rsid w:val="00A8716F"/>
    <w:rsid w:val="00A8767D"/>
    <w:rsid w:val="00A87732"/>
    <w:rsid w:val="00A87779"/>
    <w:rsid w:val="00A87AD3"/>
    <w:rsid w:val="00A87B9B"/>
    <w:rsid w:val="00A87C3C"/>
    <w:rsid w:val="00A90155"/>
    <w:rsid w:val="00A90225"/>
    <w:rsid w:val="00A90249"/>
    <w:rsid w:val="00A9042A"/>
    <w:rsid w:val="00A91212"/>
    <w:rsid w:val="00A91BF3"/>
    <w:rsid w:val="00A91EEE"/>
    <w:rsid w:val="00A9216F"/>
    <w:rsid w:val="00A92502"/>
    <w:rsid w:val="00A9399E"/>
    <w:rsid w:val="00A93C45"/>
    <w:rsid w:val="00A943DB"/>
    <w:rsid w:val="00A94434"/>
    <w:rsid w:val="00A946EB"/>
    <w:rsid w:val="00A94865"/>
    <w:rsid w:val="00A948F8"/>
    <w:rsid w:val="00A949E3"/>
    <w:rsid w:val="00A94A17"/>
    <w:rsid w:val="00A94FF6"/>
    <w:rsid w:val="00A95568"/>
    <w:rsid w:val="00A95CE2"/>
    <w:rsid w:val="00A960B5"/>
    <w:rsid w:val="00A96552"/>
    <w:rsid w:val="00A96E7E"/>
    <w:rsid w:val="00A96F9B"/>
    <w:rsid w:val="00A970F2"/>
    <w:rsid w:val="00A9787F"/>
    <w:rsid w:val="00A97BD5"/>
    <w:rsid w:val="00A97C0D"/>
    <w:rsid w:val="00A97DAE"/>
    <w:rsid w:val="00AA02DA"/>
    <w:rsid w:val="00AA0352"/>
    <w:rsid w:val="00AA0692"/>
    <w:rsid w:val="00AA1245"/>
    <w:rsid w:val="00AA1516"/>
    <w:rsid w:val="00AA16C1"/>
    <w:rsid w:val="00AA197F"/>
    <w:rsid w:val="00AA1C7A"/>
    <w:rsid w:val="00AA1C86"/>
    <w:rsid w:val="00AA2029"/>
    <w:rsid w:val="00AA2156"/>
    <w:rsid w:val="00AA21D3"/>
    <w:rsid w:val="00AA2737"/>
    <w:rsid w:val="00AA2BBF"/>
    <w:rsid w:val="00AA2C33"/>
    <w:rsid w:val="00AA2F4A"/>
    <w:rsid w:val="00AA2FE1"/>
    <w:rsid w:val="00AA30B1"/>
    <w:rsid w:val="00AA3554"/>
    <w:rsid w:val="00AA3C1A"/>
    <w:rsid w:val="00AA3DC6"/>
    <w:rsid w:val="00AA417C"/>
    <w:rsid w:val="00AA4218"/>
    <w:rsid w:val="00AA466A"/>
    <w:rsid w:val="00AA4727"/>
    <w:rsid w:val="00AA48EA"/>
    <w:rsid w:val="00AA5510"/>
    <w:rsid w:val="00AA5800"/>
    <w:rsid w:val="00AA5BFE"/>
    <w:rsid w:val="00AA6A2C"/>
    <w:rsid w:val="00AA6C16"/>
    <w:rsid w:val="00AA71AD"/>
    <w:rsid w:val="00AA7A83"/>
    <w:rsid w:val="00AA7C54"/>
    <w:rsid w:val="00AA7D70"/>
    <w:rsid w:val="00AB024E"/>
    <w:rsid w:val="00AB05ED"/>
    <w:rsid w:val="00AB08F9"/>
    <w:rsid w:val="00AB0B10"/>
    <w:rsid w:val="00AB0E70"/>
    <w:rsid w:val="00AB10A5"/>
    <w:rsid w:val="00AB1EF4"/>
    <w:rsid w:val="00AB2302"/>
    <w:rsid w:val="00AB250E"/>
    <w:rsid w:val="00AB258C"/>
    <w:rsid w:val="00AB3924"/>
    <w:rsid w:val="00AB425D"/>
    <w:rsid w:val="00AB4440"/>
    <w:rsid w:val="00AB51B9"/>
    <w:rsid w:val="00AB5200"/>
    <w:rsid w:val="00AB545C"/>
    <w:rsid w:val="00AB58DA"/>
    <w:rsid w:val="00AB5B0E"/>
    <w:rsid w:val="00AB5F51"/>
    <w:rsid w:val="00AB6541"/>
    <w:rsid w:val="00AB6C70"/>
    <w:rsid w:val="00AB6E3F"/>
    <w:rsid w:val="00AB7015"/>
    <w:rsid w:val="00AB7065"/>
    <w:rsid w:val="00AB73DF"/>
    <w:rsid w:val="00AB792C"/>
    <w:rsid w:val="00AB7A6C"/>
    <w:rsid w:val="00AB7FC2"/>
    <w:rsid w:val="00AC01C1"/>
    <w:rsid w:val="00AC0A5C"/>
    <w:rsid w:val="00AC0C06"/>
    <w:rsid w:val="00AC0CB5"/>
    <w:rsid w:val="00AC1613"/>
    <w:rsid w:val="00AC17EE"/>
    <w:rsid w:val="00AC1A1B"/>
    <w:rsid w:val="00AC1B2D"/>
    <w:rsid w:val="00AC1BE3"/>
    <w:rsid w:val="00AC1FE2"/>
    <w:rsid w:val="00AC222B"/>
    <w:rsid w:val="00AC22A5"/>
    <w:rsid w:val="00AC244A"/>
    <w:rsid w:val="00AC26F9"/>
    <w:rsid w:val="00AC2849"/>
    <w:rsid w:val="00AC2960"/>
    <w:rsid w:val="00AC2D04"/>
    <w:rsid w:val="00AC2FDF"/>
    <w:rsid w:val="00AC325E"/>
    <w:rsid w:val="00AC3378"/>
    <w:rsid w:val="00AC345E"/>
    <w:rsid w:val="00AC366D"/>
    <w:rsid w:val="00AC36A5"/>
    <w:rsid w:val="00AC373E"/>
    <w:rsid w:val="00AC3B48"/>
    <w:rsid w:val="00AC3FC4"/>
    <w:rsid w:val="00AC4BBB"/>
    <w:rsid w:val="00AC4ECC"/>
    <w:rsid w:val="00AC4F0B"/>
    <w:rsid w:val="00AC5455"/>
    <w:rsid w:val="00AC56B3"/>
    <w:rsid w:val="00AC5765"/>
    <w:rsid w:val="00AC5C0A"/>
    <w:rsid w:val="00AC5D6D"/>
    <w:rsid w:val="00AC5E35"/>
    <w:rsid w:val="00AC5FED"/>
    <w:rsid w:val="00AC6388"/>
    <w:rsid w:val="00AC64E1"/>
    <w:rsid w:val="00AC6597"/>
    <w:rsid w:val="00AC65E7"/>
    <w:rsid w:val="00AC69D5"/>
    <w:rsid w:val="00AC69E0"/>
    <w:rsid w:val="00AC6AAC"/>
    <w:rsid w:val="00AC6BE6"/>
    <w:rsid w:val="00AC72BB"/>
    <w:rsid w:val="00AC748B"/>
    <w:rsid w:val="00AC7620"/>
    <w:rsid w:val="00AC7685"/>
    <w:rsid w:val="00AC77D5"/>
    <w:rsid w:val="00AC7998"/>
    <w:rsid w:val="00AC7A9B"/>
    <w:rsid w:val="00AC7B65"/>
    <w:rsid w:val="00AD078B"/>
    <w:rsid w:val="00AD09BB"/>
    <w:rsid w:val="00AD0B48"/>
    <w:rsid w:val="00AD1356"/>
    <w:rsid w:val="00AD15A9"/>
    <w:rsid w:val="00AD193B"/>
    <w:rsid w:val="00AD199B"/>
    <w:rsid w:val="00AD19F8"/>
    <w:rsid w:val="00AD1DC3"/>
    <w:rsid w:val="00AD2C05"/>
    <w:rsid w:val="00AD2F6C"/>
    <w:rsid w:val="00AD3055"/>
    <w:rsid w:val="00AD307B"/>
    <w:rsid w:val="00AD326D"/>
    <w:rsid w:val="00AD346C"/>
    <w:rsid w:val="00AD3855"/>
    <w:rsid w:val="00AD3A2E"/>
    <w:rsid w:val="00AD3F9E"/>
    <w:rsid w:val="00AD498F"/>
    <w:rsid w:val="00AD4C3F"/>
    <w:rsid w:val="00AD5015"/>
    <w:rsid w:val="00AD55BA"/>
    <w:rsid w:val="00AD5CBE"/>
    <w:rsid w:val="00AD5E0B"/>
    <w:rsid w:val="00AD6466"/>
    <w:rsid w:val="00AD6A0B"/>
    <w:rsid w:val="00AD6B7A"/>
    <w:rsid w:val="00AD6E59"/>
    <w:rsid w:val="00AD6EA6"/>
    <w:rsid w:val="00AD76C7"/>
    <w:rsid w:val="00AD79C0"/>
    <w:rsid w:val="00AD79F5"/>
    <w:rsid w:val="00AD7CB4"/>
    <w:rsid w:val="00AD7D18"/>
    <w:rsid w:val="00AD7DC5"/>
    <w:rsid w:val="00AE01A6"/>
    <w:rsid w:val="00AE0859"/>
    <w:rsid w:val="00AE0BCF"/>
    <w:rsid w:val="00AE12A1"/>
    <w:rsid w:val="00AE13AF"/>
    <w:rsid w:val="00AE17BE"/>
    <w:rsid w:val="00AE19F3"/>
    <w:rsid w:val="00AE2DBD"/>
    <w:rsid w:val="00AE2E90"/>
    <w:rsid w:val="00AE2ED9"/>
    <w:rsid w:val="00AE313C"/>
    <w:rsid w:val="00AE3727"/>
    <w:rsid w:val="00AE38E3"/>
    <w:rsid w:val="00AE3A5D"/>
    <w:rsid w:val="00AE3AFC"/>
    <w:rsid w:val="00AE3C66"/>
    <w:rsid w:val="00AE4199"/>
    <w:rsid w:val="00AE4D7A"/>
    <w:rsid w:val="00AE4DCE"/>
    <w:rsid w:val="00AE5207"/>
    <w:rsid w:val="00AE57B7"/>
    <w:rsid w:val="00AE587D"/>
    <w:rsid w:val="00AE59A3"/>
    <w:rsid w:val="00AE5B5B"/>
    <w:rsid w:val="00AE5E63"/>
    <w:rsid w:val="00AE5E7C"/>
    <w:rsid w:val="00AE6CC2"/>
    <w:rsid w:val="00AE72BC"/>
    <w:rsid w:val="00AE7397"/>
    <w:rsid w:val="00AE7D40"/>
    <w:rsid w:val="00AF0271"/>
    <w:rsid w:val="00AF0321"/>
    <w:rsid w:val="00AF0504"/>
    <w:rsid w:val="00AF081A"/>
    <w:rsid w:val="00AF085A"/>
    <w:rsid w:val="00AF0B97"/>
    <w:rsid w:val="00AF120A"/>
    <w:rsid w:val="00AF189F"/>
    <w:rsid w:val="00AF1A7B"/>
    <w:rsid w:val="00AF1B3C"/>
    <w:rsid w:val="00AF213E"/>
    <w:rsid w:val="00AF23B5"/>
    <w:rsid w:val="00AF287F"/>
    <w:rsid w:val="00AF2914"/>
    <w:rsid w:val="00AF2FCF"/>
    <w:rsid w:val="00AF30A1"/>
    <w:rsid w:val="00AF3589"/>
    <w:rsid w:val="00AF3E4C"/>
    <w:rsid w:val="00AF47FD"/>
    <w:rsid w:val="00AF4B75"/>
    <w:rsid w:val="00AF4D72"/>
    <w:rsid w:val="00AF4E68"/>
    <w:rsid w:val="00AF57EF"/>
    <w:rsid w:val="00AF5955"/>
    <w:rsid w:val="00AF59A3"/>
    <w:rsid w:val="00AF5D7F"/>
    <w:rsid w:val="00AF5F30"/>
    <w:rsid w:val="00AF620B"/>
    <w:rsid w:val="00AF6629"/>
    <w:rsid w:val="00AF67FC"/>
    <w:rsid w:val="00AF6916"/>
    <w:rsid w:val="00AF7086"/>
    <w:rsid w:val="00AF70E0"/>
    <w:rsid w:val="00AF71C0"/>
    <w:rsid w:val="00AF731A"/>
    <w:rsid w:val="00AF7457"/>
    <w:rsid w:val="00B00240"/>
    <w:rsid w:val="00B004D6"/>
    <w:rsid w:val="00B006CC"/>
    <w:rsid w:val="00B0084C"/>
    <w:rsid w:val="00B009BB"/>
    <w:rsid w:val="00B00D8C"/>
    <w:rsid w:val="00B0152E"/>
    <w:rsid w:val="00B01550"/>
    <w:rsid w:val="00B01562"/>
    <w:rsid w:val="00B01A99"/>
    <w:rsid w:val="00B029AF"/>
    <w:rsid w:val="00B029D2"/>
    <w:rsid w:val="00B02A0E"/>
    <w:rsid w:val="00B02C20"/>
    <w:rsid w:val="00B02F4E"/>
    <w:rsid w:val="00B032AE"/>
    <w:rsid w:val="00B033B1"/>
    <w:rsid w:val="00B04FFF"/>
    <w:rsid w:val="00B050BE"/>
    <w:rsid w:val="00B05357"/>
    <w:rsid w:val="00B053B7"/>
    <w:rsid w:val="00B05673"/>
    <w:rsid w:val="00B059C3"/>
    <w:rsid w:val="00B05C55"/>
    <w:rsid w:val="00B05D45"/>
    <w:rsid w:val="00B0663F"/>
    <w:rsid w:val="00B06A13"/>
    <w:rsid w:val="00B07432"/>
    <w:rsid w:val="00B07451"/>
    <w:rsid w:val="00B07AB8"/>
    <w:rsid w:val="00B1033C"/>
    <w:rsid w:val="00B1035D"/>
    <w:rsid w:val="00B10604"/>
    <w:rsid w:val="00B10774"/>
    <w:rsid w:val="00B10B96"/>
    <w:rsid w:val="00B10CB1"/>
    <w:rsid w:val="00B10F9C"/>
    <w:rsid w:val="00B11187"/>
    <w:rsid w:val="00B11446"/>
    <w:rsid w:val="00B11A00"/>
    <w:rsid w:val="00B12337"/>
    <w:rsid w:val="00B12404"/>
    <w:rsid w:val="00B125C3"/>
    <w:rsid w:val="00B12647"/>
    <w:rsid w:val="00B12675"/>
    <w:rsid w:val="00B12D2E"/>
    <w:rsid w:val="00B13012"/>
    <w:rsid w:val="00B130C7"/>
    <w:rsid w:val="00B133AD"/>
    <w:rsid w:val="00B13654"/>
    <w:rsid w:val="00B13DFB"/>
    <w:rsid w:val="00B13FBB"/>
    <w:rsid w:val="00B1406E"/>
    <w:rsid w:val="00B14A5F"/>
    <w:rsid w:val="00B15321"/>
    <w:rsid w:val="00B15347"/>
    <w:rsid w:val="00B157C9"/>
    <w:rsid w:val="00B158C1"/>
    <w:rsid w:val="00B15B08"/>
    <w:rsid w:val="00B15D2B"/>
    <w:rsid w:val="00B1625E"/>
    <w:rsid w:val="00B16410"/>
    <w:rsid w:val="00B1777A"/>
    <w:rsid w:val="00B17C79"/>
    <w:rsid w:val="00B17CFE"/>
    <w:rsid w:val="00B20083"/>
    <w:rsid w:val="00B2052E"/>
    <w:rsid w:val="00B209D1"/>
    <w:rsid w:val="00B20E7B"/>
    <w:rsid w:val="00B20F97"/>
    <w:rsid w:val="00B2115F"/>
    <w:rsid w:val="00B21247"/>
    <w:rsid w:val="00B21B71"/>
    <w:rsid w:val="00B21DE4"/>
    <w:rsid w:val="00B21F08"/>
    <w:rsid w:val="00B21FBA"/>
    <w:rsid w:val="00B220E3"/>
    <w:rsid w:val="00B220F4"/>
    <w:rsid w:val="00B221F6"/>
    <w:rsid w:val="00B222D2"/>
    <w:rsid w:val="00B225E4"/>
    <w:rsid w:val="00B22B78"/>
    <w:rsid w:val="00B22C9B"/>
    <w:rsid w:val="00B2327E"/>
    <w:rsid w:val="00B232F9"/>
    <w:rsid w:val="00B23379"/>
    <w:rsid w:val="00B238F9"/>
    <w:rsid w:val="00B23F2B"/>
    <w:rsid w:val="00B2433A"/>
    <w:rsid w:val="00B248D9"/>
    <w:rsid w:val="00B24AF6"/>
    <w:rsid w:val="00B24CB3"/>
    <w:rsid w:val="00B24ECF"/>
    <w:rsid w:val="00B25599"/>
    <w:rsid w:val="00B255B8"/>
    <w:rsid w:val="00B25698"/>
    <w:rsid w:val="00B25957"/>
    <w:rsid w:val="00B25DEF"/>
    <w:rsid w:val="00B25F04"/>
    <w:rsid w:val="00B26BC4"/>
    <w:rsid w:val="00B26E70"/>
    <w:rsid w:val="00B26EDE"/>
    <w:rsid w:val="00B26F7F"/>
    <w:rsid w:val="00B2742F"/>
    <w:rsid w:val="00B27E20"/>
    <w:rsid w:val="00B300DD"/>
    <w:rsid w:val="00B30168"/>
    <w:rsid w:val="00B3022A"/>
    <w:rsid w:val="00B30279"/>
    <w:rsid w:val="00B3058F"/>
    <w:rsid w:val="00B305B3"/>
    <w:rsid w:val="00B3087E"/>
    <w:rsid w:val="00B30FFD"/>
    <w:rsid w:val="00B31745"/>
    <w:rsid w:val="00B3188F"/>
    <w:rsid w:val="00B318B2"/>
    <w:rsid w:val="00B31A73"/>
    <w:rsid w:val="00B32372"/>
    <w:rsid w:val="00B327F1"/>
    <w:rsid w:val="00B32912"/>
    <w:rsid w:val="00B32D4F"/>
    <w:rsid w:val="00B3309C"/>
    <w:rsid w:val="00B33579"/>
    <w:rsid w:val="00B340B6"/>
    <w:rsid w:val="00B341E5"/>
    <w:rsid w:val="00B347D3"/>
    <w:rsid w:val="00B3502C"/>
    <w:rsid w:val="00B35216"/>
    <w:rsid w:val="00B356A4"/>
    <w:rsid w:val="00B35BFC"/>
    <w:rsid w:val="00B361FA"/>
    <w:rsid w:val="00B3620A"/>
    <w:rsid w:val="00B362A0"/>
    <w:rsid w:val="00B362A7"/>
    <w:rsid w:val="00B362EF"/>
    <w:rsid w:val="00B36A9D"/>
    <w:rsid w:val="00B36BA9"/>
    <w:rsid w:val="00B36DBA"/>
    <w:rsid w:val="00B36F72"/>
    <w:rsid w:val="00B36FB5"/>
    <w:rsid w:val="00B379DE"/>
    <w:rsid w:val="00B37BF1"/>
    <w:rsid w:val="00B37C36"/>
    <w:rsid w:val="00B40307"/>
    <w:rsid w:val="00B40570"/>
    <w:rsid w:val="00B410CD"/>
    <w:rsid w:val="00B41480"/>
    <w:rsid w:val="00B41930"/>
    <w:rsid w:val="00B41992"/>
    <w:rsid w:val="00B41E04"/>
    <w:rsid w:val="00B41E97"/>
    <w:rsid w:val="00B42265"/>
    <w:rsid w:val="00B42423"/>
    <w:rsid w:val="00B42E95"/>
    <w:rsid w:val="00B431E6"/>
    <w:rsid w:val="00B43449"/>
    <w:rsid w:val="00B434AE"/>
    <w:rsid w:val="00B436F1"/>
    <w:rsid w:val="00B437EF"/>
    <w:rsid w:val="00B4385D"/>
    <w:rsid w:val="00B43864"/>
    <w:rsid w:val="00B43962"/>
    <w:rsid w:val="00B43AE0"/>
    <w:rsid w:val="00B43C2F"/>
    <w:rsid w:val="00B446D9"/>
    <w:rsid w:val="00B45083"/>
    <w:rsid w:val="00B451DA"/>
    <w:rsid w:val="00B45338"/>
    <w:rsid w:val="00B45B3F"/>
    <w:rsid w:val="00B45D92"/>
    <w:rsid w:val="00B45E45"/>
    <w:rsid w:val="00B45ECA"/>
    <w:rsid w:val="00B45F2E"/>
    <w:rsid w:val="00B465C7"/>
    <w:rsid w:val="00B46D8E"/>
    <w:rsid w:val="00B46DEB"/>
    <w:rsid w:val="00B470D4"/>
    <w:rsid w:val="00B47238"/>
    <w:rsid w:val="00B476C4"/>
    <w:rsid w:val="00B4778F"/>
    <w:rsid w:val="00B47A9C"/>
    <w:rsid w:val="00B47C29"/>
    <w:rsid w:val="00B47C52"/>
    <w:rsid w:val="00B5012B"/>
    <w:rsid w:val="00B501B6"/>
    <w:rsid w:val="00B509B5"/>
    <w:rsid w:val="00B50BA3"/>
    <w:rsid w:val="00B5134A"/>
    <w:rsid w:val="00B513E1"/>
    <w:rsid w:val="00B51ACA"/>
    <w:rsid w:val="00B51BF2"/>
    <w:rsid w:val="00B51C97"/>
    <w:rsid w:val="00B51F23"/>
    <w:rsid w:val="00B52614"/>
    <w:rsid w:val="00B5279C"/>
    <w:rsid w:val="00B528A5"/>
    <w:rsid w:val="00B52FF9"/>
    <w:rsid w:val="00B53005"/>
    <w:rsid w:val="00B530A6"/>
    <w:rsid w:val="00B53661"/>
    <w:rsid w:val="00B536B1"/>
    <w:rsid w:val="00B5371A"/>
    <w:rsid w:val="00B53769"/>
    <w:rsid w:val="00B53B23"/>
    <w:rsid w:val="00B549BE"/>
    <w:rsid w:val="00B54A3E"/>
    <w:rsid w:val="00B54CBC"/>
    <w:rsid w:val="00B54ECB"/>
    <w:rsid w:val="00B54F4F"/>
    <w:rsid w:val="00B55395"/>
    <w:rsid w:val="00B556EB"/>
    <w:rsid w:val="00B557E5"/>
    <w:rsid w:val="00B55911"/>
    <w:rsid w:val="00B55D36"/>
    <w:rsid w:val="00B55E8A"/>
    <w:rsid w:val="00B562E0"/>
    <w:rsid w:val="00B56660"/>
    <w:rsid w:val="00B56B64"/>
    <w:rsid w:val="00B577A5"/>
    <w:rsid w:val="00B57DB9"/>
    <w:rsid w:val="00B601CA"/>
    <w:rsid w:val="00B605BF"/>
    <w:rsid w:val="00B606C4"/>
    <w:rsid w:val="00B60816"/>
    <w:rsid w:val="00B60834"/>
    <w:rsid w:val="00B60844"/>
    <w:rsid w:val="00B608BD"/>
    <w:rsid w:val="00B6090B"/>
    <w:rsid w:val="00B60B85"/>
    <w:rsid w:val="00B6119A"/>
    <w:rsid w:val="00B61254"/>
    <w:rsid w:val="00B61351"/>
    <w:rsid w:val="00B61A55"/>
    <w:rsid w:val="00B61F14"/>
    <w:rsid w:val="00B621AC"/>
    <w:rsid w:val="00B62B16"/>
    <w:rsid w:val="00B62C09"/>
    <w:rsid w:val="00B62C40"/>
    <w:rsid w:val="00B62CC8"/>
    <w:rsid w:val="00B62D0F"/>
    <w:rsid w:val="00B6303B"/>
    <w:rsid w:val="00B635D0"/>
    <w:rsid w:val="00B63759"/>
    <w:rsid w:val="00B63838"/>
    <w:rsid w:val="00B6385D"/>
    <w:rsid w:val="00B63B01"/>
    <w:rsid w:val="00B63B2D"/>
    <w:rsid w:val="00B64B85"/>
    <w:rsid w:val="00B64F8E"/>
    <w:rsid w:val="00B64FC0"/>
    <w:rsid w:val="00B65172"/>
    <w:rsid w:val="00B65313"/>
    <w:rsid w:val="00B656AD"/>
    <w:rsid w:val="00B657CA"/>
    <w:rsid w:val="00B6584F"/>
    <w:rsid w:val="00B65917"/>
    <w:rsid w:val="00B65A5F"/>
    <w:rsid w:val="00B65BFC"/>
    <w:rsid w:val="00B669C0"/>
    <w:rsid w:val="00B6720A"/>
    <w:rsid w:val="00B67342"/>
    <w:rsid w:val="00B67F3D"/>
    <w:rsid w:val="00B7141B"/>
    <w:rsid w:val="00B719BF"/>
    <w:rsid w:val="00B72181"/>
    <w:rsid w:val="00B72552"/>
    <w:rsid w:val="00B726E1"/>
    <w:rsid w:val="00B7280B"/>
    <w:rsid w:val="00B72B4A"/>
    <w:rsid w:val="00B72B82"/>
    <w:rsid w:val="00B73092"/>
    <w:rsid w:val="00B735E7"/>
    <w:rsid w:val="00B7436A"/>
    <w:rsid w:val="00B74454"/>
    <w:rsid w:val="00B746FC"/>
    <w:rsid w:val="00B74F30"/>
    <w:rsid w:val="00B74FFC"/>
    <w:rsid w:val="00B755AA"/>
    <w:rsid w:val="00B75A73"/>
    <w:rsid w:val="00B75B23"/>
    <w:rsid w:val="00B75B43"/>
    <w:rsid w:val="00B7645E"/>
    <w:rsid w:val="00B764ED"/>
    <w:rsid w:val="00B76526"/>
    <w:rsid w:val="00B76B96"/>
    <w:rsid w:val="00B76C72"/>
    <w:rsid w:val="00B76E97"/>
    <w:rsid w:val="00B776B1"/>
    <w:rsid w:val="00B77871"/>
    <w:rsid w:val="00B77A63"/>
    <w:rsid w:val="00B77A90"/>
    <w:rsid w:val="00B77C9F"/>
    <w:rsid w:val="00B77E96"/>
    <w:rsid w:val="00B80097"/>
    <w:rsid w:val="00B800FB"/>
    <w:rsid w:val="00B80B24"/>
    <w:rsid w:val="00B81201"/>
    <w:rsid w:val="00B81202"/>
    <w:rsid w:val="00B81251"/>
    <w:rsid w:val="00B8131A"/>
    <w:rsid w:val="00B8145C"/>
    <w:rsid w:val="00B81566"/>
    <w:rsid w:val="00B81886"/>
    <w:rsid w:val="00B81DD6"/>
    <w:rsid w:val="00B821FB"/>
    <w:rsid w:val="00B82583"/>
    <w:rsid w:val="00B82746"/>
    <w:rsid w:val="00B82946"/>
    <w:rsid w:val="00B82A75"/>
    <w:rsid w:val="00B82A96"/>
    <w:rsid w:val="00B8348C"/>
    <w:rsid w:val="00B83846"/>
    <w:rsid w:val="00B84648"/>
    <w:rsid w:val="00B84DB3"/>
    <w:rsid w:val="00B8535C"/>
    <w:rsid w:val="00B8572D"/>
    <w:rsid w:val="00B8620D"/>
    <w:rsid w:val="00B86AD0"/>
    <w:rsid w:val="00B86D84"/>
    <w:rsid w:val="00B870A0"/>
    <w:rsid w:val="00B87AAE"/>
    <w:rsid w:val="00B87E17"/>
    <w:rsid w:val="00B90023"/>
    <w:rsid w:val="00B90867"/>
    <w:rsid w:val="00B90CE2"/>
    <w:rsid w:val="00B90E04"/>
    <w:rsid w:val="00B90E84"/>
    <w:rsid w:val="00B91042"/>
    <w:rsid w:val="00B918D4"/>
    <w:rsid w:val="00B91C50"/>
    <w:rsid w:val="00B92885"/>
    <w:rsid w:val="00B929FA"/>
    <w:rsid w:val="00B92AE8"/>
    <w:rsid w:val="00B92E22"/>
    <w:rsid w:val="00B92E69"/>
    <w:rsid w:val="00B93015"/>
    <w:rsid w:val="00B93019"/>
    <w:rsid w:val="00B934A3"/>
    <w:rsid w:val="00B934FC"/>
    <w:rsid w:val="00B9365F"/>
    <w:rsid w:val="00B93E99"/>
    <w:rsid w:val="00B93F88"/>
    <w:rsid w:val="00B93FD2"/>
    <w:rsid w:val="00B94296"/>
    <w:rsid w:val="00B9444C"/>
    <w:rsid w:val="00B9497F"/>
    <w:rsid w:val="00B94E7E"/>
    <w:rsid w:val="00B950E5"/>
    <w:rsid w:val="00B952A0"/>
    <w:rsid w:val="00B95361"/>
    <w:rsid w:val="00B9549B"/>
    <w:rsid w:val="00B95601"/>
    <w:rsid w:val="00B95BB0"/>
    <w:rsid w:val="00B96138"/>
    <w:rsid w:val="00B96882"/>
    <w:rsid w:val="00B96D83"/>
    <w:rsid w:val="00B96ECE"/>
    <w:rsid w:val="00B96F45"/>
    <w:rsid w:val="00B97421"/>
    <w:rsid w:val="00B97C59"/>
    <w:rsid w:val="00B97E0C"/>
    <w:rsid w:val="00BA084E"/>
    <w:rsid w:val="00BA0BE4"/>
    <w:rsid w:val="00BA0D30"/>
    <w:rsid w:val="00BA0D51"/>
    <w:rsid w:val="00BA16B6"/>
    <w:rsid w:val="00BA1701"/>
    <w:rsid w:val="00BA1828"/>
    <w:rsid w:val="00BA19F8"/>
    <w:rsid w:val="00BA1B7D"/>
    <w:rsid w:val="00BA21C9"/>
    <w:rsid w:val="00BA285F"/>
    <w:rsid w:val="00BA2BEC"/>
    <w:rsid w:val="00BA2D73"/>
    <w:rsid w:val="00BA3293"/>
    <w:rsid w:val="00BA338C"/>
    <w:rsid w:val="00BA34FB"/>
    <w:rsid w:val="00BA394F"/>
    <w:rsid w:val="00BA3B28"/>
    <w:rsid w:val="00BA3F29"/>
    <w:rsid w:val="00BA474E"/>
    <w:rsid w:val="00BA4905"/>
    <w:rsid w:val="00BA51FF"/>
    <w:rsid w:val="00BA5452"/>
    <w:rsid w:val="00BA5C11"/>
    <w:rsid w:val="00BA62B8"/>
    <w:rsid w:val="00BA641A"/>
    <w:rsid w:val="00BA668D"/>
    <w:rsid w:val="00BA6818"/>
    <w:rsid w:val="00BA6E6F"/>
    <w:rsid w:val="00BA6F16"/>
    <w:rsid w:val="00BA7339"/>
    <w:rsid w:val="00BA7C0A"/>
    <w:rsid w:val="00BA7FE0"/>
    <w:rsid w:val="00BB0251"/>
    <w:rsid w:val="00BB0435"/>
    <w:rsid w:val="00BB05AA"/>
    <w:rsid w:val="00BB0844"/>
    <w:rsid w:val="00BB08AC"/>
    <w:rsid w:val="00BB08F7"/>
    <w:rsid w:val="00BB09A6"/>
    <w:rsid w:val="00BB0E04"/>
    <w:rsid w:val="00BB1126"/>
    <w:rsid w:val="00BB12F2"/>
    <w:rsid w:val="00BB133C"/>
    <w:rsid w:val="00BB1341"/>
    <w:rsid w:val="00BB1355"/>
    <w:rsid w:val="00BB1542"/>
    <w:rsid w:val="00BB15EA"/>
    <w:rsid w:val="00BB1DDF"/>
    <w:rsid w:val="00BB2061"/>
    <w:rsid w:val="00BB2182"/>
    <w:rsid w:val="00BB2355"/>
    <w:rsid w:val="00BB2428"/>
    <w:rsid w:val="00BB2AB2"/>
    <w:rsid w:val="00BB2ED2"/>
    <w:rsid w:val="00BB3046"/>
    <w:rsid w:val="00BB3603"/>
    <w:rsid w:val="00BB3E58"/>
    <w:rsid w:val="00BB3E91"/>
    <w:rsid w:val="00BB4213"/>
    <w:rsid w:val="00BB4698"/>
    <w:rsid w:val="00BB4951"/>
    <w:rsid w:val="00BB4ADC"/>
    <w:rsid w:val="00BB4C09"/>
    <w:rsid w:val="00BB50D2"/>
    <w:rsid w:val="00BB5502"/>
    <w:rsid w:val="00BB5E1F"/>
    <w:rsid w:val="00BB612E"/>
    <w:rsid w:val="00BB6152"/>
    <w:rsid w:val="00BB62C1"/>
    <w:rsid w:val="00BB6B35"/>
    <w:rsid w:val="00BB71CB"/>
    <w:rsid w:val="00BB75E8"/>
    <w:rsid w:val="00BB789C"/>
    <w:rsid w:val="00BB7D2B"/>
    <w:rsid w:val="00BB7FA9"/>
    <w:rsid w:val="00BC0002"/>
    <w:rsid w:val="00BC07B8"/>
    <w:rsid w:val="00BC0EE1"/>
    <w:rsid w:val="00BC1048"/>
    <w:rsid w:val="00BC11A5"/>
    <w:rsid w:val="00BC12EB"/>
    <w:rsid w:val="00BC14E5"/>
    <w:rsid w:val="00BC152B"/>
    <w:rsid w:val="00BC18E7"/>
    <w:rsid w:val="00BC1A78"/>
    <w:rsid w:val="00BC1E53"/>
    <w:rsid w:val="00BC1F30"/>
    <w:rsid w:val="00BC206A"/>
    <w:rsid w:val="00BC264D"/>
    <w:rsid w:val="00BC385B"/>
    <w:rsid w:val="00BC3C8F"/>
    <w:rsid w:val="00BC3EDE"/>
    <w:rsid w:val="00BC3EE3"/>
    <w:rsid w:val="00BC41E9"/>
    <w:rsid w:val="00BC4327"/>
    <w:rsid w:val="00BC4BCD"/>
    <w:rsid w:val="00BC4CCC"/>
    <w:rsid w:val="00BC4EC4"/>
    <w:rsid w:val="00BC51C3"/>
    <w:rsid w:val="00BC5489"/>
    <w:rsid w:val="00BC57DA"/>
    <w:rsid w:val="00BC5DFF"/>
    <w:rsid w:val="00BC5FC9"/>
    <w:rsid w:val="00BC61C3"/>
    <w:rsid w:val="00BC62FA"/>
    <w:rsid w:val="00BC6322"/>
    <w:rsid w:val="00BC659F"/>
    <w:rsid w:val="00BC6607"/>
    <w:rsid w:val="00BC667E"/>
    <w:rsid w:val="00BC71B9"/>
    <w:rsid w:val="00BC7448"/>
    <w:rsid w:val="00BC74E1"/>
    <w:rsid w:val="00BC7634"/>
    <w:rsid w:val="00BC779F"/>
    <w:rsid w:val="00BC7D88"/>
    <w:rsid w:val="00BD008C"/>
    <w:rsid w:val="00BD1436"/>
    <w:rsid w:val="00BD1544"/>
    <w:rsid w:val="00BD1D98"/>
    <w:rsid w:val="00BD24AF"/>
    <w:rsid w:val="00BD2BFC"/>
    <w:rsid w:val="00BD2C70"/>
    <w:rsid w:val="00BD30EC"/>
    <w:rsid w:val="00BD317A"/>
    <w:rsid w:val="00BD32A3"/>
    <w:rsid w:val="00BD373D"/>
    <w:rsid w:val="00BD461A"/>
    <w:rsid w:val="00BD4D96"/>
    <w:rsid w:val="00BD4F17"/>
    <w:rsid w:val="00BD5F7B"/>
    <w:rsid w:val="00BD6482"/>
    <w:rsid w:val="00BD6614"/>
    <w:rsid w:val="00BD6C77"/>
    <w:rsid w:val="00BD6D3E"/>
    <w:rsid w:val="00BD7129"/>
    <w:rsid w:val="00BD7169"/>
    <w:rsid w:val="00BD740E"/>
    <w:rsid w:val="00BD74CC"/>
    <w:rsid w:val="00BD77C8"/>
    <w:rsid w:val="00BD7CF1"/>
    <w:rsid w:val="00BD7EC2"/>
    <w:rsid w:val="00BE01EF"/>
    <w:rsid w:val="00BE0309"/>
    <w:rsid w:val="00BE090A"/>
    <w:rsid w:val="00BE0910"/>
    <w:rsid w:val="00BE0AAD"/>
    <w:rsid w:val="00BE0AE4"/>
    <w:rsid w:val="00BE0CC7"/>
    <w:rsid w:val="00BE0E4E"/>
    <w:rsid w:val="00BE0F83"/>
    <w:rsid w:val="00BE1195"/>
    <w:rsid w:val="00BE12AE"/>
    <w:rsid w:val="00BE23FB"/>
    <w:rsid w:val="00BE2DF9"/>
    <w:rsid w:val="00BE3491"/>
    <w:rsid w:val="00BE34A2"/>
    <w:rsid w:val="00BE3601"/>
    <w:rsid w:val="00BE3B68"/>
    <w:rsid w:val="00BE40D9"/>
    <w:rsid w:val="00BE41E4"/>
    <w:rsid w:val="00BE456A"/>
    <w:rsid w:val="00BE4B18"/>
    <w:rsid w:val="00BE4CCF"/>
    <w:rsid w:val="00BE514C"/>
    <w:rsid w:val="00BE5312"/>
    <w:rsid w:val="00BE531C"/>
    <w:rsid w:val="00BE55EE"/>
    <w:rsid w:val="00BE57B3"/>
    <w:rsid w:val="00BE57BF"/>
    <w:rsid w:val="00BE58D3"/>
    <w:rsid w:val="00BE5BAB"/>
    <w:rsid w:val="00BE5CAC"/>
    <w:rsid w:val="00BE6390"/>
    <w:rsid w:val="00BE63D6"/>
    <w:rsid w:val="00BE6465"/>
    <w:rsid w:val="00BE65B8"/>
    <w:rsid w:val="00BE6776"/>
    <w:rsid w:val="00BE67D8"/>
    <w:rsid w:val="00BE69CE"/>
    <w:rsid w:val="00BE7206"/>
    <w:rsid w:val="00BE7688"/>
    <w:rsid w:val="00BE7A4F"/>
    <w:rsid w:val="00BE7E97"/>
    <w:rsid w:val="00BF06EE"/>
    <w:rsid w:val="00BF09E9"/>
    <w:rsid w:val="00BF0C18"/>
    <w:rsid w:val="00BF0F14"/>
    <w:rsid w:val="00BF1108"/>
    <w:rsid w:val="00BF1384"/>
    <w:rsid w:val="00BF1D69"/>
    <w:rsid w:val="00BF1DE6"/>
    <w:rsid w:val="00BF2105"/>
    <w:rsid w:val="00BF2904"/>
    <w:rsid w:val="00BF2A3F"/>
    <w:rsid w:val="00BF36BC"/>
    <w:rsid w:val="00BF3CC6"/>
    <w:rsid w:val="00BF4006"/>
    <w:rsid w:val="00BF4102"/>
    <w:rsid w:val="00BF4508"/>
    <w:rsid w:val="00BF52F3"/>
    <w:rsid w:val="00BF5375"/>
    <w:rsid w:val="00BF5460"/>
    <w:rsid w:val="00BF5618"/>
    <w:rsid w:val="00BF5852"/>
    <w:rsid w:val="00BF5E42"/>
    <w:rsid w:val="00BF5E96"/>
    <w:rsid w:val="00BF6346"/>
    <w:rsid w:val="00BF6720"/>
    <w:rsid w:val="00BF6ED3"/>
    <w:rsid w:val="00BF708A"/>
    <w:rsid w:val="00BF7137"/>
    <w:rsid w:val="00BF72BC"/>
    <w:rsid w:val="00BF77E7"/>
    <w:rsid w:val="00C001D5"/>
    <w:rsid w:val="00C0073C"/>
    <w:rsid w:val="00C00826"/>
    <w:rsid w:val="00C00A26"/>
    <w:rsid w:val="00C00BB9"/>
    <w:rsid w:val="00C00F70"/>
    <w:rsid w:val="00C01175"/>
    <w:rsid w:val="00C018AA"/>
    <w:rsid w:val="00C021E9"/>
    <w:rsid w:val="00C02369"/>
    <w:rsid w:val="00C037E4"/>
    <w:rsid w:val="00C039A7"/>
    <w:rsid w:val="00C03C4D"/>
    <w:rsid w:val="00C03F72"/>
    <w:rsid w:val="00C044BC"/>
    <w:rsid w:val="00C04554"/>
    <w:rsid w:val="00C04C6A"/>
    <w:rsid w:val="00C04CE5"/>
    <w:rsid w:val="00C05188"/>
    <w:rsid w:val="00C051B5"/>
    <w:rsid w:val="00C0563A"/>
    <w:rsid w:val="00C056DA"/>
    <w:rsid w:val="00C066E8"/>
    <w:rsid w:val="00C0682C"/>
    <w:rsid w:val="00C078CF"/>
    <w:rsid w:val="00C07935"/>
    <w:rsid w:val="00C07C31"/>
    <w:rsid w:val="00C1068D"/>
    <w:rsid w:val="00C10AE4"/>
    <w:rsid w:val="00C10D46"/>
    <w:rsid w:val="00C11314"/>
    <w:rsid w:val="00C11BAC"/>
    <w:rsid w:val="00C11BBB"/>
    <w:rsid w:val="00C1209D"/>
    <w:rsid w:val="00C127F8"/>
    <w:rsid w:val="00C12CF0"/>
    <w:rsid w:val="00C12CF8"/>
    <w:rsid w:val="00C1304A"/>
    <w:rsid w:val="00C132B2"/>
    <w:rsid w:val="00C13443"/>
    <w:rsid w:val="00C1361A"/>
    <w:rsid w:val="00C13946"/>
    <w:rsid w:val="00C1399A"/>
    <w:rsid w:val="00C13B42"/>
    <w:rsid w:val="00C13CA6"/>
    <w:rsid w:val="00C14782"/>
    <w:rsid w:val="00C14A9C"/>
    <w:rsid w:val="00C14D8B"/>
    <w:rsid w:val="00C14F05"/>
    <w:rsid w:val="00C15A6F"/>
    <w:rsid w:val="00C16B47"/>
    <w:rsid w:val="00C170A7"/>
    <w:rsid w:val="00C174D1"/>
    <w:rsid w:val="00C175A3"/>
    <w:rsid w:val="00C1776B"/>
    <w:rsid w:val="00C17942"/>
    <w:rsid w:val="00C17B53"/>
    <w:rsid w:val="00C17B56"/>
    <w:rsid w:val="00C17D98"/>
    <w:rsid w:val="00C17EC3"/>
    <w:rsid w:val="00C203A5"/>
    <w:rsid w:val="00C20D91"/>
    <w:rsid w:val="00C2123F"/>
    <w:rsid w:val="00C214E2"/>
    <w:rsid w:val="00C215AF"/>
    <w:rsid w:val="00C2160A"/>
    <w:rsid w:val="00C21A55"/>
    <w:rsid w:val="00C21D3E"/>
    <w:rsid w:val="00C2270D"/>
    <w:rsid w:val="00C22982"/>
    <w:rsid w:val="00C2325B"/>
    <w:rsid w:val="00C23274"/>
    <w:rsid w:val="00C232B0"/>
    <w:rsid w:val="00C2332F"/>
    <w:rsid w:val="00C2354F"/>
    <w:rsid w:val="00C237A3"/>
    <w:rsid w:val="00C23FC4"/>
    <w:rsid w:val="00C242A1"/>
    <w:rsid w:val="00C24699"/>
    <w:rsid w:val="00C24757"/>
    <w:rsid w:val="00C24A2F"/>
    <w:rsid w:val="00C24E11"/>
    <w:rsid w:val="00C24E70"/>
    <w:rsid w:val="00C24EB9"/>
    <w:rsid w:val="00C24F18"/>
    <w:rsid w:val="00C250E9"/>
    <w:rsid w:val="00C25850"/>
    <w:rsid w:val="00C2596A"/>
    <w:rsid w:val="00C25E87"/>
    <w:rsid w:val="00C25EE9"/>
    <w:rsid w:val="00C2675B"/>
    <w:rsid w:val="00C2676E"/>
    <w:rsid w:val="00C26AF3"/>
    <w:rsid w:val="00C2733B"/>
    <w:rsid w:val="00C278F3"/>
    <w:rsid w:val="00C27B20"/>
    <w:rsid w:val="00C27C7B"/>
    <w:rsid w:val="00C30276"/>
    <w:rsid w:val="00C30492"/>
    <w:rsid w:val="00C30610"/>
    <w:rsid w:val="00C30CCA"/>
    <w:rsid w:val="00C31128"/>
    <w:rsid w:val="00C319F9"/>
    <w:rsid w:val="00C31B98"/>
    <w:rsid w:val="00C31D76"/>
    <w:rsid w:val="00C31F61"/>
    <w:rsid w:val="00C31F68"/>
    <w:rsid w:val="00C3226F"/>
    <w:rsid w:val="00C32348"/>
    <w:rsid w:val="00C3266E"/>
    <w:rsid w:val="00C32C08"/>
    <w:rsid w:val="00C32E00"/>
    <w:rsid w:val="00C32E8C"/>
    <w:rsid w:val="00C32F70"/>
    <w:rsid w:val="00C33514"/>
    <w:rsid w:val="00C33622"/>
    <w:rsid w:val="00C33825"/>
    <w:rsid w:val="00C342D9"/>
    <w:rsid w:val="00C3461F"/>
    <w:rsid w:val="00C34649"/>
    <w:rsid w:val="00C34CD3"/>
    <w:rsid w:val="00C3508D"/>
    <w:rsid w:val="00C354C0"/>
    <w:rsid w:val="00C354C8"/>
    <w:rsid w:val="00C35593"/>
    <w:rsid w:val="00C35664"/>
    <w:rsid w:val="00C35941"/>
    <w:rsid w:val="00C35CDA"/>
    <w:rsid w:val="00C368B5"/>
    <w:rsid w:val="00C36FB7"/>
    <w:rsid w:val="00C36FE7"/>
    <w:rsid w:val="00C371C3"/>
    <w:rsid w:val="00C376D2"/>
    <w:rsid w:val="00C37E1A"/>
    <w:rsid w:val="00C40044"/>
    <w:rsid w:val="00C401A0"/>
    <w:rsid w:val="00C40251"/>
    <w:rsid w:val="00C40A92"/>
    <w:rsid w:val="00C4167D"/>
    <w:rsid w:val="00C41A39"/>
    <w:rsid w:val="00C41BF7"/>
    <w:rsid w:val="00C4223C"/>
    <w:rsid w:val="00C42676"/>
    <w:rsid w:val="00C42905"/>
    <w:rsid w:val="00C42A09"/>
    <w:rsid w:val="00C42ADC"/>
    <w:rsid w:val="00C42BA9"/>
    <w:rsid w:val="00C42D5C"/>
    <w:rsid w:val="00C43511"/>
    <w:rsid w:val="00C43CDE"/>
    <w:rsid w:val="00C43E3C"/>
    <w:rsid w:val="00C43F14"/>
    <w:rsid w:val="00C44076"/>
    <w:rsid w:val="00C44595"/>
    <w:rsid w:val="00C44CFE"/>
    <w:rsid w:val="00C45076"/>
    <w:rsid w:val="00C454AC"/>
    <w:rsid w:val="00C45C04"/>
    <w:rsid w:val="00C45DA5"/>
    <w:rsid w:val="00C45EDF"/>
    <w:rsid w:val="00C45F09"/>
    <w:rsid w:val="00C45F23"/>
    <w:rsid w:val="00C460E7"/>
    <w:rsid w:val="00C468FD"/>
    <w:rsid w:val="00C46B9D"/>
    <w:rsid w:val="00C46C3A"/>
    <w:rsid w:val="00C46EB0"/>
    <w:rsid w:val="00C478E8"/>
    <w:rsid w:val="00C47C06"/>
    <w:rsid w:val="00C47E44"/>
    <w:rsid w:val="00C47EE3"/>
    <w:rsid w:val="00C506A4"/>
    <w:rsid w:val="00C507C5"/>
    <w:rsid w:val="00C508DE"/>
    <w:rsid w:val="00C50EB6"/>
    <w:rsid w:val="00C5118B"/>
    <w:rsid w:val="00C512C1"/>
    <w:rsid w:val="00C5140B"/>
    <w:rsid w:val="00C5159D"/>
    <w:rsid w:val="00C5187B"/>
    <w:rsid w:val="00C518A0"/>
    <w:rsid w:val="00C51A32"/>
    <w:rsid w:val="00C51B32"/>
    <w:rsid w:val="00C51BB1"/>
    <w:rsid w:val="00C51C49"/>
    <w:rsid w:val="00C51FB6"/>
    <w:rsid w:val="00C52658"/>
    <w:rsid w:val="00C52771"/>
    <w:rsid w:val="00C52773"/>
    <w:rsid w:val="00C52AF7"/>
    <w:rsid w:val="00C52D6E"/>
    <w:rsid w:val="00C53288"/>
    <w:rsid w:val="00C532E0"/>
    <w:rsid w:val="00C5340E"/>
    <w:rsid w:val="00C53484"/>
    <w:rsid w:val="00C5361A"/>
    <w:rsid w:val="00C53888"/>
    <w:rsid w:val="00C53D74"/>
    <w:rsid w:val="00C541AF"/>
    <w:rsid w:val="00C541EE"/>
    <w:rsid w:val="00C54321"/>
    <w:rsid w:val="00C543E0"/>
    <w:rsid w:val="00C5458C"/>
    <w:rsid w:val="00C54662"/>
    <w:rsid w:val="00C5481C"/>
    <w:rsid w:val="00C54C3C"/>
    <w:rsid w:val="00C54D26"/>
    <w:rsid w:val="00C54F87"/>
    <w:rsid w:val="00C5520E"/>
    <w:rsid w:val="00C55366"/>
    <w:rsid w:val="00C55454"/>
    <w:rsid w:val="00C55E9C"/>
    <w:rsid w:val="00C55F42"/>
    <w:rsid w:val="00C56075"/>
    <w:rsid w:val="00C5630E"/>
    <w:rsid w:val="00C5657D"/>
    <w:rsid w:val="00C56953"/>
    <w:rsid w:val="00C56CC5"/>
    <w:rsid w:val="00C56E87"/>
    <w:rsid w:val="00C56E8A"/>
    <w:rsid w:val="00C5713F"/>
    <w:rsid w:val="00C572E1"/>
    <w:rsid w:val="00C57397"/>
    <w:rsid w:val="00C574B6"/>
    <w:rsid w:val="00C576B9"/>
    <w:rsid w:val="00C576F1"/>
    <w:rsid w:val="00C57CF9"/>
    <w:rsid w:val="00C57E1C"/>
    <w:rsid w:val="00C603AF"/>
    <w:rsid w:val="00C606C2"/>
    <w:rsid w:val="00C608AA"/>
    <w:rsid w:val="00C610C2"/>
    <w:rsid w:val="00C61212"/>
    <w:rsid w:val="00C61BCE"/>
    <w:rsid w:val="00C6237C"/>
    <w:rsid w:val="00C627DF"/>
    <w:rsid w:val="00C62F6D"/>
    <w:rsid w:val="00C6333A"/>
    <w:rsid w:val="00C635EA"/>
    <w:rsid w:val="00C64362"/>
    <w:rsid w:val="00C6460F"/>
    <w:rsid w:val="00C647AA"/>
    <w:rsid w:val="00C64C7B"/>
    <w:rsid w:val="00C64DA7"/>
    <w:rsid w:val="00C6523B"/>
    <w:rsid w:val="00C652FC"/>
    <w:rsid w:val="00C6551B"/>
    <w:rsid w:val="00C655A6"/>
    <w:rsid w:val="00C6570C"/>
    <w:rsid w:val="00C65B56"/>
    <w:rsid w:val="00C65D3C"/>
    <w:rsid w:val="00C65EF4"/>
    <w:rsid w:val="00C65F99"/>
    <w:rsid w:val="00C664D2"/>
    <w:rsid w:val="00C673A5"/>
    <w:rsid w:val="00C673E6"/>
    <w:rsid w:val="00C67428"/>
    <w:rsid w:val="00C67AA6"/>
    <w:rsid w:val="00C67C1F"/>
    <w:rsid w:val="00C67DA0"/>
    <w:rsid w:val="00C700E1"/>
    <w:rsid w:val="00C702F7"/>
    <w:rsid w:val="00C705D5"/>
    <w:rsid w:val="00C70A75"/>
    <w:rsid w:val="00C70EEE"/>
    <w:rsid w:val="00C70EFB"/>
    <w:rsid w:val="00C713BA"/>
    <w:rsid w:val="00C71A97"/>
    <w:rsid w:val="00C71BCE"/>
    <w:rsid w:val="00C71ED5"/>
    <w:rsid w:val="00C71EF4"/>
    <w:rsid w:val="00C72153"/>
    <w:rsid w:val="00C728AF"/>
    <w:rsid w:val="00C72935"/>
    <w:rsid w:val="00C7295E"/>
    <w:rsid w:val="00C72A7F"/>
    <w:rsid w:val="00C72EAF"/>
    <w:rsid w:val="00C73029"/>
    <w:rsid w:val="00C730CB"/>
    <w:rsid w:val="00C731C1"/>
    <w:rsid w:val="00C733F9"/>
    <w:rsid w:val="00C73614"/>
    <w:rsid w:val="00C73996"/>
    <w:rsid w:val="00C74236"/>
    <w:rsid w:val="00C742CB"/>
    <w:rsid w:val="00C74B6F"/>
    <w:rsid w:val="00C75D05"/>
    <w:rsid w:val="00C75E20"/>
    <w:rsid w:val="00C760F3"/>
    <w:rsid w:val="00C76309"/>
    <w:rsid w:val="00C764BB"/>
    <w:rsid w:val="00C765C9"/>
    <w:rsid w:val="00C7673E"/>
    <w:rsid w:val="00C76FA7"/>
    <w:rsid w:val="00C77160"/>
    <w:rsid w:val="00C77296"/>
    <w:rsid w:val="00C773EC"/>
    <w:rsid w:val="00C77507"/>
    <w:rsid w:val="00C77695"/>
    <w:rsid w:val="00C77D38"/>
    <w:rsid w:val="00C77F7A"/>
    <w:rsid w:val="00C80805"/>
    <w:rsid w:val="00C80CF0"/>
    <w:rsid w:val="00C81554"/>
    <w:rsid w:val="00C819DC"/>
    <w:rsid w:val="00C81B31"/>
    <w:rsid w:val="00C81E03"/>
    <w:rsid w:val="00C81E0A"/>
    <w:rsid w:val="00C81F03"/>
    <w:rsid w:val="00C82174"/>
    <w:rsid w:val="00C825AD"/>
    <w:rsid w:val="00C83081"/>
    <w:rsid w:val="00C83339"/>
    <w:rsid w:val="00C83801"/>
    <w:rsid w:val="00C8381C"/>
    <w:rsid w:val="00C83A60"/>
    <w:rsid w:val="00C83B75"/>
    <w:rsid w:val="00C83F01"/>
    <w:rsid w:val="00C8427C"/>
    <w:rsid w:val="00C847C4"/>
    <w:rsid w:val="00C84AED"/>
    <w:rsid w:val="00C84BE2"/>
    <w:rsid w:val="00C84E0D"/>
    <w:rsid w:val="00C852D8"/>
    <w:rsid w:val="00C85FBC"/>
    <w:rsid w:val="00C86169"/>
    <w:rsid w:val="00C865C3"/>
    <w:rsid w:val="00C86B88"/>
    <w:rsid w:val="00C86F54"/>
    <w:rsid w:val="00C8732D"/>
    <w:rsid w:val="00C87B0C"/>
    <w:rsid w:val="00C87F18"/>
    <w:rsid w:val="00C90783"/>
    <w:rsid w:val="00C90DF9"/>
    <w:rsid w:val="00C91507"/>
    <w:rsid w:val="00C9152E"/>
    <w:rsid w:val="00C91790"/>
    <w:rsid w:val="00C91A90"/>
    <w:rsid w:val="00C91AA8"/>
    <w:rsid w:val="00C91DAB"/>
    <w:rsid w:val="00C91EA8"/>
    <w:rsid w:val="00C91EF0"/>
    <w:rsid w:val="00C92BAE"/>
    <w:rsid w:val="00C92CD5"/>
    <w:rsid w:val="00C92F42"/>
    <w:rsid w:val="00C92F9E"/>
    <w:rsid w:val="00C932FF"/>
    <w:rsid w:val="00C9393E"/>
    <w:rsid w:val="00C93CBE"/>
    <w:rsid w:val="00C9438D"/>
    <w:rsid w:val="00C944EB"/>
    <w:rsid w:val="00C94EA0"/>
    <w:rsid w:val="00C95F4E"/>
    <w:rsid w:val="00C960AA"/>
    <w:rsid w:val="00C96266"/>
    <w:rsid w:val="00C963B7"/>
    <w:rsid w:val="00C9675D"/>
    <w:rsid w:val="00C96A44"/>
    <w:rsid w:val="00C96CDD"/>
    <w:rsid w:val="00C97539"/>
    <w:rsid w:val="00C97593"/>
    <w:rsid w:val="00C97774"/>
    <w:rsid w:val="00C97AC0"/>
    <w:rsid w:val="00C97B7F"/>
    <w:rsid w:val="00CA0194"/>
    <w:rsid w:val="00CA0407"/>
    <w:rsid w:val="00CA0439"/>
    <w:rsid w:val="00CA1C7B"/>
    <w:rsid w:val="00CA20B2"/>
    <w:rsid w:val="00CA252E"/>
    <w:rsid w:val="00CA28CD"/>
    <w:rsid w:val="00CA298B"/>
    <w:rsid w:val="00CA2B46"/>
    <w:rsid w:val="00CA2F6D"/>
    <w:rsid w:val="00CA320E"/>
    <w:rsid w:val="00CA33DD"/>
    <w:rsid w:val="00CA3C75"/>
    <w:rsid w:val="00CA3DD9"/>
    <w:rsid w:val="00CA41E5"/>
    <w:rsid w:val="00CA4596"/>
    <w:rsid w:val="00CA45B8"/>
    <w:rsid w:val="00CA47E8"/>
    <w:rsid w:val="00CA5CEB"/>
    <w:rsid w:val="00CA5F21"/>
    <w:rsid w:val="00CA6026"/>
    <w:rsid w:val="00CA63BB"/>
    <w:rsid w:val="00CA6990"/>
    <w:rsid w:val="00CA6B2D"/>
    <w:rsid w:val="00CA6DCF"/>
    <w:rsid w:val="00CA7898"/>
    <w:rsid w:val="00CA7E3B"/>
    <w:rsid w:val="00CB00AE"/>
    <w:rsid w:val="00CB0338"/>
    <w:rsid w:val="00CB03A1"/>
    <w:rsid w:val="00CB041C"/>
    <w:rsid w:val="00CB0452"/>
    <w:rsid w:val="00CB0A55"/>
    <w:rsid w:val="00CB0B1D"/>
    <w:rsid w:val="00CB0F4C"/>
    <w:rsid w:val="00CB1175"/>
    <w:rsid w:val="00CB13B1"/>
    <w:rsid w:val="00CB23E7"/>
    <w:rsid w:val="00CB2618"/>
    <w:rsid w:val="00CB29BB"/>
    <w:rsid w:val="00CB2E76"/>
    <w:rsid w:val="00CB30BE"/>
    <w:rsid w:val="00CB37EE"/>
    <w:rsid w:val="00CB3A5C"/>
    <w:rsid w:val="00CB4C14"/>
    <w:rsid w:val="00CB5198"/>
    <w:rsid w:val="00CB5491"/>
    <w:rsid w:val="00CB58C7"/>
    <w:rsid w:val="00CB591E"/>
    <w:rsid w:val="00CB5B16"/>
    <w:rsid w:val="00CB6295"/>
    <w:rsid w:val="00CB698C"/>
    <w:rsid w:val="00CB6BAA"/>
    <w:rsid w:val="00CB6D19"/>
    <w:rsid w:val="00CB6FC9"/>
    <w:rsid w:val="00CB6FED"/>
    <w:rsid w:val="00CB7A63"/>
    <w:rsid w:val="00CB7EC3"/>
    <w:rsid w:val="00CC0D95"/>
    <w:rsid w:val="00CC120A"/>
    <w:rsid w:val="00CC14FE"/>
    <w:rsid w:val="00CC2084"/>
    <w:rsid w:val="00CC2180"/>
    <w:rsid w:val="00CC21FD"/>
    <w:rsid w:val="00CC25A8"/>
    <w:rsid w:val="00CC30FB"/>
    <w:rsid w:val="00CC336B"/>
    <w:rsid w:val="00CC364B"/>
    <w:rsid w:val="00CC3B18"/>
    <w:rsid w:val="00CC3B8E"/>
    <w:rsid w:val="00CC3C58"/>
    <w:rsid w:val="00CC48F3"/>
    <w:rsid w:val="00CC4CFB"/>
    <w:rsid w:val="00CC503D"/>
    <w:rsid w:val="00CC58D0"/>
    <w:rsid w:val="00CC5BBB"/>
    <w:rsid w:val="00CC5F8A"/>
    <w:rsid w:val="00CC6345"/>
    <w:rsid w:val="00CC6D34"/>
    <w:rsid w:val="00CC7011"/>
    <w:rsid w:val="00CC712C"/>
    <w:rsid w:val="00CC7505"/>
    <w:rsid w:val="00CC7BB0"/>
    <w:rsid w:val="00CD008D"/>
    <w:rsid w:val="00CD11F0"/>
    <w:rsid w:val="00CD1210"/>
    <w:rsid w:val="00CD1B2F"/>
    <w:rsid w:val="00CD23A3"/>
    <w:rsid w:val="00CD2849"/>
    <w:rsid w:val="00CD2C33"/>
    <w:rsid w:val="00CD3030"/>
    <w:rsid w:val="00CD32A4"/>
    <w:rsid w:val="00CD35DD"/>
    <w:rsid w:val="00CD3746"/>
    <w:rsid w:val="00CD3931"/>
    <w:rsid w:val="00CD3D31"/>
    <w:rsid w:val="00CD3E47"/>
    <w:rsid w:val="00CD3ED5"/>
    <w:rsid w:val="00CD48C8"/>
    <w:rsid w:val="00CD4A32"/>
    <w:rsid w:val="00CD4B14"/>
    <w:rsid w:val="00CD4D3A"/>
    <w:rsid w:val="00CD4D77"/>
    <w:rsid w:val="00CD4F54"/>
    <w:rsid w:val="00CD59C8"/>
    <w:rsid w:val="00CD5AF5"/>
    <w:rsid w:val="00CD5CDD"/>
    <w:rsid w:val="00CD5DFC"/>
    <w:rsid w:val="00CD65B5"/>
    <w:rsid w:val="00CD67D4"/>
    <w:rsid w:val="00CD71FE"/>
    <w:rsid w:val="00CD74C9"/>
    <w:rsid w:val="00CD77FA"/>
    <w:rsid w:val="00CD7941"/>
    <w:rsid w:val="00CD7D58"/>
    <w:rsid w:val="00CD7E56"/>
    <w:rsid w:val="00CE0702"/>
    <w:rsid w:val="00CE1189"/>
    <w:rsid w:val="00CE1561"/>
    <w:rsid w:val="00CE1702"/>
    <w:rsid w:val="00CE1A48"/>
    <w:rsid w:val="00CE1DE7"/>
    <w:rsid w:val="00CE1E5E"/>
    <w:rsid w:val="00CE2154"/>
    <w:rsid w:val="00CE2498"/>
    <w:rsid w:val="00CE2531"/>
    <w:rsid w:val="00CE27EF"/>
    <w:rsid w:val="00CE282E"/>
    <w:rsid w:val="00CE2E67"/>
    <w:rsid w:val="00CE2FAD"/>
    <w:rsid w:val="00CE392C"/>
    <w:rsid w:val="00CE3CCA"/>
    <w:rsid w:val="00CE44A6"/>
    <w:rsid w:val="00CE4C5D"/>
    <w:rsid w:val="00CE4CAD"/>
    <w:rsid w:val="00CE4CF3"/>
    <w:rsid w:val="00CE502D"/>
    <w:rsid w:val="00CE519F"/>
    <w:rsid w:val="00CE5370"/>
    <w:rsid w:val="00CE5655"/>
    <w:rsid w:val="00CE5656"/>
    <w:rsid w:val="00CE5785"/>
    <w:rsid w:val="00CE5884"/>
    <w:rsid w:val="00CE5949"/>
    <w:rsid w:val="00CE5CB9"/>
    <w:rsid w:val="00CE608B"/>
    <w:rsid w:val="00CE68EB"/>
    <w:rsid w:val="00CE6D6F"/>
    <w:rsid w:val="00CE74EA"/>
    <w:rsid w:val="00CF00A4"/>
    <w:rsid w:val="00CF04A0"/>
    <w:rsid w:val="00CF0C99"/>
    <w:rsid w:val="00CF0CD7"/>
    <w:rsid w:val="00CF0E47"/>
    <w:rsid w:val="00CF0E62"/>
    <w:rsid w:val="00CF14F5"/>
    <w:rsid w:val="00CF1517"/>
    <w:rsid w:val="00CF1C00"/>
    <w:rsid w:val="00CF21A6"/>
    <w:rsid w:val="00CF2349"/>
    <w:rsid w:val="00CF234F"/>
    <w:rsid w:val="00CF2351"/>
    <w:rsid w:val="00CF23AE"/>
    <w:rsid w:val="00CF32FB"/>
    <w:rsid w:val="00CF374D"/>
    <w:rsid w:val="00CF3A5F"/>
    <w:rsid w:val="00CF3B58"/>
    <w:rsid w:val="00CF3D63"/>
    <w:rsid w:val="00CF492B"/>
    <w:rsid w:val="00CF5410"/>
    <w:rsid w:val="00CF551C"/>
    <w:rsid w:val="00CF58CC"/>
    <w:rsid w:val="00CF5D99"/>
    <w:rsid w:val="00CF6179"/>
    <w:rsid w:val="00CF620F"/>
    <w:rsid w:val="00CF65A8"/>
    <w:rsid w:val="00CF688F"/>
    <w:rsid w:val="00CF6969"/>
    <w:rsid w:val="00CF6A02"/>
    <w:rsid w:val="00CF6D72"/>
    <w:rsid w:val="00CF6F43"/>
    <w:rsid w:val="00CF70CE"/>
    <w:rsid w:val="00CF74A1"/>
    <w:rsid w:val="00CF7E34"/>
    <w:rsid w:val="00D004C0"/>
    <w:rsid w:val="00D00531"/>
    <w:rsid w:val="00D00A9F"/>
    <w:rsid w:val="00D00B76"/>
    <w:rsid w:val="00D00BB8"/>
    <w:rsid w:val="00D00C3C"/>
    <w:rsid w:val="00D00E30"/>
    <w:rsid w:val="00D00E49"/>
    <w:rsid w:val="00D012DE"/>
    <w:rsid w:val="00D01381"/>
    <w:rsid w:val="00D01A40"/>
    <w:rsid w:val="00D01AB2"/>
    <w:rsid w:val="00D02217"/>
    <w:rsid w:val="00D022C9"/>
    <w:rsid w:val="00D023CA"/>
    <w:rsid w:val="00D02771"/>
    <w:rsid w:val="00D02A18"/>
    <w:rsid w:val="00D02A21"/>
    <w:rsid w:val="00D03340"/>
    <w:rsid w:val="00D034BB"/>
    <w:rsid w:val="00D037FE"/>
    <w:rsid w:val="00D03B28"/>
    <w:rsid w:val="00D040D8"/>
    <w:rsid w:val="00D0467E"/>
    <w:rsid w:val="00D04772"/>
    <w:rsid w:val="00D04C95"/>
    <w:rsid w:val="00D04D3B"/>
    <w:rsid w:val="00D05077"/>
    <w:rsid w:val="00D05246"/>
    <w:rsid w:val="00D054AF"/>
    <w:rsid w:val="00D0562C"/>
    <w:rsid w:val="00D057D3"/>
    <w:rsid w:val="00D05806"/>
    <w:rsid w:val="00D058D4"/>
    <w:rsid w:val="00D05C9A"/>
    <w:rsid w:val="00D06125"/>
    <w:rsid w:val="00D069C2"/>
    <w:rsid w:val="00D06E5E"/>
    <w:rsid w:val="00D06EA9"/>
    <w:rsid w:val="00D06EB9"/>
    <w:rsid w:val="00D07188"/>
    <w:rsid w:val="00D07205"/>
    <w:rsid w:val="00D073F3"/>
    <w:rsid w:val="00D0740E"/>
    <w:rsid w:val="00D07972"/>
    <w:rsid w:val="00D07AFF"/>
    <w:rsid w:val="00D10147"/>
    <w:rsid w:val="00D101AE"/>
    <w:rsid w:val="00D10630"/>
    <w:rsid w:val="00D10982"/>
    <w:rsid w:val="00D111AF"/>
    <w:rsid w:val="00D11225"/>
    <w:rsid w:val="00D112A7"/>
    <w:rsid w:val="00D1147C"/>
    <w:rsid w:val="00D119C8"/>
    <w:rsid w:val="00D11C1D"/>
    <w:rsid w:val="00D11C91"/>
    <w:rsid w:val="00D11F8E"/>
    <w:rsid w:val="00D121EE"/>
    <w:rsid w:val="00D1259F"/>
    <w:rsid w:val="00D128EE"/>
    <w:rsid w:val="00D12BED"/>
    <w:rsid w:val="00D138D0"/>
    <w:rsid w:val="00D13D33"/>
    <w:rsid w:val="00D13E49"/>
    <w:rsid w:val="00D14642"/>
    <w:rsid w:val="00D14673"/>
    <w:rsid w:val="00D14765"/>
    <w:rsid w:val="00D14A8A"/>
    <w:rsid w:val="00D14B66"/>
    <w:rsid w:val="00D14DFC"/>
    <w:rsid w:val="00D14EF8"/>
    <w:rsid w:val="00D152DB"/>
    <w:rsid w:val="00D156A2"/>
    <w:rsid w:val="00D15C3B"/>
    <w:rsid w:val="00D15E19"/>
    <w:rsid w:val="00D161FB"/>
    <w:rsid w:val="00D167C5"/>
    <w:rsid w:val="00D16839"/>
    <w:rsid w:val="00D16B7C"/>
    <w:rsid w:val="00D16F9A"/>
    <w:rsid w:val="00D172D1"/>
    <w:rsid w:val="00D20195"/>
    <w:rsid w:val="00D20DDB"/>
    <w:rsid w:val="00D20F7B"/>
    <w:rsid w:val="00D21E65"/>
    <w:rsid w:val="00D22399"/>
    <w:rsid w:val="00D22409"/>
    <w:rsid w:val="00D228FE"/>
    <w:rsid w:val="00D22F04"/>
    <w:rsid w:val="00D22F78"/>
    <w:rsid w:val="00D23A76"/>
    <w:rsid w:val="00D24421"/>
    <w:rsid w:val="00D24C3B"/>
    <w:rsid w:val="00D24DF2"/>
    <w:rsid w:val="00D2502A"/>
    <w:rsid w:val="00D25061"/>
    <w:rsid w:val="00D2511C"/>
    <w:rsid w:val="00D252B6"/>
    <w:rsid w:val="00D25384"/>
    <w:rsid w:val="00D253F4"/>
    <w:rsid w:val="00D2562B"/>
    <w:rsid w:val="00D25A00"/>
    <w:rsid w:val="00D25BF5"/>
    <w:rsid w:val="00D25D3E"/>
    <w:rsid w:val="00D25D75"/>
    <w:rsid w:val="00D26733"/>
    <w:rsid w:val="00D26BB4"/>
    <w:rsid w:val="00D26BD1"/>
    <w:rsid w:val="00D26C52"/>
    <w:rsid w:val="00D27275"/>
    <w:rsid w:val="00D278D7"/>
    <w:rsid w:val="00D27C03"/>
    <w:rsid w:val="00D27E61"/>
    <w:rsid w:val="00D30002"/>
    <w:rsid w:val="00D300B5"/>
    <w:rsid w:val="00D30358"/>
    <w:rsid w:val="00D30634"/>
    <w:rsid w:val="00D30800"/>
    <w:rsid w:val="00D30908"/>
    <w:rsid w:val="00D31259"/>
    <w:rsid w:val="00D31398"/>
    <w:rsid w:val="00D315B0"/>
    <w:rsid w:val="00D31743"/>
    <w:rsid w:val="00D319C7"/>
    <w:rsid w:val="00D31D02"/>
    <w:rsid w:val="00D32097"/>
    <w:rsid w:val="00D3232F"/>
    <w:rsid w:val="00D32412"/>
    <w:rsid w:val="00D32515"/>
    <w:rsid w:val="00D32D9F"/>
    <w:rsid w:val="00D32DA0"/>
    <w:rsid w:val="00D32E67"/>
    <w:rsid w:val="00D331C4"/>
    <w:rsid w:val="00D33224"/>
    <w:rsid w:val="00D33563"/>
    <w:rsid w:val="00D33668"/>
    <w:rsid w:val="00D3392C"/>
    <w:rsid w:val="00D339F2"/>
    <w:rsid w:val="00D33EFC"/>
    <w:rsid w:val="00D33FA4"/>
    <w:rsid w:val="00D344E0"/>
    <w:rsid w:val="00D347C2"/>
    <w:rsid w:val="00D34975"/>
    <w:rsid w:val="00D34B57"/>
    <w:rsid w:val="00D34EB3"/>
    <w:rsid w:val="00D34ED8"/>
    <w:rsid w:val="00D34F6A"/>
    <w:rsid w:val="00D34FB9"/>
    <w:rsid w:val="00D3523A"/>
    <w:rsid w:val="00D356FB"/>
    <w:rsid w:val="00D35CD2"/>
    <w:rsid w:val="00D36286"/>
    <w:rsid w:val="00D365BC"/>
    <w:rsid w:val="00D366D7"/>
    <w:rsid w:val="00D367EF"/>
    <w:rsid w:val="00D36A66"/>
    <w:rsid w:val="00D3709A"/>
    <w:rsid w:val="00D373F4"/>
    <w:rsid w:val="00D37524"/>
    <w:rsid w:val="00D37EA5"/>
    <w:rsid w:val="00D409C9"/>
    <w:rsid w:val="00D412FD"/>
    <w:rsid w:val="00D413A5"/>
    <w:rsid w:val="00D41630"/>
    <w:rsid w:val="00D41A56"/>
    <w:rsid w:val="00D41AC7"/>
    <w:rsid w:val="00D41C0A"/>
    <w:rsid w:val="00D41C90"/>
    <w:rsid w:val="00D41E22"/>
    <w:rsid w:val="00D420A9"/>
    <w:rsid w:val="00D429F1"/>
    <w:rsid w:val="00D42A9B"/>
    <w:rsid w:val="00D42D14"/>
    <w:rsid w:val="00D42E0B"/>
    <w:rsid w:val="00D42E16"/>
    <w:rsid w:val="00D431C5"/>
    <w:rsid w:val="00D43315"/>
    <w:rsid w:val="00D434E6"/>
    <w:rsid w:val="00D4409D"/>
    <w:rsid w:val="00D44652"/>
    <w:rsid w:val="00D44840"/>
    <w:rsid w:val="00D44EAE"/>
    <w:rsid w:val="00D45035"/>
    <w:rsid w:val="00D4512C"/>
    <w:rsid w:val="00D452CB"/>
    <w:rsid w:val="00D45563"/>
    <w:rsid w:val="00D46131"/>
    <w:rsid w:val="00D46135"/>
    <w:rsid w:val="00D461FD"/>
    <w:rsid w:val="00D46CD1"/>
    <w:rsid w:val="00D47338"/>
    <w:rsid w:val="00D47A87"/>
    <w:rsid w:val="00D47BA2"/>
    <w:rsid w:val="00D50071"/>
    <w:rsid w:val="00D5015D"/>
    <w:rsid w:val="00D506AC"/>
    <w:rsid w:val="00D5089D"/>
    <w:rsid w:val="00D50A14"/>
    <w:rsid w:val="00D51A90"/>
    <w:rsid w:val="00D51BF6"/>
    <w:rsid w:val="00D51CA2"/>
    <w:rsid w:val="00D51D44"/>
    <w:rsid w:val="00D520DC"/>
    <w:rsid w:val="00D52C8C"/>
    <w:rsid w:val="00D52D4D"/>
    <w:rsid w:val="00D52E05"/>
    <w:rsid w:val="00D52F46"/>
    <w:rsid w:val="00D53E8A"/>
    <w:rsid w:val="00D540CF"/>
    <w:rsid w:val="00D5412F"/>
    <w:rsid w:val="00D54375"/>
    <w:rsid w:val="00D544C2"/>
    <w:rsid w:val="00D544EA"/>
    <w:rsid w:val="00D54D14"/>
    <w:rsid w:val="00D5519D"/>
    <w:rsid w:val="00D553D9"/>
    <w:rsid w:val="00D555B1"/>
    <w:rsid w:val="00D55A30"/>
    <w:rsid w:val="00D55FAE"/>
    <w:rsid w:val="00D5627C"/>
    <w:rsid w:val="00D5659F"/>
    <w:rsid w:val="00D5699D"/>
    <w:rsid w:val="00D57063"/>
    <w:rsid w:val="00D57099"/>
    <w:rsid w:val="00D571EC"/>
    <w:rsid w:val="00D57660"/>
    <w:rsid w:val="00D57861"/>
    <w:rsid w:val="00D57863"/>
    <w:rsid w:val="00D57958"/>
    <w:rsid w:val="00D57A9E"/>
    <w:rsid w:val="00D57D27"/>
    <w:rsid w:val="00D60152"/>
    <w:rsid w:val="00D60162"/>
    <w:rsid w:val="00D6031F"/>
    <w:rsid w:val="00D604DC"/>
    <w:rsid w:val="00D6050B"/>
    <w:rsid w:val="00D6076B"/>
    <w:rsid w:val="00D607CF"/>
    <w:rsid w:val="00D61478"/>
    <w:rsid w:val="00D61566"/>
    <w:rsid w:val="00D61856"/>
    <w:rsid w:val="00D61B02"/>
    <w:rsid w:val="00D61C3F"/>
    <w:rsid w:val="00D61EAF"/>
    <w:rsid w:val="00D621AC"/>
    <w:rsid w:val="00D627FB"/>
    <w:rsid w:val="00D62D73"/>
    <w:rsid w:val="00D630E7"/>
    <w:rsid w:val="00D639D9"/>
    <w:rsid w:val="00D64A94"/>
    <w:rsid w:val="00D64B9B"/>
    <w:rsid w:val="00D65704"/>
    <w:rsid w:val="00D6599D"/>
    <w:rsid w:val="00D65BC0"/>
    <w:rsid w:val="00D65DBA"/>
    <w:rsid w:val="00D66255"/>
    <w:rsid w:val="00D66763"/>
    <w:rsid w:val="00D669E9"/>
    <w:rsid w:val="00D67482"/>
    <w:rsid w:val="00D6785F"/>
    <w:rsid w:val="00D67991"/>
    <w:rsid w:val="00D67BD6"/>
    <w:rsid w:val="00D67E17"/>
    <w:rsid w:val="00D7007F"/>
    <w:rsid w:val="00D702B4"/>
    <w:rsid w:val="00D70440"/>
    <w:rsid w:val="00D70BD4"/>
    <w:rsid w:val="00D7115E"/>
    <w:rsid w:val="00D7136C"/>
    <w:rsid w:val="00D7160D"/>
    <w:rsid w:val="00D7209D"/>
    <w:rsid w:val="00D72123"/>
    <w:rsid w:val="00D7213B"/>
    <w:rsid w:val="00D722FD"/>
    <w:rsid w:val="00D72878"/>
    <w:rsid w:val="00D72B9E"/>
    <w:rsid w:val="00D72C69"/>
    <w:rsid w:val="00D72D31"/>
    <w:rsid w:val="00D73298"/>
    <w:rsid w:val="00D73631"/>
    <w:rsid w:val="00D736C5"/>
    <w:rsid w:val="00D73CEF"/>
    <w:rsid w:val="00D74084"/>
    <w:rsid w:val="00D742F3"/>
    <w:rsid w:val="00D7452F"/>
    <w:rsid w:val="00D74805"/>
    <w:rsid w:val="00D74B69"/>
    <w:rsid w:val="00D74CF0"/>
    <w:rsid w:val="00D74D4E"/>
    <w:rsid w:val="00D755DB"/>
    <w:rsid w:val="00D75693"/>
    <w:rsid w:val="00D75BCB"/>
    <w:rsid w:val="00D76286"/>
    <w:rsid w:val="00D7628D"/>
    <w:rsid w:val="00D76324"/>
    <w:rsid w:val="00D7646A"/>
    <w:rsid w:val="00D768A8"/>
    <w:rsid w:val="00D774A4"/>
    <w:rsid w:val="00D7758E"/>
    <w:rsid w:val="00D77A3D"/>
    <w:rsid w:val="00D77D75"/>
    <w:rsid w:val="00D77F21"/>
    <w:rsid w:val="00D800B3"/>
    <w:rsid w:val="00D80257"/>
    <w:rsid w:val="00D802CE"/>
    <w:rsid w:val="00D80518"/>
    <w:rsid w:val="00D807AB"/>
    <w:rsid w:val="00D80A3A"/>
    <w:rsid w:val="00D80AF9"/>
    <w:rsid w:val="00D80B37"/>
    <w:rsid w:val="00D80E7E"/>
    <w:rsid w:val="00D80F6A"/>
    <w:rsid w:val="00D825B0"/>
    <w:rsid w:val="00D82737"/>
    <w:rsid w:val="00D827DB"/>
    <w:rsid w:val="00D8297C"/>
    <w:rsid w:val="00D83071"/>
    <w:rsid w:val="00D83468"/>
    <w:rsid w:val="00D837D7"/>
    <w:rsid w:val="00D83CEC"/>
    <w:rsid w:val="00D845C2"/>
    <w:rsid w:val="00D84756"/>
    <w:rsid w:val="00D84B9F"/>
    <w:rsid w:val="00D84BA4"/>
    <w:rsid w:val="00D84CD6"/>
    <w:rsid w:val="00D84F60"/>
    <w:rsid w:val="00D862FD"/>
    <w:rsid w:val="00D8649A"/>
    <w:rsid w:val="00D867D7"/>
    <w:rsid w:val="00D86A61"/>
    <w:rsid w:val="00D86AEA"/>
    <w:rsid w:val="00D86E4A"/>
    <w:rsid w:val="00D86F22"/>
    <w:rsid w:val="00D87050"/>
    <w:rsid w:val="00D87E57"/>
    <w:rsid w:val="00D90086"/>
    <w:rsid w:val="00D9031A"/>
    <w:rsid w:val="00D90473"/>
    <w:rsid w:val="00D9076B"/>
    <w:rsid w:val="00D90779"/>
    <w:rsid w:val="00D9091C"/>
    <w:rsid w:val="00D90A75"/>
    <w:rsid w:val="00D90FAB"/>
    <w:rsid w:val="00D91C64"/>
    <w:rsid w:val="00D92AE1"/>
    <w:rsid w:val="00D92C71"/>
    <w:rsid w:val="00D92C78"/>
    <w:rsid w:val="00D93597"/>
    <w:rsid w:val="00D9369B"/>
    <w:rsid w:val="00D93A14"/>
    <w:rsid w:val="00D93B85"/>
    <w:rsid w:val="00D93C28"/>
    <w:rsid w:val="00D93C6B"/>
    <w:rsid w:val="00D93CA8"/>
    <w:rsid w:val="00D940D6"/>
    <w:rsid w:val="00D9435D"/>
    <w:rsid w:val="00D947E7"/>
    <w:rsid w:val="00D9482A"/>
    <w:rsid w:val="00D94A7D"/>
    <w:rsid w:val="00D94CEC"/>
    <w:rsid w:val="00D94F24"/>
    <w:rsid w:val="00D94F72"/>
    <w:rsid w:val="00D951AB"/>
    <w:rsid w:val="00D95348"/>
    <w:rsid w:val="00D956F9"/>
    <w:rsid w:val="00D957BC"/>
    <w:rsid w:val="00D9587C"/>
    <w:rsid w:val="00D962F6"/>
    <w:rsid w:val="00D966C7"/>
    <w:rsid w:val="00D968D6"/>
    <w:rsid w:val="00D96AA3"/>
    <w:rsid w:val="00D96C35"/>
    <w:rsid w:val="00D9704F"/>
    <w:rsid w:val="00D9710D"/>
    <w:rsid w:val="00D97330"/>
    <w:rsid w:val="00D977CD"/>
    <w:rsid w:val="00D97940"/>
    <w:rsid w:val="00D97ACF"/>
    <w:rsid w:val="00DA0756"/>
    <w:rsid w:val="00DA0C13"/>
    <w:rsid w:val="00DA0DEE"/>
    <w:rsid w:val="00DA1109"/>
    <w:rsid w:val="00DA1110"/>
    <w:rsid w:val="00DA1194"/>
    <w:rsid w:val="00DA11DD"/>
    <w:rsid w:val="00DA18EE"/>
    <w:rsid w:val="00DA1D13"/>
    <w:rsid w:val="00DA2102"/>
    <w:rsid w:val="00DA2BC3"/>
    <w:rsid w:val="00DA2C19"/>
    <w:rsid w:val="00DA3B26"/>
    <w:rsid w:val="00DA3E93"/>
    <w:rsid w:val="00DA4337"/>
    <w:rsid w:val="00DA44CD"/>
    <w:rsid w:val="00DA4690"/>
    <w:rsid w:val="00DA4812"/>
    <w:rsid w:val="00DA4ACB"/>
    <w:rsid w:val="00DA4CE7"/>
    <w:rsid w:val="00DA4F50"/>
    <w:rsid w:val="00DA5164"/>
    <w:rsid w:val="00DA5549"/>
    <w:rsid w:val="00DA5AE3"/>
    <w:rsid w:val="00DA5D5C"/>
    <w:rsid w:val="00DA6105"/>
    <w:rsid w:val="00DA67A9"/>
    <w:rsid w:val="00DA6D4D"/>
    <w:rsid w:val="00DA72E9"/>
    <w:rsid w:val="00DA74BC"/>
    <w:rsid w:val="00DA7A73"/>
    <w:rsid w:val="00DA7BDB"/>
    <w:rsid w:val="00DA7CFC"/>
    <w:rsid w:val="00DB0075"/>
    <w:rsid w:val="00DB02DC"/>
    <w:rsid w:val="00DB03BA"/>
    <w:rsid w:val="00DB086A"/>
    <w:rsid w:val="00DB12C7"/>
    <w:rsid w:val="00DB1945"/>
    <w:rsid w:val="00DB22ED"/>
    <w:rsid w:val="00DB23A9"/>
    <w:rsid w:val="00DB23AE"/>
    <w:rsid w:val="00DB24AC"/>
    <w:rsid w:val="00DB2B25"/>
    <w:rsid w:val="00DB2E4A"/>
    <w:rsid w:val="00DB36D2"/>
    <w:rsid w:val="00DB3E43"/>
    <w:rsid w:val="00DB3EB5"/>
    <w:rsid w:val="00DB453F"/>
    <w:rsid w:val="00DB4753"/>
    <w:rsid w:val="00DB4C43"/>
    <w:rsid w:val="00DB53DF"/>
    <w:rsid w:val="00DB58E2"/>
    <w:rsid w:val="00DB60FC"/>
    <w:rsid w:val="00DB6468"/>
    <w:rsid w:val="00DB64EE"/>
    <w:rsid w:val="00DB6512"/>
    <w:rsid w:val="00DB6520"/>
    <w:rsid w:val="00DB6A32"/>
    <w:rsid w:val="00DB6B2F"/>
    <w:rsid w:val="00DB6E62"/>
    <w:rsid w:val="00DB7004"/>
    <w:rsid w:val="00DB74B4"/>
    <w:rsid w:val="00DB786B"/>
    <w:rsid w:val="00DB7894"/>
    <w:rsid w:val="00DB7C0D"/>
    <w:rsid w:val="00DB7D87"/>
    <w:rsid w:val="00DC020F"/>
    <w:rsid w:val="00DC033F"/>
    <w:rsid w:val="00DC0883"/>
    <w:rsid w:val="00DC08F5"/>
    <w:rsid w:val="00DC097C"/>
    <w:rsid w:val="00DC0CD3"/>
    <w:rsid w:val="00DC0DEC"/>
    <w:rsid w:val="00DC11A3"/>
    <w:rsid w:val="00DC13F1"/>
    <w:rsid w:val="00DC14D3"/>
    <w:rsid w:val="00DC15D5"/>
    <w:rsid w:val="00DC1B18"/>
    <w:rsid w:val="00DC1E4B"/>
    <w:rsid w:val="00DC1FA0"/>
    <w:rsid w:val="00DC2AC2"/>
    <w:rsid w:val="00DC2CBC"/>
    <w:rsid w:val="00DC2E6D"/>
    <w:rsid w:val="00DC3167"/>
    <w:rsid w:val="00DC3297"/>
    <w:rsid w:val="00DC3B41"/>
    <w:rsid w:val="00DC3D1D"/>
    <w:rsid w:val="00DC3D9B"/>
    <w:rsid w:val="00DC3F0B"/>
    <w:rsid w:val="00DC3FF3"/>
    <w:rsid w:val="00DC4089"/>
    <w:rsid w:val="00DC45BD"/>
    <w:rsid w:val="00DC4649"/>
    <w:rsid w:val="00DC48FB"/>
    <w:rsid w:val="00DC4A5C"/>
    <w:rsid w:val="00DC5020"/>
    <w:rsid w:val="00DC5238"/>
    <w:rsid w:val="00DC524F"/>
    <w:rsid w:val="00DC543C"/>
    <w:rsid w:val="00DC558F"/>
    <w:rsid w:val="00DC57F4"/>
    <w:rsid w:val="00DC610C"/>
    <w:rsid w:val="00DC6216"/>
    <w:rsid w:val="00DC65C2"/>
    <w:rsid w:val="00DC6D87"/>
    <w:rsid w:val="00DC747D"/>
    <w:rsid w:val="00DC7890"/>
    <w:rsid w:val="00DD03B8"/>
    <w:rsid w:val="00DD047A"/>
    <w:rsid w:val="00DD0959"/>
    <w:rsid w:val="00DD09AA"/>
    <w:rsid w:val="00DD0A4F"/>
    <w:rsid w:val="00DD0D6C"/>
    <w:rsid w:val="00DD12CC"/>
    <w:rsid w:val="00DD14E2"/>
    <w:rsid w:val="00DD19BB"/>
    <w:rsid w:val="00DD1A52"/>
    <w:rsid w:val="00DD1AC3"/>
    <w:rsid w:val="00DD1B54"/>
    <w:rsid w:val="00DD1CE5"/>
    <w:rsid w:val="00DD1E36"/>
    <w:rsid w:val="00DD1EE1"/>
    <w:rsid w:val="00DD20C8"/>
    <w:rsid w:val="00DD21F5"/>
    <w:rsid w:val="00DD29A9"/>
    <w:rsid w:val="00DD2B3F"/>
    <w:rsid w:val="00DD2B99"/>
    <w:rsid w:val="00DD2D43"/>
    <w:rsid w:val="00DD2D61"/>
    <w:rsid w:val="00DD2DE4"/>
    <w:rsid w:val="00DD3418"/>
    <w:rsid w:val="00DD3588"/>
    <w:rsid w:val="00DD3744"/>
    <w:rsid w:val="00DD39E9"/>
    <w:rsid w:val="00DD3FC2"/>
    <w:rsid w:val="00DD4883"/>
    <w:rsid w:val="00DD4AD4"/>
    <w:rsid w:val="00DD4C03"/>
    <w:rsid w:val="00DD4C39"/>
    <w:rsid w:val="00DD4CE9"/>
    <w:rsid w:val="00DD4FB4"/>
    <w:rsid w:val="00DD541F"/>
    <w:rsid w:val="00DD549A"/>
    <w:rsid w:val="00DD56EB"/>
    <w:rsid w:val="00DD57A4"/>
    <w:rsid w:val="00DD58B5"/>
    <w:rsid w:val="00DD5AF7"/>
    <w:rsid w:val="00DD5DA8"/>
    <w:rsid w:val="00DD5E59"/>
    <w:rsid w:val="00DD64C2"/>
    <w:rsid w:val="00DD6BBB"/>
    <w:rsid w:val="00DD6CDF"/>
    <w:rsid w:val="00DD7A9D"/>
    <w:rsid w:val="00DD7B7F"/>
    <w:rsid w:val="00DD7BAB"/>
    <w:rsid w:val="00DD7C46"/>
    <w:rsid w:val="00DD7DB0"/>
    <w:rsid w:val="00DE08EE"/>
    <w:rsid w:val="00DE0D94"/>
    <w:rsid w:val="00DE11D1"/>
    <w:rsid w:val="00DE18A8"/>
    <w:rsid w:val="00DE1B82"/>
    <w:rsid w:val="00DE23ED"/>
    <w:rsid w:val="00DE2566"/>
    <w:rsid w:val="00DE2FED"/>
    <w:rsid w:val="00DE3085"/>
    <w:rsid w:val="00DE31C3"/>
    <w:rsid w:val="00DE3466"/>
    <w:rsid w:val="00DE34A4"/>
    <w:rsid w:val="00DE35BF"/>
    <w:rsid w:val="00DE364E"/>
    <w:rsid w:val="00DE3AAA"/>
    <w:rsid w:val="00DE3CA1"/>
    <w:rsid w:val="00DE428C"/>
    <w:rsid w:val="00DE429E"/>
    <w:rsid w:val="00DE43A9"/>
    <w:rsid w:val="00DE56A1"/>
    <w:rsid w:val="00DE5908"/>
    <w:rsid w:val="00DE5DA1"/>
    <w:rsid w:val="00DE6A06"/>
    <w:rsid w:val="00DE6C80"/>
    <w:rsid w:val="00DE6F5A"/>
    <w:rsid w:val="00DE6FE5"/>
    <w:rsid w:val="00DE7158"/>
    <w:rsid w:val="00DE7399"/>
    <w:rsid w:val="00DE7469"/>
    <w:rsid w:val="00DE778D"/>
    <w:rsid w:val="00DE77EF"/>
    <w:rsid w:val="00DE7A57"/>
    <w:rsid w:val="00DE7B4F"/>
    <w:rsid w:val="00DE7FCF"/>
    <w:rsid w:val="00DF0490"/>
    <w:rsid w:val="00DF0CF4"/>
    <w:rsid w:val="00DF0DDA"/>
    <w:rsid w:val="00DF16F3"/>
    <w:rsid w:val="00DF1969"/>
    <w:rsid w:val="00DF1B1F"/>
    <w:rsid w:val="00DF21B7"/>
    <w:rsid w:val="00DF2413"/>
    <w:rsid w:val="00DF2665"/>
    <w:rsid w:val="00DF2ABE"/>
    <w:rsid w:val="00DF2AE0"/>
    <w:rsid w:val="00DF30FF"/>
    <w:rsid w:val="00DF338A"/>
    <w:rsid w:val="00DF33D0"/>
    <w:rsid w:val="00DF35B0"/>
    <w:rsid w:val="00DF3A6C"/>
    <w:rsid w:val="00DF3ED0"/>
    <w:rsid w:val="00DF42F0"/>
    <w:rsid w:val="00DF4373"/>
    <w:rsid w:val="00DF46E1"/>
    <w:rsid w:val="00DF4895"/>
    <w:rsid w:val="00DF4974"/>
    <w:rsid w:val="00DF4E2C"/>
    <w:rsid w:val="00DF4F8F"/>
    <w:rsid w:val="00DF569C"/>
    <w:rsid w:val="00DF64C1"/>
    <w:rsid w:val="00DF6831"/>
    <w:rsid w:val="00DF6CB1"/>
    <w:rsid w:val="00DF7131"/>
    <w:rsid w:val="00DF71DB"/>
    <w:rsid w:val="00E000A4"/>
    <w:rsid w:val="00E0087D"/>
    <w:rsid w:val="00E01413"/>
    <w:rsid w:val="00E0166B"/>
    <w:rsid w:val="00E01B6D"/>
    <w:rsid w:val="00E01C0C"/>
    <w:rsid w:val="00E0248D"/>
    <w:rsid w:val="00E02B9B"/>
    <w:rsid w:val="00E03553"/>
    <w:rsid w:val="00E04084"/>
    <w:rsid w:val="00E044C5"/>
    <w:rsid w:val="00E049AF"/>
    <w:rsid w:val="00E05120"/>
    <w:rsid w:val="00E06654"/>
    <w:rsid w:val="00E06AFE"/>
    <w:rsid w:val="00E06BAD"/>
    <w:rsid w:val="00E073DB"/>
    <w:rsid w:val="00E074BD"/>
    <w:rsid w:val="00E07706"/>
    <w:rsid w:val="00E07794"/>
    <w:rsid w:val="00E104F6"/>
    <w:rsid w:val="00E107AB"/>
    <w:rsid w:val="00E109EA"/>
    <w:rsid w:val="00E10C58"/>
    <w:rsid w:val="00E10DDA"/>
    <w:rsid w:val="00E1109A"/>
    <w:rsid w:val="00E11536"/>
    <w:rsid w:val="00E115D5"/>
    <w:rsid w:val="00E1166D"/>
    <w:rsid w:val="00E1178C"/>
    <w:rsid w:val="00E11CE0"/>
    <w:rsid w:val="00E11EC2"/>
    <w:rsid w:val="00E120EE"/>
    <w:rsid w:val="00E1242E"/>
    <w:rsid w:val="00E12B15"/>
    <w:rsid w:val="00E1312F"/>
    <w:rsid w:val="00E136E6"/>
    <w:rsid w:val="00E13747"/>
    <w:rsid w:val="00E137F7"/>
    <w:rsid w:val="00E13827"/>
    <w:rsid w:val="00E143D7"/>
    <w:rsid w:val="00E14431"/>
    <w:rsid w:val="00E14CDB"/>
    <w:rsid w:val="00E1527A"/>
    <w:rsid w:val="00E15464"/>
    <w:rsid w:val="00E154C3"/>
    <w:rsid w:val="00E15724"/>
    <w:rsid w:val="00E16294"/>
    <w:rsid w:val="00E1678D"/>
    <w:rsid w:val="00E167F5"/>
    <w:rsid w:val="00E16F60"/>
    <w:rsid w:val="00E172BD"/>
    <w:rsid w:val="00E1742F"/>
    <w:rsid w:val="00E1757F"/>
    <w:rsid w:val="00E17DF3"/>
    <w:rsid w:val="00E200DE"/>
    <w:rsid w:val="00E205A3"/>
    <w:rsid w:val="00E20637"/>
    <w:rsid w:val="00E20703"/>
    <w:rsid w:val="00E21038"/>
    <w:rsid w:val="00E210F8"/>
    <w:rsid w:val="00E2111D"/>
    <w:rsid w:val="00E2118B"/>
    <w:rsid w:val="00E212ED"/>
    <w:rsid w:val="00E21377"/>
    <w:rsid w:val="00E214AB"/>
    <w:rsid w:val="00E215B6"/>
    <w:rsid w:val="00E21625"/>
    <w:rsid w:val="00E21E97"/>
    <w:rsid w:val="00E2237F"/>
    <w:rsid w:val="00E22478"/>
    <w:rsid w:val="00E22616"/>
    <w:rsid w:val="00E22A71"/>
    <w:rsid w:val="00E22B4F"/>
    <w:rsid w:val="00E22BB3"/>
    <w:rsid w:val="00E22C7F"/>
    <w:rsid w:val="00E22DF0"/>
    <w:rsid w:val="00E237A4"/>
    <w:rsid w:val="00E23952"/>
    <w:rsid w:val="00E23B75"/>
    <w:rsid w:val="00E23E17"/>
    <w:rsid w:val="00E23E3E"/>
    <w:rsid w:val="00E248BB"/>
    <w:rsid w:val="00E249EB"/>
    <w:rsid w:val="00E24AF0"/>
    <w:rsid w:val="00E24B7D"/>
    <w:rsid w:val="00E24C42"/>
    <w:rsid w:val="00E24CDA"/>
    <w:rsid w:val="00E24D90"/>
    <w:rsid w:val="00E253C7"/>
    <w:rsid w:val="00E25A50"/>
    <w:rsid w:val="00E25A5A"/>
    <w:rsid w:val="00E262C6"/>
    <w:rsid w:val="00E26812"/>
    <w:rsid w:val="00E26CCF"/>
    <w:rsid w:val="00E26CD0"/>
    <w:rsid w:val="00E26CD4"/>
    <w:rsid w:val="00E2727D"/>
    <w:rsid w:val="00E274EA"/>
    <w:rsid w:val="00E27EF4"/>
    <w:rsid w:val="00E3004B"/>
    <w:rsid w:val="00E30253"/>
    <w:rsid w:val="00E30DBB"/>
    <w:rsid w:val="00E30E24"/>
    <w:rsid w:val="00E30F5B"/>
    <w:rsid w:val="00E31441"/>
    <w:rsid w:val="00E315B3"/>
    <w:rsid w:val="00E315F3"/>
    <w:rsid w:val="00E31B1A"/>
    <w:rsid w:val="00E31BE5"/>
    <w:rsid w:val="00E31D76"/>
    <w:rsid w:val="00E32100"/>
    <w:rsid w:val="00E32923"/>
    <w:rsid w:val="00E329E2"/>
    <w:rsid w:val="00E32DBA"/>
    <w:rsid w:val="00E3301D"/>
    <w:rsid w:val="00E33698"/>
    <w:rsid w:val="00E33988"/>
    <w:rsid w:val="00E33A1A"/>
    <w:rsid w:val="00E33BB9"/>
    <w:rsid w:val="00E33D54"/>
    <w:rsid w:val="00E342CB"/>
    <w:rsid w:val="00E344A2"/>
    <w:rsid w:val="00E3481A"/>
    <w:rsid w:val="00E34CA6"/>
    <w:rsid w:val="00E35738"/>
    <w:rsid w:val="00E35BCF"/>
    <w:rsid w:val="00E35C85"/>
    <w:rsid w:val="00E35DD4"/>
    <w:rsid w:val="00E36012"/>
    <w:rsid w:val="00E36091"/>
    <w:rsid w:val="00E36189"/>
    <w:rsid w:val="00E36A7F"/>
    <w:rsid w:val="00E3762F"/>
    <w:rsid w:val="00E37718"/>
    <w:rsid w:val="00E37CA2"/>
    <w:rsid w:val="00E37D8A"/>
    <w:rsid w:val="00E37E9F"/>
    <w:rsid w:val="00E4012F"/>
    <w:rsid w:val="00E4076F"/>
    <w:rsid w:val="00E4084C"/>
    <w:rsid w:val="00E40E30"/>
    <w:rsid w:val="00E40F5D"/>
    <w:rsid w:val="00E41580"/>
    <w:rsid w:val="00E41D80"/>
    <w:rsid w:val="00E41DDA"/>
    <w:rsid w:val="00E423C0"/>
    <w:rsid w:val="00E42550"/>
    <w:rsid w:val="00E428AD"/>
    <w:rsid w:val="00E42D69"/>
    <w:rsid w:val="00E435F4"/>
    <w:rsid w:val="00E43DBB"/>
    <w:rsid w:val="00E43E67"/>
    <w:rsid w:val="00E43F28"/>
    <w:rsid w:val="00E44234"/>
    <w:rsid w:val="00E442A5"/>
    <w:rsid w:val="00E4494C"/>
    <w:rsid w:val="00E44A15"/>
    <w:rsid w:val="00E44ED5"/>
    <w:rsid w:val="00E454E1"/>
    <w:rsid w:val="00E45560"/>
    <w:rsid w:val="00E45669"/>
    <w:rsid w:val="00E45F37"/>
    <w:rsid w:val="00E46A87"/>
    <w:rsid w:val="00E46CBF"/>
    <w:rsid w:val="00E46FDB"/>
    <w:rsid w:val="00E472B6"/>
    <w:rsid w:val="00E472EB"/>
    <w:rsid w:val="00E47858"/>
    <w:rsid w:val="00E478BB"/>
    <w:rsid w:val="00E47917"/>
    <w:rsid w:val="00E47BC4"/>
    <w:rsid w:val="00E509DF"/>
    <w:rsid w:val="00E50B55"/>
    <w:rsid w:val="00E50F50"/>
    <w:rsid w:val="00E510DC"/>
    <w:rsid w:val="00E51500"/>
    <w:rsid w:val="00E51E06"/>
    <w:rsid w:val="00E52837"/>
    <w:rsid w:val="00E52DF4"/>
    <w:rsid w:val="00E537E2"/>
    <w:rsid w:val="00E53961"/>
    <w:rsid w:val="00E539DE"/>
    <w:rsid w:val="00E53C53"/>
    <w:rsid w:val="00E54030"/>
    <w:rsid w:val="00E542E3"/>
    <w:rsid w:val="00E548ED"/>
    <w:rsid w:val="00E54B16"/>
    <w:rsid w:val="00E5518D"/>
    <w:rsid w:val="00E5520A"/>
    <w:rsid w:val="00E555BC"/>
    <w:rsid w:val="00E55B3B"/>
    <w:rsid w:val="00E55DEE"/>
    <w:rsid w:val="00E560CC"/>
    <w:rsid w:val="00E56516"/>
    <w:rsid w:val="00E56B9B"/>
    <w:rsid w:val="00E56E23"/>
    <w:rsid w:val="00E570ED"/>
    <w:rsid w:val="00E57C28"/>
    <w:rsid w:val="00E60252"/>
    <w:rsid w:val="00E60579"/>
    <w:rsid w:val="00E60FFC"/>
    <w:rsid w:val="00E615D6"/>
    <w:rsid w:val="00E61C36"/>
    <w:rsid w:val="00E61F09"/>
    <w:rsid w:val="00E6245E"/>
    <w:rsid w:val="00E627D6"/>
    <w:rsid w:val="00E62830"/>
    <w:rsid w:val="00E62D64"/>
    <w:rsid w:val="00E62EAA"/>
    <w:rsid w:val="00E631C8"/>
    <w:rsid w:val="00E64147"/>
    <w:rsid w:val="00E641C0"/>
    <w:rsid w:val="00E64415"/>
    <w:rsid w:val="00E6442F"/>
    <w:rsid w:val="00E6471E"/>
    <w:rsid w:val="00E64730"/>
    <w:rsid w:val="00E64D6E"/>
    <w:rsid w:val="00E65130"/>
    <w:rsid w:val="00E655F2"/>
    <w:rsid w:val="00E65A61"/>
    <w:rsid w:val="00E662D7"/>
    <w:rsid w:val="00E66769"/>
    <w:rsid w:val="00E667A6"/>
    <w:rsid w:val="00E667D1"/>
    <w:rsid w:val="00E66ACF"/>
    <w:rsid w:val="00E66AEA"/>
    <w:rsid w:val="00E673F5"/>
    <w:rsid w:val="00E675BF"/>
    <w:rsid w:val="00E67BEB"/>
    <w:rsid w:val="00E67E1D"/>
    <w:rsid w:val="00E7073F"/>
    <w:rsid w:val="00E70B9C"/>
    <w:rsid w:val="00E70C89"/>
    <w:rsid w:val="00E71482"/>
    <w:rsid w:val="00E71515"/>
    <w:rsid w:val="00E716A6"/>
    <w:rsid w:val="00E718DD"/>
    <w:rsid w:val="00E71AF8"/>
    <w:rsid w:val="00E71D57"/>
    <w:rsid w:val="00E733F6"/>
    <w:rsid w:val="00E73881"/>
    <w:rsid w:val="00E73B3A"/>
    <w:rsid w:val="00E73C99"/>
    <w:rsid w:val="00E73CE7"/>
    <w:rsid w:val="00E73D7B"/>
    <w:rsid w:val="00E74260"/>
    <w:rsid w:val="00E74E37"/>
    <w:rsid w:val="00E74EE3"/>
    <w:rsid w:val="00E750C5"/>
    <w:rsid w:val="00E75741"/>
    <w:rsid w:val="00E7589C"/>
    <w:rsid w:val="00E763C3"/>
    <w:rsid w:val="00E76408"/>
    <w:rsid w:val="00E764CA"/>
    <w:rsid w:val="00E7695F"/>
    <w:rsid w:val="00E76CF5"/>
    <w:rsid w:val="00E7706C"/>
    <w:rsid w:val="00E773FB"/>
    <w:rsid w:val="00E80121"/>
    <w:rsid w:val="00E802DC"/>
    <w:rsid w:val="00E80342"/>
    <w:rsid w:val="00E80346"/>
    <w:rsid w:val="00E80475"/>
    <w:rsid w:val="00E806A0"/>
    <w:rsid w:val="00E80A12"/>
    <w:rsid w:val="00E80CA1"/>
    <w:rsid w:val="00E80DB9"/>
    <w:rsid w:val="00E8120B"/>
    <w:rsid w:val="00E81432"/>
    <w:rsid w:val="00E81709"/>
    <w:rsid w:val="00E81822"/>
    <w:rsid w:val="00E819E3"/>
    <w:rsid w:val="00E81C73"/>
    <w:rsid w:val="00E81C85"/>
    <w:rsid w:val="00E820FB"/>
    <w:rsid w:val="00E82E2F"/>
    <w:rsid w:val="00E83290"/>
    <w:rsid w:val="00E83394"/>
    <w:rsid w:val="00E83854"/>
    <w:rsid w:val="00E83C57"/>
    <w:rsid w:val="00E83F75"/>
    <w:rsid w:val="00E83FDF"/>
    <w:rsid w:val="00E842A2"/>
    <w:rsid w:val="00E84663"/>
    <w:rsid w:val="00E856F8"/>
    <w:rsid w:val="00E85D24"/>
    <w:rsid w:val="00E863C2"/>
    <w:rsid w:val="00E863F0"/>
    <w:rsid w:val="00E867C5"/>
    <w:rsid w:val="00E86966"/>
    <w:rsid w:val="00E86E1D"/>
    <w:rsid w:val="00E87915"/>
    <w:rsid w:val="00E87ECA"/>
    <w:rsid w:val="00E87F23"/>
    <w:rsid w:val="00E90379"/>
    <w:rsid w:val="00E905DB"/>
    <w:rsid w:val="00E90E78"/>
    <w:rsid w:val="00E912F9"/>
    <w:rsid w:val="00E913FE"/>
    <w:rsid w:val="00E9149E"/>
    <w:rsid w:val="00E914BC"/>
    <w:rsid w:val="00E9150F"/>
    <w:rsid w:val="00E91B4E"/>
    <w:rsid w:val="00E91CA7"/>
    <w:rsid w:val="00E922AD"/>
    <w:rsid w:val="00E927AD"/>
    <w:rsid w:val="00E92B97"/>
    <w:rsid w:val="00E939B7"/>
    <w:rsid w:val="00E94042"/>
    <w:rsid w:val="00E941B4"/>
    <w:rsid w:val="00E947BB"/>
    <w:rsid w:val="00E94A5F"/>
    <w:rsid w:val="00E94B6C"/>
    <w:rsid w:val="00E94D9C"/>
    <w:rsid w:val="00E95023"/>
    <w:rsid w:val="00E95115"/>
    <w:rsid w:val="00E95498"/>
    <w:rsid w:val="00E95528"/>
    <w:rsid w:val="00E95854"/>
    <w:rsid w:val="00E95A4B"/>
    <w:rsid w:val="00E95ADD"/>
    <w:rsid w:val="00E95E4F"/>
    <w:rsid w:val="00E95FD3"/>
    <w:rsid w:val="00E961AA"/>
    <w:rsid w:val="00E963EF"/>
    <w:rsid w:val="00E96BFD"/>
    <w:rsid w:val="00E96CB0"/>
    <w:rsid w:val="00E96E6E"/>
    <w:rsid w:val="00E96FF5"/>
    <w:rsid w:val="00E9726E"/>
    <w:rsid w:val="00E97771"/>
    <w:rsid w:val="00EA0B86"/>
    <w:rsid w:val="00EA0F67"/>
    <w:rsid w:val="00EA0FEE"/>
    <w:rsid w:val="00EA1BFC"/>
    <w:rsid w:val="00EA1D49"/>
    <w:rsid w:val="00EA2205"/>
    <w:rsid w:val="00EA22FC"/>
    <w:rsid w:val="00EA247A"/>
    <w:rsid w:val="00EA27EE"/>
    <w:rsid w:val="00EA2C3F"/>
    <w:rsid w:val="00EA32D0"/>
    <w:rsid w:val="00EA3695"/>
    <w:rsid w:val="00EA3970"/>
    <w:rsid w:val="00EA3BD9"/>
    <w:rsid w:val="00EA3F61"/>
    <w:rsid w:val="00EA4137"/>
    <w:rsid w:val="00EA4226"/>
    <w:rsid w:val="00EA49E1"/>
    <w:rsid w:val="00EA4B5C"/>
    <w:rsid w:val="00EA55C7"/>
    <w:rsid w:val="00EA595C"/>
    <w:rsid w:val="00EA6116"/>
    <w:rsid w:val="00EA689B"/>
    <w:rsid w:val="00EA68D1"/>
    <w:rsid w:val="00EA6CAD"/>
    <w:rsid w:val="00EA6F73"/>
    <w:rsid w:val="00EA70D7"/>
    <w:rsid w:val="00EA753C"/>
    <w:rsid w:val="00EA75E5"/>
    <w:rsid w:val="00EA769F"/>
    <w:rsid w:val="00EA7BAE"/>
    <w:rsid w:val="00EA7D74"/>
    <w:rsid w:val="00EA7E5F"/>
    <w:rsid w:val="00EB0203"/>
    <w:rsid w:val="00EB050C"/>
    <w:rsid w:val="00EB06B0"/>
    <w:rsid w:val="00EB06BC"/>
    <w:rsid w:val="00EB081B"/>
    <w:rsid w:val="00EB0961"/>
    <w:rsid w:val="00EB0AB5"/>
    <w:rsid w:val="00EB0D13"/>
    <w:rsid w:val="00EB0E0E"/>
    <w:rsid w:val="00EB0EFA"/>
    <w:rsid w:val="00EB0F39"/>
    <w:rsid w:val="00EB0F4D"/>
    <w:rsid w:val="00EB1157"/>
    <w:rsid w:val="00EB1784"/>
    <w:rsid w:val="00EB19E2"/>
    <w:rsid w:val="00EB1DB1"/>
    <w:rsid w:val="00EB1F16"/>
    <w:rsid w:val="00EB220C"/>
    <w:rsid w:val="00EB225E"/>
    <w:rsid w:val="00EB28A3"/>
    <w:rsid w:val="00EB2C22"/>
    <w:rsid w:val="00EB2E15"/>
    <w:rsid w:val="00EB2E17"/>
    <w:rsid w:val="00EB3048"/>
    <w:rsid w:val="00EB340F"/>
    <w:rsid w:val="00EB3420"/>
    <w:rsid w:val="00EB3657"/>
    <w:rsid w:val="00EB3A0A"/>
    <w:rsid w:val="00EB404E"/>
    <w:rsid w:val="00EB43E0"/>
    <w:rsid w:val="00EB4513"/>
    <w:rsid w:val="00EB460B"/>
    <w:rsid w:val="00EB4B92"/>
    <w:rsid w:val="00EB4E5F"/>
    <w:rsid w:val="00EB5FA5"/>
    <w:rsid w:val="00EB6130"/>
    <w:rsid w:val="00EB6A9F"/>
    <w:rsid w:val="00EB6C21"/>
    <w:rsid w:val="00EB7198"/>
    <w:rsid w:val="00EB74D3"/>
    <w:rsid w:val="00EB7973"/>
    <w:rsid w:val="00EB79BC"/>
    <w:rsid w:val="00EB7CD0"/>
    <w:rsid w:val="00EC03A5"/>
    <w:rsid w:val="00EC0669"/>
    <w:rsid w:val="00EC06FF"/>
    <w:rsid w:val="00EC0C4D"/>
    <w:rsid w:val="00EC0CAD"/>
    <w:rsid w:val="00EC1817"/>
    <w:rsid w:val="00EC191C"/>
    <w:rsid w:val="00EC1B3C"/>
    <w:rsid w:val="00EC1F2B"/>
    <w:rsid w:val="00EC27F7"/>
    <w:rsid w:val="00EC2841"/>
    <w:rsid w:val="00EC2EC2"/>
    <w:rsid w:val="00EC34B6"/>
    <w:rsid w:val="00EC383C"/>
    <w:rsid w:val="00EC3E1F"/>
    <w:rsid w:val="00EC3FA7"/>
    <w:rsid w:val="00EC4240"/>
    <w:rsid w:val="00EC4294"/>
    <w:rsid w:val="00EC449B"/>
    <w:rsid w:val="00EC44FC"/>
    <w:rsid w:val="00EC4554"/>
    <w:rsid w:val="00EC47A4"/>
    <w:rsid w:val="00EC4DC7"/>
    <w:rsid w:val="00EC590A"/>
    <w:rsid w:val="00EC5E1B"/>
    <w:rsid w:val="00EC68AA"/>
    <w:rsid w:val="00EC6EC9"/>
    <w:rsid w:val="00EC6F6E"/>
    <w:rsid w:val="00EC7043"/>
    <w:rsid w:val="00EC7156"/>
    <w:rsid w:val="00EC79BC"/>
    <w:rsid w:val="00EC7A29"/>
    <w:rsid w:val="00ED01AC"/>
    <w:rsid w:val="00ED07BF"/>
    <w:rsid w:val="00ED0A4D"/>
    <w:rsid w:val="00ED0A77"/>
    <w:rsid w:val="00ED0EDE"/>
    <w:rsid w:val="00ED102F"/>
    <w:rsid w:val="00ED1186"/>
    <w:rsid w:val="00ED1212"/>
    <w:rsid w:val="00ED189F"/>
    <w:rsid w:val="00ED1D2E"/>
    <w:rsid w:val="00ED1D2F"/>
    <w:rsid w:val="00ED20F8"/>
    <w:rsid w:val="00ED229B"/>
    <w:rsid w:val="00ED2B4A"/>
    <w:rsid w:val="00ED3248"/>
    <w:rsid w:val="00ED34F6"/>
    <w:rsid w:val="00ED3681"/>
    <w:rsid w:val="00ED4034"/>
    <w:rsid w:val="00ED4166"/>
    <w:rsid w:val="00ED466F"/>
    <w:rsid w:val="00ED4C2E"/>
    <w:rsid w:val="00ED5016"/>
    <w:rsid w:val="00ED52DD"/>
    <w:rsid w:val="00ED5749"/>
    <w:rsid w:val="00ED5D54"/>
    <w:rsid w:val="00ED6268"/>
    <w:rsid w:val="00ED63CC"/>
    <w:rsid w:val="00ED6841"/>
    <w:rsid w:val="00ED70A7"/>
    <w:rsid w:val="00ED75DC"/>
    <w:rsid w:val="00ED7FE8"/>
    <w:rsid w:val="00EE0252"/>
    <w:rsid w:val="00EE0477"/>
    <w:rsid w:val="00EE04AC"/>
    <w:rsid w:val="00EE09C5"/>
    <w:rsid w:val="00EE0D9F"/>
    <w:rsid w:val="00EE0E59"/>
    <w:rsid w:val="00EE101D"/>
    <w:rsid w:val="00EE1361"/>
    <w:rsid w:val="00EE14C3"/>
    <w:rsid w:val="00EE169C"/>
    <w:rsid w:val="00EE1E0C"/>
    <w:rsid w:val="00EE20AC"/>
    <w:rsid w:val="00EE24F9"/>
    <w:rsid w:val="00EE27D3"/>
    <w:rsid w:val="00EE2C66"/>
    <w:rsid w:val="00EE34EF"/>
    <w:rsid w:val="00EE35F3"/>
    <w:rsid w:val="00EE3905"/>
    <w:rsid w:val="00EE3A0D"/>
    <w:rsid w:val="00EE3A32"/>
    <w:rsid w:val="00EE4025"/>
    <w:rsid w:val="00EE417F"/>
    <w:rsid w:val="00EE463C"/>
    <w:rsid w:val="00EE4765"/>
    <w:rsid w:val="00EE4831"/>
    <w:rsid w:val="00EE52E1"/>
    <w:rsid w:val="00EE5825"/>
    <w:rsid w:val="00EE583C"/>
    <w:rsid w:val="00EE5D8C"/>
    <w:rsid w:val="00EE5E6E"/>
    <w:rsid w:val="00EE67BA"/>
    <w:rsid w:val="00EE6973"/>
    <w:rsid w:val="00EE6B6E"/>
    <w:rsid w:val="00EE6C68"/>
    <w:rsid w:val="00EE7106"/>
    <w:rsid w:val="00EE7159"/>
    <w:rsid w:val="00EE73F5"/>
    <w:rsid w:val="00EE7A59"/>
    <w:rsid w:val="00EE7AF1"/>
    <w:rsid w:val="00EE7D3D"/>
    <w:rsid w:val="00EF0A2D"/>
    <w:rsid w:val="00EF0BC4"/>
    <w:rsid w:val="00EF0F33"/>
    <w:rsid w:val="00EF1235"/>
    <w:rsid w:val="00EF1544"/>
    <w:rsid w:val="00EF1F0F"/>
    <w:rsid w:val="00EF21A6"/>
    <w:rsid w:val="00EF2397"/>
    <w:rsid w:val="00EF2612"/>
    <w:rsid w:val="00EF26D1"/>
    <w:rsid w:val="00EF2AE2"/>
    <w:rsid w:val="00EF2BD1"/>
    <w:rsid w:val="00EF3063"/>
    <w:rsid w:val="00EF3BC5"/>
    <w:rsid w:val="00EF45AA"/>
    <w:rsid w:val="00EF462E"/>
    <w:rsid w:val="00EF47A7"/>
    <w:rsid w:val="00EF4AB3"/>
    <w:rsid w:val="00EF4B4D"/>
    <w:rsid w:val="00EF4C06"/>
    <w:rsid w:val="00EF4C64"/>
    <w:rsid w:val="00EF4C65"/>
    <w:rsid w:val="00EF4E87"/>
    <w:rsid w:val="00EF50B2"/>
    <w:rsid w:val="00EF55A3"/>
    <w:rsid w:val="00EF582F"/>
    <w:rsid w:val="00EF6245"/>
    <w:rsid w:val="00EF708B"/>
    <w:rsid w:val="00EF7406"/>
    <w:rsid w:val="00EF75B2"/>
    <w:rsid w:val="00EF797A"/>
    <w:rsid w:val="00EF7A2F"/>
    <w:rsid w:val="00EF7AA5"/>
    <w:rsid w:val="00EF7CA4"/>
    <w:rsid w:val="00EF7CE9"/>
    <w:rsid w:val="00F00115"/>
    <w:rsid w:val="00F0023E"/>
    <w:rsid w:val="00F0042B"/>
    <w:rsid w:val="00F00A81"/>
    <w:rsid w:val="00F00C7B"/>
    <w:rsid w:val="00F01D99"/>
    <w:rsid w:val="00F029DC"/>
    <w:rsid w:val="00F02B81"/>
    <w:rsid w:val="00F02F84"/>
    <w:rsid w:val="00F03003"/>
    <w:rsid w:val="00F0347E"/>
    <w:rsid w:val="00F036DC"/>
    <w:rsid w:val="00F03F30"/>
    <w:rsid w:val="00F045ED"/>
    <w:rsid w:val="00F0463D"/>
    <w:rsid w:val="00F04D5D"/>
    <w:rsid w:val="00F0555D"/>
    <w:rsid w:val="00F056D1"/>
    <w:rsid w:val="00F0588E"/>
    <w:rsid w:val="00F059ED"/>
    <w:rsid w:val="00F06119"/>
    <w:rsid w:val="00F061C0"/>
    <w:rsid w:val="00F062E5"/>
    <w:rsid w:val="00F0678F"/>
    <w:rsid w:val="00F06D4D"/>
    <w:rsid w:val="00F06D84"/>
    <w:rsid w:val="00F07382"/>
    <w:rsid w:val="00F073C0"/>
    <w:rsid w:val="00F07615"/>
    <w:rsid w:val="00F10057"/>
    <w:rsid w:val="00F10211"/>
    <w:rsid w:val="00F10E59"/>
    <w:rsid w:val="00F10FB6"/>
    <w:rsid w:val="00F1105E"/>
    <w:rsid w:val="00F11BDA"/>
    <w:rsid w:val="00F11E1A"/>
    <w:rsid w:val="00F11E35"/>
    <w:rsid w:val="00F11F11"/>
    <w:rsid w:val="00F12174"/>
    <w:rsid w:val="00F128BF"/>
    <w:rsid w:val="00F12A08"/>
    <w:rsid w:val="00F12D67"/>
    <w:rsid w:val="00F1313E"/>
    <w:rsid w:val="00F1352F"/>
    <w:rsid w:val="00F1368A"/>
    <w:rsid w:val="00F13CD3"/>
    <w:rsid w:val="00F14127"/>
    <w:rsid w:val="00F14DDF"/>
    <w:rsid w:val="00F15012"/>
    <w:rsid w:val="00F150D1"/>
    <w:rsid w:val="00F153CE"/>
    <w:rsid w:val="00F1578F"/>
    <w:rsid w:val="00F15F5B"/>
    <w:rsid w:val="00F163BE"/>
    <w:rsid w:val="00F16590"/>
    <w:rsid w:val="00F1675B"/>
    <w:rsid w:val="00F16B2E"/>
    <w:rsid w:val="00F17076"/>
    <w:rsid w:val="00F178F5"/>
    <w:rsid w:val="00F17C98"/>
    <w:rsid w:val="00F17D2B"/>
    <w:rsid w:val="00F17FC6"/>
    <w:rsid w:val="00F200F6"/>
    <w:rsid w:val="00F21976"/>
    <w:rsid w:val="00F21A30"/>
    <w:rsid w:val="00F21C2D"/>
    <w:rsid w:val="00F2227B"/>
    <w:rsid w:val="00F22463"/>
    <w:rsid w:val="00F227BE"/>
    <w:rsid w:val="00F22938"/>
    <w:rsid w:val="00F2296C"/>
    <w:rsid w:val="00F22C59"/>
    <w:rsid w:val="00F22C8A"/>
    <w:rsid w:val="00F2385B"/>
    <w:rsid w:val="00F24C11"/>
    <w:rsid w:val="00F24D11"/>
    <w:rsid w:val="00F24EA5"/>
    <w:rsid w:val="00F24EF4"/>
    <w:rsid w:val="00F2567B"/>
    <w:rsid w:val="00F259EF"/>
    <w:rsid w:val="00F25E8B"/>
    <w:rsid w:val="00F26755"/>
    <w:rsid w:val="00F26975"/>
    <w:rsid w:val="00F26AD4"/>
    <w:rsid w:val="00F26B77"/>
    <w:rsid w:val="00F26C95"/>
    <w:rsid w:val="00F271A9"/>
    <w:rsid w:val="00F27501"/>
    <w:rsid w:val="00F27557"/>
    <w:rsid w:val="00F275F1"/>
    <w:rsid w:val="00F279F4"/>
    <w:rsid w:val="00F27B4A"/>
    <w:rsid w:val="00F27EAF"/>
    <w:rsid w:val="00F3060B"/>
    <w:rsid w:val="00F30C50"/>
    <w:rsid w:val="00F311E6"/>
    <w:rsid w:val="00F3149F"/>
    <w:rsid w:val="00F31DF2"/>
    <w:rsid w:val="00F32252"/>
    <w:rsid w:val="00F32B89"/>
    <w:rsid w:val="00F32D68"/>
    <w:rsid w:val="00F32F4A"/>
    <w:rsid w:val="00F3308F"/>
    <w:rsid w:val="00F334BD"/>
    <w:rsid w:val="00F33953"/>
    <w:rsid w:val="00F342EB"/>
    <w:rsid w:val="00F343FE"/>
    <w:rsid w:val="00F3452B"/>
    <w:rsid w:val="00F34E2E"/>
    <w:rsid w:val="00F351BA"/>
    <w:rsid w:val="00F352AB"/>
    <w:rsid w:val="00F35552"/>
    <w:rsid w:val="00F3559E"/>
    <w:rsid w:val="00F35783"/>
    <w:rsid w:val="00F357E1"/>
    <w:rsid w:val="00F3624B"/>
    <w:rsid w:val="00F362CD"/>
    <w:rsid w:val="00F36368"/>
    <w:rsid w:val="00F363D8"/>
    <w:rsid w:val="00F3643E"/>
    <w:rsid w:val="00F3654F"/>
    <w:rsid w:val="00F3666D"/>
    <w:rsid w:val="00F3686B"/>
    <w:rsid w:val="00F36BDB"/>
    <w:rsid w:val="00F36EC1"/>
    <w:rsid w:val="00F37059"/>
    <w:rsid w:val="00F40623"/>
    <w:rsid w:val="00F4094B"/>
    <w:rsid w:val="00F409B4"/>
    <w:rsid w:val="00F40BD7"/>
    <w:rsid w:val="00F40CC8"/>
    <w:rsid w:val="00F40CDB"/>
    <w:rsid w:val="00F40E13"/>
    <w:rsid w:val="00F40F59"/>
    <w:rsid w:val="00F41524"/>
    <w:rsid w:val="00F41D12"/>
    <w:rsid w:val="00F426DB"/>
    <w:rsid w:val="00F426E5"/>
    <w:rsid w:val="00F42A91"/>
    <w:rsid w:val="00F42B78"/>
    <w:rsid w:val="00F432B6"/>
    <w:rsid w:val="00F43F2C"/>
    <w:rsid w:val="00F4402D"/>
    <w:rsid w:val="00F44307"/>
    <w:rsid w:val="00F44FA4"/>
    <w:rsid w:val="00F4507F"/>
    <w:rsid w:val="00F4523C"/>
    <w:rsid w:val="00F45363"/>
    <w:rsid w:val="00F458F6"/>
    <w:rsid w:val="00F45B0E"/>
    <w:rsid w:val="00F45CB4"/>
    <w:rsid w:val="00F45E2C"/>
    <w:rsid w:val="00F45FA7"/>
    <w:rsid w:val="00F463C9"/>
    <w:rsid w:val="00F46520"/>
    <w:rsid w:val="00F470BA"/>
    <w:rsid w:val="00F476DC"/>
    <w:rsid w:val="00F47B17"/>
    <w:rsid w:val="00F47E72"/>
    <w:rsid w:val="00F500CA"/>
    <w:rsid w:val="00F50585"/>
    <w:rsid w:val="00F506EA"/>
    <w:rsid w:val="00F509CB"/>
    <w:rsid w:val="00F50BB6"/>
    <w:rsid w:val="00F5131A"/>
    <w:rsid w:val="00F51467"/>
    <w:rsid w:val="00F51DB6"/>
    <w:rsid w:val="00F51E15"/>
    <w:rsid w:val="00F51F15"/>
    <w:rsid w:val="00F52635"/>
    <w:rsid w:val="00F52C7B"/>
    <w:rsid w:val="00F52EDD"/>
    <w:rsid w:val="00F53499"/>
    <w:rsid w:val="00F54032"/>
    <w:rsid w:val="00F5461C"/>
    <w:rsid w:val="00F5475A"/>
    <w:rsid w:val="00F549BE"/>
    <w:rsid w:val="00F54C52"/>
    <w:rsid w:val="00F553CB"/>
    <w:rsid w:val="00F5585C"/>
    <w:rsid w:val="00F55B27"/>
    <w:rsid w:val="00F55C3B"/>
    <w:rsid w:val="00F561D4"/>
    <w:rsid w:val="00F5630B"/>
    <w:rsid w:val="00F56439"/>
    <w:rsid w:val="00F5655C"/>
    <w:rsid w:val="00F567BC"/>
    <w:rsid w:val="00F56A79"/>
    <w:rsid w:val="00F56C98"/>
    <w:rsid w:val="00F56CC0"/>
    <w:rsid w:val="00F570A7"/>
    <w:rsid w:val="00F57228"/>
    <w:rsid w:val="00F575FD"/>
    <w:rsid w:val="00F57C94"/>
    <w:rsid w:val="00F603A4"/>
    <w:rsid w:val="00F60488"/>
    <w:rsid w:val="00F608E8"/>
    <w:rsid w:val="00F61AD6"/>
    <w:rsid w:val="00F61BBC"/>
    <w:rsid w:val="00F622CC"/>
    <w:rsid w:val="00F628AA"/>
    <w:rsid w:val="00F62ECA"/>
    <w:rsid w:val="00F62F0B"/>
    <w:rsid w:val="00F63130"/>
    <w:rsid w:val="00F6330A"/>
    <w:rsid w:val="00F634E4"/>
    <w:rsid w:val="00F63744"/>
    <w:rsid w:val="00F63B2D"/>
    <w:rsid w:val="00F63C9C"/>
    <w:rsid w:val="00F6477D"/>
    <w:rsid w:val="00F65086"/>
    <w:rsid w:val="00F65153"/>
    <w:rsid w:val="00F652E7"/>
    <w:rsid w:val="00F6534B"/>
    <w:rsid w:val="00F65461"/>
    <w:rsid w:val="00F6553A"/>
    <w:rsid w:val="00F65806"/>
    <w:rsid w:val="00F658B0"/>
    <w:rsid w:val="00F65B02"/>
    <w:rsid w:val="00F65F11"/>
    <w:rsid w:val="00F660A7"/>
    <w:rsid w:val="00F6667B"/>
    <w:rsid w:val="00F66707"/>
    <w:rsid w:val="00F6672E"/>
    <w:rsid w:val="00F66825"/>
    <w:rsid w:val="00F67096"/>
    <w:rsid w:val="00F67593"/>
    <w:rsid w:val="00F67908"/>
    <w:rsid w:val="00F679DE"/>
    <w:rsid w:val="00F701DC"/>
    <w:rsid w:val="00F7027A"/>
    <w:rsid w:val="00F703EA"/>
    <w:rsid w:val="00F70986"/>
    <w:rsid w:val="00F711F2"/>
    <w:rsid w:val="00F71407"/>
    <w:rsid w:val="00F715A6"/>
    <w:rsid w:val="00F716D3"/>
    <w:rsid w:val="00F7192E"/>
    <w:rsid w:val="00F722F3"/>
    <w:rsid w:val="00F724C4"/>
    <w:rsid w:val="00F727FE"/>
    <w:rsid w:val="00F729A5"/>
    <w:rsid w:val="00F7325C"/>
    <w:rsid w:val="00F73D8B"/>
    <w:rsid w:val="00F7424D"/>
    <w:rsid w:val="00F74414"/>
    <w:rsid w:val="00F744E4"/>
    <w:rsid w:val="00F74655"/>
    <w:rsid w:val="00F746D4"/>
    <w:rsid w:val="00F74C76"/>
    <w:rsid w:val="00F74D1F"/>
    <w:rsid w:val="00F75227"/>
    <w:rsid w:val="00F75299"/>
    <w:rsid w:val="00F75ED6"/>
    <w:rsid w:val="00F7611D"/>
    <w:rsid w:val="00F7617C"/>
    <w:rsid w:val="00F7628A"/>
    <w:rsid w:val="00F76654"/>
    <w:rsid w:val="00F766DB"/>
    <w:rsid w:val="00F76968"/>
    <w:rsid w:val="00F777D0"/>
    <w:rsid w:val="00F779FC"/>
    <w:rsid w:val="00F77C48"/>
    <w:rsid w:val="00F77FD8"/>
    <w:rsid w:val="00F80451"/>
    <w:rsid w:val="00F810D2"/>
    <w:rsid w:val="00F813EA"/>
    <w:rsid w:val="00F81576"/>
    <w:rsid w:val="00F8178A"/>
    <w:rsid w:val="00F81FD6"/>
    <w:rsid w:val="00F82387"/>
    <w:rsid w:val="00F82A8F"/>
    <w:rsid w:val="00F82F61"/>
    <w:rsid w:val="00F83062"/>
    <w:rsid w:val="00F8369B"/>
    <w:rsid w:val="00F8420D"/>
    <w:rsid w:val="00F84456"/>
    <w:rsid w:val="00F84A5E"/>
    <w:rsid w:val="00F84FE9"/>
    <w:rsid w:val="00F85009"/>
    <w:rsid w:val="00F854B9"/>
    <w:rsid w:val="00F856B4"/>
    <w:rsid w:val="00F85B4D"/>
    <w:rsid w:val="00F85D00"/>
    <w:rsid w:val="00F85DBD"/>
    <w:rsid w:val="00F85FEC"/>
    <w:rsid w:val="00F86054"/>
    <w:rsid w:val="00F8630A"/>
    <w:rsid w:val="00F8663A"/>
    <w:rsid w:val="00F86B70"/>
    <w:rsid w:val="00F86EDF"/>
    <w:rsid w:val="00F87246"/>
    <w:rsid w:val="00F87534"/>
    <w:rsid w:val="00F8757A"/>
    <w:rsid w:val="00F87797"/>
    <w:rsid w:val="00F87CB9"/>
    <w:rsid w:val="00F9014E"/>
    <w:rsid w:val="00F90219"/>
    <w:rsid w:val="00F90392"/>
    <w:rsid w:val="00F9087D"/>
    <w:rsid w:val="00F90E28"/>
    <w:rsid w:val="00F91097"/>
    <w:rsid w:val="00F91A91"/>
    <w:rsid w:val="00F91C09"/>
    <w:rsid w:val="00F92255"/>
    <w:rsid w:val="00F9254A"/>
    <w:rsid w:val="00F9267E"/>
    <w:rsid w:val="00F92FC7"/>
    <w:rsid w:val="00F93024"/>
    <w:rsid w:val="00F93D21"/>
    <w:rsid w:val="00F9438C"/>
    <w:rsid w:val="00F94E3F"/>
    <w:rsid w:val="00F95676"/>
    <w:rsid w:val="00F9658F"/>
    <w:rsid w:val="00F96BFF"/>
    <w:rsid w:val="00F96E88"/>
    <w:rsid w:val="00F96ECD"/>
    <w:rsid w:val="00F975C2"/>
    <w:rsid w:val="00F977D1"/>
    <w:rsid w:val="00FA0811"/>
    <w:rsid w:val="00FA085B"/>
    <w:rsid w:val="00FA09A5"/>
    <w:rsid w:val="00FA1655"/>
    <w:rsid w:val="00FA1862"/>
    <w:rsid w:val="00FA2D38"/>
    <w:rsid w:val="00FA3137"/>
    <w:rsid w:val="00FA3652"/>
    <w:rsid w:val="00FA3794"/>
    <w:rsid w:val="00FA389D"/>
    <w:rsid w:val="00FA396C"/>
    <w:rsid w:val="00FA39AA"/>
    <w:rsid w:val="00FA3B6A"/>
    <w:rsid w:val="00FA4E5D"/>
    <w:rsid w:val="00FA50DC"/>
    <w:rsid w:val="00FA5192"/>
    <w:rsid w:val="00FA5276"/>
    <w:rsid w:val="00FA544E"/>
    <w:rsid w:val="00FA5582"/>
    <w:rsid w:val="00FA5809"/>
    <w:rsid w:val="00FA58EF"/>
    <w:rsid w:val="00FA63A9"/>
    <w:rsid w:val="00FA647E"/>
    <w:rsid w:val="00FA6645"/>
    <w:rsid w:val="00FA68E5"/>
    <w:rsid w:val="00FA6ACC"/>
    <w:rsid w:val="00FA6C01"/>
    <w:rsid w:val="00FA6CBB"/>
    <w:rsid w:val="00FA6F63"/>
    <w:rsid w:val="00FA6FD7"/>
    <w:rsid w:val="00FA7718"/>
    <w:rsid w:val="00FA7C10"/>
    <w:rsid w:val="00FA7C86"/>
    <w:rsid w:val="00FB0523"/>
    <w:rsid w:val="00FB07A8"/>
    <w:rsid w:val="00FB0DAD"/>
    <w:rsid w:val="00FB0EC0"/>
    <w:rsid w:val="00FB1959"/>
    <w:rsid w:val="00FB1995"/>
    <w:rsid w:val="00FB1E57"/>
    <w:rsid w:val="00FB1EEB"/>
    <w:rsid w:val="00FB2314"/>
    <w:rsid w:val="00FB293E"/>
    <w:rsid w:val="00FB2A8A"/>
    <w:rsid w:val="00FB2D23"/>
    <w:rsid w:val="00FB2D3C"/>
    <w:rsid w:val="00FB33E4"/>
    <w:rsid w:val="00FB3CF4"/>
    <w:rsid w:val="00FB44AB"/>
    <w:rsid w:val="00FB4713"/>
    <w:rsid w:val="00FB4B72"/>
    <w:rsid w:val="00FB513E"/>
    <w:rsid w:val="00FB5288"/>
    <w:rsid w:val="00FB538A"/>
    <w:rsid w:val="00FB558C"/>
    <w:rsid w:val="00FB584C"/>
    <w:rsid w:val="00FB58B6"/>
    <w:rsid w:val="00FB5F7A"/>
    <w:rsid w:val="00FB63F4"/>
    <w:rsid w:val="00FB67A0"/>
    <w:rsid w:val="00FB6A51"/>
    <w:rsid w:val="00FB6B30"/>
    <w:rsid w:val="00FB6C10"/>
    <w:rsid w:val="00FB6FCA"/>
    <w:rsid w:val="00FB7BEB"/>
    <w:rsid w:val="00FB7C38"/>
    <w:rsid w:val="00FC0213"/>
    <w:rsid w:val="00FC0429"/>
    <w:rsid w:val="00FC0620"/>
    <w:rsid w:val="00FC064B"/>
    <w:rsid w:val="00FC08CE"/>
    <w:rsid w:val="00FC0960"/>
    <w:rsid w:val="00FC0C80"/>
    <w:rsid w:val="00FC0ECC"/>
    <w:rsid w:val="00FC0FD3"/>
    <w:rsid w:val="00FC10E9"/>
    <w:rsid w:val="00FC1256"/>
    <w:rsid w:val="00FC176D"/>
    <w:rsid w:val="00FC1A09"/>
    <w:rsid w:val="00FC1DFA"/>
    <w:rsid w:val="00FC21F8"/>
    <w:rsid w:val="00FC246E"/>
    <w:rsid w:val="00FC25B0"/>
    <w:rsid w:val="00FC2704"/>
    <w:rsid w:val="00FC29F3"/>
    <w:rsid w:val="00FC2AB0"/>
    <w:rsid w:val="00FC32D9"/>
    <w:rsid w:val="00FC32DF"/>
    <w:rsid w:val="00FC37F0"/>
    <w:rsid w:val="00FC3F4F"/>
    <w:rsid w:val="00FC4A71"/>
    <w:rsid w:val="00FC4D9E"/>
    <w:rsid w:val="00FC5B8D"/>
    <w:rsid w:val="00FC5BBA"/>
    <w:rsid w:val="00FC5C23"/>
    <w:rsid w:val="00FC6091"/>
    <w:rsid w:val="00FC61BD"/>
    <w:rsid w:val="00FC6372"/>
    <w:rsid w:val="00FC6784"/>
    <w:rsid w:val="00FC68C6"/>
    <w:rsid w:val="00FC6BAC"/>
    <w:rsid w:val="00FC723A"/>
    <w:rsid w:val="00FC7A5C"/>
    <w:rsid w:val="00FC7E21"/>
    <w:rsid w:val="00FD0113"/>
    <w:rsid w:val="00FD01AE"/>
    <w:rsid w:val="00FD023D"/>
    <w:rsid w:val="00FD030F"/>
    <w:rsid w:val="00FD0919"/>
    <w:rsid w:val="00FD14B3"/>
    <w:rsid w:val="00FD16BD"/>
    <w:rsid w:val="00FD1AD8"/>
    <w:rsid w:val="00FD1BEA"/>
    <w:rsid w:val="00FD209A"/>
    <w:rsid w:val="00FD22F1"/>
    <w:rsid w:val="00FD241A"/>
    <w:rsid w:val="00FD2715"/>
    <w:rsid w:val="00FD2840"/>
    <w:rsid w:val="00FD292B"/>
    <w:rsid w:val="00FD2BA8"/>
    <w:rsid w:val="00FD2C12"/>
    <w:rsid w:val="00FD2CF5"/>
    <w:rsid w:val="00FD3759"/>
    <w:rsid w:val="00FD37DF"/>
    <w:rsid w:val="00FD397E"/>
    <w:rsid w:val="00FD3F79"/>
    <w:rsid w:val="00FD43A3"/>
    <w:rsid w:val="00FD43FF"/>
    <w:rsid w:val="00FD46DB"/>
    <w:rsid w:val="00FD49E3"/>
    <w:rsid w:val="00FD4A2E"/>
    <w:rsid w:val="00FD4E79"/>
    <w:rsid w:val="00FD5475"/>
    <w:rsid w:val="00FD553E"/>
    <w:rsid w:val="00FD5702"/>
    <w:rsid w:val="00FD5CEC"/>
    <w:rsid w:val="00FD6152"/>
    <w:rsid w:val="00FD6304"/>
    <w:rsid w:val="00FD6618"/>
    <w:rsid w:val="00FD6619"/>
    <w:rsid w:val="00FD697A"/>
    <w:rsid w:val="00FD6ACF"/>
    <w:rsid w:val="00FD6BF7"/>
    <w:rsid w:val="00FD6C23"/>
    <w:rsid w:val="00FD7867"/>
    <w:rsid w:val="00FD790C"/>
    <w:rsid w:val="00FD7964"/>
    <w:rsid w:val="00FD7C8E"/>
    <w:rsid w:val="00FE027B"/>
    <w:rsid w:val="00FE0684"/>
    <w:rsid w:val="00FE07FB"/>
    <w:rsid w:val="00FE0C22"/>
    <w:rsid w:val="00FE0E54"/>
    <w:rsid w:val="00FE0E5A"/>
    <w:rsid w:val="00FE1091"/>
    <w:rsid w:val="00FE152F"/>
    <w:rsid w:val="00FE15EC"/>
    <w:rsid w:val="00FE16DF"/>
    <w:rsid w:val="00FE1929"/>
    <w:rsid w:val="00FE1C32"/>
    <w:rsid w:val="00FE1D86"/>
    <w:rsid w:val="00FE1F75"/>
    <w:rsid w:val="00FE1FEA"/>
    <w:rsid w:val="00FE224A"/>
    <w:rsid w:val="00FE25CC"/>
    <w:rsid w:val="00FE278B"/>
    <w:rsid w:val="00FE2B0B"/>
    <w:rsid w:val="00FE2B96"/>
    <w:rsid w:val="00FE2C1A"/>
    <w:rsid w:val="00FE2E18"/>
    <w:rsid w:val="00FE2F50"/>
    <w:rsid w:val="00FE3166"/>
    <w:rsid w:val="00FE32FE"/>
    <w:rsid w:val="00FE347B"/>
    <w:rsid w:val="00FE3553"/>
    <w:rsid w:val="00FE395E"/>
    <w:rsid w:val="00FE3F3A"/>
    <w:rsid w:val="00FE3FFD"/>
    <w:rsid w:val="00FE412B"/>
    <w:rsid w:val="00FE4C5E"/>
    <w:rsid w:val="00FE4DE2"/>
    <w:rsid w:val="00FE532C"/>
    <w:rsid w:val="00FE6666"/>
    <w:rsid w:val="00FE679F"/>
    <w:rsid w:val="00FE6BC7"/>
    <w:rsid w:val="00FE6D1C"/>
    <w:rsid w:val="00FE6D37"/>
    <w:rsid w:val="00FE702C"/>
    <w:rsid w:val="00FE7790"/>
    <w:rsid w:val="00FF05F5"/>
    <w:rsid w:val="00FF0C98"/>
    <w:rsid w:val="00FF0E82"/>
    <w:rsid w:val="00FF11C4"/>
    <w:rsid w:val="00FF1450"/>
    <w:rsid w:val="00FF1719"/>
    <w:rsid w:val="00FF177A"/>
    <w:rsid w:val="00FF1782"/>
    <w:rsid w:val="00FF1895"/>
    <w:rsid w:val="00FF1B0F"/>
    <w:rsid w:val="00FF1F13"/>
    <w:rsid w:val="00FF1F27"/>
    <w:rsid w:val="00FF1F9E"/>
    <w:rsid w:val="00FF23A5"/>
    <w:rsid w:val="00FF3352"/>
    <w:rsid w:val="00FF35A6"/>
    <w:rsid w:val="00FF41E3"/>
    <w:rsid w:val="00FF448C"/>
    <w:rsid w:val="00FF4554"/>
    <w:rsid w:val="00FF4975"/>
    <w:rsid w:val="00FF4B8C"/>
    <w:rsid w:val="00FF4C73"/>
    <w:rsid w:val="00FF4E21"/>
    <w:rsid w:val="00FF53BB"/>
    <w:rsid w:val="00FF5B8D"/>
    <w:rsid w:val="00FF5E2F"/>
    <w:rsid w:val="00FF60D6"/>
    <w:rsid w:val="00FF6238"/>
    <w:rsid w:val="00FF6324"/>
    <w:rsid w:val="00FF6397"/>
    <w:rsid w:val="00FF678D"/>
    <w:rsid w:val="00FF70C7"/>
    <w:rsid w:val="00FF73B7"/>
    <w:rsid w:val="00FF751C"/>
    <w:rsid w:val="00FF759B"/>
    <w:rsid w:val="00FF7A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814DA"/>
  <w15:chartTrackingRefBased/>
  <w15:docId w15:val="{130AEDB7-7691-4D76-9B93-A0AF51C8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4DC"/>
    <w:pPr>
      <w:spacing w:after="240" w:line="276" w:lineRule="auto"/>
      <w:jc w:val="both"/>
    </w:pPr>
    <w:rPr>
      <w:rFonts w:eastAsia="Arial" w:cs="Arial"/>
      <w:lang w:eastAsia="zh-CN"/>
    </w:rPr>
  </w:style>
  <w:style w:type="paragraph" w:styleId="Heading1">
    <w:name w:val="heading 1"/>
    <w:next w:val="Normal"/>
    <w:link w:val="Heading1Char"/>
    <w:uiPriority w:val="9"/>
    <w:unhideWhenUsed/>
    <w:qFormat/>
    <w:rsid w:val="00A76B16"/>
    <w:pPr>
      <w:keepNext/>
      <w:keepLines/>
      <w:spacing w:after="120"/>
      <w:ind w:left="14" w:hanging="14"/>
      <w:outlineLvl w:val="0"/>
    </w:pPr>
    <w:rPr>
      <w:rFonts w:eastAsia="Arial" w:cs="Arial"/>
      <w:b/>
      <w:noProof/>
      <w:color w:val="2E74B5" w:themeColor="accent1" w:themeShade="BF"/>
      <w:sz w:val="36"/>
      <w:szCs w:val="36"/>
    </w:rPr>
  </w:style>
  <w:style w:type="paragraph" w:styleId="Heading2">
    <w:name w:val="heading 2"/>
    <w:basedOn w:val="Normal"/>
    <w:next w:val="Normal"/>
    <w:link w:val="Heading2Char"/>
    <w:uiPriority w:val="9"/>
    <w:unhideWhenUsed/>
    <w:qFormat/>
    <w:rsid w:val="0055050D"/>
    <w:pPr>
      <w:keepNext/>
      <w:keepLines/>
      <w:spacing w:after="120"/>
      <w:outlineLvl w:val="1"/>
    </w:pPr>
    <w:rPr>
      <w:rFonts w:eastAsiaTheme="majorEastAsia" w:cstheme="majorBidi"/>
      <w:b/>
      <w:i/>
      <w:color w:val="2E74B5" w:themeColor="accent1" w:themeShade="BF"/>
      <w:sz w:val="28"/>
      <w:szCs w:val="28"/>
    </w:rPr>
  </w:style>
  <w:style w:type="paragraph" w:styleId="Heading3">
    <w:name w:val="heading 3"/>
    <w:basedOn w:val="Normal"/>
    <w:next w:val="Normal"/>
    <w:link w:val="Heading3Char"/>
    <w:uiPriority w:val="9"/>
    <w:unhideWhenUsed/>
    <w:qFormat/>
    <w:rsid w:val="005F4B90"/>
    <w:pPr>
      <w:keepNext/>
      <w:keepLines/>
      <w:spacing w:before="40" w:after="120"/>
      <w:outlineLvl w:val="2"/>
    </w:pPr>
    <w:rPr>
      <w:rFonts w:eastAsiaTheme="majorEastAsia" w:cstheme="majorBidi"/>
      <w:b/>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B16"/>
    <w:rPr>
      <w:rFonts w:eastAsia="Arial" w:cs="Arial"/>
      <w:b/>
      <w:noProof/>
      <w:color w:val="2E74B5" w:themeColor="accent1" w:themeShade="BF"/>
      <w:sz w:val="36"/>
      <w:szCs w:val="36"/>
    </w:rPr>
  </w:style>
  <w:style w:type="table" w:customStyle="1" w:styleId="TableGrid">
    <w:name w:val="TableGrid"/>
    <w:rsid w:val="00844F11"/>
    <w:pPr>
      <w:spacing w:after="0" w:line="240" w:lineRule="auto"/>
    </w:pPr>
    <w:rPr>
      <w:rFonts w:eastAsiaTheme="minorEastAsia"/>
      <w:lang w:eastAsia="zh-CN"/>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5050D"/>
    <w:rPr>
      <w:rFonts w:eastAsiaTheme="majorEastAsia" w:cstheme="majorBidi"/>
      <w:b/>
      <w:i/>
      <w:color w:val="2E74B5" w:themeColor="accent1" w:themeShade="BF"/>
      <w:sz w:val="28"/>
      <w:szCs w:val="28"/>
      <w:lang w:eastAsia="zh-CN"/>
    </w:rPr>
  </w:style>
  <w:style w:type="paragraph" w:styleId="ListParagraph">
    <w:name w:val="List Paragraph"/>
    <w:aliases w:val="Bullets,References,Liste 1,Numbered List Paragraph,ReferencesCxSpLast,List Paragraph (numbered (a)),123 List Paragraph,Body,Main numbered paragraph,List_Paragraph,Multilevel para_II,List Paragraph1,Bullet,Normal 2 DC,List Paragraph 1,L,Ha"/>
    <w:basedOn w:val="Normal"/>
    <w:link w:val="ListParagraphChar"/>
    <w:uiPriority w:val="34"/>
    <w:qFormat/>
    <w:rsid w:val="00844F11"/>
    <w:pPr>
      <w:spacing w:after="3" w:line="367" w:lineRule="auto"/>
      <w:ind w:left="720"/>
      <w:contextualSpacing/>
    </w:pPr>
    <w:rPr>
      <w:sz w:val="20"/>
    </w:rPr>
  </w:style>
  <w:style w:type="character" w:styleId="Hyperlink">
    <w:name w:val="Hyperlink"/>
    <w:basedOn w:val="DefaultParagraphFont"/>
    <w:uiPriority w:val="99"/>
    <w:unhideWhenUsed/>
    <w:rsid w:val="00844F11"/>
    <w:rPr>
      <w:color w:val="0563C1" w:themeColor="hyperlink"/>
      <w:u w:val="single"/>
    </w:rPr>
  </w:style>
  <w:style w:type="character" w:customStyle="1" w:styleId="Heading3Char">
    <w:name w:val="Heading 3 Char"/>
    <w:basedOn w:val="DefaultParagraphFont"/>
    <w:link w:val="Heading3"/>
    <w:uiPriority w:val="9"/>
    <w:rsid w:val="005F4B90"/>
    <w:rPr>
      <w:rFonts w:eastAsiaTheme="majorEastAsia" w:cstheme="majorBidi"/>
      <w:b/>
      <w:i/>
      <w:color w:val="1F4D78" w:themeColor="accent1" w:themeShade="7F"/>
      <w:lang w:eastAsia="zh-CN"/>
    </w:rPr>
  </w:style>
  <w:style w:type="paragraph" w:styleId="Header">
    <w:name w:val="header"/>
    <w:basedOn w:val="Normal"/>
    <w:link w:val="HeaderChar"/>
    <w:uiPriority w:val="99"/>
    <w:unhideWhenUsed/>
    <w:rsid w:val="00173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C31"/>
    <w:rPr>
      <w:rFonts w:ascii="Arial" w:eastAsia="Arial" w:hAnsi="Arial" w:cs="Arial"/>
      <w:color w:val="000000"/>
      <w:sz w:val="18"/>
      <w:lang w:eastAsia="zh-CN"/>
    </w:rPr>
  </w:style>
  <w:style w:type="paragraph" w:styleId="Footer">
    <w:name w:val="footer"/>
    <w:basedOn w:val="Normal"/>
    <w:link w:val="FooterChar"/>
    <w:uiPriority w:val="99"/>
    <w:unhideWhenUsed/>
    <w:rsid w:val="00173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C31"/>
    <w:rPr>
      <w:rFonts w:ascii="Arial" w:eastAsia="Arial" w:hAnsi="Arial" w:cs="Arial"/>
      <w:color w:val="000000"/>
      <w:sz w:val="18"/>
      <w:lang w:eastAsia="zh-CN"/>
    </w:rPr>
  </w:style>
  <w:style w:type="paragraph" w:styleId="TOCHeading">
    <w:name w:val="TOC Heading"/>
    <w:basedOn w:val="Heading1"/>
    <w:next w:val="Normal"/>
    <w:uiPriority w:val="39"/>
    <w:unhideWhenUsed/>
    <w:qFormat/>
    <w:rsid w:val="00173C31"/>
    <w:pPr>
      <w:spacing w:before="240" w:after="0"/>
      <w:ind w:left="0" w:firstLine="0"/>
      <w:outlineLvl w:val="9"/>
    </w:pPr>
    <w:rPr>
      <w:rFonts w:asciiTheme="majorHAnsi" w:eastAsiaTheme="majorEastAsia" w:hAnsiTheme="majorHAnsi" w:cstheme="majorBidi"/>
      <w:b w:val="0"/>
      <w:sz w:val="32"/>
      <w:szCs w:val="32"/>
    </w:rPr>
  </w:style>
  <w:style w:type="paragraph" w:styleId="TOC1">
    <w:name w:val="toc 1"/>
    <w:basedOn w:val="Normal"/>
    <w:next w:val="Normal"/>
    <w:link w:val="TOC1Char"/>
    <w:autoRedefine/>
    <w:uiPriority w:val="39"/>
    <w:unhideWhenUsed/>
    <w:rsid w:val="00983ABC"/>
    <w:pPr>
      <w:tabs>
        <w:tab w:val="right" w:leader="dot" w:pos="9389"/>
      </w:tabs>
      <w:spacing w:after="100"/>
    </w:pPr>
    <w:rPr>
      <w:sz w:val="21"/>
    </w:rPr>
  </w:style>
  <w:style w:type="paragraph" w:styleId="TOC2">
    <w:name w:val="toc 2"/>
    <w:basedOn w:val="Normal"/>
    <w:next w:val="Normal"/>
    <w:autoRedefine/>
    <w:uiPriority w:val="39"/>
    <w:unhideWhenUsed/>
    <w:rsid w:val="00173C31"/>
    <w:pPr>
      <w:spacing w:after="100"/>
      <w:ind w:left="180"/>
    </w:pPr>
  </w:style>
  <w:style w:type="paragraph" w:styleId="TOC3">
    <w:name w:val="toc 3"/>
    <w:basedOn w:val="Normal"/>
    <w:next w:val="Normal"/>
    <w:autoRedefine/>
    <w:uiPriority w:val="39"/>
    <w:unhideWhenUsed/>
    <w:rsid w:val="00173C31"/>
    <w:pPr>
      <w:spacing w:after="100"/>
      <w:ind w:left="360"/>
    </w:pPr>
  </w:style>
  <w:style w:type="paragraph" w:styleId="Title">
    <w:name w:val="Title"/>
    <w:basedOn w:val="Normal"/>
    <w:next w:val="Normal"/>
    <w:link w:val="TitleChar"/>
    <w:uiPriority w:val="10"/>
    <w:qFormat/>
    <w:rsid w:val="00CE51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19F"/>
    <w:rPr>
      <w:rFonts w:asciiTheme="majorHAnsi" w:eastAsiaTheme="majorEastAsia" w:hAnsiTheme="majorHAnsi" w:cstheme="majorBidi"/>
      <w:spacing w:val="-10"/>
      <w:kern w:val="28"/>
      <w:sz w:val="56"/>
      <w:szCs w:val="56"/>
      <w:lang w:eastAsia="zh-CN"/>
    </w:rPr>
  </w:style>
  <w:style w:type="paragraph" w:styleId="BalloonText">
    <w:name w:val="Balloon Text"/>
    <w:basedOn w:val="Normal"/>
    <w:link w:val="BalloonTextChar"/>
    <w:uiPriority w:val="99"/>
    <w:semiHidden/>
    <w:unhideWhenUsed/>
    <w:rsid w:val="00901E8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1E81"/>
    <w:rPr>
      <w:rFonts w:ascii="Segoe UI" w:eastAsia="Arial" w:hAnsi="Segoe UI" w:cs="Segoe UI"/>
      <w:color w:val="000000"/>
      <w:sz w:val="18"/>
      <w:szCs w:val="18"/>
      <w:lang w:eastAsia="zh-CN"/>
    </w:rPr>
  </w:style>
  <w:style w:type="paragraph" w:styleId="Revision">
    <w:name w:val="Revision"/>
    <w:hidden/>
    <w:uiPriority w:val="99"/>
    <w:semiHidden/>
    <w:rsid w:val="007B007B"/>
    <w:pPr>
      <w:spacing w:after="0" w:line="240" w:lineRule="auto"/>
    </w:pPr>
    <w:rPr>
      <w:rFonts w:ascii="Arial" w:eastAsia="Arial" w:hAnsi="Arial" w:cs="Arial"/>
      <w:color w:val="000000"/>
      <w:sz w:val="18"/>
      <w:lang w:eastAsia="zh-CN"/>
    </w:rPr>
  </w:style>
  <w:style w:type="character" w:styleId="CommentReference">
    <w:name w:val="annotation reference"/>
    <w:basedOn w:val="DefaultParagraphFont"/>
    <w:uiPriority w:val="99"/>
    <w:semiHidden/>
    <w:unhideWhenUsed/>
    <w:rsid w:val="003E75E3"/>
    <w:rPr>
      <w:sz w:val="16"/>
      <w:szCs w:val="16"/>
    </w:rPr>
  </w:style>
  <w:style w:type="paragraph" w:styleId="CommentText">
    <w:name w:val="annotation text"/>
    <w:basedOn w:val="Normal"/>
    <w:link w:val="CommentTextChar"/>
    <w:uiPriority w:val="99"/>
    <w:unhideWhenUsed/>
    <w:rsid w:val="003E75E3"/>
    <w:pPr>
      <w:spacing w:line="240" w:lineRule="auto"/>
    </w:pPr>
    <w:rPr>
      <w:sz w:val="20"/>
      <w:szCs w:val="20"/>
    </w:rPr>
  </w:style>
  <w:style w:type="character" w:customStyle="1" w:styleId="CommentTextChar">
    <w:name w:val="Comment Text Char"/>
    <w:basedOn w:val="DefaultParagraphFont"/>
    <w:link w:val="CommentText"/>
    <w:uiPriority w:val="99"/>
    <w:rsid w:val="003E75E3"/>
    <w:rPr>
      <w:rFonts w:ascii="Arial" w:eastAsia="Arial" w:hAnsi="Arial" w:cs="Arial"/>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3E75E3"/>
    <w:rPr>
      <w:b/>
      <w:bCs/>
    </w:rPr>
  </w:style>
  <w:style w:type="character" w:customStyle="1" w:styleId="CommentSubjectChar">
    <w:name w:val="Comment Subject Char"/>
    <w:basedOn w:val="CommentTextChar"/>
    <w:link w:val="CommentSubject"/>
    <w:uiPriority w:val="99"/>
    <w:semiHidden/>
    <w:rsid w:val="003E75E3"/>
    <w:rPr>
      <w:rFonts w:ascii="Arial" w:eastAsia="Arial" w:hAnsi="Arial" w:cs="Arial"/>
      <w:b/>
      <w:bCs/>
      <w:color w:val="000000"/>
      <w:sz w:val="20"/>
      <w:szCs w:val="20"/>
      <w:lang w:eastAsia="zh-CN"/>
    </w:rPr>
  </w:style>
  <w:style w:type="paragraph" w:styleId="Caption">
    <w:name w:val="caption"/>
    <w:basedOn w:val="Normal"/>
    <w:next w:val="Normal"/>
    <w:link w:val="CaptionChar"/>
    <w:uiPriority w:val="99"/>
    <w:unhideWhenUsed/>
    <w:qFormat/>
    <w:rsid w:val="00586E71"/>
    <w:pPr>
      <w:keepNext/>
      <w:spacing w:after="200" w:line="240" w:lineRule="auto"/>
      <w:jc w:val="left"/>
    </w:pPr>
    <w:rPr>
      <w:b/>
      <w:iCs/>
      <w:color w:val="FFFFFF" w:themeColor="background1"/>
      <w:sz w:val="20"/>
      <w:szCs w:val="20"/>
    </w:rPr>
  </w:style>
  <w:style w:type="table" w:styleId="TableGrid0">
    <w:name w:val="Table Grid"/>
    <w:basedOn w:val="TableNormal"/>
    <w:uiPriority w:val="39"/>
    <w:rsid w:val="00924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A394F"/>
    <w:pPr>
      <w:spacing w:after="0"/>
    </w:pPr>
  </w:style>
  <w:style w:type="character" w:customStyle="1" w:styleId="apple-converted-space">
    <w:name w:val="apple-converted-space"/>
    <w:basedOn w:val="DefaultParagraphFont"/>
    <w:rsid w:val="0093221A"/>
  </w:style>
  <w:style w:type="character" w:customStyle="1" w:styleId="slug-doi">
    <w:name w:val="slug-doi"/>
    <w:basedOn w:val="DefaultParagraphFont"/>
    <w:rsid w:val="0093221A"/>
  </w:style>
  <w:style w:type="character" w:styleId="FollowedHyperlink">
    <w:name w:val="FollowedHyperlink"/>
    <w:basedOn w:val="DefaultParagraphFont"/>
    <w:uiPriority w:val="99"/>
    <w:semiHidden/>
    <w:unhideWhenUsed/>
    <w:rsid w:val="00EF4C06"/>
    <w:rPr>
      <w:color w:val="954F72" w:themeColor="followedHyperlink"/>
      <w:u w:val="single"/>
    </w:rPr>
  </w:style>
  <w:style w:type="table" w:styleId="GridTable2-Accent5">
    <w:name w:val="Grid Table 2 Accent 5"/>
    <w:basedOn w:val="TableNormal"/>
    <w:uiPriority w:val="47"/>
    <w:rsid w:val="00F813E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rsid w:val="00D26BD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eEmphasis">
    <w:name w:val="Intense Emphasis"/>
    <w:basedOn w:val="DefaultParagraphFont"/>
    <w:uiPriority w:val="21"/>
    <w:qFormat/>
    <w:rsid w:val="00332BC3"/>
    <w:rPr>
      <w:i/>
      <w:iCs/>
      <w:color w:val="5B9BD5" w:themeColor="accent1"/>
    </w:rPr>
  </w:style>
  <w:style w:type="table" w:styleId="ListTable1Light-Accent5">
    <w:name w:val="List Table 1 Light Accent 5"/>
    <w:basedOn w:val="TableNormal"/>
    <w:uiPriority w:val="46"/>
    <w:rsid w:val="004A14D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711BAA"/>
    <w:pPr>
      <w:spacing w:after="0" w:line="240" w:lineRule="auto"/>
    </w:pPr>
    <w:rPr>
      <w:rFonts w:eastAsiaTheme="minorEastAsia"/>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FootnoteText">
    <w:name w:val="footnote text"/>
    <w:aliases w:val="Footnote,text,Texto nota pie Car,fn,ft,single space,FOOTNOTES,footnote text,ADB,WB-Fußnotentext,Fußnote,WB-Fuﬂnotentext,Fuﬂnote,Note de bas de page Car,ALTS FOOTNOTE,Footnote Text Char Char Char Char Char Char,f,Car,Fußnote RiLiDick"/>
    <w:basedOn w:val="Normal"/>
    <w:link w:val="FootnoteTextChar"/>
    <w:uiPriority w:val="99"/>
    <w:unhideWhenUsed/>
    <w:qFormat/>
    <w:rsid w:val="004823AF"/>
    <w:pPr>
      <w:spacing w:after="0" w:line="240" w:lineRule="auto"/>
      <w:jc w:val="left"/>
    </w:pPr>
    <w:rPr>
      <w:rFonts w:eastAsiaTheme="minorEastAsia" w:cstheme="minorBidi"/>
      <w:sz w:val="20"/>
      <w:szCs w:val="24"/>
      <w:lang w:eastAsia="en-US"/>
    </w:rPr>
  </w:style>
  <w:style w:type="character" w:customStyle="1" w:styleId="FootnoteTextChar">
    <w:name w:val="Footnote Text Char"/>
    <w:aliases w:val="Footnote Char,text Char,Texto nota pie Car Char,fn Char,ft Char,single space Char,FOOTNOTES Char,footnote text Char,ADB Char,WB-Fußnotentext Char,Fußnote Char,WB-Fuﬂnotentext Char,Fuﬂnote Char,Note de bas de page Car Char,f Char"/>
    <w:basedOn w:val="DefaultParagraphFont"/>
    <w:link w:val="FootnoteText"/>
    <w:uiPriority w:val="99"/>
    <w:rsid w:val="004823AF"/>
    <w:rPr>
      <w:rFonts w:eastAsiaTheme="minorEastAsia"/>
      <w:sz w:val="20"/>
      <w:szCs w:val="24"/>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Times 10 Point,Exposant 3 Point,BVI fnr,BVI f"/>
    <w:basedOn w:val="DefaultParagraphFont"/>
    <w:uiPriority w:val="99"/>
    <w:unhideWhenUsed/>
    <w:rsid w:val="00D83071"/>
    <w:rPr>
      <w:vertAlign w:val="superscript"/>
    </w:rPr>
  </w:style>
  <w:style w:type="character" w:customStyle="1" w:styleId="A3">
    <w:name w:val="A3"/>
    <w:uiPriority w:val="99"/>
    <w:rsid w:val="005A6FC2"/>
    <w:rPr>
      <w:rFonts w:cs="Andes ExtraLight"/>
      <w:color w:val="000000"/>
      <w:sz w:val="22"/>
      <w:szCs w:val="22"/>
    </w:rPr>
  </w:style>
  <w:style w:type="paragraph" w:customStyle="1" w:styleId="EndNoteBibliography">
    <w:name w:val="EndNote Bibliography"/>
    <w:basedOn w:val="Normal"/>
    <w:link w:val="EndNoteBibliographyChar"/>
    <w:rsid w:val="00C078CF"/>
    <w:pPr>
      <w:spacing w:after="0" w:line="240" w:lineRule="auto"/>
      <w:jc w:val="left"/>
    </w:pPr>
    <w:rPr>
      <w:rFonts w:ascii="Times New Roman" w:eastAsia="Times New Roman" w:hAnsi="Times New Roman" w:cs="Times New Roman"/>
      <w:noProof/>
      <w:sz w:val="20"/>
      <w:szCs w:val="24"/>
      <w:lang w:eastAsia="en-US"/>
    </w:rPr>
  </w:style>
  <w:style w:type="character" w:customStyle="1" w:styleId="EndNoteBibliographyChar">
    <w:name w:val="EndNote Bibliography Char"/>
    <w:basedOn w:val="DefaultParagraphFont"/>
    <w:link w:val="EndNoteBibliography"/>
    <w:rsid w:val="00C078CF"/>
    <w:rPr>
      <w:rFonts w:ascii="Times New Roman" w:eastAsia="Times New Roman" w:hAnsi="Times New Roman" w:cs="Times New Roman"/>
      <w:noProof/>
      <w:sz w:val="20"/>
      <w:szCs w:val="24"/>
    </w:rPr>
  </w:style>
  <w:style w:type="character" w:customStyle="1" w:styleId="ListParagraphChar">
    <w:name w:val="List Paragraph Char"/>
    <w:aliases w:val="Bullets Char,References Char,Liste 1 Char,Numbered List Paragraph Char,ReferencesCxSpLast Char,List Paragraph (numbered (a)) Char,123 List Paragraph Char,Body Char,Main numbered paragraph Char,List_Paragraph Char,List Paragraph1 Char"/>
    <w:link w:val="ListParagraph"/>
    <w:uiPriority w:val="34"/>
    <w:qFormat/>
    <w:locked/>
    <w:rsid w:val="009427F9"/>
    <w:rPr>
      <w:rFonts w:eastAsia="Arial" w:cs="Arial"/>
      <w:sz w:val="20"/>
      <w:lang w:eastAsia="zh-CN"/>
    </w:rPr>
  </w:style>
  <w:style w:type="paragraph" w:customStyle="1" w:styleId="Normal1">
    <w:name w:val="Normal1"/>
    <w:rsid w:val="00E56B9B"/>
    <w:pPr>
      <w:spacing w:after="0" w:line="240" w:lineRule="auto"/>
    </w:pPr>
    <w:rPr>
      <w:rFonts w:ascii="Cambria" w:eastAsia="Cambria" w:hAnsi="Cambria" w:cs="Cambria"/>
      <w:color w:val="000000"/>
      <w:sz w:val="24"/>
      <w:szCs w:val="24"/>
    </w:rPr>
  </w:style>
  <w:style w:type="paragraph" w:customStyle="1" w:styleId="Default">
    <w:name w:val="Default"/>
    <w:rsid w:val="00400827"/>
    <w:pPr>
      <w:autoSpaceDE w:val="0"/>
      <w:autoSpaceDN w:val="0"/>
      <w:adjustRightInd w:val="0"/>
      <w:spacing w:after="0" w:line="240" w:lineRule="auto"/>
    </w:pPr>
    <w:rPr>
      <w:rFonts w:ascii="Calibri" w:hAnsi="Calibri" w:cs="Calibri"/>
      <w:color w:val="000000"/>
      <w:sz w:val="24"/>
      <w:szCs w:val="24"/>
    </w:rPr>
  </w:style>
  <w:style w:type="paragraph" w:customStyle="1" w:styleId="Normal0">
    <w:name w:val="Normal_0"/>
    <w:qFormat/>
    <w:rsid w:val="00555337"/>
    <w:pPr>
      <w:spacing w:line="256" w:lineRule="auto"/>
    </w:pPr>
    <w:rPr>
      <w:rFonts w:ascii="Calibri" w:eastAsia="Calibri" w:hAnsi="Calibri" w:cs="Arial"/>
    </w:rPr>
  </w:style>
  <w:style w:type="character" w:customStyle="1" w:styleId="Hyperlink0">
    <w:name w:val="Hyperlink_0"/>
    <w:basedOn w:val="DefaultParagraphFont"/>
    <w:uiPriority w:val="99"/>
    <w:unhideWhenUsed/>
    <w:rsid w:val="00FE3553"/>
    <w:rPr>
      <w:rFonts w:ascii="Calibri" w:eastAsia="Calibri" w:hAnsi="Calibri" w:cs="Arial"/>
      <w:color w:val="0563C1"/>
      <w:u w:val="single"/>
    </w:rPr>
  </w:style>
  <w:style w:type="paragraph" w:customStyle="1" w:styleId="Normal00">
    <w:name w:val="Normal_0_0"/>
    <w:qFormat/>
    <w:rsid w:val="00FE3553"/>
    <w:pPr>
      <w:spacing w:line="256" w:lineRule="auto"/>
    </w:pPr>
    <w:rPr>
      <w:rFonts w:ascii="Calibri" w:eastAsia="Calibri" w:hAnsi="Calibri" w:cs="Arial"/>
    </w:rPr>
  </w:style>
  <w:style w:type="character" w:customStyle="1" w:styleId="np-pro-name-upd1">
    <w:name w:val="np-pro-name-upd1"/>
    <w:basedOn w:val="DefaultParagraphFont"/>
    <w:rsid w:val="004D4F93"/>
  </w:style>
  <w:style w:type="character" w:styleId="UnresolvedMention">
    <w:name w:val="Unresolved Mention"/>
    <w:basedOn w:val="DefaultParagraphFont"/>
    <w:uiPriority w:val="99"/>
    <w:semiHidden/>
    <w:unhideWhenUsed/>
    <w:rsid w:val="00B6090B"/>
    <w:rPr>
      <w:color w:val="605E5C"/>
      <w:shd w:val="clear" w:color="auto" w:fill="E1DFDD"/>
    </w:rPr>
  </w:style>
  <w:style w:type="paragraph" w:styleId="NormalWeb">
    <w:name w:val="Normal (Web)"/>
    <w:basedOn w:val="Normal"/>
    <w:uiPriority w:val="99"/>
    <w:unhideWhenUsed/>
    <w:rsid w:val="007654C8"/>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table" w:customStyle="1" w:styleId="TableGrid1">
    <w:name w:val="Table Grid1"/>
    <w:basedOn w:val="TableNormal"/>
    <w:next w:val="TableGrid0"/>
    <w:uiPriority w:val="39"/>
    <w:rsid w:val="00B362EF"/>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OC1"/>
    <w:link w:val="ContentsChar"/>
    <w:qFormat/>
    <w:rsid w:val="00E94A5F"/>
    <w:rPr>
      <w:noProof/>
      <w:sz w:val="18"/>
      <w:szCs w:val="18"/>
    </w:rPr>
  </w:style>
  <w:style w:type="character" w:customStyle="1" w:styleId="TOC1Char">
    <w:name w:val="TOC 1 Char"/>
    <w:basedOn w:val="DefaultParagraphFont"/>
    <w:link w:val="TOC1"/>
    <w:uiPriority w:val="39"/>
    <w:rsid w:val="00983ABC"/>
    <w:rPr>
      <w:rFonts w:eastAsia="Arial" w:cs="Arial"/>
      <w:sz w:val="21"/>
      <w:lang w:eastAsia="zh-CN"/>
    </w:rPr>
  </w:style>
  <w:style w:type="character" w:customStyle="1" w:styleId="ContentsChar">
    <w:name w:val="Contents Char"/>
    <w:basedOn w:val="TOC1Char"/>
    <w:link w:val="Contents"/>
    <w:rsid w:val="00E94A5F"/>
    <w:rPr>
      <w:rFonts w:eastAsia="Arial" w:cs="Arial"/>
      <w:noProof/>
      <w:sz w:val="18"/>
      <w:szCs w:val="18"/>
      <w:lang w:eastAsia="zh-CN"/>
    </w:rPr>
  </w:style>
  <w:style w:type="paragraph" w:customStyle="1" w:styleId="Figures">
    <w:name w:val="Figures"/>
    <w:basedOn w:val="Caption"/>
    <w:link w:val="FiguresChar"/>
    <w:rsid w:val="00DF4974"/>
    <w:rPr>
      <w:color w:val="0070C0"/>
    </w:rPr>
  </w:style>
  <w:style w:type="paragraph" w:customStyle="1" w:styleId="Figure">
    <w:name w:val="Figure"/>
    <w:basedOn w:val="Caption"/>
    <w:link w:val="FigureChar"/>
    <w:qFormat/>
    <w:rsid w:val="007C3447"/>
    <w:pPr>
      <w:jc w:val="both"/>
    </w:pPr>
    <w:rPr>
      <w:caps/>
      <w:color w:val="0070C0"/>
    </w:rPr>
  </w:style>
  <w:style w:type="character" w:customStyle="1" w:styleId="CaptionChar">
    <w:name w:val="Caption Char"/>
    <w:basedOn w:val="DefaultParagraphFont"/>
    <w:link w:val="Caption"/>
    <w:uiPriority w:val="99"/>
    <w:rsid w:val="00DF4974"/>
    <w:rPr>
      <w:rFonts w:eastAsia="Arial" w:cs="Arial"/>
      <w:b/>
      <w:iCs/>
      <w:color w:val="FFFFFF" w:themeColor="background1"/>
      <w:sz w:val="20"/>
      <w:szCs w:val="20"/>
      <w:lang w:eastAsia="zh-CN"/>
    </w:rPr>
  </w:style>
  <w:style w:type="character" w:customStyle="1" w:styleId="FiguresChar">
    <w:name w:val="Figures Char"/>
    <w:basedOn w:val="CaptionChar"/>
    <w:link w:val="Figures"/>
    <w:rsid w:val="00DF4974"/>
    <w:rPr>
      <w:rFonts w:eastAsia="Arial" w:cs="Arial"/>
      <w:b/>
      <w:iCs/>
      <w:color w:val="0070C0"/>
      <w:sz w:val="20"/>
      <w:szCs w:val="20"/>
      <w:lang w:eastAsia="zh-CN"/>
    </w:rPr>
  </w:style>
  <w:style w:type="paragraph" w:customStyle="1" w:styleId="Box">
    <w:name w:val="Box"/>
    <w:basedOn w:val="Caption"/>
    <w:link w:val="BoxChar"/>
    <w:qFormat/>
    <w:rsid w:val="00D52F46"/>
    <w:rPr>
      <w:caps/>
    </w:rPr>
  </w:style>
  <w:style w:type="character" w:customStyle="1" w:styleId="FigureChar">
    <w:name w:val="Figure Char"/>
    <w:basedOn w:val="FiguresChar"/>
    <w:link w:val="Figure"/>
    <w:rsid w:val="007C3447"/>
    <w:rPr>
      <w:rFonts w:eastAsia="Arial" w:cs="Arial"/>
      <w:b/>
      <w:iCs/>
      <w:caps/>
      <w:color w:val="0070C0"/>
      <w:sz w:val="20"/>
      <w:szCs w:val="20"/>
      <w:lang w:eastAsia="zh-CN"/>
    </w:rPr>
  </w:style>
  <w:style w:type="character" w:customStyle="1" w:styleId="BoxChar">
    <w:name w:val="Box Char"/>
    <w:basedOn w:val="CaptionChar"/>
    <w:link w:val="Box"/>
    <w:rsid w:val="00D52F46"/>
    <w:rPr>
      <w:rFonts w:eastAsia="Arial" w:cs="Arial"/>
      <w:b/>
      <w:iCs/>
      <w:caps/>
      <w:color w:val="FFFFFF" w:themeColor="background1"/>
      <w:sz w:val="20"/>
      <w:szCs w:val="20"/>
      <w:lang w:eastAsia="zh-CN"/>
    </w:rPr>
  </w:style>
  <w:style w:type="numbering" w:customStyle="1" w:styleId="NoList1">
    <w:name w:val="No List1"/>
    <w:next w:val="NoList"/>
    <w:uiPriority w:val="99"/>
    <w:semiHidden/>
    <w:unhideWhenUsed/>
    <w:rsid w:val="00AC01C1"/>
  </w:style>
  <w:style w:type="paragraph" w:customStyle="1" w:styleId="msonormal0">
    <w:name w:val="msonormal"/>
    <w:basedOn w:val="Normal"/>
    <w:rsid w:val="00AC01C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42860">
      <w:bodyDiv w:val="1"/>
      <w:marLeft w:val="0"/>
      <w:marRight w:val="0"/>
      <w:marTop w:val="0"/>
      <w:marBottom w:val="0"/>
      <w:divBdr>
        <w:top w:val="none" w:sz="0" w:space="0" w:color="auto"/>
        <w:left w:val="none" w:sz="0" w:space="0" w:color="auto"/>
        <w:bottom w:val="none" w:sz="0" w:space="0" w:color="auto"/>
        <w:right w:val="none" w:sz="0" w:space="0" w:color="auto"/>
      </w:divBdr>
    </w:div>
    <w:div w:id="41488283">
      <w:bodyDiv w:val="1"/>
      <w:marLeft w:val="0"/>
      <w:marRight w:val="0"/>
      <w:marTop w:val="0"/>
      <w:marBottom w:val="0"/>
      <w:divBdr>
        <w:top w:val="none" w:sz="0" w:space="0" w:color="auto"/>
        <w:left w:val="none" w:sz="0" w:space="0" w:color="auto"/>
        <w:bottom w:val="none" w:sz="0" w:space="0" w:color="auto"/>
        <w:right w:val="none" w:sz="0" w:space="0" w:color="auto"/>
      </w:divBdr>
    </w:div>
    <w:div w:id="65686658">
      <w:bodyDiv w:val="1"/>
      <w:marLeft w:val="0"/>
      <w:marRight w:val="0"/>
      <w:marTop w:val="0"/>
      <w:marBottom w:val="0"/>
      <w:divBdr>
        <w:top w:val="none" w:sz="0" w:space="0" w:color="auto"/>
        <w:left w:val="none" w:sz="0" w:space="0" w:color="auto"/>
        <w:bottom w:val="none" w:sz="0" w:space="0" w:color="auto"/>
        <w:right w:val="none" w:sz="0" w:space="0" w:color="auto"/>
      </w:divBdr>
    </w:div>
    <w:div w:id="127237382">
      <w:bodyDiv w:val="1"/>
      <w:marLeft w:val="0"/>
      <w:marRight w:val="0"/>
      <w:marTop w:val="0"/>
      <w:marBottom w:val="0"/>
      <w:divBdr>
        <w:top w:val="none" w:sz="0" w:space="0" w:color="auto"/>
        <w:left w:val="none" w:sz="0" w:space="0" w:color="auto"/>
        <w:bottom w:val="none" w:sz="0" w:space="0" w:color="auto"/>
        <w:right w:val="none" w:sz="0" w:space="0" w:color="auto"/>
      </w:divBdr>
    </w:div>
    <w:div w:id="133065046">
      <w:bodyDiv w:val="1"/>
      <w:marLeft w:val="0"/>
      <w:marRight w:val="0"/>
      <w:marTop w:val="0"/>
      <w:marBottom w:val="0"/>
      <w:divBdr>
        <w:top w:val="none" w:sz="0" w:space="0" w:color="auto"/>
        <w:left w:val="none" w:sz="0" w:space="0" w:color="auto"/>
        <w:bottom w:val="none" w:sz="0" w:space="0" w:color="auto"/>
        <w:right w:val="none" w:sz="0" w:space="0" w:color="auto"/>
      </w:divBdr>
      <w:divsChild>
        <w:div w:id="1457606919">
          <w:marLeft w:val="720"/>
          <w:marRight w:val="0"/>
          <w:marTop w:val="360"/>
          <w:marBottom w:val="0"/>
          <w:divBdr>
            <w:top w:val="none" w:sz="0" w:space="0" w:color="auto"/>
            <w:left w:val="none" w:sz="0" w:space="0" w:color="auto"/>
            <w:bottom w:val="none" w:sz="0" w:space="0" w:color="auto"/>
            <w:right w:val="none" w:sz="0" w:space="0" w:color="auto"/>
          </w:divBdr>
        </w:div>
        <w:div w:id="280232011">
          <w:marLeft w:val="720"/>
          <w:marRight w:val="0"/>
          <w:marTop w:val="360"/>
          <w:marBottom w:val="0"/>
          <w:divBdr>
            <w:top w:val="none" w:sz="0" w:space="0" w:color="auto"/>
            <w:left w:val="none" w:sz="0" w:space="0" w:color="auto"/>
            <w:bottom w:val="none" w:sz="0" w:space="0" w:color="auto"/>
            <w:right w:val="none" w:sz="0" w:space="0" w:color="auto"/>
          </w:divBdr>
        </w:div>
        <w:div w:id="1104764403">
          <w:marLeft w:val="720"/>
          <w:marRight w:val="0"/>
          <w:marTop w:val="360"/>
          <w:marBottom w:val="0"/>
          <w:divBdr>
            <w:top w:val="none" w:sz="0" w:space="0" w:color="auto"/>
            <w:left w:val="none" w:sz="0" w:space="0" w:color="auto"/>
            <w:bottom w:val="none" w:sz="0" w:space="0" w:color="auto"/>
            <w:right w:val="none" w:sz="0" w:space="0" w:color="auto"/>
          </w:divBdr>
        </w:div>
        <w:div w:id="475028750">
          <w:marLeft w:val="720"/>
          <w:marRight w:val="0"/>
          <w:marTop w:val="360"/>
          <w:marBottom w:val="0"/>
          <w:divBdr>
            <w:top w:val="none" w:sz="0" w:space="0" w:color="auto"/>
            <w:left w:val="none" w:sz="0" w:space="0" w:color="auto"/>
            <w:bottom w:val="none" w:sz="0" w:space="0" w:color="auto"/>
            <w:right w:val="none" w:sz="0" w:space="0" w:color="auto"/>
          </w:divBdr>
        </w:div>
      </w:divsChild>
    </w:div>
    <w:div w:id="135687088">
      <w:bodyDiv w:val="1"/>
      <w:marLeft w:val="0"/>
      <w:marRight w:val="0"/>
      <w:marTop w:val="0"/>
      <w:marBottom w:val="0"/>
      <w:divBdr>
        <w:top w:val="none" w:sz="0" w:space="0" w:color="auto"/>
        <w:left w:val="none" w:sz="0" w:space="0" w:color="auto"/>
        <w:bottom w:val="none" w:sz="0" w:space="0" w:color="auto"/>
        <w:right w:val="none" w:sz="0" w:space="0" w:color="auto"/>
      </w:divBdr>
    </w:div>
    <w:div w:id="244151238">
      <w:bodyDiv w:val="1"/>
      <w:marLeft w:val="0"/>
      <w:marRight w:val="0"/>
      <w:marTop w:val="0"/>
      <w:marBottom w:val="0"/>
      <w:divBdr>
        <w:top w:val="none" w:sz="0" w:space="0" w:color="auto"/>
        <w:left w:val="none" w:sz="0" w:space="0" w:color="auto"/>
        <w:bottom w:val="none" w:sz="0" w:space="0" w:color="auto"/>
        <w:right w:val="none" w:sz="0" w:space="0" w:color="auto"/>
      </w:divBdr>
    </w:div>
    <w:div w:id="252012536">
      <w:bodyDiv w:val="1"/>
      <w:marLeft w:val="0"/>
      <w:marRight w:val="0"/>
      <w:marTop w:val="0"/>
      <w:marBottom w:val="0"/>
      <w:divBdr>
        <w:top w:val="none" w:sz="0" w:space="0" w:color="auto"/>
        <w:left w:val="none" w:sz="0" w:space="0" w:color="auto"/>
        <w:bottom w:val="none" w:sz="0" w:space="0" w:color="auto"/>
        <w:right w:val="none" w:sz="0" w:space="0" w:color="auto"/>
      </w:divBdr>
    </w:div>
    <w:div w:id="336736230">
      <w:bodyDiv w:val="1"/>
      <w:marLeft w:val="0"/>
      <w:marRight w:val="0"/>
      <w:marTop w:val="0"/>
      <w:marBottom w:val="0"/>
      <w:divBdr>
        <w:top w:val="none" w:sz="0" w:space="0" w:color="auto"/>
        <w:left w:val="none" w:sz="0" w:space="0" w:color="auto"/>
        <w:bottom w:val="none" w:sz="0" w:space="0" w:color="auto"/>
        <w:right w:val="none" w:sz="0" w:space="0" w:color="auto"/>
      </w:divBdr>
      <w:divsChild>
        <w:div w:id="644506995">
          <w:marLeft w:val="547"/>
          <w:marRight w:val="0"/>
          <w:marTop w:val="0"/>
          <w:marBottom w:val="360"/>
          <w:divBdr>
            <w:top w:val="none" w:sz="0" w:space="0" w:color="auto"/>
            <w:left w:val="none" w:sz="0" w:space="0" w:color="auto"/>
            <w:bottom w:val="none" w:sz="0" w:space="0" w:color="auto"/>
            <w:right w:val="none" w:sz="0" w:space="0" w:color="auto"/>
          </w:divBdr>
        </w:div>
      </w:divsChild>
    </w:div>
    <w:div w:id="357858383">
      <w:bodyDiv w:val="1"/>
      <w:marLeft w:val="0"/>
      <w:marRight w:val="0"/>
      <w:marTop w:val="0"/>
      <w:marBottom w:val="0"/>
      <w:divBdr>
        <w:top w:val="none" w:sz="0" w:space="0" w:color="auto"/>
        <w:left w:val="none" w:sz="0" w:space="0" w:color="auto"/>
        <w:bottom w:val="none" w:sz="0" w:space="0" w:color="auto"/>
        <w:right w:val="none" w:sz="0" w:space="0" w:color="auto"/>
      </w:divBdr>
    </w:div>
    <w:div w:id="385226082">
      <w:bodyDiv w:val="1"/>
      <w:marLeft w:val="0"/>
      <w:marRight w:val="0"/>
      <w:marTop w:val="0"/>
      <w:marBottom w:val="0"/>
      <w:divBdr>
        <w:top w:val="none" w:sz="0" w:space="0" w:color="auto"/>
        <w:left w:val="none" w:sz="0" w:space="0" w:color="auto"/>
        <w:bottom w:val="none" w:sz="0" w:space="0" w:color="auto"/>
        <w:right w:val="none" w:sz="0" w:space="0" w:color="auto"/>
      </w:divBdr>
    </w:div>
    <w:div w:id="389036327">
      <w:bodyDiv w:val="1"/>
      <w:marLeft w:val="0"/>
      <w:marRight w:val="0"/>
      <w:marTop w:val="0"/>
      <w:marBottom w:val="0"/>
      <w:divBdr>
        <w:top w:val="none" w:sz="0" w:space="0" w:color="auto"/>
        <w:left w:val="none" w:sz="0" w:space="0" w:color="auto"/>
        <w:bottom w:val="none" w:sz="0" w:space="0" w:color="auto"/>
        <w:right w:val="none" w:sz="0" w:space="0" w:color="auto"/>
      </w:divBdr>
      <w:divsChild>
        <w:div w:id="787087624">
          <w:marLeft w:val="547"/>
          <w:marRight w:val="0"/>
          <w:marTop w:val="0"/>
          <w:marBottom w:val="360"/>
          <w:divBdr>
            <w:top w:val="none" w:sz="0" w:space="0" w:color="auto"/>
            <w:left w:val="none" w:sz="0" w:space="0" w:color="auto"/>
            <w:bottom w:val="none" w:sz="0" w:space="0" w:color="auto"/>
            <w:right w:val="none" w:sz="0" w:space="0" w:color="auto"/>
          </w:divBdr>
        </w:div>
      </w:divsChild>
    </w:div>
    <w:div w:id="401685953">
      <w:bodyDiv w:val="1"/>
      <w:marLeft w:val="0"/>
      <w:marRight w:val="0"/>
      <w:marTop w:val="0"/>
      <w:marBottom w:val="0"/>
      <w:divBdr>
        <w:top w:val="none" w:sz="0" w:space="0" w:color="auto"/>
        <w:left w:val="none" w:sz="0" w:space="0" w:color="auto"/>
        <w:bottom w:val="none" w:sz="0" w:space="0" w:color="auto"/>
        <w:right w:val="none" w:sz="0" w:space="0" w:color="auto"/>
      </w:divBdr>
      <w:divsChild>
        <w:div w:id="1520700074">
          <w:marLeft w:val="446"/>
          <w:marRight w:val="0"/>
          <w:marTop w:val="0"/>
          <w:marBottom w:val="60"/>
          <w:divBdr>
            <w:top w:val="none" w:sz="0" w:space="0" w:color="auto"/>
            <w:left w:val="none" w:sz="0" w:space="0" w:color="auto"/>
            <w:bottom w:val="none" w:sz="0" w:space="0" w:color="auto"/>
            <w:right w:val="none" w:sz="0" w:space="0" w:color="auto"/>
          </w:divBdr>
        </w:div>
        <w:div w:id="563611274">
          <w:marLeft w:val="446"/>
          <w:marRight w:val="0"/>
          <w:marTop w:val="0"/>
          <w:marBottom w:val="60"/>
          <w:divBdr>
            <w:top w:val="none" w:sz="0" w:space="0" w:color="auto"/>
            <w:left w:val="none" w:sz="0" w:space="0" w:color="auto"/>
            <w:bottom w:val="none" w:sz="0" w:space="0" w:color="auto"/>
            <w:right w:val="none" w:sz="0" w:space="0" w:color="auto"/>
          </w:divBdr>
        </w:div>
        <w:div w:id="1345134234">
          <w:marLeft w:val="446"/>
          <w:marRight w:val="0"/>
          <w:marTop w:val="0"/>
          <w:marBottom w:val="60"/>
          <w:divBdr>
            <w:top w:val="none" w:sz="0" w:space="0" w:color="auto"/>
            <w:left w:val="none" w:sz="0" w:space="0" w:color="auto"/>
            <w:bottom w:val="none" w:sz="0" w:space="0" w:color="auto"/>
            <w:right w:val="none" w:sz="0" w:space="0" w:color="auto"/>
          </w:divBdr>
        </w:div>
        <w:div w:id="484517294">
          <w:marLeft w:val="446"/>
          <w:marRight w:val="0"/>
          <w:marTop w:val="0"/>
          <w:marBottom w:val="60"/>
          <w:divBdr>
            <w:top w:val="none" w:sz="0" w:space="0" w:color="auto"/>
            <w:left w:val="none" w:sz="0" w:space="0" w:color="auto"/>
            <w:bottom w:val="none" w:sz="0" w:space="0" w:color="auto"/>
            <w:right w:val="none" w:sz="0" w:space="0" w:color="auto"/>
          </w:divBdr>
        </w:div>
        <w:div w:id="592978233">
          <w:marLeft w:val="446"/>
          <w:marRight w:val="0"/>
          <w:marTop w:val="0"/>
          <w:marBottom w:val="60"/>
          <w:divBdr>
            <w:top w:val="none" w:sz="0" w:space="0" w:color="auto"/>
            <w:left w:val="none" w:sz="0" w:space="0" w:color="auto"/>
            <w:bottom w:val="none" w:sz="0" w:space="0" w:color="auto"/>
            <w:right w:val="none" w:sz="0" w:space="0" w:color="auto"/>
          </w:divBdr>
        </w:div>
      </w:divsChild>
    </w:div>
    <w:div w:id="408385296">
      <w:bodyDiv w:val="1"/>
      <w:marLeft w:val="0"/>
      <w:marRight w:val="0"/>
      <w:marTop w:val="0"/>
      <w:marBottom w:val="0"/>
      <w:divBdr>
        <w:top w:val="none" w:sz="0" w:space="0" w:color="auto"/>
        <w:left w:val="none" w:sz="0" w:space="0" w:color="auto"/>
        <w:bottom w:val="none" w:sz="0" w:space="0" w:color="auto"/>
        <w:right w:val="none" w:sz="0" w:space="0" w:color="auto"/>
      </w:divBdr>
    </w:div>
    <w:div w:id="461078116">
      <w:bodyDiv w:val="1"/>
      <w:marLeft w:val="0"/>
      <w:marRight w:val="0"/>
      <w:marTop w:val="0"/>
      <w:marBottom w:val="0"/>
      <w:divBdr>
        <w:top w:val="none" w:sz="0" w:space="0" w:color="auto"/>
        <w:left w:val="none" w:sz="0" w:space="0" w:color="auto"/>
        <w:bottom w:val="none" w:sz="0" w:space="0" w:color="auto"/>
        <w:right w:val="none" w:sz="0" w:space="0" w:color="auto"/>
      </w:divBdr>
    </w:div>
    <w:div w:id="475952641">
      <w:bodyDiv w:val="1"/>
      <w:marLeft w:val="0"/>
      <w:marRight w:val="0"/>
      <w:marTop w:val="0"/>
      <w:marBottom w:val="0"/>
      <w:divBdr>
        <w:top w:val="none" w:sz="0" w:space="0" w:color="auto"/>
        <w:left w:val="none" w:sz="0" w:space="0" w:color="auto"/>
        <w:bottom w:val="none" w:sz="0" w:space="0" w:color="auto"/>
        <w:right w:val="none" w:sz="0" w:space="0" w:color="auto"/>
      </w:divBdr>
      <w:divsChild>
        <w:div w:id="509873347">
          <w:marLeft w:val="461"/>
          <w:marRight w:val="0"/>
          <w:marTop w:val="0"/>
          <w:marBottom w:val="0"/>
          <w:divBdr>
            <w:top w:val="none" w:sz="0" w:space="0" w:color="auto"/>
            <w:left w:val="none" w:sz="0" w:space="0" w:color="auto"/>
            <w:bottom w:val="none" w:sz="0" w:space="0" w:color="auto"/>
            <w:right w:val="none" w:sz="0" w:space="0" w:color="auto"/>
          </w:divBdr>
        </w:div>
      </w:divsChild>
    </w:div>
    <w:div w:id="481773548">
      <w:bodyDiv w:val="1"/>
      <w:marLeft w:val="0"/>
      <w:marRight w:val="0"/>
      <w:marTop w:val="0"/>
      <w:marBottom w:val="0"/>
      <w:divBdr>
        <w:top w:val="none" w:sz="0" w:space="0" w:color="auto"/>
        <w:left w:val="none" w:sz="0" w:space="0" w:color="auto"/>
        <w:bottom w:val="none" w:sz="0" w:space="0" w:color="auto"/>
        <w:right w:val="none" w:sz="0" w:space="0" w:color="auto"/>
      </w:divBdr>
    </w:div>
    <w:div w:id="670571093">
      <w:bodyDiv w:val="1"/>
      <w:marLeft w:val="0"/>
      <w:marRight w:val="0"/>
      <w:marTop w:val="0"/>
      <w:marBottom w:val="0"/>
      <w:divBdr>
        <w:top w:val="none" w:sz="0" w:space="0" w:color="auto"/>
        <w:left w:val="none" w:sz="0" w:space="0" w:color="auto"/>
        <w:bottom w:val="none" w:sz="0" w:space="0" w:color="auto"/>
        <w:right w:val="none" w:sz="0" w:space="0" w:color="auto"/>
      </w:divBdr>
    </w:div>
    <w:div w:id="706031649">
      <w:bodyDiv w:val="1"/>
      <w:marLeft w:val="0"/>
      <w:marRight w:val="0"/>
      <w:marTop w:val="0"/>
      <w:marBottom w:val="0"/>
      <w:divBdr>
        <w:top w:val="none" w:sz="0" w:space="0" w:color="auto"/>
        <w:left w:val="none" w:sz="0" w:space="0" w:color="auto"/>
        <w:bottom w:val="none" w:sz="0" w:space="0" w:color="auto"/>
        <w:right w:val="none" w:sz="0" w:space="0" w:color="auto"/>
      </w:divBdr>
    </w:div>
    <w:div w:id="717123036">
      <w:bodyDiv w:val="1"/>
      <w:marLeft w:val="0"/>
      <w:marRight w:val="0"/>
      <w:marTop w:val="0"/>
      <w:marBottom w:val="0"/>
      <w:divBdr>
        <w:top w:val="none" w:sz="0" w:space="0" w:color="auto"/>
        <w:left w:val="none" w:sz="0" w:space="0" w:color="auto"/>
        <w:bottom w:val="none" w:sz="0" w:space="0" w:color="auto"/>
        <w:right w:val="none" w:sz="0" w:space="0" w:color="auto"/>
      </w:divBdr>
    </w:div>
    <w:div w:id="765030883">
      <w:bodyDiv w:val="1"/>
      <w:marLeft w:val="0"/>
      <w:marRight w:val="0"/>
      <w:marTop w:val="0"/>
      <w:marBottom w:val="0"/>
      <w:divBdr>
        <w:top w:val="none" w:sz="0" w:space="0" w:color="auto"/>
        <w:left w:val="none" w:sz="0" w:space="0" w:color="auto"/>
        <w:bottom w:val="none" w:sz="0" w:space="0" w:color="auto"/>
        <w:right w:val="none" w:sz="0" w:space="0" w:color="auto"/>
      </w:divBdr>
    </w:div>
    <w:div w:id="773939492">
      <w:bodyDiv w:val="1"/>
      <w:marLeft w:val="0"/>
      <w:marRight w:val="0"/>
      <w:marTop w:val="0"/>
      <w:marBottom w:val="0"/>
      <w:divBdr>
        <w:top w:val="none" w:sz="0" w:space="0" w:color="auto"/>
        <w:left w:val="none" w:sz="0" w:space="0" w:color="auto"/>
        <w:bottom w:val="none" w:sz="0" w:space="0" w:color="auto"/>
        <w:right w:val="none" w:sz="0" w:space="0" w:color="auto"/>
      </w:divBdr>
    </w:div>
    <w:div w:id="779375039">
      <w:bodyDiv w:val="1"/>
      <w:marLeft w:val="0"/>
      <w:marRight w:val="0"/>
      <w:marTop w:val="0"/>
      <w:marBottom w:val="0"/>
      <w:divBdr>
        <w:top w:val="none" w:sz="0" w:space="0" w:color="auto"/>
        <w:left w:val="none" w:sz="0" w:space="0" w:color="auto"/>
        <w:bottom w:val="none" w:sz="0" w:space="0" w:color="auto"/>
        <w:right w:val="none" w:sz="0" w:space="0" w:color="auto"/>
      </w:divBdr>
    </w:div>
    <w:div w:id="787428561">
      <w:bodyDiv w:val="1"/>
      <w:marLeft w:val="0"/>
      <w:marRight w:val="0"/>
      <w:marTop w:val="0"/>
      <w:marBottom w:val="0"/>
      <w:divBdr>
        <w:top w:val="none" w:sz="0" w:space="0" w:color="auto"/>
        <w:left w:val="none" w:sz="0" w:space="0" w:color="auto"/>
        <w:bottom w:val="none" w:sz="0" w:space="0" w:color="auto"/>
        <w:right w:val="none" w:sz="0" w:space="0" w:color="auto"/>
      </w:divBdr>
    </w:div>
    <w:div w:id="839469449">
      <w:bodyDiv w:val="1"/>
      <w:marLeft w:val="0"/>
      <w:marRight w:val="0"/>
      <w:marTop w:val="0"/>
      <w:marBottom w:val="0"/>
      <w:divBdr>
        <w:top w:val="none" w:sz="0" w:space="0" w:color="auto"/>
        <w:left w:val="none" w:sz="0" w:space="0" w:color="auto"/>
        <w:bottom w:val="none" w:sz="0" w:space="0" w:color="auto"/>
        <w:right w:val="none" w:sz="0" w:space="0" w:color="auto"/>
      </w:divBdr>
    </w:div>
    <w:div w:id="905578362">
      <w:bodyDiv w:val="1"/>
      <w:marLeft w:val="0"/>
      <w:marRight w:val="0"/>
      <w:marTop w:val="0"/>
      <w:marBottom w:val="0"/>
      <w:divBdr>
        <w:top w:val="none" w:sz="0" w:space="0" w:color="auto"/>
        <w:left w:val="none" w:sz="0" w:space="0" w:color="auto"/>
        <w:bottom w:val="none" w:sz="0" w:space="0" w:color="auto"/>
        <w:right w:val="none" w:sz="0" w:space="0" w:color="auto"/>
      </w:divBdr>
    </w:div>
    <w:div w:id="933712541">
      <w:bodyDiv w:val="1"/>
      <w:marLeft w:val="0"/>
      <w:marRight w:val="0"/>
      <w:marTop w:val="0"/>
      <w:marBottom w:val="0"/>
      <w:divBdr>
        <w:top w:val="none" w:sz="0" w:space="0" w:color="auto"/>
        <w:left w:val="none" w:sz="0" w:space="0" w:color="auto"/>
        <w:bottom w:val="none" w:sz="0" w:space="0" w:color="auto"/>
        <w:right w:val="none" w:sz="0" w:space="0" w:color="auto"/>
      </w:divBdr>
    </w:div>
    <w:div w:id="935552126">
      <w:bodyDiv w:val="1"/>
      <w:marLeft w:val="0"/>
      <w:marRight w:val="0"/>
      <w:marTop w:val="0"/>
      <w:marBottom w:val="0"/>
      <w:divBdr>
        <w:top w:val="none" w:sz="0" w:space="0" w:color="auto"/>
        <w:left w:val="none" w:sz="0" w:space="0" w:color="auto"/>
        <w:bottom w:val="none" w:sz="0" w:space="0" w:color="auto"/>
        <w:right w:val="none" w:sz="0" w:space="0" w:color="auto"/>
      </w:divBdr>
    </w:div>
    <w:div w:id="955135356">
      <w:bodyDiv w:val="1"/>
      <w:marLeft w:val="0"/>
      <w:marRight w:val="0"/>
      <w:marTop w:val="0"/>
      <w:marBottom w:val="0"/>
      <w:divBdr>
        <w:top w:val="none" w:sz="0" w:space="0" w:color="auto"/>
        <w:left w:val="none" w:sz="0" w:space="0" w:color="auto"/>
        <w:bottom w:val="none" w:sz="0" w:space="0" w:color="auto"/>
        <w:right w:val="none" w:sz="0" w:space="0" w:color="auto"/>
      </w:divBdr>
    </w:div>
    <w:div w:id="967860210">
      <w:bodyDiv w:val="1"/>
      <w:marLeft w:val="0"/>
      <w:marRight w:val="0"/>
      <w:marTop w:val="0"/>
      <w:marBottom w:val="0"/>
      <w:divBdr>
        <w:top w:val="none" w:sz="0" w:space="0" w:color="auto"/>
        <w:left w:val="none" w:sz="0" w:space="0" w:color="auto"/>
        <w:bottom w:val="none" w:sz="0" w:space="0" w:color="auto"/>
        <w:right w:val="none" w:sz="0" w:space="0" w:color="auto"/>
      </w:divBdr>
      <w:divsChild>
        <w:div w:id="1487895232">
          <w:marLeft w:val="360"/>
          <w:marRight w:val="0"/>
          <w:marTop w:val="200"/>
          <w:marBottom w:val="0"/>
          <w:divBdr>
            <w:top w:val="none" w:sz="0" w:space="0" w:color="auto"/>
            <w:left w:val="none" w:sz="0" w:space="0" w:color="auto"/>
            <w:bottom w:val="none" w:sz="0" w:space="0" w:color="auto"/>
            <w:right w:val="none" w:sz="0" w:space="0" w:color="auto"/>
          </w:divBdr>
        </w:div>
      </w:divsChild>
    </w:div>
    <w:div w:id="975984544">
      <w:bodyDiv w:val="1"/>
      <w:marLeft w:val="0"/>
      <w:marRight w:val="0"/>
      <w:marTop w:val="0"/>
      <w:marBottom w:val="0"/>
      <w:divBdr>
        <w:top w:val="none" w:sz="0" w:space="0" w:color="auto"/>
        <w:left w:val="none" w:sz="0" w:space="0" w:color="auto"/>
        <w:bottom w:val="none" w:sz="0" w:space="0" w:color="auto"/>
        <w:right w:val="none" w:sz="0" w:space="0" w:color="auto"/>
      </w:divBdr>
    </w:div>
    <w:div w:id="981156040">
      <w:bodyDiv w:val="1"/>
      <w:marLeft w:val="0"/>
      <w:marRight w:val="0"/>
      <w:marTop w:val="0"/>
      <w:marBottom w:val="0"/>
      <w:divBdr>
        <w:top w:val="none" w:sz="0" w:space="0" w:color="auto"/>
        <w:left w:val="none" w:sz="0" w:space="0" w:color="auto"/>
        <w:bottom w:val="none" w:sz="0" w:space="0" w:color="auto"/>
        <w:right w:val="none" w:sz="0" w:space="0" w:color="auto"/>
      </w:divBdr>
      <w:divsChild>
        <w:div w:id="340280957">
          <w:marLeft w:val="446"/>
          <w:marRight w:val="0"/>
          <w:marTop w:val="120"/>
          <w:marBottom w:val="0"/>
          <w:divBdr>
            <w:top w:val="none" w:sz="0" w:space="0" w:color="auto"/>
            <w:left w:val="none" w:sz="0" w:space="0" w:color="auto"/>
            <w:bottom w:val="none" w:sz="0" w:space="0" w:color="auto"/>
            <w:right w:val="none" w:sz="0" w:space="0" w:color="auto"/>
          </w:divBdr>
        </w:div>
      </w:divsChild>
    </w:div>
    <w:div w:id="990520341">
      <w:bodyDiv w:val="1"/>
      <w:marLeft w:val="0"/>
      <w:marRight w:val="0"/>
      <w:marTop w:val="0"/>
      <w:marBottom w:val="0"/>
      <w:divBdr>
        <w:top w:val="none" w:sz="0" w:space="0" w:color="auto"/>
        <w:left w:val="none" w:sz="0" w:space="0" w:color="auto"/>
        <w:bottom w:val="none" w:sz="0" w:space="0" w:color="auto"/>
        <w:right w:val="none" w:sz="0" w:space="0" w:color="auto"/>
      </w:divBdr>
    </w:div>
    <w:div w:id="1022440078">
      <w:bodyDiv w:val="1"/>
      <w:marLeft w:val="0"/>
      <w:marRight w:val="0"/>
      <w:marTop w:val="0"/>
      <w:marBottom w:val="0"/>
      <w:divBdr>
        <w:top w:val="none" w:sz="0" w:space="0" w:color="auto"/>
        <w:left w:val="none" w:sz="0" w:space="0" w:color="auto"/>
        <w:bottom w:val="none" w:sz="0" w:space="0" w:color="auto"/>
        <w:right w:val="none" w:sz="0" w:space="0" w:color="auto"/>
      </w:divBdr>
      <w:divsChild>
        <w:div w:id="984356317">
          <w:marLeft w:val="446"/>
          <w:marRight w:val="0"/>
          <w:marTop w:val="0"/>
          <w:marBottom w:val="0"/>
          <w:divBdr>
            <w:top w:val="none" w:sz="0" w:space="0" w:color="auto"/>
            <w:left w:val="none" w:sz="0" w:space="0" w:color="auto"/>
            <w:bottom w:val="none" w:sz="0" w:space="0" w:color="auto"/>
            <w:right w:val="none" w:sz="0" w:space="0" w:color="auto"/>
          </w:divBdr>
        </w:div>
        <w:div w:id="935673872">
          <w:marLeft w:val="446"/>
          <w:marRight w:val="0"/>
          <w:marTop w:val="0"/>
          <w:marBottom w:val="0"/>
          <w:divBdr>
            <w:top w:val="none" w:sz="0" w:space="0" w:color="auto"/>
            <w:left w:val="none" w:sz="0" w:space="0" w:color="auto"/>
            <w:bottom w:val="none" w:sz="0" w:space="0" w:color="auto"/>
            <w:right w:val="none" w:sz="0" w:space="0" w:color="auto"/>
          </w:divBdr>
        </w:div>
        <w:div w:id="439179962">
          <w:marLeft w:val="446"/>
          <w:marRight w:val="0"/>
          <w:marTop w:val="0"/>
          <w:marBottom w:val="0"/>
          <w:divBdr>
            <w:top w:val="none" w:sz="0" w:space="0" w:color="auto"/>
            <w:left w:val="none" w:sz="0" w:space="0" w:color="auto"/>
            <w:bottom w:val="none" w:sz="0" w:space="0" w:color="auto"/>
            <w:right w:val="none" w:sz="0" w:space="0" w:color="auto"/>
          </w:divBdr>
        </w:div>
      </w:divsChild>
    </w:div>
    <w:div w:id="1076392093">
      <w:bodyDiv w:val="1"/>
      <w:marLeft w:val="0"/>
      <w:marRight w:val="0"/>
      <w:marTop w:val="0"/>
      <w:marBottom w:val="0"/>
      <w:divBdr>
        <w:top w:val="none" w:sz="0" w:space="0" w:color="auto"/>
        <w:left w:val="none" w:sz="0" w:space="0" w:color="auto"/>
        <w:bottom w:val="none" w:sz="0" w:space="0" w:color="auto"/>
        <w:right w:val="none" w:sz="0" w:space="0" w:color="auto"/>
      </w:divBdr>
    </w:div>
    <w:div w:id="1077826144">
      <w:bodyDiv w:val="1"/>
      <w:marLeft w:val="0"/>
      <w:marRight w:val="0"/>
      <w:marTop w:val="0"/>
      <w:marBottom w:val="0"/>
      <w:divBdr>
        <w:top w:val="none" w:sz="0" w:space="0" w:color="auto"/>
        <w:left w:val="none" w:sz="0" w:space="0" w:color="auto"/>
        <w:bottom w:val="none" w:sz="0" w:space="0" w:color="auto"/>
        <w:right w:val="none" w:sz="0" w:space="0" w:color="auto"/>
      </w:divBdr>
    </w:div>
    <w:div w:id="1101995740">
      <w:bodyDiv w:val="1"/>
      <w:marLeft w:val="0"/>
      <w:marRight w:val="0"/>
      <w:marTop w:val="0"/>
      <w:marBottom w:val="0"/>
      <w:divBdr>
        <w:top w:val="none" w:sz="0" w:space="0" w:color="auto"/>
        <w:left w:val="none" w:sz="0" w:space="0" w:color="auto"/>
        <w:bottom w:val="none" w:sz="0" w:space="0" w:color="auto"/>
        <w:right w:val="none" w:sz="0" w:space="0" w:color="auto"/>
      </w:divBdr>
    </w:div>
    <w:div w:id="1110129582">
      <w:bodyDiv w:val="1"/>
      <w:marLeft w:val="0"/>
      <w:marRight w:val="0"/>
      <w:marTop w:val="0"/>
      <w:marBottom w:val="0"/>
      <w:divBdr>
        <w:top w:val="none" w:sz="0" w:space="0" w:color="auto"/>
        <w:left w:val="none" w:sz="0" w:space="0" w:color="auto"/>
        <w:bottom w:val="none" w:sz="0" w:space="0" w:color="auto"/>
        <w:right w:val="none" w:sz="0" w:space="0" w:color="auto"/>
      </w:divBdr>
    </w:div>
    <w:div w:id="1127966633">
      <w:bodyDiv w:val="1"/>
      <w:marLeft w:val="0"/>
      <w:marRight w:val="0"/>
      <w:marTop w:val="0"/>
      <w:marBottom w:val="0"/>
      <w:divBdr>
        <w:top w:val="none" w:sz="0" w:space="0" w:color="auto"/>
        <w:left w:val="none" w:sz="0" w:space="0" w:color="auto"/>
        <w:bottom w:val="none" w:sz="0" w:space="0" w:color="auto"/>
        <w:right w:val="none" w:sz="0" w:space="0" w:color="auto"/>
      </w:divBdr>
    </w:div>
    <w:div w:id="1191651308">
      <w:bodyDiv w:val="1"/>
      <w:marLeft w:val="0"/>
      <w:marRight w:val="0"/>
      <w:marTop w:val="0"/>
      <w:marBottom w:val="0"/>
      <w:divBdr>
        <w:top w:val="none" w:sz="0" w:space="0" w:color="auto"/>
        <w:left w:val="none" w:sz="0" w:space="0" w:color="auto"/>
        <w:bottom w:val="none" w:sz="0" w:space="0" w:color="auto"/>
        <w:right w:val="none" w:sz="0" w:space="0" w:color="auto"/>
      </w:divBdr>
    </w:div>
    <w:div w:id="1253667498">
      <w:bodyDiv w:val="1"/>
      <w:marLeft w:val="0"/>
      <w:marRight w:val="0"/>
      <w:marTop w:val="0"/>
      <w:marBottom w:val="0"/>
      <w:divBdr>
        <w:top w:val="none" w:sz="0" w:space="0" w:color="auto"/>
        <w:left w:val="none" w:sz="0" w:space="0" w:color="auto"/>
        <w:bottom w:val="none" w:sz="0" w:space="0" w:color="auto"/>
        <w:right w:val="none" w:sz="0" w:space="0" w:color="auto"/>
      </w:divBdr>
    </w:div>
    <w:div w:id="1262833336">
      <w:bodyDiv w:val="1"/>
      <w:marLeft w:val="0"/>
      <w:marRight w:val="0"/>
      <w:marTop w:val="0"/>
      <w:marBottom w:val="0"/>
      <w:divBdr>
        <w:top w:val="none" w:sz="0" w:space="0" w:color="auto"/>
        <w:left w:val="none" w:sz="0" w:space="0" w:color="auto"/>
        <w:bottom w:val="none" w:sz="0" w:space="0" w:color="auto"/>
        <w:right w:val="none" w:sz="0" w:space="0" w:color="auto"/>
      </w:divBdr>
    </w:div>
    <w:div w:id="1263296202">
      <w:bodyDiv w:val="1"/>
      <w:marLeft w:val="0"/>
      <w:marRight w:val="0"/>
      <w:marTop w:val="0"/>
      <w:marBottom w:val="0"/>
      <w:divBdr>
        <w:top w:val="none" w:sz="0" w:space="0" w:color="auto"/>
        <w:left w:val="none" w:sz="0" w:space="0" w:color="auto"/>
        <w:bottom w:val="none" w:sz="0" w:space="0" w:color="auto"/>
        <w:right w:val="none" w:sz="0" w:space="0" w:color="auto"/>
      </w:divBdr>
    </w:div>
    <w:div w:id="1274749361">
      <w:bodyDiv w:val="1"/>
      <w:marLeft w:val="0"/>
      <w:marRight w:val="0"/>
      <w:marTop w:val="0"/>
      <w:marBottom w:val="0"/>
      <w:divBdr>
        <w:top w:val="none" w:sz="0" w:space="0" w:color="auto"/>
        <w:left w:val="none" w:sz="0" w:space="0" w:color="auto"/>
        <w:bottom w:val="none" w:sz="0" w:space="0" w:color="auto"/>
        <w:right w:val="none" w:sz="0" w:space="0" w:color="auto"/>
      </w:divBdr>
    </w:div>
    <w:div w:id="1276249523">
      <w:bodyDiv w:val="1"/>
      <w:marLeft w:val="0"/>
      <w:marRight w:val="0"/>
      <w:marTop w:val="0"/>
      <w:marBottom w:val="0"/>
      <w:divBdr>
        <w:top w:val="none" w:sz="0" w:space="0" w:color="auto"/>
        <w:left w:val="none" w:sz="0" w:space="0" w:color="auto"/>
        <w:bottom w:val="none" w:sz="0" w:space="0" w:color="auto"/>
        <w:right w:val="none" w:sz="0" w:space="0" w:color="auto"/>
      </w:divBdr>
    </w:div>
    <w:div w:id="1383674420">
      <w:bodyDiv w:val="1"/>
      <w:marLeft w:val="0"/>
      <w:marRight w:val="0"/>
      <w:marTop w:val="0"/>
      <w:marBottom w:val="0"/>
      <w:divBdr>
        <w:top w:val="none" w:sz="0" w:space="0" w:color="auto"/>
        <w:left w:val="none" w:sz="0" w:space="0" w:color="auto"/>
        <w:bottom w:val="none" w:sz="0" w:space="0" w:color="auto"/>
        <w:right w:val="none" w:sz="0" w:space="0" w:color="auto"/>
      </w:divBdr>
    </w:div>
    <w:div w:id="1442382874">
      <w:bodyDiv w:val="1"/>
      <w:marLeft w:val="0"/>
      <w:marRight w:val="0"/>
      <w:marTop w:val="0"/>
      <w:marBottom w:val="0"/>
      <w:divBdr>
        <w:top w:val="none" w:sz="0" w:space="0" w:color="auto"/>
        <w:left w:val="none" w:sz="0" w:space="0" w:color="auto"/>
        <w:bottom w:val="none" w:sz="0" w:space="0" w:color="auto"/>
        <w:right w:val="none" w:sz="0" w:space="0" w:color="auto"/>
      </w:divBdr>
    </w:div>
    <w:div w:id="1503885732">
      <w:bodyDiv w:val="1"/>
      <w:marLeft w:val="0"/>
      <w:marRight w:val="0"/>
      <w:marTop w:val="0"/>
      <w:marBottom w:val="0"/>
      <w:divBdr>
        <w:top w:val="none" w:sz="0" w:space="0" w:color="auto"/>
        <w:left w:val="none" w:sz="0" w:space="0" w:color="auto"/>
        <w:bottom w:val="none" w:sz="0" w:space="0" w:color="auto"/>
        <w:right w:val="none" w:sz="0" w:space="0" w:color="auto"/>
      </w:divBdr>
    </w:div>
    <w:div w:id="1630043053">
      <w:bodyDiv w:val="1"/>
      <w:marLeft w:val="0"/>
      <w:marRight w:val="0"/>
      <w:marTop w:val="0"/>
      <w:marBottom w:val="0"/>
      <w:divBdr>
        <w:top w:val="none" w:sz="0" w:space="0" w:color="auto"/>
        <w:left w:val="none" w:sz="0" w:space="0" w:color="auto"/>
        <w:bottom w:val="none" w:sz="0" w:space="0" w:color="auto"/>
        <w:right w:val="none" w:sz="0" w:space="0" w:color="auto"/>
      </w:divBdr>
    </w:div>
    <w:div w:id="1656835271">
      <w:bodyDiv w:val="1"/>
      <w:marLeft w:val="0"/>
      <w:marRight w:val="0"/>
      <w:marTop w:val="0"/>
      <w:marBottom w:val="0"/>
      <w:divBdr>
        <w:top w:val="none" w:sz="0" w:space="0" w:color="auto"/>
        <w:left w:val="none" w:sz="0" w:space="0" w:color="auto"/>
        <w:bottom w:val="none" w:sz="0" w:space="0" w:color="auto"/>
        <w:right w:val="none" w:sz="0" w:space="0" w:color="auto"/>
      </w:divBdr>
      <w:divsChild>
        <w:div w:id="1109861664">
          <w:marLeft w:val="446"/>
          <w:marRight w:val="0"/>
          <w:marTop w:val="240"/>
          <w:marBottom w:val="0"/>
          <w:divBdr>
            <w:top w:val="none" w:sz="0" w:space="0" w:color="auto"/>
            <w:left w:val="none" w:sz="0" w:space="0" w:color="auto"/>
            <w:bottom w:val="none" w:sz="0" w:space="0" w:color="auto"/>
            <w:right w:val="none" w:sz="0" w:space="0" w:color="auto"/>
          </w:divBdr>
        </w:div>
        <w:div w:id="1415932784">
          <w:marLeft w:val="1166"/>
          <w:marRight w:val="0"/>
          <w:marTop w:val="240"/>
          <w:marBottom w:val="0"/>
          <w:divBdr>
            <w:top w:val="none" w:sz="0" w:space="0" w:color="auto"/>
            <w:left w:val="none" w:sz="0" w:space="0" w:color="auto"/>
            <w:bottom w:val="none" w:sz="0" w:space="0" w:color="auto"/>
            <w:right w:val="none" w:sz="0" w:space="0" w:color="auto"/>
          </w:divBdr>
        </w:div>
        <w:div w:id="326137326">
          <w:marLeft w:val="1886"/>
          <w:marRight w:val="0"/>
          <w:marTop w:val="240"/>
          <w:marBottom w:val="0"/>
          <w:divBdr>
            <w:top w:val="none" w:sz="0" w:space="0" w:color="auto"/>
            <w:left w:val="none" w:sz="0" w:space="0" w:color="auto"/>
            <w:bottom w:val="none" w:sz="0" w:space="0" w:color="auto"/>
            <w:right w:val="none" w:sz="0" w:space="0" w:color="auto"/>
          </w:divBdr>
        </w:div>
      </w:divsChild>
    </w:div>
    <w:div w:id="1695185759">
      <w:bodyDiv w:val="1"/>
      <w:marLeft w:val="0"/>
      <w:marRight w:val="0"/>
      <w:marTop w:val="0"/>
      <w:marBottom w:val="0"/>
      <w:divBdr>
        <w:top w:val="none" w:sz="0" w:space="0" w:color="auto"/>
        <w:left w:val="none" w:sz="0" w:space="0" w:color="auto"/>
        <w:bottom w:val="none" w:sz="0" w:space="0" w:color="auto"/>
        <w:right w:val="none" w:sz="0" w:space="0" w:color="auto"/>
      </w:divBdr>
    </w:div>
    <w:div w:id="1740252965">
      <w:bodyDiv w:val="1"/>
      <w:marLeft w:val="0"/>
      <w:marRight w:val="0"/>
      <w:marTop w:val="0"/>
      <w:marBottom w:val="0"/>
      <w:divBdr>
        <w:top w:val="none" w:sz="0" w:space="0" w:color="auto"/>
        <w:left w:val="none" w:sz="0" w:space="0" w:color="auto"/>
        <w:bottom w:val="none" w:sz="0" w:space="0" w:color="auto"/>
        <w:right w:val="none" w:sz="0" w:space="0" w:color="auto"/>
      </w:divBdr>
    </w:div>
    <w:div w:id="1751809036">
      <w:bodyDiv w:val="1"/>
      <w:marLeft w:val="0"/>
      <w:marRight w:val="0"/>
      <w:marTop w:val="0"/>
      <w:marBottom w:val="0"/>
      <w:divBdr>
        <w:top w:val="none" w:sz="0" w:space="0" w:color="auto"/>
        <w:left w:val="none" w:sz="0" w:space="0" w:color="auto"/>
        <w:bottom w:val="none" w:sz="0" w:space="0" w:color="auto"/>
        <w:right w:val="none" w:sz="0" w:space="0" w:color="auto"/>
      </w:divBdr>
    </w:div>
    <w:div w:id="1753694254">
      <w:bodyDiv w:val="1"/>
      <w:marLeft w:val="0"/>
      <w:marRight w:val="0"/>
      <w:marTop w:val="0"/>
      <w:marBottom w:val="0"/>
      <w:divBdr>
        <w:top w:val="none" w:sz="0" w:space="0" w:color="auto"/>
        <w:left w:val="none" w:sz="0" w:space="0" w:color="auto"/>
        <w:bottom w:val="none" w:sz="0" w:space="0" w:color="auto"/>
        <w:right w:val="none" w:sz="0" w:space="0" w:color="auto"/>
      </w:divBdr>
      <w:divsChild>
        <w:div w:id="1846554679">
          <w:marLeft w:val="1166"/>
          <w:marRight w:val="0"/>
          <w:marTop w:val="0"/>
          <w:marBottom w:val="0"/>
          <w:divBdr>
            <w:top w:val="none" w:sz="0" w:space="0" w:color="auto"/>
            <w:left w:val="none" w:sz="0" w:space="0" w:color="auto"/>
            <w:bottom w:val="none" w:sz="0" w:space="0" w:color="auto"/>
            <w:right w:val="none" w:sz="0" w:space="0" w:color="auto"/>
          </w:divBdr>
        </w:div>
        <w:div w:id="495850814">
          <w:marLeft w:val="1166"/>
          <w:marRight w:val="0"/>
          <w:marTop w:val="0"/>
          <w:marBottom w:val="0"/>
          <w:divBdr>
            <w:top w:val="none" w:sz="0" w:space="0" w:color="auto"/>
            <w:left w:val="none" w:sz="0" w:space="0" w:color="auto"/>
            <w:bottom w:val="none" w:sz="0" w:space="0" w:color="auto"/>
            <w:right w:val="none" w:sz="0" w:space="0" w:color="auto"/>
          </w:divBdr>
        </w:div>
      </w:divsChild>
    </w:div>
    <w:div w:id="1773428989">
      <w:bodyDiv w:val="1"/>
      <w:marLeft w:val="0"/>
      <w:marRight w:val="0"/>
      <w:marTop w:val="0"/>
      <w:marBottom w:val="0"/>
      <w:divBdr>
        <w:top w:val="none" w:sz="0" w:space="0" w:color="auto"/>
        <w:left w:val="none" w:sz="0" w:space="0" w:color="auto"/>
        <w:bottom w:val="none" w:sz="0" w:space="0" w:color="auto"/>
        <w:right w:val="none" w:sz="0" w:space="0" w:color="auto"/>
      </w:divBdr>
    </w:div>
    <w:div w:id="1782216281">
      <w:bodyDiv w:val="1"/>
      <w:marLeft w:val="0"/>
      <w:marRight w:val="0"/>
      <w:marTop w:val="0"/>
      <w:marBottom w:val="0"/>
      <w:divBdr>
        <w:top w:val="none" w:sz="0" w:space="0" w:color="auto"/>
        <w:left w:val="none" w:sz="0" w:space="0" w:color="auto"/>
        <w:bottom w:val="none" w:sz="0" w:space="0" w:color="auto"/>
        <w:right w:val="none" w:sz="0" w:space="0" w:color="auto"/>
      </w:divBdr>
    </w:div>
    <w:div w:id="1850173644">
      <w:bodyDiv w:val="1"/>
      <w:marLeft w:val="0"/>
      <w:marRight w:val="0"/>
      <w:marTop w:val="0"/>
      <w:marBottom w:val="0"/>
      <w:divBdr>
        <w:top w:val="none" w:sz="0" w:space="0" w:color="auto"/>
        <w:left w:val="none" w:sz="0" w:space="0" w:color="auto"/>
        <w:bottom w:val="none" w:sz="0" w:space="0" w:color="auto"/>
        <w:right w:val="none" w:sz="0" w:space="0" w:color="auto"/>
      </w:divBdr>
    </w:div>
    <w:div w:id="1865903957">
      <w:bodyDiv w:val="1"/>
      <w:marLeft w:val="0"/>
      <w:marRight w:val="0"/>
      <w:marTop w:val="0"/>
      <w:marBottom w:val="0"/>
      <w:divBdr>
        <w:top w:val="none" w:sz="0" w:space="0" w:color="auto"/>
        <w:left w:val="none" w:sz="0" w:space="0" w:color="auto"/>
        <w:bottom w:val="none" w:sz="0" w:space="0" w:color="auto"/>
        <w:right w:val="none" w:sz="0" w:space="0" w:color="auto"/>
      </w:divBdr>
    </w:div>
    <w:div w:id="1899853812">
      <w:bodyDiv w:val="1"/>
      <w:marLeft w:val="0"/>
      <w:marRight w:val="0"/>
      <w:marTop w:val="0"/>
      <w:marBottom w:val="0"/>
      <w:divBdr>
        <w:top w:val="none" w:sz="0" w:space="0" w:color="auto"/>
        <w:left w:val="none" w:sz="0" w:space="0" w:color="auto"/>
        <w:bottom w:val="none" w:sz="0" w:space="0" w:color="auto"/>
        <w:right w:val="none" w:sz="0" w:space="0" w:color="auto"/>
      </w:divBdr>
    </w:div>
    <w:div w:id="1922062233">
      <w:bodyDiv w:val="1"/>
      <w:marLeft w:val="0"/>
      <w:marRight w:val="0"/>
      <w:marTop w:val="0"/>
      <w:marBottom w:val="0"/>
      <w:divBdr>
        <w:top w:val="none" w:sz="0" w:space="0" w:color="auto"/>
        <w:left w:val="none" w:sz="0" w:space="0" w:color="auto"/>
        <w:bottom w:val="none" w:sz="0" w:space="0" w:color="auto"/>
        <w:right w:val="none" w:sz="0" w:space="0" w:color="auto"/>
      </w:divBdr>
    </w:div>
    <w:div w:id="1926524066">
      <w:bodyDiv w:val="1"/>
      <w:marLeft w:val="0"/>
      <w:marRight w:val="0"/>
      <w:marTop w:val="0"/>
      <w:marBottom w:val="0"/>
      <w:divBdr>
        <w:top w:val="none" w:sz="0" w:space="0" w:color="auto"/>
        <w:left w:val="none" w:sz="0" w:space="0" w:color="auto"/>
        <w:bottom w:val="none" w:sz="0" w:space="0" w:color="auto"/>
        <w:right w:val="none" w:sz="0" w:space="0" w:color="auto"/>
      </w:divBdr>
    </w:div>
    <w:div w:id="1926956680">
      <w:bodyDiv w:val="1"/>
      <w:marLeft w:val="0"/>
      <w:marRight w:val="0"/>
      <w:marTop w:val="0"/>
      <w:marBottom w:val="0"/>
      <w:divBdr>
        <w:top w:val="none" w:sz="0" w:space="0" w:color="auto"/>
        <w:left w:val="none" w:sz="0" w:space="0" w:color="auto"/>
        <w:bottom w:val="none" w:sz="0" w:space="0" w:color="auto"/>
        <w:right w:val="none" w:sz="0" w:space="0" w:color="auto"/>
      </w:divBdr>
      <w:divsChild>
        <w:div w:id="2132160778">
          <w:marLeft w:val="547"/>
          <w:marRight w:val="0"/>
          <w:marTop w:val="0"/>
          <w:marBottom w:val="0"/>
          <w:divBdr>
            <w:top w:val="none" w:sz="0" w:space="0" w:color="auto"/>
            <w:left w:val="none" w:sz="0" w:space="0" w:color="auto"/>
            <w:bottom w:val="none" w:sz="0" w:space="0" w:color="auto"/>
            <w:right w:val="none" w:sz="0" w:space="0" w:color="auto"/>
          </w:divBdr>
        </w:div>
      </w:divsChild>
    </w:div>
    <w:div w:id="1930456303">
      <w:bodyDiv w:val="1"/>
      <w:marLeft w:val="0"/>
      <w:marRight w:val="0"/>
      <w:marTop w:val="0"/>
      <w:marBottom w:val="0"/>
      <w:divBdr>
        <w:top w:val="none" w:sz="0" w:space="0" w:color="auto"/>
        <w:left w:val="none" w:sz="0" w:space="0" w:color="auto"/>
        <w:bottom w:val="none" w:sz="0" w:space="0" w:color="auto"/>
        <w:right w:val="none" w:sz="0" w:space="0" w:color="auto"/>
      </w:divBdr>
    </w:div>
    <w:div w:id="1960910637">
      <w:bodyDiv w:val="1"/>
      <w:marLeft w:val="0"/>
      <w:marRight w:val="0"/>
      <w:marTop w:val="0"/>
      <w:marBottom w:val="0"/>
      <w:divBdr>
        <w:top w:val="none" w:sz="0" w:space="0" w:color="auto"/>
        <w:left w:val="none" w:sz="0" w:space="0" w:color="auto"/>
        <w:bottom w:val="none" w:sz="0" w:space="0" w:color="auto"/>
        <w:right w:val="none" w:sz="0" w:space="0" w:color="auto"/>
      </w:divBdr>
    </w:div>
    <w:div w:id="1988512251">
      <w:bodyDiv w:val="1"/>
      <w:marLeft w:val="0"/>
      <w:marRight w:val="0"/>
      <w:marTop w:val="0"/>
      <w:marBottom w:val="0"/>
      <w:divBdr>
        <w:top w:val="none" w:sz="0" w:space="0" w:color="auto"/>
        <w:left w:val="none" w:sz="0" w:space="0" w:color="auto"/>
        <w:bottom w:val="none" w:sz="0" w:space="0" w:color="auto"/>
        <w:right w:val="none" w:sz="0" w:space="0" w:color="auto"/>
      </w:divBdr>
    </w:div>
    <w:div w:id="2019505227">
      <w:bodyDiv w:val="1"/>
      <w:marLeft w:val="0"/>
      <w:marRight w:val="0"/>
      <w:marTop w:val="0"/>
      <w:marBottom w:val="0"/>
      <w:divBdr>
        <w:top w:val="none" w:sz="0" w:space="0" w:color="auto"/>
        <w:left w:val="none" w:sz="0" w:space="0" w:color="auto"/>
        <w:bottom w:val="none" w:sz="0" w:space="0" w:color="auto"/>
        <w:right w:val="none" w:sz="0" w:space="0" w:color="auto"/>
      </w:divBdr>
    </w:div>
    <w:div w:id="2027249481">
      <w:bodyDiv w:val="1"/>
      <w:marLeft w:val="0"/>
      <w:marRight w:val="0"/>
      <w:marTop w:val="0"/>
      <w:marBottom w:val="0"/>
      <w:divBdr>
        <w:top w:val="none" w:sz="0" w:space="0" w:color="auto"/>
        <w:left w:val="none" w:sz="0" w:space="0" w:color="auto"/>
        <w:bottom w:val="none" w:sz="0" w:space="0" w:color="auto"/>
        <w:right w:val="none" w:sz="0" w:space="0" w:color="auto"/>
      </w:divBdr>
    </w:div>
    <w:div w:id="2115857135">
      <w:bodyDiv w:val="1"/>
      <w:marLeft w:val="0"/>
      <w:marRight w:val="0"/>
      <w:marTop w:val="0"/>
      <w:marBottom w:val="0"/>
      <w:divBdr>
        <w:top w:val="none" w:sz="0" w:space="0" w:color="auto"/>
        <w:left w:val="none" w:sz="0" w:space="0" w:color="auto"/>
        <w:bottom w:val="none" w:sz="0" w:space="0" w:color="auto"/>
        <w:right w:val="none" w:sz="0" w:space="0" w:color="auto"/>
      </w:divBdr>
    </w:div>
    <w:div w:id="2127649809">
      <w:bodyDiv w:val="1"/>
      <w:marLeft w:val="0"/>
      <w:marRight w:val="0"/>
      <w:marTop w:val="0"/>
      <w:marBottom w:val="0"/>
      <w:divBdr>
        <w:top w:val="none" w:sz="0" w:space="0" w:color="auto"/>
        <w:left w:val="none" w:sz="0" w:space="0" w:color="auto"/>
        <w:bottom w:val="none" w:sz="0" w:space="0" w:color="auto"/>
        <w:right w:val="none" w:sz="0" w:space="0" w:color="auto"/>
      </w:divBdr>
    </w:div>
    <w:div w:id="213301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hyperlink" Target="https://data.worldbank.org/indicator/FP.CPI.TOT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cpc.unc.edu/projects/rlms-hse/" TargetMode="External"/><Relationship Id="rId58" Type="http://schemas.openxmlformats.org/officeDocument/2006/relationships/hyperlink" Target="https://iims.hse.ru/en/rfge/about"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hse.ru/en/org/projects/118524681" TargetMode="Externa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ons.naukaran.com/stati/mobilnost-rabotnikov-chastnogo-i-gosudarstvennogo-sektorov-/"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www.hse.ru/rlm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lirt.hse.ru/ielm"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oecd.org/publications/the-size-and-sectoral-distribution-of-state-owned-enterprises-9789264280663-en.htm"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pravo.ru/news/207515/" TargetMode="External"/><Relationship Id="rId1" Type="http://schemas.openxmlformats.org/officeDocument/2006/relationships/hyperlink" Target="http://en.kremlin.ru/events/president/news/57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p:properties xmlns:p="http://schemas.microsoft.com/office/2006/metadata/properties" xmlns:xsi="http://www.w3.org/2001/XMLSchema-instance" xmlns:pc="http://schemas.microsoft.com/office/infopath/2007/PartnerControls">
  <documentManagement>
    <DocAuthors xmlns="b99a068c-3844-4a16-badd-77233eea0529">000180243:Zahid Hasnain:zhasnain@worldbank.org;</DocAuthors>
    <Authors xmlns="b99a068c-3844-4a16-badd-77233eea0529">
      <UserInfo>
        <DisplayName>i:0#.w|wb\wb180243</DisplayName>
        <AccountId>6713</AccountId>
        <AccountType/>
      </UserInfo>
      <UserInfo>
        <DisplayName/>
        <AccountId xsi:nil="true"/>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2019-05-27T04:00:00+00:00</DocumentDate>
    <WBDocType xmlns="b99a068c-3844-4a16-badd-77233eea0529">Report</WBDocType>
    <SecurityClassification xmlns="b99a068c-3844-4a16-badd-77233eea0529">Public</SecurityClassification>
    <DeliverableID xmlns="b99a068c-3844-4a16-badd-77233eea0529">DLV0270089</DeliverableID>
    <ProjectID xmlns="b99a068c-3844-4a16-badd-77233eea0529">P169208</ProjectID>
    <Task_x0020_ID xmlns="b99a068c-3844-4a16-badd-77233eea0529">TSK7959537</Task_x0020_ID>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:3.0</DisclosedVersion>
    <DocumentType xmlns="b99a068c-3844-4a16-badd-77233eea0529" xsi:nil="true"/>
    <ApprovedVersion xmlns="b99a068c-3844-4a16-badd-77233eea0529">:2.0</ApprovedVersion>
    <DocStatus xmlns="b99a068c-3844-4a16-badd-77233eea0529">21</DocStatus>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5E7536EACB6354F8793F6DE82AEC3D1" ma:contentTypeVersion="3" ma:contentTypeDescription="" ma:contentTypeScope="" ma:versionID="378ea4d5e1274ac531a289e23f930c87">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1E2D6-CCCE-4566-BA06-EB086013BA8D}">
  <ds:schemaRefs>
    <ds:schemaRef ds:uri="Microsoft.SharePoint.Taxonomy.ContentTypeSync"/>
  </ds:schemaRefs>
</ds:datastoreItem>
</file>

<file path=customXml/itemProps2.xml><?xml version="1.0" encoding="utf-8"?>
<ds:datastoreItem xmlns:ds="http://schemas.openxmlformats.org/officeDocument/2006/customXml" ds:itemID="{A7C05AA2-7011-4402-91FB-BD25B4E1909A}">
  <ds:schemaRefs>
    <ds:schemaRef ds:uri="http://schemas.microsoft.com/office/2006/metadata/properties"/>
    <ds:schemaRef ds:uri="http://schemas.microsoft.com/office/infopath/2007/PartnerControls"/>
    <ds:schemaRef ds:uri="b99a068c-3844-4a16-badd-77233eea0529"/>
  </ds:schemaRefs>
</ds:datastoreItem>
</file>

<file path=customXml/itemProps3.xml><?xml version="1.0" encoding="utf-8"?>
<ds:datastoreItem xmlns:ds="http://schemas.openxmlformats.org/officeDocument/2006/customXml" ds:itemID="{F6BFAE96-050D-44F7-9F4F-2FD5CBE35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7E73D5-022B-48CE-B56D-4FACAA795C1C}">
  <ds:schemaRefs>
    <ds:schemaRef ds:uri="http://schemas.microsoft.com/sharepoint/v3/contenttype/forms"/>
  </ds:schemaRefs>
</ds:datastoreItem>
</file>

<file path=customXml/itemProps5.xml><?xml version="1.0" encoding="utf-8"?>
<ds:datastoreItem xmlns:ds="http://schemas.openxmlformats.org/officeDocument/2006/customXml" ds:itemID="{45F0C61E-E093-4331-B431-6343B311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61</Pages>
  <Words>19844</Words>
  <Characters>113114</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Russia SOE and Labor Markets_24May2019_final</vt:lpstr>
    </vt:vector>
  </TitlesOfParts>
  <Company/>
  <LinksUpToDate>false</LinksUpToDate>
  <CharactersWithSpaces>132693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Russia SOE and Labor Markets_18June2019_final</dc:title>
  <dc:subject/>
  <dc:creator>avodopyanov@worldbank.org</dc:creator>
  <cp:keywords/>
  <dc:description/>
  <cp:lastModifiedBy>Zahid Hasnain</cp:lastModifiedBy>
  <cp:revision>7</cp:revision>
  <cp:lastPrinted>2019-05-21T21:55:00Z</cp:lastPrinted>
  <dcterms:created xsi:type="dcterms:W3CDTF">2019-06-18T23:24:00Z</dcterms:created>
  <dcterms:modified xsi:type="dcterms:W3CDTF">2019-06-18T23:58:00Z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0x01010054E0FEF4951F9D49A6F48A35419983C70025E7536EACB6354F8793F6DE82AEC3D1</vt:lpwstr>
  </property>
  <property fmtid="{D5CDD505-2E9C-101B-9397-08002B2CF9AE}" pid="3" name="RatedBy">
    <vt:lpwstr/>
  </property>
  <property fmtid="{D5CDD505-2E9C-101B-9397-08002B2CF9AE}" pid="4" name="LikedBy">
    <vt:lpwstr/>
  </property>
  <property fmtid="{D5CDD505-2E9C-101B-9397-08002B2CF9AE}" pid="5" name="Ratings">
    <vt:lpwstr/>
  </property>
</Properties>
</file>