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D9" w:rsidRDefault="00FF665B" w:rsidP="00673324">
      <w:pPr>
        <w:tabs>
          <w:tab w:val="left" w:pos="720"/>
        </w:tabs>
        <w:jc w:val="center"/>
        <w:rPr>
          <w:b/>
          <w:sz w:val="32"/>
        </w:rPr>
      </w:pPr>
      <w:r>
        <w:rPr>
          <w:b/>
          <w:noProof/>
          <w:sz w:val="32"/>
        </w:rPr>
        <w:pict>
          <v:shapetype id="_x0000_t202" coordsize="21600,21600" o:spt="202" path="m,l,21600r21600,l21600,xe">
            <v:stroke joinstyle="miter"/>
            <v:path gradientshapeok="t" o:connecttype="rect"/>
          </v:shapetype>
          <v:shape id="_x0000_s1028" type="#_x0000_t202" style="position:absolute;left:0;text-align:left;margin-left:378.8pt;margin-top:-66.35pt;width:90.15pt;height:35.65pt;z-index:251660288" stroked="f">
            <v:textbox>
              <w:txbxContent>
                <w:p w:rsidR="00FF665B" w:rsidRPr="00FF665B" w:rsidRDefault="00FF665B">
                  <w:pPr>
                    <w:rPr>
                      <w:rFonts w:ascii="Arial" w:hAnsi="Arial" w:cs="Arial"/>
                      <w:sz w:val="44"/>
                      <w:szCs w:val="44"/>
                    </w:rPr>
                  </w:pPr>
                  <w:r>
                    <w:rPr>
                      <w:rFonts w:ascii="Arial" w:hAnsi="Arial" w:cs="Arial"/>
                      <w:sz w:val="44"/>
                      <w:szCs w:val="44"/>
                    </w:rPr>
                    <w:t>68826</w:t>
                  </w:r>
                </w:p>
              </w:txbxContent>
            </v:textbox>
          </v:shape>
        </w:pict>
      </w:r>
      <w:r w:rsidR="008C74CA" w:rsidRPr="00C9742B">
        <w:rPr>
          <w:b/>
          <w:sz w:val="32"/>
        </w:rPr>
        <w:t xml:space="preserve">Public Expenditure Review for </w:t>
      </w:r>
      <w:r w:rsidR="00C828FC">
        <w:rPr>
          <w:b/>
          <w:sz w:val="32"/>
        </w:rPr>
        <w:t xml:space="preserve">the </w:t>
      </w:r>
      <w:r w:rsidR="008C74CA" w:rsidRPr="00C9742B">
        <w:rPr>
          <w:b/>
          <w:sz w:val="32"/>
        </w:rPr>
        <w:t>Solomon Islands Government</w:t>
      </w:r>
    </w:p>
    <w:p w:rsidR="00E16197" w:rsidRPr="002D46CD" w:rsidRDefault="00E16197" w:rsidP="00673324">
      <w:pPr>
        <w:tabs>
          <w:tab w:val="left" w:pos="720"/>
        </w:tabs>
        <w:jc w:val="center"/>
        <w:rPr>
          <w:b/>
        </w:rPr>
      </w:pPr>
      <w:r w:rsidRPr="002D46CD">
        <w:rPr>
          <w:b/>
        </w:rPr>
        <w:t>Revised June 2011</w:t>
      </w:r>
    </w:p>
    <w:p w:rsidR="00FD2E32" w:rsidRDefault="00FD2E32" w:rsidP="00673324">
      <w:pPr>
        <w:tabs>
          <w:tab w:val="left" w:pos="720"/>
        </w:tabs>
      </w:pPr>
    </w:p>
    <w:p w:rsidR="00F87F01" w:rsidRPr="00F87F01" w:rsidRDefault="00F87F01" w:rsidP="00673324">
      <w:pPr>
        <w:pStyle w:val="ListParagraph"/>
        <w:pBdr>
          <w:top w:val="single" w:sz="4" w:space="1" w:color="auto"/>
          <w:left w:val="single" w:sz="4" w:space="4" w:color="auto"/>
          <w:bottom w:val="single" w:sz="4" w:space="1" w:color="auto"/>
          <w:right w:val="single" w:sz="4" w:space="4" w:color="auto"/>
        </w:pBdr>
        <w:tabs>
          <w:tab w:val="left" w:pos="720"/>
        </w:tabs>
        <w:ind w:left="0"/>
        <w:rPr>
          <w:i/>
        </w:rPr>
      </w:pPr>
      <w:r w:rsidRPr="00F87F01">
        <w:rPr>
          <w:i/>
        </w:rPr>
        <w:t xml:space="preserve">The Ministry of Finance and Treasury has been working with the World Bank </w:t>
      </w:r>
      <w:r w:rsidR="00970377">
        <w:rPr>
          <w:i/>
        </w:rPr>
        <w:t xml:space="preserve">and the </w:t>
      </w:r>
      <w:r w:rsidR="00970377" w:rsidRPr="00970377">
        <w:rPr>
          <w:i/>
        </w:rPr>
        <w:t>Pacific Financial Technical Assistance Center</w:t>
      </w:r>
      <w:r w:rsidR="00970377">
        <w:rPr>
          <w:i/>
        </w:rPr>
        <w:t xml:space="preserve"> </w:t>
      </w:r>
      <w:r w:rsidRPr="00F87F01">
        <w:rPr>
          <w:i/>
        </w:rPr>
        <w:t xml:space="preserve">to assess how well the budget process has been working </w:t>
      </w:r>
      <w:r w:rsidR="002342B5">
        <w:rPr>
          <w:i/>
        </w:rPr>
        <w:t xml:space="preserve">over the period 2006-10 </w:t>
      </w:r>
      <w:r w:rsidRPr="00F87F01">
        <w:rPr>
          <w:i/>
        </w:rPr>
        <w:t xml:space="preserve">and </w:t>
      </w:r>
      <w:r w:rsidR="002342B5">
        <w:rPr>
          <w:i/>
        </w:rPr>
        <w:t xml:space="preserve">to </w:t>
      </w:r>
      <w:r w:rsidRPr="00F87F01">
        <w:rPr>
          <w:i/>
        </w:rPr>
        <w:t xml:space="preserve">explore options for improving </w:t>
      </w:r>
      <w:r w:rsidR="00C828FC" w:rsidRPr="00F87F01">
        <w:rPr>
          <w:i/>
        </w:rPr>
        <w:t>th</w:t>
      </w:r>
      <w:r w:rsidR="00C828FC">
        <w:rPr>
          <w:i/>
        </w:rPr>
        <w:t>at</w:t>
      </w:r>
      <w:r w:rsidR="00C828FC" w:rsidRPr="00F87F01">
        <w:rPr>
          <w:i/>
        </w:rPr>
        <w:t xml:space="preserve"> </w:t>
      </w:r>
      <w:r w:rsidRPr="00F87F01">
        <w:rPr>
          <w:i/>
        </w:rPr>
        <w:t>process.  This note provides a non-technical summary of the initial findings and recommendations.</w:t>
      </w:r>
    </w:p>
    <w:p w:rsidR="00F87F01" w:rsidRDefault="00F87F01" w:rsidP="00673324">
      <w:pPr>
        <w:pStyle w:val="ListParagraph"/>
        <w:tabs>
          <w:tab w:val="left" w:pos="720"/>
        </w:tabs>
        <w:ind w:left="0"/>
        <w:rPr>
          <w:b/>
        </w:rPr>
      </w:pPr>
    </w:p>
    <w:p w:rsidR="00C12B29" w:rsidRDefault="00C12B29" w:rsidP="00673324">
      <w:pPr>
        <w:pStyle w:val="ListParagraph"/>
        <w:tabs>
          <w:tab w:val="left" w:pos="720"/>
        </w:tabs>
        <w:ind w:left="0"/>
        <w:jc w:val="center"/>
        <w:rPr>
          <w:b/>
        </w:rPr>
      </w:pPr>
      <w:r>
        <w:rPr>
          <w:b/>
        </w:rPr>
        <w:t>I. MIXED RESULTS</w:t>
      </w:r>
    </w:p>
    <w:p w:rsidR="00C12B29" w:rsidRDefault="00C12B29" w:rsidP="00673324">
      <w:pPr>
        <w:pStyle w:val="ListParagraph"/>
        <w:tabs>
          <w:tab w:val="left" w:pos="720"/>
        </w:tabs>
        <w:ind w:left="0"/>
        <w:rPr>
          <w:b/>
        </w:rPr>
      </w:pPr>
    </w:p>
    <w:p w:rsidR="00F87F01" w:rsidRDefault="000A0519" w:rsidP="00AB6A47">
      <w:pPr>
        <w:pStyle w:val="ListParagraph"/>
        <w:tabs>
          <w:tab w:val="left" w:pos="720"/>
        </w:tabs>
        <w:ind w:left="0"/>
        <w:jc w:val="both"/>
      </w:pPr>
      <w:r w:rsidRPr="00C0478B">
        <w:fldChar w:fldCharType="begin"/>
      </w:r>
      <w:r w:rsidR="00C0478B" w:rsidRPr="00C0478B">
        <w:instrText xml:space="preserve"> AUTONUM  \* Arabic </w:instrText>
      </w:r>
      <w:r w:rsidRPr="00C0478B">
        <w:fldChar w:fldCharType="end"/>
      </w:r>
      <w:r w:rsidR="00C0478B" w:rsidRPr="00C0478B">
        <w:tab/>
      </w:r>
      <w:r w:rsidR="008C74CA" w:rsidRPr="00E30092">
        <w:rPr>
          <w:b/>
        </w:rPr>
        <w:t xml:space="preserve">The Solomon Islands Government (SIG) </w:t>
      </w:r>
      <w:r w:rsidR="008C74CA" w:rsidRPr="00F87F01">
        <w:rPr>
          <w:b/>
        </w:rPr>
        <w:t>and its donor partners can claim credit for a number of achievements</w:t>
      </w:r>
      <w:r w:rsidR="00F87F01">
        <w:rPr>
          <w:b/>
        </w:rPr>
        <w:t xml:space="preserve"> </w:t>
      </w:r>
      <w:r w:rsidR="0080496D">
        <w:rPr>
          <w:b/>
        </w:rPr>
        <w:t xml:space="preserve">in education and health </w:t>
      </w:r>
      <w:r w:rsidR="00F87F01">
        <w:rPr>
          <w:b/>
        </w:rPr>
        <w:t>in recent years</w:t>
      </w:r>
      <w:r w:rsidR="001F5FC6" w:rsidRPr="00F87F01">
        <w:rPr>
          <w:b/>
        </w:rPr>
        <w:t>.</w:t>
      </w:r>
      <w:r w:rsidR="001F5FC6">
        <w:t xml:space="preserve">  </w:t>
      </w:r>
      <w:r w:rsidR="00D316FD">
        <w:t>School e</w:t>
      </w:r>
      <w:r w:rsidR="00D316FD" w:rsidRPr="00D316FD">
        <w:t>nrollment has increased in the last several years and net</w:t>
      </w:r>
      <w:r w:rsidR="00D316FD">
        <w:rPr>
          <w:rStyle w:val="FootnoteReference"/>
        </w:rPr>
        <w:footnoteReference w:id="1"/>
      </w:r>
      <w:r w:rsidR="00D316FD" w:rsidRPr="00D316FD">
        <w:t xml:space="preserve"> primary school enrollment is now well above 90 percent.</w:t>
      </w:r>
      <w:r w:rsidR="00D316FD">
        <w:rPr>
          <w:rStyle w:val="FootnoteReference"/>
        </w:rPr>
        <w:footnoteReference w:id="2"/>
      </w:r>
      <w:r w:rsidR="00D316FD" w:rsidRPr="00D316FD">
        <w:t xml:space="preserve">  The recent introduction of a fee-free policy through </w:t>
      </w:r>
      <w:r w:rsidR="004157C2">
        <w:t xml:space="preserve">school </w:t>
      </w:r>
      <w:r w:rsidR="00D316FD" w:rsidRPr="00D316FD">
        <w:t>year 10 is likely to yield further increases</w:t>
      </w:r>
      <w:r w:rsidR="004157C2">
        <w:t xml:space="preserve"> in enrollment</w:t>
      </w:r>
      <w:r w:rsidR="00D316FD" w:rsidRPr="00D316FD">
        <w:t xml:space="preserve">.  </w:t>
      </w:r>
      <w:r w:rsidR="00D316FD">
        <w:t>T</w:t>
      </w:r>
      <w:r w:rsidR="000760B0">
        <w:t xml:space="preserve">he </w:t>
      </w:r>
      <w:r w:rsidR="00C828FC">
        <w:t xml:space="preserve">low </w:t>
      </w:r>
      <w:r w:rsidR="000760B0">
        <w:t xml:space="preserve">maternal mortality rate </w:t>
      </w:r>
      <w:r w:rsidR="004157C2">
        <w:t>of 103 deaths</w:t>
      </w:r>
      <w:r w:rsidR="004157C2">
        <w:rPr>
          <w:rStyle w:val="FootnoteReference"/>
        </w:rPr>
        <w:footnoteReference w:id="3"/>
      </w:r>
      <w:r w:rsidR="004157C2">
        <w:t xml:space="preserve"> per 100,000 live births </w:t>
      </w:r>
      <w:r w:rsidR="000760B0">
        <w:t xml:space="preserve">is especially impressive </w:t>
      </w:r>
      <w:r w:rsidR="00D316FD">
        <w:t>because</w:t>
      </w:r>
      <w:r w:rsidR="000760B0">
        <w:t xml:space="preserve"> it is less than what is seen in the region </w:t>
      </w:r>
      <w:r w:rsidR="00D316FD">
        <w:t>and it</w:t>
      </w:r>
      <w:r w:rsidR="000760B0">
        <w:t xml:space="preserve"> falls within the m</w:t>
      </w:r>
      <w:r w:rsidR="000E6C3D">
        <w:t>edium</w:t>
      </w:r>
      <w:r w:rsidR="001D5B2F">
        <w:t xml:space="preserve"> range for human development.</w:t>
      </w:r>
    </w:p>
    <w:p w:rsidR="00F87F01" w:rsidRDefault="00F87F01" w:rsidP="00673324">
      <w:pPr>
        <w:pStyle w:val="ListParagraph"/>
        <w:tabs>
          <w:tab w:val="left" w:pos="720"/>
        </w:tabs>
        <w:ind w:left="0"/>
      </w:pPr>
    </w:p>
    <w:p w:rsidR="008C74CA" w:rsidRPr="00B82B5B" w:rsidRDefault="00B82B5B" w:rsidP="00673324">
      <w:pPr>
        <w:pStyle w:val="ListParagraph"/>
        <w:tabs>
          <w:tab w:val="left" w:pos="720"/>
        </w:tabs>
        <w:ind w:left="0"/>
        <w:jc w:val="center"/>
        <w:rPr>
          <w:b/>
        </w:rPr>
      </w:pPr>
      <w:r w:rsidRPr="00B82B5B">
        <w:rPr>
          <w:b/>
        </w:rPr>
        <w:t>Table 1:  Selected Public Service Delivery Indicators</w:t>
      </w:r>
    </w:p>
    <w:tbl>
      <w:tblPr>
        <w:tblW w:w="9360" w:type="dxa"/>
        <w:tblInd w:w="103" w:type="dxa"/>
        <w:tblLayout w:type="fixed"/>
        <w:tblLook w:val="04A0"/>
      </w:tblPr>
      <w:tblGrid>
        <w:gridCol w:w="2165"/>
        <w:gridCol w:w="1027"/>
        <w:gridCol w:w="1028"/>
        <w:gridCol w:w="1028"/>
        <w:gridCol w:w="1028"/>
        <w:gridCol w:w="1028"/>
        <w:gridCol w:w="1028"/>
        <w:gridCol w:w="1028"/>
      </w:tblGrid>
      <w:tr w:rsidR="00C828FC" w:rsidRPr="00FC3EA5" w:rsidTr="00E16197">
        <w:tc>
          <w:tcPr>
            <w:tcW w:w="2165" w:type="dxa"/>
            <w:tcBorders>
              <w:top w:val="single" w:sz="4" w:space="0" w:color="auto"/>
              <w:bottom w:val="single" w:sz="4" w:space="0" w:color="auto"/>
              <w:right w:val="single" w:sz="4" w:space="0" w:color="auto"/>
            </w:tcBorders>
            <w:shd w:val="clear" w:color="000000" w:fill="D8D8D8"/>
            <w:vAlign w:val="bottom"/>
            <w:hideMark/>
          </w:tcPr>
          <w:p w:rsidR="00C828FC" w:rsidRPr="00FC3EA5" w:rsidRDefault="00C828FC" w:rsidP="00673324">
            <w:pPr>
              <w:tabs>
                <w:tab w:val="left" w:pos="720"/>
              </w:tabs>
              <w:jc w:val="center"/>
              <w:rPr>
                <w:rFonts w:eastAsia="Times New Roman"/>
                <w:b/>
                <w:bCs/>
                <w:sz w:val="16"/>
                <w:szCs w:val="16"/>
              </w:rPr>
            </w:pPr>
            <w:r w:rsidRPr="00FC3EA5">
              <w:rPr>
                <w:rFonts w:eastAsia="Times New Roman"/>
                <w:b/>
                <w:bCs/>
                <w:sz w:val="16"/>
                <w:szCs w:val="16"/>
              </w:rPr>
              <w:t> </w:t>
            </w:r>
          </w:p>
        </w:tc>
        <w:tc>
          <w:tcPr>
            <w:tcW w:w="1027" w:type="dxa"/>
            <w:tcBorders>
              <w:top w:val="single" w:sz="4" w:space="0" w:color="auto"/>
              <w:left w:val="single" w:sz="4" w:space="0" w:color="auto"/>
              <w:bottom w:val="single" w:sz="4" w:space="0" w:color="auto"/>
            </w:tcBorders>
            <w:shd w:val="clear" w:color="000000" w:fill="D8D8D8"/>
            <w:vAlign w:val="bottom"/>
            <w:hideMark/>
          </w:tcPr>
          <w:p w:rsidR="00C828FC" w:rsidRDefault="00C828FC" w:rsidP="00673324">
            <w:pPr>
              <w:tabs>
                <w:tab w:val="left" w:pos="720"/>
              </w:tabs>
              <w:jc w:val="right"/>
              <w:rPr>
                <w:rFonts w:eastAsia="Times New Roman"/>
                <w:b/>
                <w:bCs/>
                <w:sz w:val="16"/>
                <w:szCs w:val="16"/>
              </w:rPr>
            </w:pPr>
            <w:proofErr w:type="spellStart"/>
            <w:r>
              <w:rPr>
                <w:rFonts w:eastAsia="Times New Roman"/>
                <w:b/>
                <w:bCs/>
                <w:sz w:val="16"/>
                <w:szCs w:val="16"/>
              </w:rPr>
              <w:t>Gov’t</w:t>
            </w:r>
            <w:proofErr w:type="spellEnd"/>
            <w:r>
              <w:rPr>
                <w:rFonts w:eastAsia="Times New Roman"/>
                <w:b/>
                <w:bCs/>
                <w:sz w:val="16"/>
                <w:szCs w:val="16"/>
              </w:rPr>
              <w:t xml:space="preserve"> </w:t>
            </w:r>
          </w:p>
          <w:p w:rsidR="00C828FC" w:rsidRDefault="00C828FC" w:rsidP="00C828FC">
            <w:pPr>
              <w:tabs>
                <w:tab w:val="left" w:pos="720"/>
              </w:tabs>
              <w:jc w:val="right"/>
              <w:rPr>
                <w:rFonts w:eastAsia="Times New Roman"/>
                <w:b/>
                <w:bCs/>
                <w:sz w:val="16"/>
                <w:szCs w:val="16"/>
              </w:rPr>
            </w:pPr>
            <w:r>
              <w:rPr>
                <w:rFonts w:eastAsia="Times New Roman"/>
                <w:b/>
                <w:bCs/>
                <w:sz w:val="16"/>
                <w:szCs w:val="16"/>
              </w:rPr>
              <w:t xml:space="preserve">spending per </w:t>
            </w:r>
          </w:p>
          <w:p w:rsidR="00C828FC" w:rsidRPr="00FC3EA5" w:rsidRDefault="00C828FC" w:rsidP="00C828FC">
            <w:pPr>
              <w:tabs>
                <w:tab w:val="left" w:pos="720"/>
              </w:tabs>
              <w:jc w:val="right"/>
              <w:rPr>
                <w:rFonts w:eastAsia="Times New Roman"/>
                <w:b/>
                <w:bCs/>
                <w:sz w:val="16"/>
                <w:szCs w:val="16"/>
              </w:rPr>
            </w:pPr>
            <w:r>
              <w:rPr>
                <w:rFonts w:eastAsia="Times New Roman"/>
                <w:b/>
                <w:bCs/>
                <w:sz w:val="16"/>
                <w:szCs w:val="16"/>
              </w:rPr>
              <w:t>student on education</w:t>
            </w:r>
          </w:p>
        </w:tc>
        <w:tc>
          <w:tcPr>
            <w:tcW w:w="1028" w:type="dxa"/>
            <w:tcBorders>
              <w:top w:val="single" w:sz="4" w:space="0" w:color="auto"/>
              <w:bottom w:val="single" w:sz="4" w:space="0" w:color="auto"/>
            </w:tcBorders>
            <w:shd w:val="clear" w:color="000000" w:fill="D8D8D8"/>
            <w:vAlign w:val="bottom"/>
            <w:hideMark/>
          </w:tcPr>
          <w:p w:rsidR="00C828FC" w:rsidRPr="00FC3EA5" w:rsidRDefault="00C828FC" w:rsidP="00673324">
            <w:pPr>
              <w:tabs>
                <w:tab w:val="left" w:pos="720"/>
              </w:tabs>
              <w:jc w:val="right"/>
              <w:rPr>
                <w:rFonts w:eastAsia="Times New Roman"/>
                <w:b/>
                <w:bCs/>
                <w:sz w:val="16"/>
                <w:szCs w:val="16"/>
              </w:rPr>
            </w:pPr>
            <w:r>
              <w:rPr>
                <w:rFonts w:eastAsia="Times New Roman"/>
                <w:b/>
                <w:bCs/>
                <w:sz w:val="16"/>
                <w:szCs w:val="16"/>
              </w:rPr>
              <w:t>Average</w:t>
            </w:r>
            <w:r w:rsidRPr="00FC3EA5">
              <w:rPr>
                <w:rFonts w:eastAsia="Times New Roman"/>
                <w:b/>
                <w:bCs/>
                <w:sz w:val="16"/>
                <w:szCs w:val="16"/>
              </w:rPr>
              <w:t xml:space="preserve"> years of schooling</w:t>
            </w:r>
          </w:p>
        </w:tc>
        <w:tc>
          <w:tcPr>
            <w:tcW w:w="1028" w:type="dxa"/>
            <w:tcBorders>
              <w:top w:val="single" w:sz="4" w:space="0" w:color="auto"/>
              <w:bottom w:val="single" w:sz="4" w:space="0" w:color="auto"/>
              <w:right w:val="single" w:sz="4" w:space="0" w:color="auto"/>
            </w:tcBorders>
            <w:shd w:val="clear" w:color="000000" w:fill="D8D8D8"/>
            <w:vAlign w:val="bottom"/>
            <w:hideMark/>
          </w:tcPr>
          <w:p w:rsidR="00C828FC" w:rsidRPr="00FC3EA5" w:rsidRDefault="00C828FC" w:rsidP="00C828FC">
            <w:pPr>
              <w:tabs>
                <w:tab w:val="left" w:pos="720"/>
              </w:tabs>
              <w:jc w:val="right"/>
              <w:rPr>
                <w:rFonts w:eastAsia="Times New Roman"/>
                <w:b/>
                <w:bCs/>
                <w:sz w:val="16"/>
                <w:szCs w:val="16"/>
              </w:rPr>
            </w:pPr>
            <w:r>
              <w:rPr>
                <w:rFonts w:eastAsia="Times New Roman"/>
                <w:b/>
                <w:bCs/>
                <w:sz w:val="16"/>
                <w:szCs w:val="16"/>
              </w:rPr>
              <w:t>Net secondary school e</w:t>
            </w:r>
            <w:r w:rsidRPr="00FC3EA5">
              <w:rPr>
                <w:rFonts w:eastAsia="Times New Roman"/>
                <w:b/>
                <w:bCs/>
                <w:sz w:val="16"/>
                <w:szCs w:val="16"/>
              </w:rPr>
              <w:t>nrollment</w:t>
            </w:r>
          </w:p>
        </w:tc>
        <w:tc>
          <w:tcPr>
            <w:tcW w:w="1028" w:type="dxa"/>
            <w:tcBorders>
              <w:top w:val="single" w:sz="4" w:space="0" w:color="auto"/>
              <w:left w:val="single" w:sz="4" w:space="0" w:color="auto"/>
              <w:bottom w:val="single" w:sz="4" w:space="0" w:color="auto"/>
            </w:tcBorders>
            <w:shd w:val="clear" w:color="000000" w:fill="D8D8D8"/>
            <w:vAlign w:val="bottom"/>
            <w:hideMark/>
          </w:tcPr>
          <w:p w:rsidR="00C828FC" w:rsidRDefault="00C828FC" w:rsidP="00673324">
            <w:pPr>
              <w:tabs>
                <w:tab w:val="left" w:pos="720"/>
              </w:tabs>
              <w:jc w:val="right"/>
              <w:rPr>
                <w:rFonts w:eastAsia="Times New Roman"/>
                <w:b/>
                <w:bCs/>
                <w:sz w:val="16"/>
                <w:szCs w:val="16"/>
              </w:rPr>
            </w:pPr>
            <w:r w:rsidRPr="00FC3EA5">
              <w:rPr>
                <w:rFonts w:eastAsia="Times New Roman"/>
                <w:b/>
                <w:bCs/>
                <w:sz w:val="16"/>
                <w:szCs w:val="16"/>
              </w:rPr>
              <w:t xml:space="preserve">Life </w:t>
            </w:r>
          </w:p>
          <w:p w:rsidR="00C828FC" w:rsidRPr="00FC3EA5" w:rsidRDefault="00C828FC" w:rsidP="00673324">
            <w:pPr>
              <w:tabs>
                <w:tab w:val="left" w:pos="720"/>
              </w:tabs>
              <w:jc w:val="right"/>
              <w:rPr>
                <w:rFonts w:eastAsia="Times New Roman"/>
                <w:b/>
                <w:bCs/>
                <w:sz w:val="16"/>
                <w:szCs w:val="16"/>
              </w:rPr>
            </w:pPr>
            <w:r w:rsidRPr="00FC3EA5">
              <w:rPr>
                <w:rFonts w:eastAsia="Times New Roman"/>
                <w:b/>
                <w:bCs/>
                <w:sz w:val="16"/>
                <w:szCs w:val="16"/>
              </w:rPr>
              <w:t>expectancy at birth</w:t>
            </w:r>
          </w:p>
        </w:tc>
        <w:tc>
          <w:tcPr>
            <w:tcW w:w="1028" w:type="dxa"/>
            <w:tcBorders>
              <w:top w:val="single" w:sz="4" w:space="0" w:color="auto"/>
              <w:left w:val="nil"/>
              <w:bottom w:val="single" w:sz="4" w:space="0" w:color="auto"/>
            </w:tcBorders>
            <w:shd w:val="clear" w:color="000000" w:fill="D8D8D8"/>
            <w:vAlign w:val="bottom"/>
          </w:tcPr>
          <w:p w:rsidR="00C828FC" w:rsidRDefault="00C828FC" w:rsidP="00D16132">
            <w:pPr>
              <w:tabs>
                <w:tab w:val="left" w:pos="720"/>
              </w:tabs>
              <w:jc w:val="right"/>
              <w:rPr>
                <w:rFonts w:eastAsia="Times New Roman"/>
                <w:b/>
                <w:bCs/>
                <w:sz w:val="16"/>
                <w:szCs w:val="16"/>
              </w:rPr>
            </w:pPr>
            <w:proofErr w:type="spellStart"/>
            <w:r>
              <w:rPr>
                <w:rFonts w:eastAsia="Times New Roman"/>
                <w:b/>
                <w:bCs/>
                <w:sz w:val="16"/>
                <w:szCs w:val="16"/>
              </w:rPr>
              <w:t>Gov’t</w:t>
            </w:r>
            <w:proofErr w:type="spellEnd"/>
            <w:r>
              <w:rPr>
                <w:rFonts w:eastAsia="Times New Roman"/>
                <w:b/>
                <w:bCs/>
                <w:sz w:val="16"/>
                <w:szCs w:val="16"/>
              </w:rPr>
              <w:t xml:space="preserve"> </w:t>
            </w:r>
          </w:p>
          <w:p w:rsidR="00C828FC" w:rsidRDefault="00C828FC" w:rsidP="00C828FC">
            <w:pPr>
              <w:tabs>
                <w:tab w:val="left" w:pos="720"/>
              </w:tabs>
              <w:jc w:val="right"/>
              <w:rPr>
                <w:rFonts w:eastAsia="Times New Roman"/>
                <w:b/>
                <w:bCs/>
                <w:sz w:val="16"/>
                <w:szCs w:val="16"/>
              </w:rPr>
            </w:pPr>
            <w:r>
              <w:rPr>
                <w:rFonts w:eastAsia="Times New Roman"/>
                <w:b/>
                <w:bCs/>
                <w:sz w:val="16"/>
                <w:szCs w:val="16"/>
              </w:rPr>
              <w:t>Spending per capita on health</w:t>
            </w:r>
          </w:p>
        </w:tc>
        <w:tc>
          <w:tcPr>
            <w:tcW w:w="1028" w:type="dxa"/>
            <w:tcBorders>
              <w:top w:val="single" w:sz="4" w:space="0" w:color="auto"/>
              <w:bottom w:val="single" w:sz="4" w:space="0" w:color="auto"/>
            </w:tcBorders>
            <w:shd w:val="clear" w:color="000000" w:fill="D8D8D8"/>
            <w:vAlign w:val="bottom"/>
            <w:hideMark/>
          </w:tcPr>
          <w:p w:rsidR="00C828FC" w:rsidRPr="00FC3EA5" w:rsidRDefault="00C828FC" w:rsidP="00673324">
            <w:pPr>
              <w:tabs>
                <w:tab w:val="left" w:pos="720"/>
              </w:tabs>
              <w:jc w:val="right"/>
              <w:rPr>
                <w:rFonts w:eastAsia="Times New Roman"/>
                <w:b/>
                <w:bCs/>
                <w:sz w:val="16"/>
                <w:szCs w:val="16"/>
              </w:rPr>
            </w:pPr>
            <w:r>
              <w:rPr>
                <w:rFonts w:eastAsia="Times New Roman"/>
                <w:b/>
                <w:bCs/>
                <w:sz w:val="16"/>
                <w:szCs w:val="16"/>
              </w:rPr>
              <w:t>Maternal m</w:t>
            </w:r>
            <w:r w:rsidRPr="00FC3EA5">
              <w:rPr>
                <w:rFonts w:eastAsia="Times New Roman"/>
                <w:b/>
                <w:bCs/>
                <w:sz w:val="16"/>
                <w:szCs w:val="16"/>
              </w:rPr>
              <w:t>ortality</w:t>
            </w:r>
          </w:p>
        </w:tc>
        <w:tc>
          <w:tcPr>
            <w:tcW w:w="1028" w:type="dxa"/>
            <w:tcBorders>
              <w:top w:val="single" w:sz="4" w:space="0" w:color="auto"/>
              <w:bottom w:val="single" w:sz="4" w:space="0" w:color="auto"/>
            </w:tcBorders>
            <w:shd w:val="clear" w:color="000000" w:fill="D8D8D8"/>
            <w:vAlign w:val="bottom"/>
            <w:hideMark/>
          </w:tcPr>
          <w:p w:rsidR="00C828FC" w:rsidRPr="00FC3EA5" w:rsidRDefault="00C828FC" w:rsidP="00673324">
            <w:pPr>
              <w:tabs>
                <w:tab w:val="left" w:pos="720"/>
              </w:tabs>
              <w:jc w:val="right"/>
              <w:rPr>
                <w:rFonts w:eastAsia="Times New Roman"/>
                <w:b/>
                <w:bCs/>
                <w:sz w:val="16"/>
                <w:szCs w:val="16"/>
              </w:rPr>
            </w:pPr>
            <w:r w:rsidRPr="00FC3EA5">
              <w:rPr>
                <w:rFonts w:eastAsia="Times New Roman"/>
                <w:b/>
                <w:bCs/>
                <w:sz w:val="16"/>
                <w:szCs w:val="16"/>
              </w:rPr>
              <w:t>Births attended by skilled health personnel</w:t>
            </w:r>
          </w:p>
        </w:tc>
      </w:tr>
      <w:tr w:rsidR="00C828FC" w:rsidRPr="00FC3EA5" w:rsidTr="00E16197">
        <w:tc>
          <w:tcPr>
            <w:tcW w:w="2165" w:type="dxa"/>
            <w:tcBorders>
              <w:top w:val="single" w:sz="4" w:space="0" w:color="auto"/>
              <w:bottom w:val="single" w:sz="4" w:space="0" w:color="auto"/>
              <w:right w:val="single" w:sz="4" w:space="0" w:color="auto"/>
            </w:tcBorders>
            <w:shd w:val="clear" w:color="000000" w:fill="D8D8D8"/>
            <w:vAlign w:val="bottom"/>
            <w:hideMark/>
          </w:tcPr>
          <w:p w:rsidR="00C828FC" w:rsidRPr="00FC3EA5" w:rsidRDefault="00C828FC" w:rsidP="00673324">
            <w:pPr>
              <w:tabs>
                <w:tab w:val="left" w:pos="720"/>
              </w:tabs>
              <w:jc w:val="center"/>
              <w:rPr>
                <w:rFonts w:eastAsia="Times New Roman"/>
                <w:b/>
                <w:bCs/>
                <w:sz w:val="16"/>
                <w:szCs w:val="16"/>
              </w:rPr>
            </w:pPr>
            <w:r w:rsidRPr="00FC3EA5">
              <w:rPr>
                <w:rFonts w:eastAsia="Times New Roman"/>
                <w:b/>
                <w:bCs/>
                <w:sz w:val="16"/>
                <w:szCs w:val="16"/>
              </w:rPr>
              <w:t> </w:t>
            </w:r>
          </w:p>
        </w:tc>
        <w:tc>
          <w:tcPr>
            <w:tcW w:w="1027" w:type="dxa"/>
            <w:tcBorders>
              <w:top w:val="single" w:sz="4" w:space="0" w:color="auto"/>
              <w:left w:val="single" w:sz="4" w:space="0" w:color="auto"/>
              <w:bottom w:val="single" w:sz="4" w:space="0" w:color="auto"/>
            </w:tcBorders>
            <w:shd w:val="clear" w:color="000000" w:fill="D8D8D8"/>
            <w:vAlign w:val="bottom"/>
            <w:hideMark/>
          </w:tcPr>
          <w:p w:rsidR="00C828FC" w:rsidRPr="00FC3EA5" w:rsidRDefault="00C828FC" w:rsidP="00A76502">
            <w:pPr>
              <w:tabs>
                <w:tab w:val="left" w:pos="720"/>
              </w:tabs>
              <w:jc w:val="right"/>
              <w:rPr>
                <w:rFonts w:eastAsia="Times New Roman"/>
                <w:sz w:val="16"/>
                <w:szCs w:val="16"/>
              </w:rPr>
            </w:pPr>
            <w:r w:rsidRPr="00FC3EA5">
              <w:rPr>
                <w:rFonts w:eastAsia="Times New Roman"/>
                <w:sz w:val="16"/>
                <w:szCs w:val="16"/>
              </w:rPr>
              <w:t>(PPP US$</w:t>
            </w:r>
            <w:r>
              <w:rPr>
                <w:rFonts w:eastAsia="Times New Roman"/>
                <w:sz w:val="16"/>
                <w:szCs w:val="16"/>
              </w:rPr>
              <w:t>) Average 2000-09</w:t>
            </w:r>
          </w:p>
        </w:tc>
        <w:tc>
          <w:tcPr>
            <w:tcW w:w="1028" w:type="dxa"/>
            <w:tcBorders>
              <w:top w:val="single" w:sz="4" w:space="0" w:color="auto"/>
              <w:bottom w:val="single" w:sz="4" w:space="0" w:color="auto"/>
            </w:tcBorders>
            <w:shd w:val="clear" w:color="000000" w:fill="D8D8D8"/>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(Years)       2010</w:t>
            </w:r>
          </w:p>
        </w:tc>
        <w:tc>
          <w:tcPr>
            <w:tcW w:w="1028" w:type="dxa"/>
            <w:tcBorders>
              <w:top w:val="single" w:sz="4" w:space="0" w:color="auto"/>
              <w:bottom w:val="single" w:sz="4" w:space="0" w:color="auto"/>
              <w:right w:val="single" w:sz="4" w:space="0" w:color="auto"/>
            </w:tcBorders>
            <w:shd w:val="clear" w:color="000000" w:fill="D8D8D8"/>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(Percent)    2001-09</w:t>
            </w:r>
          </w:p>
        </w:tc>
        <w:tc>
          <w:tcPr>
            <w:tcW w:w="1028" w:type="dxa"/>
            <w:tcBorders>
              <w:top w:val="single" w:sz="4" w:space="0" w:color="auto"/>
              <w:left w:val="single" w:sz="4" w:space="0" w:color="auto"/>
              <w:bottom w:val="single" w:sz="4" w:space="0" w:color="auto"/>
            </w:tcBorders>
            <w:shd w:val="clear" w:color="000000" w:fill="D8D8D8"/>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(Years)            2010</w:t>
            </w:r>
          </w:p>
        </w:tc>
        <w:tc>
          <w:tcPr>
            <w:tcW w:w="1028" w:type="dxa"/>
            <w:tcBorders>
              <w:top w:val="single" w:sz="4" w:space="0" w:color="auto"/>
              <w:left w:val="nil"/>
              <w:bottom w:val="single" w:sz="4" w:space="0" w:color="auto"/>
            </w:tcBorders>
            <w:shd w:val="clear" w:color="000000" w:fill="D8D8D8"/>
            <w:vAlign w:val="bottom"/>
          </w:tcPr>
          <w:p w:rsidR="00C828FC" w:rsidRPr="00FC3EA5" w:rsidRDefault="00C828FC" w:rsidP="00673324">
            <w:pPr>
              <w:tabs>
                <w:tab w:val="left" w:pos="720"/>
              </w:tabs>
              <w:jc w:val="right"/>
              <w:rPr>
                <w:rFonts w:eastAsia="Times New Roman"/>
                <w:sz w:val="16"/>
                <w:szCs w:val="16"/>
              </w:rPr>
            </w:pPr>
            <w:r w:rsidRPr="00547E8A">
              <w:rPr>
                <w:rFonts w:eastAsia="Times New Roman"/>
                <w:sz w:val="16"/>
                <w:szCs w:val="16"/>
              </w:rPr>
              <w:t xml:space="preserve">(PPP US$) Average </w:t>
            </w:r>
            <w:r>
              <w:rPr>
                <w:rFonts w:eastAsia="Times New Roman"/>
                <w:sz w:val="16"/>
                <w:szCs w:val="16"/>
              </w:rPr>
              <w:t>2005</w:t>
            </w:r>
            <w:r w:rsidRPr="00547E8A">
              <w:rPr>
                <w:rFonts w:eastAsia="Times New Roman"/>
                <w:sz w:val="16"/>
                <w:szCs w:val="16"/>
              </w:rPr>
              <w:t>-0</w:t>
            </w:r>
            <w:r>
              <w:rPr>
                <w:rFonts w:eastAsia="Times New Roman"/>
                <w:sz w:val="16"/>
                <w:szCs w:val="16"/>
              </w:rPr>
              <w:t>8</w:t>
            </w:r>
          </w:p>
        </w:tc>
        <w:tc>
          <w:tcPr>
            <w:tcW w:w="1028" w:type="dxa"/>
            <w:tcBorders>
              <w:top w:val="single" w:sz="4" w:space="0" w:color="auto"/>
              <w:bottom w:val="single" w:sz="4" w:space="0" w:color="auto"/>
            </w:tcBorders>
            <w:shd w:val="clear" w:color="000000" w:fill="D8D8D8"/>
            <w:vAlign w:val="bottom"/>
            <w:hideMark/>
          </w:tcPr>
          <w:p w:rsidR="00C828FC" w:rsidRDefault="00C828FC" w:rsidP="00673324">
            <w:pPr>
              <w:tabs>
                <w:tab w:val="left" w:pos="720"/>
              </w:tabs>
              <w:jc w:val="right"/>
              <w:rPr>
                <w:rFonts w:eastAsia="Times New Roman"/>
                <w:sz w:val="16"/>
                <w:szCs w:val="16"/>
              </w:rPr>
            </w:pPr>
            <w:r w:rsidRPr="00FC3EA5">
              <w:rPr>
                <w:rFonts w:eastAsia="Times New Roman"/>
                <w:sz w:val="16"/>
                <w:szCs w:val="16"/>
              </w:rPr>
              <w:t xml:space="preserve">Deaths per 100,000 live births, </w:t>
            </w:r>
          </w:p>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2003-08</w:t>
            </w:r>
          </w:p>
        </w:tc>
        <w:tc>
          <w:tcPr>
            <w:tcW w:w="1028" w:type="dxa"/>
            <w:tcBorders>
              <w:top w:val="single" w:sz="4" w:space="0" w:color="auto"/>
              <w:bottom w:val="single" w:sz="4" w:space="0" w:color="auto"/>
            </w:tcBorders>
            <w:shd w:val="clear" w:color="000000" w:fill="D8D8D8"/>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(Percent)    2000-08</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Pr>
                <w:rFonts w:eastAsia="Times New Roman"/>
                <w:sz w:val="16"/>
                <w:szCs w:val="16"/>
              </w:rPr>
              <w:t xml:space="preserve">  </w:t>
            </w:r>
          </w:p>
        </w:tc>
        <w:tc>
          <w:tcPr>
            <w:tcW w:w="1027" w:type="dxa"/>
            <w:tcBorders>
              <w:top w:val="nil"/>
              <w:left w:val="single" w:sz="4" w:space="0" w:color="auto"/>
              <w:bottom w:val="nil"/>
              <w:right w:val="nil"/>
            </w:tcBorders>
            <w:shd w:val="clear" w:color="auto" w:fill="auto"/>
            <w:noWrap/>
            <w:vAlign w:val="bottom"/>
            <w:hideMark/>
          </w:tcPr>
          <w:p w:rsidR="00C828FC" w:rsidRPr="00FC3EA5" w:rsidRDefault="00C828FC" w:rsidP="00A76502">
            <w:pPr>
              <w:tabs>
                <w:tab w:val="left" w:pos="720"/>
              </w:tabs>
              <w:jc w:val="right"/>
              <w:rPr>
                <w:rFonts w:eastAsia="Times New Roman"/>
                <w:sz w:val="16"/>
                <w:szCs w:val="16"/>
              </w:rPr>
            </w:pP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rPr>
                <w:rFonts w:eastAsia="Times New Roman"/>
                <w:sz w:val="16"/>
                <w:szCs w:val="16"/>
              </w:rPr>
            </w:pP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rPr>
                <w:rFonts w:eastAsia="Times New Roman"/>
                <w:sz w:val="16"/>
                <w:szCs w:val="16"/>
              </w:rPr>
            </w:pPr>
          </w:p>
        </w:tc>
        <w:tc>
          <w:tcPr>
            <w:tcW w:w="1028" w:type="dxa"/>
            <w:tcBorders>
              <w:top w:val="nil"/>
              <w:left w:val="nil"/>
              <w:bottom w:val="nil"/>
              <w:right w:val="nil"/>
            </w:tcBorders>
          </w:tcPr>
          <w:p w:rsidR="00C828FC" w:rsidRPr="00FC3EA5" w:rsidRDefault="00C828FC" w:rsidP="00673324">
            <w:pPr>
              <w:tabs>
                <w:tab w:val="left" w:pos="720"/>
              </w:tabs>
              <w:rPr>
                <w:rFonts w:eastAsia="Times New Roman"/>
                <w:sz w:val="16"/>
                <w:szCs w:val="16"/>
              </w:rPr>
            </w:pP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rPr>
                <w:rFonts w:eastAsia="Times New Roman"/>
                <w:sz w:val="16"/>
                <w:szCs w:val="16"/>
              </w:rPr>
            </w:pP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rPr>
                <w:rFonts w:eastAsia="Times New Roman"/>
                <w:sz w:val="16"/>
                <w:szCs w:val="16"/>
              </w:rPr>
            </w:pP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Solomon Islands</w:t>
            </w:r>
          </w:p>
        </w:tc>
        <w:tc>
          <w:tcPr>
            <w:tcW w:w="1027" w:type="dxa"/>
            <w:tcBorders>
              <w:top w:val="nil"/>
              <w:left w:val="single" w:sz="4" w:space="0" w:color="auto"/>
              <w:bottom w:val="nil"/>
              <w:right w:val="nil"/>
            </w:tcBorders>
            <w:shd w:val="clear" w:color="auto" w:fill="auto"/>
            <w:noWrap/>
            <w:vAlign w:val="bottom"/>
            <w:hideMark/>
          </w:tcPr>
          <w:p w:rsidR="00C828FC" w:rsidRPr="00A76502" w:rsidRDefault="00C828FC" w:rsidP="00A76502">
            <w:pPr>
              <w:jc w:val="right"/>
              <w:rPr>
                <w:color w:val="000000"/>
                <w:sz w:val="16"/>
                <w:szCs w:val="16"/>
              </w:rPr>
            </w:pPr>
            <w:r>
              <w:rPr>
                <w:color w:val="000000"/>
                <w:sz w:val="16"/>
                <w:szCs w:val="16"/>
              </w:rPr>
              <w:t>665</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4.5</w:t>
            </w: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30.2</w:t>
            </w: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67.0</w:t>
            </w:r>
          </w:p>
        </w:tc>
        <w:tc>
          <w:tcPr>
            <w:tcW w:w="1028" w:type="dxa"/>
            <w:tcBorders>
              <w:top w:val="nil"/>
              <w:left w:val="nil"/>
              <w:bottom w:val="nil"/>
              <w:right w:val="nil"/>
            </w:tcBorders>
          </w:tcPr>
          <w:p w:rsidR="00C828FC" w:rsidRDefault="00C828FC" w:rsidP="00673324">
            <w:pPr>
              <w:tabs>
                <w:tab w:val="left" w:pos="720"/>
              </w:tabs>
              <w:jc w:val="right"/>
              <w:rPr>
                <w:rFonts w:eastAsia="Times New Roman"/>
                <w:sz w:val="16"/>
                <w:szCs w:val="16"/>
              </w:rPr>
            </w:pPr>
            <w:r>
              <w:rPr>
                <w:rFonts w:eastAsia="Times New Roman"/>
                <w:sz w:val="16"/>
                <w:szCs w:val="16"/>
              </w:rPr>
              <w:t>123</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Pr>
                <w:rFonts w:eastAsia="Times New Roman"/>
                <w:sz w:val="16"/>
                <w:szCs w:val="16"/>
              </w:rPr>
              <w:t>103</w:t>
            </w:r>
          </w:p>
        </w:tc>
        <w:tc>
          <w:tcPr>
            <w:tcW w:w="1028" w:type="dxa"/>
            <w:tcBorders>
              <w:top w:val="nil"/>
              <w:left w:val="nil"/>
              <w:bottom w:val="nil"/>
              <w:right w:val="nil"/>
            </w:tcBorders>
            <w:shd w:val="clear" w:color="auto" w:fill="auto"/>
            <w:noWrap/>
            <w:vAlign w:val="bottom"/>
            <w:hideMark/>
          </w:tcPr>
          <w:p w:rsidR="00C828FC" w:rsidRPr="00FC3EA5" w:rsidRDefault="00B7754B" w:rsidP="00673324">
            <w:pPr>
              <w:tabs>
                <w:tab w:val="left" w:pos="720"/>
              </w:tabs>
              <w:jc w:val="right"/>
              <w:rPr>
                <w:rFonts w:eastAsia="Times New Roman"/>
                <w:sz w:val="16"/>
                <w:szCs w:val="16"/>
              </w:rPr>
            </w:pPr>
            <w:r>
              <w:rPr>
                <w:rFonts w:eastAsia="Times New Roman"/>
                <w:sz w:val="16"/>
                <w:szCs w:val="16"/>
              </w:rPr>
              <w:t>85</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color w:val="000000"/>
                <w:sz w:val="16"/>
                <w:szCs w:val="16"/>
              </w:rPr>
            </w:pPr>
            <w:r w:rsidRPr="00FC3EA5">
              <w:rPr>
                <w:rFonts w:eastAsia="Times New Roman"/>
                <w:color w:val="000000"/>
                <w:sz w:val="16"/>
                <w:szCs w:val="16"/>
              </w:rPr>
              <w:t xml:space="preserve">  </w:t>
            </w:r>
          </w:p>
        </w:tc>
        <w:tc>
          <w:tcPr>
            <w:tcW w:w="1027" w:type="dxa"/>
            <w:tcBorders>
              <w:top w:val="nil"/>
              <w:left w:val="single" w:sz="4" w:space="0" w:color="auto"/>
              <w:bottom w:val="nil"/>
              <w:right w:val="nil"/>
            </w:tcBorders>
            <w:shd w:val="clear" w:color="auto" w:fill="auto"/>
            <w:noWrap/>
            <w:vAlign w:val="bottom"/>
            <w:hideMark/>
          </w:tcPr>
          <w:p w:rsidR="00C828FC" w:rsidRPr="00A76502" w:rsidRDefault="00C828FC" w:rsidP="00A76502">
            <w:pPr>
              <w:tabs>
                <w:tab w:val="left" w:pos="720"/>
              </w:tabs>
              <w:jc w:val="right"/>
              <w:rPr>
                <w:rFonts w:eastAsia="Times New Roman"/>
                <w:sz w:val="16"/>
                <w:szCs w:val="16"/>
              </w:rPr>
            </w:pP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rPr>
                <w:rFonts w:eastAsia="Times New Roman"/>
                <w:color w:val="000000"/>
                <w:sz w:val="16"/>
                <w:szCs w:val="16"/>
              </w:rPr>
            </w:pP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color w:val="000000"/>
                <w:sz w:val="16"/>
                <w:szCs w:val="16"/>
              </w:rPr>
            </w:pP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rPr>
                <w:rFonts w:eastAsia="Times New Roman"/>
                <w:color w:val="000000"/>
                <w:sz w:val="16"/>
                <w:szCs w:val="16"/>
              </w:rPr>
            </w:pPr>
          </w:p>
        </w:tc>
        <w:tc>
          <w:tcPr>
            <w:tcW w:w="1028" w:type="dxa"/>
            <w:tcBorders>
              <w:top w:val="nil"/>
              <w:left w:val="nil"/>
              <w:bottom w:val="nil"/>
              <w:right w:val="nil"/>
            </w:tcBorders>
          </w:tcPr>
          <w:p w:rsidR="00C828FC" w:rsidRPr="00FC3EA5" w:rsidRDefault="00C828FC" w:rsidP="00673324">
            <w:pPr>
              <w:tabs>
                <w:tab w:val="left" w:pos="720"/>
              </w:tabs>
              <w:rPr>
                <w:rFonts w:eastAsia="Times New Roman"/>
                <w:color w:val="000000"/>
                <w:sz w:val="16"/>
                <w:szCs w:val="16"/>
              </w:rPr>
            </w:pP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rPr>
                <w:rFonts w:eastAsia="Times New Roman"/>
                <w:color w:val="000000"/>
                <w:sz w:val="16"/>
                <w:szCs w:val="16"/>
              </w:rPr>
            </w:pP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rPr>
                <w:rFonts w:eastAsia="Times New Roman"/>
                <w:color w:val="000000"/>
                <w:sz w:val="16"/>
                <w:szCs w:val="16"/>
              </w:rPr>
            </w:pP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Fiji</w:t>
            </w:r>
          </w:p>
        </w:tc>
        <w:tc>
          <w:tcPr>
            <w:tcW w:w="1027" w:type="dxa"/>
            <w:tcBorders>
              <w:top w:val="nil"/>
              <w:left w:val="single" w:sz="4" w:space="0" w:color="auto"/>
              <w:bottom w:val="nil"/>
              <w:right w:val="nil"/>
            </w:tcBorders>
            <w:shd w:val="clear" w:color="auto" w:fill="auto"/>
            <w:noWrap/>
            <w:vAlign w:val="bottom"/>
            <w:hideMark/>
          </w:tcPr>
          <w:p w:rsidR="00C828FC" w:rsidRPr="00A76502" w:rsidRDefault="00C828FC" w:rsidP="00A76502">
            <w:pPr>
              <w:jc w:val="right"/>
              <w:rPr>
                <w:color w:val="000000"/>
                <w:sz w:val="16"/>
                <w:szCs w:val="16"/>
              </w:rPr>
            </w:pPr>
            <w:r>
              <w:rPr>
                <w:color w:val="000000"/>
                <w:sz w:val="16"/>
                <w:szCs w:val="16"/>
              </w:rPr>
              <w:t>922</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11.0</w:t>
            </w: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79.1</w:t>
            </w: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69.2</w:t>
            </w:r>
          </w:p>
        </w:tc>
        <w:tc>
          <w:tcPr>
            <w:tcW w:w="1028" w:type="dxa"/>
            <w:tcBorders>
              <w:top w:val="nil"/>
              <w:left w:val="nil"/>
              <w:bottom w:val="nil"/>
              <w:right w:val="nil"/>
            </w:tcBorders>
          </w:tcPr>
          <w:p w:rsidR="00C828FC" w:rsidRDefault="00C828FC" w:rsidP="00673324">
            <w:pPr>
              <w:tabs>
                <w:tab w:val="left" w:pos="720"/>
              </w:tabs>
              <w:jc w:val="right"/>
              <w:rPr>
                <w:rFonts w:eastAsia="Times New Roman"/>
                <w:sz w:val="16"/>
                <w:szCs w:val="16"/>
              </w:rPr>
            </w:pPr>
            <w:r>
              <w:rPr>
                <w:rFonts w:eastAsia="Times New Roman"/>
                <w:sz w:val="16"/>
                <w:szCs w:val="16"/>
              </w:rPr>
              <w:t>121</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Pr>
                <w:rFonts w:eastAsia="Times New Roman"/>
                <w:sz w:val="16"/>
                <w:szCs w:val="16"/>
              </w:rPr>
              <w:t>210</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Pr>
                <w:rFonts w:eastAsia="Times New Roman"/>
                <w:sz w:val="16"/>
                <w:szCs w:val="16"/>
              </w:rPr>
              <w:t>99</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Papua New Guinea</w:t>
            </w:r>
          </w:p>
        </w:tc>
        <w:tc>
          <w:tcPr>
            <w:tcW w:w="1027" w:type="dxa"/>
            <w:tcBorders>
              <w:top w:val="nil"/>
              <w:left w:val="single" w:sz="4" w:space="0" w:color="auto"/>
              <w:bottom w:val="nil"/>
              <w:right w:val="nil"/>
            </w:tcBorders>
            <w:shd w:val="clear" w:color="auto" w:fill="auto"/>
            <w:noWrap/>
            <w:vAlign w:val="bottom"/>
            <w:hideMark/>
          </w:tcPr>
          <w:p w:rsidR="00C828FC" w:rsidRPr="00547E8A" w:rsidRDefault="00C828FC" w:rsidP="00A76502">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sidRPr="00FC3EA5">
              <w:rPr>
                <w:rFonts w:eastAsia="Times New Roman"/>
                <w:b/>
                <w:sz w:val="16"/>
                <w:szCs w:val="16"/>
              </w:rPr>
              <w:t>4.3</w:t>
            </w:r>
          </w:p>
        </w:tc>
        <w:tc>
          <w:tcPr>
            <w:tcW w:w="1028" w:type="dxa"/>
            <w:tcBorders>
              <w:top w:val="nil"/>
              <w:left w:val="nil"/>
              <w:bottom w:val="nil"/>
              <w:right w:val="single" w:sz="4" w:space="0" w:color="auto"/>
            </w:tcBorders>
            <w:shd w:val="clear" w:color="auto" w:fill="auto"/>
            <w:noWrap/>
            <w:vAlign w:val="bottom"/>
            <w:hideMark/>
          </w:tcPr>
          <w:p w:rsidR="00C828FC" w:rsidRPr="00547E8A" w:rsidRDefault="00C828FC" w:rsidP="00673324">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sidRPr="00FC3EA5">
              <w:rPr>
                <w:rFonts w:eastAsia="Times New Roman"/>
                <w:b/>
                <w:sz w:val="16"/>
                <w:szCs w:val="16"/>
              </w:rPr>
              <w:t>61.6</w:t>
            </w:r>
          </w:p>
        </w:tc>
        <w:tc>
          <w:tcPr>
            <w:tcW w:w="1028" w:type="dxa"/>
            <w:tcBorders>
              <w:top w:val="nil"/>
              <w:left w:val="nil"/>
              <w:bottom w:val="nil"/>
              <w:right w:val="nil"/>
            </w:tcBorders>
          </w:tcPr>
          <w:p w:rsidR="00C828FC" w:rsidRDefault="00C828FC" w:rsidP="00673324">
            <w:pPr>
              <w:tabs>
                <w:tab w:val="left" w:pos="720"/>
              </w:tabs>
              <w:jc w:val="right"/>
              <w:rPr>
                <w:rFonts w:eastAsia="Times New Roman"/>
                <w:b/>
                <w:sz w:val="16"/>
                <w:szCs w:val="16"/>
              </w:rPr>
            </w:pPr>
            <w:r>
              <w:rPr>
                <w:rFonts w:eastAsia="Times New Roman"/>
                <w:b/>
                <w:sz w:val="16"/>
                <w:szCs w:val="16"/>
              </w:rPr>
              <w:t>..</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Pr>
                <w:rFonts w:eastAsia="Times New Roman"/>
                <w:b/>
                <w:sz w:val="16"/>
                <w:szCs w:val="16"/>
              </w:rPr>
              <w:t>470</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Pr>
                <w:rFonts w:eastAsia="Times New Roman"/>
                <w:b/>
                <w:sz w:val="16"/>
                <w:szCs w:val="16"/>
              </w:rPr>
              <w:t>39</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Samoa</w:t>
            </w:r>
          </w:p>
        </w:tc>
        <w:tc>
          <w:tcPr>
            <w:tcW w:w="1027" w:type="dxa"/>
            <w:tcBorders>
              <w:top w:val="nil"/>
              <w:left w:val="single" w:sz="4" w:space="0" w:color="auto"/>
              <w:bottom w:val="nil"/>
              <w:right w:val="nil"/>
            </w:tcBorders>
            <w:shd w:val="clear" w:color="auto" w:fill="auto"/>
            <w:noWrap/>
            <w:vAlign w:val="bottom"/>
            <w:hideMark/>
          </w:tcPr>
          <w:p w:rsidR="00C828FC" w:rsidRPr="00FC3EA5" w:rsidRDefault="00C828FC" w:rsidP="00A76502">
            <w:pPr>
              <w:tabs>
                <w:tab w:val="left" w:pos="720"/>
              </w:tabs>
              <w:jc w:val="right"/>
              <w:rPr>
                <w:rFonts w:eastAsia="Times New Roman"/>
                <w:sz w:val="16"/>
                <w:szCs w:val="16"/>
              </w:rPr>
            </w:pPr>
            <w:r w:rsidRPr="00A76502">
              <w:rPr>
                <w:rFonts w:eastAsia="Times New Roman"/>
                <w:sz w:val="16"/>
                <w:szCs w:val="16"/>
              </w:rPr>
              <w:t>39</w:t>
            </w:r>
            <w:r>
              <w:rPr>
                <w:rFonts w:eastAsia="Times New Roman"/>
                <w:sz w:val="16"/>
                <w:szCs w:val="16"/>
              </w:rPr>
              <w:t>5</w:t>
            </w:r>
          </w:p>
        </w:tc>
        <w:tc>
          <w:tcPr>
            <w:tcW w:w="1028" w:type="dxa"/>
            <w:tcBorders>
              <w:top w:val="nil"/>
              <w:left w:val="nil"/>
              <w:bottom w:val="nil"/>
              <w:right w:val="nil"/>
            </w:tcBorders>
            <w:shd w:val="clear" w:color="auto" w:fill="auto"/>
            <w:noWrap/>
            <w:vAlign w:val="bottom"/>
            <w:hideMark/>
          </w:tcPr>
          <w:p w:rsidR="00C828FC" w:rsidRPr="00547E8A" w:rsidRDefault="00C828FC" w:rsidP="00673324">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64.2</w:t>
            </w: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72.2</w:t>
            </w:r>
          </w:p>
        </w:tc>
        <w:tc>
          <w:tcPr>
            <w:tcW w:w="1028" w:type="dxa"/>
            <w:tcBorders>
              <w:top w:val="nil"/>
              <w:left w:val="nil"/>
              <w:bottom w:val="nil"/>
              <w:right w:val="nil"/>
            </w:tcBorders>
          </w:tcPr>
          <w:p w:rsidR="00C828FC" w:rsidRPr="00FC3EA5" w:rsidRDefault="00C828FC" w:rsidP="00673324">
            <w:pPr>
              <w:tabs>
                <w:tab w:val="left" w:pos="720"/>
              </w:tabs>
              <w:jc w:val="right"/>
              <w:rPr>
                <w:rFonts w:eastAsia="Times New Roman"/>
                <w:sz w:val="16"/>
                <w:szCs w:val="16"/>
              </w:rPr>
            </w:pPr>
            <w:r>
              <w:rPr>
                <w:rFonts w:eastAsia="Times New Roman"/>
                <w:sz w:val="16"/>
                <w:szCs w:val="16"/>
              </w:rPr>
              <w:t>185</w:t>
            </w:r>
          </w:p>
        </w:tc>
        <w:tc>
          <w:tcPr>
            <w:tcW w:w="1028" w:type="dxa"/>
            <w:tcBorders>
              <w:top w:val="nil"/>
              <w:left w:val="nil"/>
              <w:bottom w:val="nil"/>
              <w:right w:val="nil"/>
            </w:tcBorders>
            <w:shd w:val="clear" w:color="auto" w:fill="auto"/>
            <w:noWrap/>
            <w:vAlign w:val="bottom"/>
            <w:hideMark/>
          </w:tcPr>
          <w:p w:rsidR="00C828FC" w:rsidRPr="00547E8A" w:rsidRDefault="00C828FC" w:rsidP="00673324">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Pr>
                <w:rFonts w:eastAsia="Times New Roman"/>
                <w:sz w:val="16"/>
                <w:szCs w:val="16"/>
              </w:rPr>
              <w:t>100</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Timor-Leste</w:t>
            </w:r>
          </w:p>
        </w:tc>
        <w:tc>
          <w:tcPr>
            <w:tcW w:w="1027" w:type="dxa"/>
            <w:tcBorders>
              <w:top w:val="nil"/>
              <w:left w:val="single" w:sz="4" w:space="0" w:color="auto"/>
              <w:bottom w:val="nil"/>
              <w:right w:val="nil"/>
            </w:tcBorders>
            <w:shd w:val="clear" w:color="auto" w:fill="auto"/>
            <w:noWrap/>
            <w:vAlign w:val="bottom"/>
            <w:hideMark/>
          </w:tcPr>
          <w:p w:rsidR="00C828FC" w:rsidRPr="00FC3EA5" w:rsidRDefault="00C828FC" w:rsidP="00A76502">
            <w:pPr>
              <w:tabs>
                <w:tab w:val="left" w:pos="720"/>
              </w:tabs>
              <w:jc w:val="right"/>
              <w:rPr>
                <w:rFonts w:eastAsia="Times New Roman"/>
                <w:sz w:val="16"/>
                <w:szCs w:val="16"/>
              </w:rPr>
            </w:pPr>
            <w:r w:rsidRPr="00A76502">
              <w:rPr>
                <w:rFonts w:eastAsia="Times New Roman"/>
                <w:sz w:val="16"/>
                <w:szCs w:val="16"/>
              </w:rPr>
              <w:t>48</w:t>
            </w:r>
            <w:r>
              <w:rPr>
                <w:rFonts w:eastAsia="Times New Roman"/>
                <w:sz w:val="16"/>
                <w:szCs w:val="16"/>
              </w:rPr>
              <w:t>8</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sidRPr="00FC3EA5">
              <w:rPr>
                <w:rFonts w:eastAsia="Times New Roman"/>
                <w:b/>
                <w:sz w:val="16"/>
                <w:szCs w:val="16"/>
              </w:rPr>
              <w:t>2.8</w:t>
            </w: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31.4</w:t>
            </w: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sidRPr="00FC3EA5">
              <w:rPr>
                <w:rFonts w:eastAsia="Times New Roman"/>
                <w:b/>
                <w:sz w:val="16"/>
                <w:szCs w:val="16"/>
              </w:rPr>
              <w:t>62.1</w:t>
            </w:r>
          </w:p>
        </w:tc>
        <w:tc>
          <w:tcPr>
            <w:tcW w:w="1028" w:type="dxa"/>
            <w:tcBorders>
              <w:top w:val="nil"/>
              <w:left w:val="nil"/>
              <w:bottom w:val="nil"/>
              <w:right w:val="nil"/>
            </w:tcBorders>
          </w:tcPr>
          <w:p w:rsidR="00C828FC" w:rsidRPr="00547E8A" w:rsidRDefault="00C828FC" w:rsidP="00673324">
            <w:pPr>
              <w:tabs>
                <w:tab w:val="left" w:pos="720"/>
              </w:tabs>
              <w:jc w:val="right"/>
              <w:rPr>
                <w:rFonts w:eastAsia="Times New Roman"/>
                <w:sz w:val="16"/>
                <w:szCs w:val="16"/>
              </w:rPr>
            </w:pPr>
            <w:r w:rsidRPr="00547E8A">
              <w:rPr>
                <w:rFonts w:eastAsia="Times New Roman"/>
                <w:sz w:val="16"/>
                <w:szCs w:val="16"/>
              </w:rPr>
              <w:t>91</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Pr>
                <w:rFonts w:eastAsia="Times New Roman"/>
                <w:b/>
                <w:sz w:val="16"/>
                <w:szCs w:val="16"/>
              </w:rPr>
              <w:t>380</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Pr>
                <w:rFonts w:eastAsia="Times New Roman"/>
                <w:b/>
                <w:sz w:val="16"/>
                <w:szCs w:val="16"/>
              </w:rPr>
              <w:t>19</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Tonga</w:t>
            </w:r>
          </w:p>
        </w:tc>
        <w:tc>
          <w:tcPr>
            <w:tcW w:w="1027" w:type="dxa"/>
            <w:tcBorders>
              <w:top w:val="nil"/>
              <w:left w:val="single" w:sz="4" w:space="0" w:color="auto"/>
              <w:bottom w:val="nil"/>
              <w:right w:val="nil"/>
            </w:tcBorders>
            <w:shd w:val="clear" w:color="auto" w:fill="auto"/>
            <w:noWrap/>
            <w:vAlign w:val="bottom"/>
            <w:hideMark/>
          </w:tcPr>
          <w:p w:rsidR="00C828FC" w:rsidRPr="00A76502" w:rsidRDefault="00C828FC" w:rsidP="00A76502">
            <w:pPr>
              <w:jc w:val="right"/>
              <w:rPr>
                <w:color w:val="000000"/>
                <w:sz w:val="16"/>
                <w:szCs w:val="16"/>
              </w:rPr>
            </w:pPr>
            <w:r>
              <w:rPr>
                <w:color w:val="000000"/>
                <w:sz w:val="16"/>
                <w:szCs w:val="16"/>
              </w:rPr>
              <w:t>521</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10.4</w:t>
            </w: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66.2</w:t>
            </w: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72.1</w:t>
            </w:r>
          </w:p>
        </w:tc>
        <w:tc>
          <w:tcPr>
            <w:tcW w:w="1028" w:type="dxa"/>
            <w:tcBorders>
              <w:top w:val="nil"/>
              <w:left w:val="nil"/>
              <w:bottom w:val="nil"/>
              <w:right w:val="nil"/>
            </w:tcBorders>
          </w:tcPr>
          <w:p w:rsidR="00C828FC" w:rsidRPr="00FC3EA5" w:rsidRDefault="00C828FC" w:rsidP="00673324">
            <w:pPr>
              <w:tabs>
                <w:tab w:val="left" w:pos="720"/>
              </w:tabs>
              <w:jc w:val="right"/>
              <w:rPr>
                <w:rFonts w:eastAsia="Times New Roman"/>
                <w:sz w:val="16"/>
                <w:szCs w:val="16"/>
              </w:rPr>
            </w:pPr>
            <w:r>
              <w:rPr>
                <w:rFonts w:eastAsia="Times New Roman"/>
                <w:sz w:val="16"/>
                <w:szCs w:val="16"/>
              </w:rPr>
              <w:t>114</w:t>
            </w:r>
          </w:p>
        </w:tc>
        <w:tc>
          <w:tcPr>
            <w:tcW w:w="1028" w:type="dxa"/>
            <w:tcBorders>
              <w:top w:val="nil"/>
              <w:left w:val="nil"/>
              <w:bottom w:val="nil"/>
              <w:right w:val="nil"/>
            </w:tcBorders>
            <w:shd w:val="clear" w:color="auto" w:fill="auto"/>
            <w:noWrap/>
            <w:vAlign w:val="bottom"/>
            <w:hideMark/>
          </w:tcPr>
          <w:p w:rsidR="00C828FC" w:rsidRPr="00547E8A" w:rsidRDefault="00C828FC" w:rsidP="00673324">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Pr>
                <w:rFonts w:eastAsia="Times New Roman"/>
                <w:sz w:val="16"/>
                <w:szCs w:val="16"/>
              </w:rPr>
              <w:t>99</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Vanuatu</w:t>
            </w:r>
          </w:p>
        </w:tc>
        <w:tc>
          <w:tcPr>
            <w:tcW w:w="1027" w:type="dxa"/>
            <w:tcBorders>
              <w:top w:val="nil"/>
              <w:left w:val="single" w:sz="4" w:space="0" w:color="auto"/>
              <w:bottom w:val="nil"/>
              <w:right w:val="nil"/>
            </w:tcBorders>
            <w:shd w:val="clear" w:color="auto" w:fill="auto"/>
            <w:noWrap/>
            <w:vAlign w:val="bottom"/>
            <w:hideMark/>
          </w:tcPr>
          <w:p w:rsidR="00C828FC" w:rsidRPr="00A76502" w:rsidRDefault="00C828FC" w:rsidP="00A76502">
            <w:pPr>
              <w:jc w:val="right"/>
              <w:rPr>
                <w:color w:val="000000"/>
                <w:sz w:val="16"/>
                <w:szCs w:val="16"/>
              </w:rPr>
            </w:pPr>
            <w:r>
              <w:rPr>
                <w:color w:val="000000"/>
                <w:sz w:val="16"/>
                <w:szCs w:val="16"/>
              </w:rPr>
              <w:t>994</w:t>
            </w:r>
          </w:p>
        </w:tc>
        <w:tc>
          <w:tcPr>
            <w:tcW w:w="1028" w:type="dxa"/>
            <w:tcBorders>
              <w:top w:val="nil"/>
              <w:left w:val="nil"/>
              <w:bottom w:val="nil"/>
              <w:right w:val="nil"/>
            </w:tcBorders>
            <w:shd w:val="clear" w:color="auto" w:fill="auto"/>
            <w:noWrap/>
            <w:vAlign w:val="bottom"/>
            <w:hideMark/>
          </w:tcPr>
          <w:p w:rsidR="00C828FC" w:rsidRPr="00547E8A" w:rsidRDefault="00C828FC" w:rsidP="00673324">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38.1</w:t>
            </w: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70.8</w:t>
            </w:r>
          </w:p>
        </w:tc>
        <w:tc>
          <w:tcPr>
            <w:tcW w:w="1028" w:type="dxa"/>
            <w:tcBorders>
              <w:top w:val="nil"/>
              <w:left w:val="nil"/>
              <w:bottom w:val="nil"/>
              <w:right w:val="nil"/>
            </w:tcBorders>
          </w:tcPr>
          <w:p w:rsidR="00C828FC" w:rsidRPr="00FC3EA5" w:rsidRDefault="00C828FC" w:rsidP="00673324">
            <w:pPr>
              <w:tabs>
                <w:tab w:val="left" w:pos="720"/>
              </w:tabs>
              <w:jc w:val="right"/>
              <w:rPr>
                <w:rFonts w:eastAsia="Times New Roman"/>
                <w:sz w:val="16"/>
                <w:szCs w:val="16"/>
              </w:rPr>
            </w:pPr>
            <w:r>
              <w:rPr>
                <w:rFonts w:eastAsia="Times New Roman"/>
                <w:sz w:val="16"/>
                <w:szCs w:val="16"/>
              </w:rPr>
              <w:t>104</w:t>
            </w:r>
          </w:p>
        </w:tc>
        <w:tc>
          <w:tcPr>
            <w:tcW w:w="1028" w:type="dxa"/>
            <w:tcBorders>
              <w:top w:val="nil"/>
              <w:left w:val="nil"/>
              <w:bottom w:val="nil"/>
              <w:right w:val="nil"/>
            </w:tcBorders>
            <w:shd w:val="clear" w:color="auto" w:fill="auto"/>
            <w:noWrap/>
            <w:vAlign w:val="bottom"/>
            <w:hideMark/>
          </w:tcPr>
          <w:p w:rsidR="00C828FC" w:rsidRPr="00547E8A" w:rsidRDefault="00C828FC" w:rsidP="00673324">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Pr>
                <w:rFonts w:eastAsia="Times New Roman"/>
                <w:sz w:val="16"/>
                <w:szCs w:val="16"/>
              </w:rPr>
              <w:t>93</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Default="00C828FC" w:rsidP="00547E8A">
            <w:pPr>
              <w:tabs>
                <w:tab w:val="left" w:pos="720"/>
              </w:tabs>
              <w:rPr>
                <w:rFonts w:eastAsia="Times New Roman"/>
                <w:sz w:val="16"/>
                <w:szCs w:val="16"/>
              </w:rPr>
            </w:pPr>
            <w:r>
              <w:rPr>
                <w:rFonts w:eastAsia="Times New Roman"/>
                <w:sz w:val="16"/>
                <w:szCs w:val="16"/>
              </w:rPr>
              <w:t xml:space="preserve">  </w:t>
            </w:r>
          </w:p>
        </w:tc>
        <w:tc>
          <w:tcPr>
            <w:tcW w:w="1027" w:type="dxa"/>
            <w:tcBorders>
              <w:top w:val="nil"/>
              <w:left w:val="single" w:sz="4" w:space="0" w:color="auto"/>
              <w:bottom w:val="nil"/>
              <w:right w:val="nil"/>
            </w:tcBorders>
            <w:shd w:val="clear" w:color="auto" w:fill="auto"/>
            <w:noWrap/>
            <w:vAlign w:val="bottom"/>
            <w:hideMark/>
          </w:tcPr>
          <w:p w:rsidR="00C828FC" w:rsidRDefault="00C828FC" w:rsidP="00A76502">
            <w:pPr>
              <w:tabs>
                <w:tab w:val="left" w:pos="720"/>
              </w:tabs>
              <w:jc w:val="right"/>
              <w:rPr>
                <w:rFonts w:eastAsia="Times New Roman"/>
                <w:sz w:val="16"/>
                <w:szCs w:val="16"/>
              </w:rPr>
            </w:pPr>
          </w:p>
        </w:tc>
        <w:tc>
          <w:tcPr>
            <w:tcW w:w="1028" w:type="dxa"/>
            <w:tcBorders>
              <w:top w:val="nil"/>
              <w:left w:val="nil"/>
              <w:bottom w:val="nil"/>
              <w:right w:val="nil"/>
            </w:tcBorders>
            <w:shd w:val="clear" w:color="auto" w:fill="auto"/>
            <w:noWrap/>
            <w:vAlign w:val="bottom"/>
            <w:hideMark/>
          </w:tcPr>
          <w:p w:rsidR="00C828FC" w:rsidRPr="00547E8A" w:rsidRDefault="00C828FC" w:rsidP="00673324">
            <w:pPr>
              <w:tabs>
                <w:tab w:val="left" w:pos="720"/>
              </w:tabs>
              <w:rPr>
                <w:rFonts w:eastAsia="Times New Roman"/>
                <w:b/>
                <w:sz w:val="16"/>
                <w:szCs w:val="16"/>
              </w:rPr>
            </w:pP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rPr>
                <w:rFonts w:eastAsia="Times New Roman"/>
                <w:sz w:val="16"/>
                <w:szCs w:val="16"/>
              </w:rPr>
            </w:pPr>
          </w:p>
        </w:tc>
        <w:tc>
          <w:tcPr>
            <w:tcW w:w="1028" w:type="dxa"/>
            <w:tcBorders>
              <w:top w:val="nil"/>
              <w:left w:val="nil"/>
              <w:bottom w:val="nil"/>
              <w:right w:val="nil"/>
            </w:tcBorders>
          </w:tcPr>
          <w:p w:rsidR="00C828FC" w:rsidRPr="00FC3EA5" w:rsidRDefault="00C828FC" w:rsidP="00673324">
            <w:pPr>
              <w:tabs>
                <w:tab w:val="left" w:pos="720"/>
              </w:tabs>
              <w:rPr>
                <w:rFonts w:eastAsia="Times New Roman"/>
                <w:b/>
                <w:sz w:val="16"/>
                <w:szCs w:val="16"/>
              </w:rPr>
            </w:pPr>
          </w:p>
        </w:tc>
        <w:tc>
          <w:tcPr>
            <w:tcW w:w="1028" w:type="dxa"/>
            <w:tcBorders>
              <w:top w:val="nil"/>
              <w:left w:val="nil"/>
              <w:bottom w:val="nil"/>
              <w:right w:val="nil"/>
            </w:tcBorders>
            <w:shd w:val="clear" w:color="auto" w:fill="auto"/>
            <w:noWrap/>
            <w:vAlign w:val="bottom"/>
            <w:hideMark/>
          </w:tcPr>
          <w:p w:rsidR="00C828FC" w:rsidRPr="00547E8A" w:rsidRDefault="00C828FC" w:rsidP="00673324">
            <w:pPr>
              <w:tabs>
                <w:tab w:val="left" w:pos="720"/>
              </w:tabs>
              <w:rPr>
                <w:rFonts w:eastAsia="Times New Roman"/>
                <w:b/>
                <w:sz w:val="16"/>
                <w:szCs w:val="16"/>
              </w:rPr>
            </w:pP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rPr>
                <w:rFonts w:eastAsia="Times New Roman"/>
                <w:sz w:val="16"/>
                <w:szCs w:val="16"/>
              </w:rPr>
            </w:pP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547E8A">
            <w:pPr>
              <w:tabs>
                <w:tab w:val="left" w:pos="720"/>
              </w:tabs>
              <w:rPr>
                <w:rFonts w:eastAsia="Times New Roman"/>
                <w:sz w:val="16"/>
                <w:szCs w:val="16"/>
              </w:rPr>
            </w:pPr>
            <w:r>
              <w:rPr>
                <w:rFonts w:eastAsia="Times New Roman"/>
                <w:sz w:val="16"/>
                <w:szCs w:val="16"/>
              </w:rPr>
              <w:t xml:space="preserve">Lower middle income </w:t>
            </w:r>
            <w:r w:rsidRPr="00FC3EA5">
              <w:rPr>
                <w:rFonts w:eastAsia="Times New Roman"/>
                <w:sz w:val="16"/>
                <w:szCs w:val="16"/>
              </w:rPr>
              <w:t xml:space="preserve">  </w:t>
            </w:r>
          </w:p>
        </w:tc>
        <w:tc>
          <w:tcPr>
            <w:tcW w:w="1027" w:type="dxa"/>
            <w:tcBorders>
              <w:top w:val="nil"/>
              <w:left w:val="single" w:sz="4" w:space="0" w:color="auto"/>
              <w:bottom w:val="nil"/>
              <w:right w:val="nil"/>
            </w:tcBorders>
            <w:shd w:val="clear" w:color="auto" w:fill="auto"/>
            <w:noWrap/>
            <w:vAlign w:val="bottom"/>
            <w:hideMark/>
          </w:tcPr>
          <w:p w:rsidR="00C828FC" w:rsidRPr="00FC3EA5" w:rsidRDefault="00C828FC" w:rsidP="00A76502">
            <w:pPr>
              <w:tabs>
                <w:tab w:val="left" w:pos="720"/>
              </w:tabs>
              <w:jc w:val="right"/>
              <w:rPr>
                <w:rFonts w:eastAsia="Times New Roman"/>
                <w:sz w:val="16"/>
                <w:szCs w:val="16"/>
              </w:rPr>
            </w:pPr>
            <w:r>
              <w:rPr>
                <w:rFonts w:eastAsia="Times New Roman"/>
                <w:sz w:val="16"/>
                <w:szCs w:val="16"/>
              </w:rPr>
              <w:t>659</w:t>
            </w:r>
          </w:p>
        </w:tc>
        <w:tc>
          <w:tcPr>
            <w:tcW w:w="1028" w:type="dxa"/>
            <w:tcBorders>
              <w:top w:val="nil"/>
              <w:left w:val="nil"/>
              <w:bottom w:val="nil"/>
              <w:right w:val="nil"/>
            </w:tcBorders>
            <w:shd w:val="clear" w:color="auto" w:fill="auto"/>
            <w:noWrap/>
            <w:vAlign w:val="bottom"/>
            <w:hideMark/>
          </w:tcPr>
          <w:p w:rsidR="00C828FC" w:rsidRPr="00547E8A" w:rsidRDefault="00C828FC" w:rsidP="00547E8A">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single" w:sz="4" w:space="0" w:color="auto"/>
            </w:tcBorders>
            <w:shd w:val="clear" w:color="auto" w:fill="auto"/>
            <w:noWrap/>
            <w:vAlign w:val="bottom"/>
            <w:hideMark/>
          </w:tcPr>
          <w:p w:rsidR="00C828FC" w:rsidRPr="00547E8A" w:rsidRDefault="00C828FC" w:rsidP="00547E8A">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single" w:sz="4" w:space="0" w:color="auto"/>
              <w:bottom w:val="nil"/>
            </w:tcBorders>
            <w:shd w:val="clear" w:color="auto" w:fill="auto"/>
            <w:noWrap/>
            <w:vAlign w:val="bottom"/>
            <w:hideMark/>
          </w:tcPr>
          <w:p w:rsidR="00C828FC" w:rsidRPr="00547E8A" w:rsidRDefault="00C828FC" w:rsidP="00547E8A">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nil"/>
            </w:tcBorders>
          </w:tcPr>
          <w:p w:rsidR="00C828FC" w:rsidRPr="00547E8A" w:rsidRDefault="00C828FC" w:rsidP="00547E8A">
            <w:pPr>
              <w:tabs>
                <w:tab w:val="left" w:pos="720"/>
              </w:tabs>
              <w:jc w:val="right"/>
              <w:rPr>
                <w:rFonts w:eastAsia="Times New Roman"/>
                <w:sz w:val="16"/>
                <w:szCs w:val="16"/>
              </w:rPr>
            </w:pPr>
            <w:r>
              <w:rPr>
                <w:rFonts w:eastAsia="Times New Roman"/>
                <w:sz w:val="16"/>
                <w:szCs w:val="16"/>
              </w:rPr>
              <w:t>135</w:t>
            </w:r>
          </w:p>
        </w:tc>
        <w:tc>
          <w:tcPr>
            <w:tcW w:w="1028" w:type="dxa"/>
            <w:tcBorders>
              <w:top w:val="nil"/>
              <w:left w:val="nil"/>
              <w:bottom w:val="nil"/>
              <w:right w:val="nil"/>
            </w:tcBorders>
            <w:shd w:val="clear" w:color="auto" w:fill="auto"/>
            <w:noWrap/>
            <w:vAlign w:val="bottom"/>
            <w:hideMark/>
          </w:tcPr>
          <w:p w:rsidR="00C828FC" w:rsidRPr="00FC3EA5" w:rsidRDefault="00C828FC" w:rsidP="00547E8A">
            <w:pPr>
              <w:tabs>
                <w:tab w:val="left" w:pos="720"/>
              </w:tabs>
              <w:jc w:val="right"/>
              <w:rPr>
                <w:rFonts w:eastAsia="Times New Roman"/>
                <w:b/>
                <w:sz w:val="16"/>
                <w:szCs w:val="16"/>
              </w:rPr>
            </w:pPr>
            <w:r>
              <w:rPr>
                <w:rFonts w:eastAsia="Times New Roman"/>
                <w:b/>
                <w:sz w:val="16"/>
                <w:szCs w:val="16"/>
              </w:rPr>
              <w:t>..</w:t>
            </w:r>
          </w:p>
        </w:tc>
        <w:tc>
          <w:tcPr>
            <w:tcW w:w="1028" w:type="dxa"/>
            <w:tcBorders>
              <w:top w:val="nil"/>
              <w:left w:val="nil"/>
              <w:bottom w:val="nil"/>
              <w:right w:val="nil"/>
            </w:tcBorders>
            <w:shd w:val="clear" w:color="auto" w:fill="auto"/>
            <w:noWrap/>
            <w:vAlign w:val="bottom"/>
            <w:hideMark/>
          </w:tcPr>
          <w:p w:rsidR="00C828FC" w:rsidRPr="00547E8A" w:rsidRDefault="00C828FC" w:rsidP="00547E8A">
            <w:pPr>
              <w:tabs>
                <w:tab w:val="left" w:pos="720"/>
              </w:tabs>
              <w:jc w:val="right"/>
              <w:rPr>
                <w:rFonts w:eastAsia="Times New Roman"/>
                <w:b/>
                <w:sz w:val="16"/>
                <w:szCs w:val="16"/>
              </w:rPr>
            </w:pPr>
            <w:r w:rsidRPr="00547E8A">
              <w:rPr>
                <w:rFonts w:eastAsia="Times New Roman"/>
                <w:b/>
                <w:sz w:val="16"/>
                <w:szCs w:val="16"/>
              </w:rPr>
              <w:t>..</w:t>
            </w:r>
          </w:p>
        </w:tc>
      </w:tr>
      <w:tr w:rsidR="00C828FC" w:rsidRPr="00FC3EA5" w:rsidTr="00E16197">
        <w:tc>
          <w:tcPr>
            <w:tcW w:w="2165"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Low human development</w:t>
            </w:r>
          </w:p>
        </w:tc>
        <w:tc>
          <w:tcPr>
            <w:tcW w:w="1027" w:type="dxa"/>
            <w:tcBorders>
              <w:top w:val="nil"/>
              <w:left w:val="single" w:sz="4" w:space="0" w:color="auto"/>
              <w:bottom w:val="nil"/>
              <w:right w:val="nil"/>
            </w:tcBorders>
            <w:shd w:val="clear" w:color="auto" w:fill="auto"/>
            <w:noWrap/>
            <w:vAlign w:val="bottom"/>
            <w:hideMark/>
          </w:tcPr>
          <w:p w:rsidR="00C828FC" w:rsidRPr="00547E8A" w:rsidRDefault="00C828FC" w:rsidP="00A76502">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sidRPr="00FC3EA5">
              <w:rPr>
                <w:rFonts w:eastAsia="Times New Roman"/>
                <w:b/>
                <w:sz w:val="16"/>
                <w:szCs w:val="16"/>
              </w:rPr>
              <w:t>4.1</w:t>
            </w:r>
          </w:p>
        </w:tc>
        <w:tc>
          <w:tcPr>
            <w:tcW w:w="1028" w:type="dxa"/>
            <w:tcBorders>
              <w:top w:val="nil"/>
              <w:left w:val="nil"/>
              <w:bottom w:val="nil"/>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30.9</w:t>
            </w:r>
          </w:p>
        </w:tc>
        <w:tc>
          <w:tcPr>
            <w:tcW w:w="1028" w:type="dxa"/>
            <w:tcBorders>
              <w:top w:val="nil"/>
              <w:left w:val="single" w:sz="4" w:space="0" w:color="auto"/>
              <w:bottom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sidRPr="00FC3EA5">
              <w:rPr>
                <w:rFonts w:eastAsia="Times New Roman"/>
                <w:b/>
                <w:sz w:val="16"/>
                <w:szCs w:val="16"/>
              </w:rPr>
              <w:t>56.0</w:t>
            </w:r>
          </w:p>
        </w:tc>
        <w:tc>
          <w:tcPr>
            <w:tcW w:w="1028" w:type="dxa"/>
            <w:tcBorders>
              <w:top w:val="nil"/>
              <w:left w:val="nil"/>
              <w:bottom w:val="nil"/>
              <w:right w:val="nil"/>
            </w:tcBorders>
          </w:tcPr>
          <w:p w:rsidR="00C828FC" w:rsidRDefault="00C828FC" w:rsidP="00673324">
            <w:pPr>
              <w:tabs>
                <w:tab w:val="left" w:pos="720"/>
              </w:tabs>
              <w:jc w:val="right"/>
              <w:rPr>
                <w:rFonts w:eastAsia="Times New Roman"/>
                <w:b/>
                <w:sz w:val="16"/>
                <w:szCs w:val="16"/>
              </w:rPr>
            </w:pPr>
            <w:r>
              <w:rPr>
                <w:rFonts w:eastAsia="Times New Roman"/>
                <w:b/>
                <w:sz w:val="16"/>
                <w:szCs w:val="16"/>
              </w:rPr>
              <w:t>..</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Pr>
                <w:rFonts w:eastAsia="Times New Roman"/>
                <w:b/>
                <w:sz w:val="16"/>
                <w:szCs w:val="16"/>
              </w:rPr>
              <w:t>822</w:t>
            </w:r>
          </w:p>
        </w:tc>
        <w:tc>
          <w:tcPr>
            <w:tcW w:w="1028" w:type="dxa"/>
            <w:tcBorders>
              <w:top w:val="nil"/>
              <w:left w:val="nil"/>
              <w:bottom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Pr>
                <w:rFonts w:eastAsia="Times New Roman"/>
                <w:b/>
                <w:sz w:val="16"/>
                <w:szCs w:val="16"/>
              </w:rPr>
              <w:t>39</w:t>
            </w:r>
          </w:p>
        </w:tc>
      </w:tr>
      <w:tr w:rsidR="00C828FC" w:rsidRPr="00FC3EA5" w:rsidTr="00E16197">
        <w:tc>
          <w:tcPr>
            <w:tcW w:w="2165" w:type="dxa"/>
            <w:tcBorders>
              <w:top w:val="nil"/>
              <w:left w:val="nil"/>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Medium human development</w:t>
            </w:r>
          </w:p>
        </w:tc>
        <w:tc>
          <w:tcPr>
            <w:tcW w:w="1027" w:type="dxa"/>
            <w:tcBorders>
              <w:top w:val="nil"/>
              <w:left w:val="single" w:sz="4" w:space="0" w:color="auto"/>
              <w:right w:val="nil"/>
            </w:tcBorders>
            <w:shd w:val="clear" w:color="auto" w:fill="auto"/>
            <w:noWrap/>
            <w:vAlign w:val="bottom"/>
            <w:hideMark/>
          </w:tcPr>
          <w:p w:rsidR="00C828FC" w:rsidRPr="00547E8A" w:rsidRDefault="00C828FC" w:rsidP="00A76502">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6.3</w:t>
            </w:r>
          </w:p>
        </w:tc>
        <w:tc>
          <w:tcPr>
            <w:tcW w:w="1028" w:type="dxa"/>
            <w:tcBorders>
              <w:top w:val="nil"/>
              <w:left w:val="nil"/>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57.0</w:t>
            </w:r>
          </w:p>
        </w:tc>
        <w:tc>
          <w:tcPr>
            <w:tcW w:w="1028" w:type="dxa"/>
            <w:tcBorders>
              <w:top w:val="nil"/>
              <w:lef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69.3</w:t>
            </w:r>
          </w:p>
        </w:tc>
        <w:tc>
          <w:tcPr>
            <w:tcW w:w="1028" w:type="dxa"/>
            <w:tcBorders>
              <w:top w:val="nil"/>
              <w:left w:val="nil"/>
              <w:right w:val="nil"/>
            </w:tcBorders>
          </w:tcPr>
          <w:p w:rsidR="00C828FC" w:rsidRDefault="00C828FC" w:rsidP="00673324">
            <w:pPr>
              <w:tabs>
                <w:tab w:val="left" w:pos="720"/>
              </w:tabs>
              <w:jc w:val="right"/>
              <w:rPr>
                <w:rFonts w:eastAsia="Times New Roman"/>
                <w:b/>
                <w:sz w:val="16"/>
                <w:szCs w:val="16"/>
              </w:rPr>
            </w:pPr>
            <w:r>
              <w:rPr>
                <w:rFonts w:eastAsia="Times New Roman"/>
                <w:b/>
                <w:sz w:val="16"/>
                <w:szCs w:val="16"/>
              </w:rPr>
              <w:t>..</w:t>
            </w:r>
          </w:p>
        </w:tc>
        <w:tc>
          <w:tcPr>
            <w:tcW w:w="1028" w:type="dxa"/>
            <w:tcBorders>
              <w:top w:val="nil"/>
              <w:left w:val="nil"/>
              <w:right w:val="nil"/>
            </w:tcBorders>
            <w:shd w:val="clear" w:color="auto" w:fill="auto"/>
            <w:noWrap/>
            <w:vAlign w:val="bottom"/>
            <w:hideMark/>
          </w:tcPr>
          <w:p w:rsidR="00C828FC" w:rsidRPr="00FC3EA5" w:rsidRDefault="00C828FC" w:rsidP="00673324">
            <w:pPr>
              <w:tabs>
                <w:tab w:val="left" w:pos="720"/>
              </w:tabs>
              <w:jc w:val="right"/>
              <w:rPr>
                <w:rFonts w:eastAsia="Times New Roman"/>
                <w:b/>
                <w:sz w:val="16"/>
                <w:szCs w:val="16"/>
              </w:rPr>
            </w:pPr>
            <w:r>
              <w:rPr>
                <w:rFonts w:eastAsia="Times New Roman"/>
                <w:b/>
                <w:sz w:val="16"/>
                <w:szCs w:val="16"/>
              </w:rPr>
              <w:t>242</w:t>
            </w:r>
          </w:p>
        </w:tc>
        <w:tc>
          <w:tcPr>
            <w:tcW w:w="1028" w:type="dxa"/>
            <w:tcBorders>
              <w:top w:val="nil"/>
              <w:left w:val="nil"/>
              <w:right w:val="nil"/>
            </w:tcBorders>
            <w:shd w:val="clear" w:color="auto" w:fill="auto"/>
            <w:noWrap/>
            <w:vAlign w:val="bottom"/>
            <w:hideMark/>
          </w:tcPr>
          <w:p w:rsidR="00C828FC" w:rsidRPr="00B7754B" w:rsidRDefault="00C828FC" w:rsidP="00673324">
            <w:pPr>
              <w:tabs>
                <w:tab w:val="left" w:pos="720"/>
              </w:tabs>
              <w:jc w:val="right"/>
              <w:rPr>
                <w:rFonts w:eastAsia="Times New Roman"/>
                <w:b/>
                <w:sz w:val="16"/>
                <w:szCs w:val="16"/>
              </w:rPr>
            </w:pPr>
            <w:r w:rsidRPr="00B7754B">
              <w:rPr>
                <w:rFonts w:eastAsia="Times New Roman"/>
                <w:b/>
                <w:sz w:val="16"/>
                <w:szCs w:val="16"/>
              </w:rPr>
              <w:t>74</w:t>
            </w:r>
          </w:p>
        </w:tc>
      </w:tr>
      <w:tr w:rsidR="00C828FC" w:rsidRPr="00FC3EA5" w:rsidTr="00E16197">
        <w:tc>
          <w:tcPr>
            <w:tcW w:w="2165" w:type="dxa"/>
            <w:tcBorders>
              <w:top w:val="nil"/>
              <w:left w:val="nil"/>
              <w:bottom w:val="single" w:sz="4" w:space="0" w:color="auto"/>
              <w:right w:val="single" w:sz="4" w:space="0" w:color="auto"/>
            </w:tcBorders>
            <w:shd w:val="clear" w:color="auto" w:fill="auto"/>
            <w:noWrap/>
            <w:vAlign w:val="bottom"/>
            <w:hideMark/>
          </w:tcPr>
          <w:p w:rsidR="00C828FC" w:rsidRPr="00FC3EA5" w:rsidRDefault="00C828FC" w:rsidP="00673324">
            <w:pPr>
              <w:tabs>
                <w:tab w:val="left" w:pos="720"/>
              </w:tabs>
              <w:rPr>
                <w:rFonts w:eastAsia="Times New Roman"/>
                <w:sz w:val="16"/>
                <w:szCs w:val="16"/>
              </w:rPr>
            </w:pPr>
            <w:r w:rsidRPr="00FC3EA5">
              <w:rPr>
                <w:rFonts w:eastAsia="Times New Roman"/>
                <w:sz w:val="16"/>
                <w:szCs w:val="16"/>
              </w:rPr>
              <w:t>East Asia and the Pacific</w:t>
            </w:r>
          </w:p>
        </w:tc>
        <w:tc>
          <w:tcPr>
            <w:tcW w:w="1027" w:type="dxa"/>
            <w:tcBorders>
              <w:top w:val="nil"/>
              <w:left w:val="single" w:sz="4" w:space="0" w:color="auto"/>
              <w:bottom w:val="single" w:sz="4" w:space="0" w:color="auto"/>
              <w:right w:val="nil"/>
            </w:tcBorders>
            <w:shd w:val="clear" w:color="auto" w:fill="auto"/>
            <w:noWrap/>
            <w:vAlign w:val="bottom"/>
            <w:hideMark/>
          </w:tcPr>
          <w:p w:rsidR="00C828FC" w:rsidRPr="00547E8A" w:rsidRDefault="00C828FC" w:rsidP="00A76502">
            <w:pPr>
              <w:tabs>
                <w:tab w:val="left" w:pos="720"/>
              </w:tabs>
              <w:jc w:val="right"/>
              <w:rPr>
                <w:rFonts w:eastAsia="Times New Roman"/>
                <w:b/>
                <w:sz w:val="16"/>
                <w:szCs w:val="16"/>
              </w:rPr>
            </w:pPr>
            <w:r w:rsidRPr="00547E8A">
              <w:rPr>
                <w:rFonts w:eastAsia="Times New Roman"/>
                <w:b/>
                <w:sz w:val="16"/>
                <w:szCs w:val="16"/>
              </w:rPr>
              <w:t>..</w:t>
            </w:r>
          </w:p>
        </w:tc>
        <w:tc>
          <w:tcPr>
            <w:tcW w:w="1028" w:type="dxa"/>
            <w:tcBorders>
              <w:top w:val="nil"/>
              <w:left w:val="nil"/>
              <w:bottom w:val="single" w:sz="4" w:space="0" w:color="auto"/>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7.2</w:t>
            </w:r>
          </w:p>
        </w:tc>
        <w:tc>
          <w:tcPr>
            <w:tcW w:w="1028" w:type="dxa"/>
            <w:tcBorders>
              <w:top w:val="nil"/>
              <w:left w:val="nil"/>
              <w:bottom w:val="single" w:sz="4" w:space="0" w:color="auto"/>
              <w:right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62.6</w:t>
            </w:r>
          </w:p>
        </w:tc>
        <w:tc>
          <w:tcPr>
            <w:tcW w:w="1028" w:type="dxa"/>
            <w:tcBorders>
              <w:top w:val="nil"/>
              <w:left w:val="single" w:sz="4" w:space="0" w:color="auto"/>
              <w:bottom w:val="single" w:sz="4" w:space="0" w:color="auto"/>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sidRPr="00FC3EA5">
              <w:rPr>
                <w:rFonts w:eastAsia="Times New Roman"/>
                <w:sz w:val="16"/>
                <w:szCs w:val="16"/>
              </w:rPr>
              <w:t>72.6</w:t>
            </w:r>
          </w:p>
        </w:tc>
        <w:tc>
          <w:tcPr>
            <w:tcW w:w="1028" w:type="dxa"/>
            <w:tcBorders>
              <w:top w:val="nil"/>
              <w:left w:val="nil"/>
              <w:bottom w:val="single" w:sz="4" w:space="0" w:color="auto"/>
              <w:right w:val="nil"/>
            </w:tcBorders>
          </w:tcPr>
          <w:p w:rsidR="00C828FC" w:rsidRPr="00472646" w:rsidRDefault="00C828FC" w:rsidP="00673324">
            <w:pPr>
              <w:tabs>
                <w:tab w:val="left" w:pos="720"/>
              </w:tabs>
              <w:jc w:val="right"/>
              <w:rPr>
                <w:rFonts w:eastAsia="Times New Roman"/>
                <w:b/>
                <w:sz w:val="16"/>
                <w:szCs w:val="16"/>
              </w:rPr>
            </w:pPr>
            <w:r>
              <w:rPr>
                <w:rFonts w:eastAsia="Times New Roman"/>
                <w:b/>
                <w:sz w:val="16"/>
                <w:szCs w:val="16"/>
              </w:rPr>
              <w:t>..</w:t>
            </w:r>
          </w:p>
        </w:tc>
        <w:tc>
          <w:tcPr>
            <w:tcW w:w="1028" w:type="dxa"/>
            <w:tcBorders>
              <w:top w:val="nil"/>
              <w:left w:val="nil"/>
              <w:bottom w:val="single" w:sz="4" w:space="0" w:color="auto"/>
              <w:right w:val="nil"/>
            </w:tcBorders>
            <w:shd w:val="clear" w:color="auto" w:fill="auto"/>
            <w:noWrap/>
            <w:vAlign w:val="bottom"/>
            <w:hideMark/>
          </w:tcPr>
          <w:p w:rsidR="00C828FC" w:rsidRPr="00472646" w:rsidRDefault="00C828FC" w:rsidP="00673324">
            <w:pPr>
              <w:tabs>
                <w:tab w:val="left" w:pos="720"/>
              </w:tabs>
              <w:jc w:val="right"/>
              <w:rPr>
                <w:rFonts w:eastAsia="Times New Roman"/>
                <w:b/>
                <w:sz w:val="16"/>
                <w:szCs w:val="16"/>
              </w:rPr>
            </w:pPr>
            <w:r w:rsidRPr="00472646">
              <w:rPr>
                <w:rFonts w:eastAsia="Times New Roman"/>
                <w:b/>
                <w:sz w:val="16"/>
                <w:szCs w:val="16"/>
              </w:rPr>
              <w:t>126</w:t>
            </w:r>
          </w:p>
        </w:tc>
        <w:tc>
          <w:tcPr>
            <w:tcW w:w="1028" w:type="dxa"/>
            <w:tcBorders>
              <w:top w:val="nil"/>
              <w:left w:val="nil"/>
              <w:bottom w:val="single" w:sz="4" w:space="0" w:color="auto"/>
              <w:right w:val="nil"/>
            </w:tcBorders>
            <w:shd w:val="clear" w:color="auto" w:fill="auto"/>
            <w:noWrap/>
            <w:vAlign w:val="bottom"/>
            <w:hideMark/>
          </w:tcPr>
          <w:p w:rsidR="00C828FC" w:rsidRPr="00FC3EA5" w:rsidRDefault="00C828FC" w:rsidP="00673324">
            <w:pPr>
              <w:tabs>
                <w:tab w:val="left" w:pos="720"/>
              </w:tabs>
              <w:jc w:val="right"/>
              <w:rPr>
                <w:rFonts w:eastAsia="Times New Roman"/>
                <w:sz w:val="16"/>
                <w:szCs w:val="16"/>
              </w:rPr>
            </w:pPr>
            <w:r>
              <w:rPr>
                <w:rFonts w:eastAsia="Times New Roman"/>
                <w:sz w:val="16"/>
                <w:szCs w:val="16"/>
              </w:rPr>
              <w:t>91</w:t>
            </w:r>
          </w:p>
        </w:tc>
      </w:tr>
    </w:tbl>
    <w:p w:rsidR="00075474" w:rsidRDefault="00075474" w:rsidP="00673324">
      <w:pPr>
        <w:pStyle w:val="ListParagraph"/>
        <w:tabs>
          <w:tab w:val="left" w:pos="720"/>
        </w:tabs>
        <w:ind w:left="0"/>
        <w:rPr>
          <w:sz w:val="16"/>
          <w:szCs w:val="16"/>
        </w:rPr>
      </w:pPr>
      <w:r>
        <w:rPr>
          <w:sz w:val="16"/>
          <w:szCs w:val="16"/>
        </w:rPr>
        <w:t xml:space="preserve">Numbers in </w:t>
      </w:r>
      <w:r w:rsidRPr="00075474">
        <w:rPr>
          <w:b/>
          <w:sz w:val="16"/>
          <w:szCs w:val="16"/>
        </w:rPr>
        <w:t>bold face</w:t>
      </w:r>
      <w:r>
        <w:rPr>
          <w:sz w:val="16"/>
          <w:szCs w:val="16"/>
        </w:rPr>
        <w:t xml:space="preserve"> indicate instances where the Solomon Islands do better than other countries or groups of countries.</w:t>
      </w:r>
    </w:p>
    <w:p w:rsidR="00FC3EA5" w:rsidRPr="00FC3EA5" w:rsidRDefault="00FC3EA5" w:rsidP="00673324">
      <w:pPr>
        <w:pStyle w:val="ListParagraph"/>
        <w:tabs>
          <w:tab w:val="left" w:pos="720"/>
        </w:tabs>
        <w:ind w:left="0"/>
        <w:rPr>
          <w:sz w:val="16"/>
          <w:szCs w:val="16"/>
        </w:rPr>
      </w:pPr>
      <w:r w:rsidRPr="00BB20F2">
        <w:rPr>
          <w:i/>
          <w:sz w:val="16"/>
          <w:szCs w:val="16"/>
        </w:rPr>
        <w:t>Sources</w:t>
      </w:r>
      <w:r w:rsidRPr="00FC3EA5">
        <w:rPr>
          <w:sz w:val="16"/>
          <w:szCs w:val="16"/>
        </w:rPr>
        <w:t xml:space="preserve">:  </w:t>
      </w:r>
      <w:r w:rsidR="00C65796">
        <w:rPr>
          <w:sz w:val="16"/>
          <w:szCs w:val="16"/>
        </w:rPr>
        <w:t xml:space="preserve">Expenditure data are from World Bank </w:t>
      </w:r>
      <w:proofErr w:type="spellStart"/>
      <w:r w:rsidR="00C65796">
        <w:rPr>
          <w:sz w:val="16"/>
          <w:szCs w:val="16"/>
        </w:rPr>
        <w:t>EdStats</w:t>
      </w:r>
      <w:proofErr w:type="spellEnd"/>
      <w:r w:rsidR="00C65796">
        <w:rPr>
          <w:sz w:val="16"/>
          <w:szCs w:val="16"/>
        </w:rPr>
        <w:t xml:space="preserve"> database, WHO, MOFT and World Bank staff calculations.  Service delivery indicators are from </w:t>
      </w:r>
      <w:r w:rsidRPr="00FC3EA5">
        <w:rPr>
          <w:sz w:val="16"/>
          <w:szCs w:val="16"/>
        </w:rPr>
        <w:t>UN Human Development Report, 2010 and UN ESCAP Statistical Yearbook for Asia and the Pacific, 2009.</w:t>
      </w:r>
    </w:p>
    <w:p w:rsidR="00FC3EA5" w:rsidRDefault="00FC3EA5" w:rsidP="00673324">
      <w:pPr>
        <w:pStyle w:val="ListParagraph"/>
        <w:tabs>
          <w:tab w:val="left" w:pos="720"/>
        </w:tabs>
        <w:ind w:left="0"/>
      </w:pPr>
    </w:p>
    <w:p w:rsidR="00DF4C47" w:rsidRDefault="000A0519" w:rsidP="00AB6A47">
      <w:pPr>
        <w:pStyle w:val="ListParagraph"/>
        <w:tabs>
          <w:tab w:val="left" w:pos="720"/>
        </w:tabs>
        <w:ind w:left="0"/>
        <w:jc w:val="both"/>
      </w:pPr>
      <w:r w:rsidRPr="00C0478B">
        <w:fldChar w:fldCharType="begin"/>
      </w:r>
      <w:r w:rsidR="005D3CB8" w:rsidRPr="00C0478B">
        <w:instrText xml:space="preserve"> AUTONUM  \* Arabic </w:instrText>
      </w:r>
      <w:r w:rsidRPr="00C0478B">
        <w:fldChar w:fldCharType="end"/>
      </w:r>
      <w:r w:rsidR="005D3CB8" w:rsidRPr="00C0478B">
        <w:tab/>
      </w:r>
      <w:r w:rsidR="005D3CB8" w:rsidRPr="004157C2">
        <w:rPr>
          <w:b/>
        </w:rPr>
        <w:t xml:space="preserve">SIG </w:t>
      </w:r>
      <w:r w:rsidR="00FE27B5">
        <w:rPr>
          <w:b/>
        </w:rPr>
        <w:t>can achieve greater returns for its citizens from its spending</w:t>
      </w:r>
      <w:r w:rsidR="005D3CB8" w:rsidRPr="004157C2">
        <w:t xml:space="preserve">.  </w:t>
      </w:r>
      <w:r w:rsidR="00C828FC">
        <w:t xml:space="preserve">Data from the health and education sectors suggest that several neighboring countries are able to get equal or better results for less money per capita.  </w:t>
      </w:r>
      <w:r w:rsidR="002D46CD" w:rsidRPr="002D46CD">
        <w:t xml:space="preserve">Some of the difference in performance could be explained by varying degrees of development and even by demographics and geography.  Even </w:t>
      </w:r>
      <w:r w:rsidR="002D46CD" w:rsidRPr="002D46CD">
        <w:lastRenderedPageBreak/>
        <w:t>so, the</w:t>
      </w:r>
      <w:r w:rsidR="00C12B29">
        <w:t xml:space="preserve"> analysis conducted so far suggests that </w:t>
      </w:r>
      <w:r w:rsidR="00C828FC">
        <w:t xml:space="preserve">better results are blocked by </w:t>
      </w:r>
      <w:r w:rsidR="00C12B29">
        <w:t xml:space="preserve">problems in matching budgetary allocations to needs and problems </w:t>
      </w:r>
      <w:r w:rsidR="00C828FC">
        <w:t>with unproductive spending</w:t>
      </w:r>
      <w:r w:rsidR="00C12B29">
        <w:t>.</w:t>
      </w:r>
    </w:p>
    <w:p w:rsidR="00EB2F68" w:rsidRDefault="00EB2F68" w:rsidP="00673324">
      <w:pPr>
        <w:pStyle w:val="ListParagraph"/>
        <w:tabs>
          <w:tab w:val="left" w:pos="720"/>
        </w:tabs>
        <w:ind w:left="0"/>
      </w:pPr>
    </w:p>
    <w:p w:rsidR="00DF4C47" w:rsidRPr="006F67E2" w:rsidRDefault="000A0519" w:rsidP="00AB6A47">
      <w:pPr>
        <w:pStyle w:val="ListParagraph"/>
        <w:tabs>
          <w:tab w:val="left" w:pos="720"/>
        </w:tabs>
        <w:ind w:left="0"/>
        <w:jc w:val="both"/>
      </w:pPr>
      <w:r w:rsidRPr="00C0478B">
        <w:fldChar w:fldCharType="begin"/>
      </w:r>
      <w:r w:rsidR="00DF4C47" w:rsidRPr="00C0478B">
        <w:instrText xml:space="preserve"> AUTONUM  \* Arabic </w:instrText>
      </w:r>
      <w:r w:rsidRPr="00C0478B">
        <w:fldChar w:fldCharType="end"/>
      </w:r>
      <w:r w:rsidR="00DF4C47" w:rsidRPr="00C0478B">
        <w:tab/>
      </w:r>
      <w:r w:rsidR="00DF4C47" w:rsidRPr="00DF4C47">
        <w:rPr>
          <w:b/>
        </w:rPr>
        <w:t>SIG spends more per capita</w:t>
      </w:r>
      <w:r w:rsidR="00C828FC" w:rsidRPr="00C828FC">
        <w:rPr>
          <w:vertAlign w:val="superscript"/>
        </w:rPr>
        <w:footnoteReference w:id="4"/>
      </w:r>
      <w:r w:rsidR="00DF4C47" w:rsidRPr="00DF4C47">
        <w:rPr>
          <w:b/>
        </w:rPr>
        <w:t xml:space="preserve"> than </w:t>
      </w:r>
      <w:r w:rsidR="00AD142E">
        <w:rPr>
          <w:b/>
        </w:rPr>
        <w:t xml:space="preserve">most of </w:t>
      </w:r>
      <w:r w:rsidR="00DF4C47" w:rsidRPr="00DF4C47">
        <w:rPr>
          <w:b/>
        </w:rPr>
        <w:t>its neighbors for health services but does not consistently get better results.</w:t>
      </w:r>
      <w:r w:rsidR="00DF4C47" w:rsidRPr="00DF4C47">
        <w:t xml:space="preserve">  </w:t>
      </w:r>
      <w:r w:rsidR="004157C2" w:rsidRPr="00DF4C47">
        <w:t>Life expectancy, f</w:t>
      </w:r>
      <w:r w:rsidR="005D3CB8" w:rsidRPr="00DF4C47">
        <w:t>or exa</w:t>
      </w:r>
      <w:r w:rsidR="005D3CB8" w:rsidRPr="004157C2">
        <w:t xml:space="preserve">mple, </w:t>
      </w:r>
      <w:r w:rsidR="004157C2" w:rsidRPr="004157C2">
        <w:t>is below what has been achieved by several neighboring countries</w:t>
      </w:r>
      <w:r w:rsidR="00C828FC">
        <w:t>.  T</w:t>
      </w:r>
      <w:r w:rsidR="00D316FD" w:rsidRPr="004157C2">
        <w:t xml:space="preserve">he number of births attended by skilled health personnel </w:t>
      </w:r>
      <w:r w:rsidR="00D63181">
        <w:t>may be</w:t>
      </w:r>
      <w:r w:rsidR="00D63181" w:rsidRPr="004157C2">
        <w:t xml:space="preserve"> </w:t>
      </w:r>
      <w:r w:rsidR="00D316FD" w:rsidRPr="004157C2">
        <w:t xml:space="preserve">low relative to </w:t>
      </w:r>
      <w:r w:rsidR="00B7754B">
        <w:t>several</w:t>
      </w:r>
      <w:r w:rsidR="00B7754B" w:rsidRPr="004157C2">
        <w:t xml:space="preserve"> </w:t>
      </w:r>
      <w:r w:rsidR="00D316FD" w:rsidRPr="004157C2">
        <w:t xml:space="preserve">other </w:t>
      </w:r>
      <w:r w:rsidR="00D316FD" w:rsidRPr="006F67E2">
        <w:t>countries in the region.</w:t>
      </w:r>
      <w:r w:rsidR="00D63181">
        <w:rPr>
          <w:rStyle w:val="FootnoteReference"/>
        </w:rPr>
        <w:footnoteReference w:id="5"/>
      </w:r>
      <w:r w:rsidR="00D316FD" w:rsidRPr="006F67E2">
        <w:t xml:space="preserve">  </w:t>
      </w:r>
      <w:proofErr w:type="gramStart"/>
      <w:r w:rsidR="004157C2" w:rsidRPr="006F67E2">
        <w:t>(See Table 1.)</w:t>
      </w:r>
      <w:proofErr w:type="gramEnd"/>
      <w:r w:rsidR="004157C2" w:rsidRPr="006F67E2">
        <w:t xml:space="preserve">  </w:t>
      </w:r>
      <w:r w:rsidR="0080496D">
        <w:t>Although health care is meant to be free</w:t>
      </w:r>
      <w:r w:rsidR="0080496D" w:rsidRPr="0080496D">
        <w:rPr>
          <w:vertAlign w:val="superscript"/>
        </w:rPr>
        <w:footnoteReference w:id="6"/>
      </w:r>
      <w:r w:rsidR="0080496D">
        <w:t xml:space="preserve">, there is some evidence that it may not be equitable:  much of the health expenditures are for activities in Honiara.  </w:t>
      </w:r>
      <w:r w:rsidR="00472646">
        <w:t>Some r</w:t>
      </w:r>
      <w:r w:rsidR="006F67E2" w:rsidRPr="006F67E2">
        <w:t>ecommendations for improvements can be found in the World Bank (2010) report on Health Financing Options.</w:t>
      </w:r>
    </w:p>
    <w:p w:rsidR="00DF4C47" w:rsidRPr="006F67E2" w:rsidRDefault="00DF4C47" w:rsidP="00AB6A47">
      <w:pPr>
        <w:pStyle w:val="ListParagraph"/>
        <w:tabs>
          <w:tab w:val="left" w:pos="720"/>
        </w:tabs>
        <w:ind w:left="0"/>
        <w:jc w:val="both"/>
      </w:pPr>
    </w:p>
    <w:p w:rsidR="00472646" w:rsidRDefault="000A0519" w:rsidP="00AB6A47">
      <w:pPr>
        <w:pStyle w:val="ListParagraph"/>
        <w:tabs>
          <w:tab w:val="left" w:pos="720"/>
        </w:tabs>
        <w:ind w:left="0"/>
        <w:jc w:val="both"/>
      </w:pPr>
      <w:r w:rsidRPr="00C0478B">
        <w:fldChar w:fldCharType="begin"/>
      </w:r>
      <w:r w:rsidR="00DF4C47" w:rsidRPr="00C0478B">
        <w:instrText xml:space="preserve"> AUTONUM  \* Arabic </w:instrText>
      </w:r>
      <w:r w:rsidRPr="00C0478B">
        <w:fldChar w:fldCharType="end"/>
      </w:r>
      <w:r w:rsidR="00DF4C47" w:rsidRPr="00C0478B">
        <w:tab/>
      </w:r>
      <w:r w:rsidR="00DF4C47" w:rsidRPr="00DF4C47">
        <w:rPr>
          <w:b/>
        </w:rPr>
        <w:t>SIG spending on education per student over the period 2006-08 exceeded the average for lower middle income countries, yet the Solomon Islands lags behind several neighbor</w:t>
      </w:r>
      <w:r w:rsidR="00DF4C47">
        <w:rPr>
          <w:b/>
        </w:rPr>
        <w:t>ing countries</w:t>
      </w:r>
      <w:r w:rsidR="00DF4C47" w:rsidRPr="00DF4C47">
        <w:rPr>
          <w:b/>
        </w:rPr>
        <w:t xml:space="preserve"> in terms of results.</w:t>
      </w:r>
      <w:r w:rsidR="00DF4C47" w:rsidRPr="00DF4C47">
        <w:t xml:space="preserve">  </w:t>
      </w:r>
      <w:r w:rsidR="00DF4C47">
        <w:t>Table 1 shows that the</w:t>
      </w:r>
      <w:r w:rsidR="004157C2" w:rsidRPr="004157C2">
        <w:t xml:space="preserve"> average </w:t>
      </w:r>
      <w:proofErr w:type="gramStart"/>
      <w:r w:rsidR="004157C2" w:rsidRPr="004157C2">
        <w:t>years of schooling per person</w:t>
      </w:r>
      <w:r w:rsidR="00DF4C47">
        <w:t xml:space="preserve"> </w:t>
      </w:r>
      <w:r w:rsidR="006F67E2">
        <w:t xml:space="preserve">(as a proxy for competencies) </w:t>
      </w:r>
      <w:r w:rsidR="00DF4C47">
        <w:t>is</w:t>
      </w:r>
      <w:proofErr w:type="gramEnd"/>
      <w:r w:rsidR="00DF4C47">
        <w:t xml:space="preserve"> lower than Fiji and Tonga and is just barely better than what PNG achieved</w:t>
      </w:r>
      <w:r w:rsidR="004157C2" w:rsidRPr="004157C2">
        <w:t xml:space="preserve">.  </w:t>
      </w:r>
      <w:r w:rsidR="00D316FD" w:rsidRPr="004157C2">
        <w:t>T</w:t>
      </w:r>
      <w:r w:rsidR="005D3CB8" w:rsidRPr="004157C2">
        <w:t>he net secondary school enrollment rate is only 30 percent</w:t>
      </w:r>
      <w:r w:rsidR="005D3CB8" w:rsidRPr="004157C2">
        <w:rPr>
          <w:rStyle w:val="FootnoteReference"/>
        </w:rPr>
        <w:footnoteReference w:id="7"/>
      </w:r>
      <w:r w:rsidR="005D3CB8" w:rsidRPr="004157C2">
        <w:t xml:space="preserve"> compared to 38 percent in Vanuatu, 64 percent in Samoa, 66 percent in Tonga, and 79 percent in Fiji.  </w:t>
      </w:r>
      <w:r w:rsidR="004157C2" w:rsidRPr="004157C2">
        <w:t>Estimates of adult literacy vary greatly, with the 1999 census figure cited at 76.6</w:t>
      </w:r>
      <w:r w:rsidR="00472646">
        <w:t xml:space="preserve"> percent</w:t>
      </w:r>
      <w:r w:rsidR="004157C2" w:rsidRPr="004157C2">
        <w:t>.  However a detailed literacy assessment undertaken by the Asia Pacific Bureau of Adult Education</w:t>
      </w:r>
      <w:r w:rsidR="004157C2" w:rsidRPr="004157C2">
        <w:rPr>
          <w:vertAlign w:val="superscript"/>
        </w:rPr>
        <w:footnoteReference w:id="8"/>
      </w:r>
      <w:r w:rsidR="004157C2" w:rsidRPr="004157C2">
        <w:t xml:space="preserve"> in Honiara and Malaita in 2007 found that only 28</w:t>
      </w:r>
      <w:r w:rsidR="00472646">
        <w:t xml:space="preserve"> percent</w:t>
      </w:r>
      <w:r w:rsidR="004157C2" w:rsidRPr="004157C2">
        <w:t xml:space="preserve"> of students completing primary school were found to be literate, and under half of secondary graduates.  Given high</w:t>
      </w:r>
      <w:r w:rsidR="00B41F3E">
        <w:t xml:space="preserve"> SIG </w:t>
      </w:r>
      <w:r w:rsidR="004157C2" w:rsidRPr="004157C2">
        <w:t>spending in this sector, it is likely that more could be achieved per education dollar</w:t>
      </w:r>
      <w:r w:rsidR="002B5664">
        <w:t xml:space="preserve"> in terms of impact and quality</w:t>
      </w:r>
      <w:r w:rsidR="004157C2" w:rsidRPr="004157C2">
        <w:t xml:space="preserve">.  </w:t>
      </w:r>
      <w:r w:rsidR="00472646" w:rsidRPr="006F67E2">
        <w:t xml:space="preserve">Recommendations for reform can be found in the </w:t>
      </w:r>
      <w:r w:rsidR="00B41F3E">
        <w:t>Fast Track Initiative</w:t>
      </w:r>
      <w:r w:rsidR="00472646" w:rsidRPr="006F67E2">
        <w:t xml:space="preserve"> (2009) Education Sector Public Expenditure Review.</w:t>
      </w:r>
    </w:p>
    <w:p w:rsidR="00472646" w:rsidRDefault="00472646" w:rsidP="00AB6A47">
      <w:pPr>
        <w:pStyle w:val="ListParagraph"/>
        <w:tabs>
          <w:tab w:val="left" w:pos="720"/>
        </w:tabs>
        <w:ind w:left="0"/>
        <w:jc w:val="both"/>
      </w:pPr>
    </w:p>
    <w:p w:rsidR="00BC2661" w:rsidRPr="00BC2661" w:rsidRDefault="000A0519" w:rsidP="00AB6A47">
      <w:pPr>
        <w:pStyle w:val="ListParagraph"/>
        <w:tabs>
          <w:tab w:val="left" w:pos="720"/>
        </w:tabs>
        <w:ind w:left="0"/>
        <w:jc w:val="both"/>
      </w:pPr>
      <w:r w:rsidRPr="00C0478B">
        <w:fldChar w:fldCharType="begin"/>
      </w:r>
      <w:r w:rsidR="00C12B29" w:rsidRPr="00C0478B">
        <w:instrText xml:space="preserve"> AUTONUM  \* Arabic </w:instrText>
      </w:r>
      <w:r w:rsidRPr="00C0478B">
        <w:fldChar w:fldCharType="end"/>
      </w:r>
      <w:r w:rsidR="00C12B29" w:rsidRPr="00C0478B">
        <w:tab/>
      </w:r>
      <w:r w:rsidR="00C12B29" w:rsidRPr="00C12B29">
        <w:rPr>
          <w:b/>
        </w:rPr>
        <w:t xml:space="preserve">The </w:t>
      </w:r>
      <w:r w:rsidR="001F22C2">
        <w:rPr>
          <w:b/>
        </w:rPr>
        <w:t xml:space="preserve">geographic </w:t>
      </w:r>
      <w:r w:rsidR="00C12B29" w:rsidRPr="00C12B29">
        <w:rPr>
          <w:b/>
        </w:rPr>
        <w:t xml:space="preserve">distribution of </w:t>
      </w:r>
      <w:r w:rsidR="001F22C2">
        <w:rPr>
          <w:b/>
        </w:rPr>
        <w:t>p</w:t>
      </w:r>
      <w:r w:rsidR="001F22C2" w:rsidRPr="00C12B29">
        <w:rPr>
          <w:b/>
        </w:rPr>
        <w:t xml:space="preserve">rovincial </w:t>
      </w:r>
      <w:r w:rsidR="00C12B29" w:rsidRPr="00C12B29">
        <w:rPr>
          <w:b/>
        </w:rPr>
        <w:t xml:space="preserve">grants </w:t>
      </w:r>
      <w:r w:rsidR="001F22C2">
        <w:rPr>
          <w:b/>
        </w:rPr>
        <w:t>is very uneven</w:t>
      </w:r>
      <w:r w:rsidR="00C12B29" w:rsidRPr="00C12B29">
        <w:rPr>
          <w:b/>
        </w:rPr>
        <w:t>.</w:t>
      </w:r>
      <w:r w:rsidR="00C12B29">
        <w:t xml:space="preserve">  </w:t>
      </w:r>
      <w:r w:rsidR="00C12B29" w:rsidRPr="002F27D3">
        <w:t>Provincial grants make up only about 2</w:t>
      </w:r>
      <w:r w:rsidR="00C12B29">
        <w:t xml:space="preserve"> percent</w:t>
      </w:r>
      <w:r w:rsidR="001D5B2F">
        <w:rPr>
          <w:rStyle w:val="FootnoteReference"/>
        </w:rPr>
        <w:footnoteReference w:id="9"/>
      </w:r>
      <w:r w:rsidR="00C12B29" w:rsidRPr="002F27D3">
        <w:t xml:space="preserve"> </w:t>
      </w:r>
      <w:r w:rsidR="001D5B2F">
        <w:t xml:space="preserve">of total </w:t>
      </w:r>
      <w:r w:rsidR="004E6584">
        <w:t>g</w:t>
      </w:r>
      <w:r w:rsidR="001D5B2F">
        <w:t>overnment expenditure</w:t>
      </w:r>
      <w:r w:rsidR="00C12B29" w:rsidRPr="002F27D3">
        <w:t xml:space="preserve"> </w:t>
      </w:r>
      <w:r w:rsidR="001D5B2F">
        <w:t xml:space="preserve">with actual transfers </w:t>
      </w:r>
      <w:r w:rsidR="00C828FC">
        <w:t xml:space="preserve">sometimes </w:t>
      </w:r>
      <w:r w:rsidR="001D5B2F">
        <w:t xml:space="preserve">less than </w:t>
      </w:r>
      <w:r w:rsidR="00C828FC">
        <w:t xml:space="preserve">what was </w:t>
      </w:r>
      <w:r w:rsidR="001D5B2F">
        <w:t>allocated</w:t>
      </w:r>
      <w:r w:rsidR="00C12B29" w:rsidRPr="002F27D3">
        <w:t xml:space="preserve">. </w:t>
      </w:r>
      <w:r w:rsidR="00C12B29">
        <w:t xml:space="preserve"> </w:t>
      </w:r>
      <w:r w:rsidR="001D5B2F">
        <w:t xml:space="preserve">The distribution of grants is very uneven.  </w:t>
      </w:r>
      <w:proofErr w:type="spellStart"/>
      <w:r w:rsidR="00C12B29" w:rsidRPr="002F27D3">
        <w:t>Rennel</w:t>
      </w:r>
      <w:r w:rsidR="00FE27B5">
        <w:t>l</w:t>
      </w:r>
      <w:proofErr w:type="spellEnd"/>
      <w:r w:rsidR="00C12B29" w:rsidRPr="002F27D3">
        <w:t xml:space="preserve"> and Bellona </w:t>
      </w:r>
      <w:r w:rsidR="00D714D7">
        <w:t xml:space="preserve">were to </w:t>
      </w:r>
      <w:r w:rsidR="00C12B29" w:rsidRPr="002F27D3">
        <w:t xml:space="preserve">receive per </w:t>
      </w:r>
      <w:r w:rsidR="00C12B29" w:rsidRPr="00B634A8">
        <w:t xml:space="preserve">capita grants of </w:t>
      </w:r>
      <w:r w:rsidR="00D714D7">
        <w:t>roughly</w:t>
      </w:r>
      <w:r w:rsidR="00D714D7" w:rsidRPr="00B634A8">
        <w:t xml:space="preserve"> </w:t>
      </w:r>
      <w:r w:rsidR="00C12B29" w:rsidRPr="00B634A8">
        <w:t>SBD</w:t>
      </w:r>
      <w:r w:rsidR="00D714D7">
        <w:t>1</w:t>
      </w:r>
      <w:proofErr w:type="gramStart"/>
      <w:r w:rsidR="00D714D7">
        <w:t>,</w:t>
      </w:r>
      <w:r w:rsidR="00D714D7" w:rsidRPr="00B634A8">
        <w:t>5</w:t>
      </w:r>
      <w:r w:rsidR="00D714D7">
        <w:t>00</w:t>
      </w:r>
      <w:proofErr w:type="gramEnd"/>
      <w:r w:rsidR="00D714D7" w:rsidRPr="00B634A8">
        <w:t xml:space="preserve"> </w:t>
      </w:r>
      <w:r w:rsidR="00C12B29" w:rsidRPr="00B634A8">
        <w:t xml:space="preserve">in </w:t>
      </w:r>
      <w:r w:rsidR="00D714D7" w:rsidRPr="00B634A8">
        <w:t>20</w:t>
      </w:r>
      <w:r w:rsidR="00D714D7">
        <w:t>10</w:t>
      </w:r>
      <w:r w:rsidR="00C12B29" w:rsidRPr="00B634A8">
        <w:t xml:space="preserve">, while </w:t>
      </w:r>
      <w:proofErr w:type="spellStart"/>
      <w:r w:rsidR="00C12B29" w:rsidRPr="00B634A8">
        <w:t>Malaita</w:t>
      </w:r>
      <w:proofErr w:type="spellEnd"/>
      <w:r w:rsidR="00C12B29" w:rsidRPr="00B634A8">
        <w:t xml:space="preserve"> </w:t>
      </w:r>
      <w:r w:rsidR="00D714D7">
        <w:t xml:space="preserve">was to </w:t>
      </w:r>
      <w:r w:rsidR="00C12B29" w:rsidRPr="00B634A8">
        <w:t xml:space="preserve">receive </w:t>
      </w:r>
      <w:r w:rsidR="00D714D7" w:rsidRPr="00B634A8">
        <w:t>SBD</w:t>
      </w:r>
      <w:r w:rsidR="00D714D7">
        <w:t>19</w:t>
      </w:r>
      <w:r w:rsidR="00C12B29" w:rsidRPr="00B634A8">
        <w:t>.</w:t>
      </w:r>
      <w:r w:rsidR="00C12B29">
        <w:rPr>
          <w:rStyle w:val="FootnoteReference"/>
        </w:rPr>
        <w:footnoteReference w:id="10"/>
      </w:r>
      <w:r w:rsidR="00C12B29" w:rsidRPr="00B634A8">
        <w:t xml:space="preserve">  </w:t>
      </w:r>
      <w:r w:rsidR="00C12B29" w:rsidRPr="002F27D3">
        <w:t>Real per capita grants to provinces are shown in Figure</w:t>
      </w:r>
      <w:r w:rsidR="001D5B2F">
        <w:rPr>
          <w:color w:val="FFFFFF" w:themeColor="background1"/>
        </w:rPr>
        <w:t xml:space="preserve"> </w:t>
      </w:r>
      <w:r w:rsidR="00C12B29" w:rsidRPr="002F27D3">
        <w:t>1.</w:t>
      </w:r>
      <w:r w:rsidR="00C12B29">
        <w:t xml:space="preserve">  </w:t>
      </w:r>
      <w:r w:rsidR="00C12B29" w:rsidRPr="00B634A8">
        <w:t xml:space="preserve">Household survey data from 2005/06 indicate the situation should be reversed since Malaita has one of the poorest populations and </w:t>
      </w:r>
      <w:proofErr w:type="spellStart"/>
      <w:r w:rsidR="00C12B29" w:rsidRPr="00B634A8">
        <w:t>Rennel</w:t>
      </w:r>
      <w:r w:rsidR="00FE27B5">
        <w:t>l</w:t>
      </w:r>
      <w:proofErr w:type="spellEnd"/>
      <w:r w:rsidR="00C12B29" w:rsidRPr="00B634A8">
        <w:t xml:space="preserve"> and Bellona has one of the richest</w:t>
      </w:r>
      <w:r w:rsidR="00C12B29">
        <w:t>, as illustrated in Figure 2</w:t>
      </w:r>
      <w:r w:rsidR="00C12B29" w:rsidRPr="00B634A8">
        <w:t xml:space="preserve">.  </w:t>
      </w:r>
      <w:r w:rsidR="00C12B29" w:rsidRPr="002F27D3">
        <w:t xml:space="preserve"> </w:t>
      </w:r>
      <w:r w:rsidR="00C12B29">
        <w:t xml:space="preserve"> </w:t>
      </w:r>
      <w:r w:rsidR="001F22C2">
        <w:t xml:space="preserve">The situation will need further study.  It is possible that spending by sector ministries in each </w:t>
      </w:r>
      <w:r w:rsidR="001F22C2">
        <w:lastRenderedPageBreak/>
        <w:t>province help smooth out the distribution (although health data do not support this hypothesis).  In addition, there are some scale effects to the extent that there are fixed administrative costs that must be financed regardless of the levels of provincial populations or poverty.</w:t>
      </w:r>
    </w:p>
    <w:p w:rsidR="00C12B29" w:rsidRDefault="00C12B29" w:rsidP="00673324">
      <w:pPr>
        <w:pStyle w:val="ListParagraph"/>
        <w:tabs>
          <w:tab w:val="left" w:pos="720"/>
        </w:tabs>
        <w:ind w:left="0"/>
      </w:pPr>
    </w:p>
    <w:tbl>
      <w:tblPr>
        <w:tblStyle w:val="TableGrid"/>
        <w:tblW w:w="0" w:type="auto"/>
        <w:tblLook w:val="04A0"/>
      </w:tblPr>
      <w:tblGrid>
        <w:gridCol w:w="4747"/>
        <w:gridCol w:w="4829"/>
      </w:tblGrid>
      <w:tr w:rsidR="006157EA" w:rsidTr="001D5B2F">
        <w:trPr>
          <w:trHeight w:val="3600"/>
        </w:trPr>
        <w:tc>
          <w:tcPr>
            <w:tcW w:w="4749" w:type="dxa"/>
          </w:tcPr>
          <w:p w:rsidR="006157EA" w:rsidRDefault="006157EA" w:rsidP="00673324">
            <w:pPr>
              <w:pStyle w:val="ListParagraph"/>
              <w:tabs>
                <w:tab w:val="left" w:pos="720"/>
              </w:tabs>
              <w:ind w:left="0"/>
              <w:jc w:val="center"/>
              <w:rPr>
                <w:sz w:val="16"/>
                <w:szCs w:val="16"/>
              </w:rPr>
            </w:pPr>
            <w:r>
              <w:rPr>
                <w:b/>
                <w:sz w:val="16"/>
                <w:szCs w:val="16"/>
              </w:rPr>
              <w:t>Figure 1</w:t>
            </w:r>
            <w:r w:rsidRPr="006157EA">
              <w:rPr>
                <w:b/>
                <w:sz w:val="16"/>
                <w:szCs w:val="16"/>
              </w:rPr>
              <w:t>:</w:t>
            </w:r>
            <w:r w:rsidRPr="006157EA">
              <w:rPr>
                <w:sz w:val="16"/>
                <w:szCs w:val="16"/>
              </w:rPr>
              <w:t xml:space="preserve">  Provincial Grants per Capita in 2010</w:t>
            </w:r>
          </w:p>
          <w:p w:rsidR="006157EA" w:rsidRPr="006157EA" w:rsidRDefault="00D714D7" w:rsidP="00673324">
            <w:pPr>
              <w:pStyle w:val="ListParagraph"/>
              <w:tabs>
                <w:tab w:val="left" w:pos="720"/>
              </w:tabs>
              <w:ind w:left="0"/>
              <w:rPr>
                <w:sz w:val="16"/>
                <w:szCs w:val="16"/>
              </w:rPr>
            </w:pPr>
            <w:r w:rsidRPr="00D714D7">
              <w:rPr>
                <w:noProof/>
                <w:sz w:val="16"/>
                <w:szCs w:val="16"/>
              </w:rPr>
              <w:drawing>
                <wp:inline distT="0" distB="0" distL="0" distR="0">
                  <wp:extent cx="2833991" cy="186771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57EA" w:rsidRPr="006157EA" w:rsidRDefault="006157EA" w:rsidP="00673324">
            <w:pPr>
              <w:tabs>
                <w:tab w:val="left" w:pos="720"/>
              </w:tabs>
              <w:rPr>
                <w:rFonts w:eastAsia="Calibri"/>
                <w:sz w:val="16"/>
                <w:szCs w:val="16"/>
              </w:rPr>
            </w:pPr>
            <w:r w:rsidRPr="006157EA">
              <w:rPr>
                <w:rFonts w:eastAsia="Calibri"/>
                <w:i/>
                <w:sz w:val="16"/>
                <w:szCs w:val="16"/>
              </w:rPr>
              <w:t>Source</w:t>
            </w:r>
            <w:r w:rsidRPr="006157EA">
              <w:rPr>
                <w:rFonts w:eastAsia="Calibri"/>
                <w:sz w:val="16"/>
                <w:szCs w:val="16"/>
              </w:rPr>
              <w:t>:  Ministry of Finance and Treasury expenditure data, Bulletin 14/2010 and World Bank staff calculations.</w:t>
            </w:r>
          </w:p>
        </w:tc>
        <w:tc>
          <w:tcPr>
            <w:tcW w:w="4827" w:type="dxa"/>
          </w:tcPr>
          <w:p w:rsidR="006157EA" w:rsidRDefault="006157EA" w:rsidP="00673324">
            <w:pPr>
              <w:tabs>
                <w:tab w:val="left" w:pos="720"/>
              </w:tabs>
              <w:jc w:val="center"/>
              <w:rPr>
                <w:rFonts w:eastAsia="Calibri"/>
                <w:sz w:val="16"/>
                <w:szCs w:val="16"/>
              </w:rPr>
            </w:pPr>
            <w:r>
              <w:rPr>
                <w:rFonts w:eastAsia="Calibri"/>
                <w:b/>
                <w:sz w:val="16"/>
                <w:szCs w:val="16"/>
              </w:rPr>
              <w:t xml:space="preserve">Figure </w:t>
            </w:r>
            <w:r w:rsidRPr="006157EA">
              <w:rPr>
                <w:rFonts w:eastAsia="Calibri"/>
                <w:b/>
                <w:sz w:val="16"/>
                <w:szCs w:val="16"/>
              </w:rPr>
              <w:t>2:</w:t>
            </w:r>
            <w:r w:rsidRPr="006157EA">
              <w:rPr>
                <w:rFonts w:eastAsia="Calibri"/>
                <w:sz w:val="16"/>
                <w:szCs w:val="16"/>
              </w:rPr>
              <w:t xml:space="preserve">  Households in Lowest 3 Household Expenditure Deciles</w:t>
            </w:r>
          </w:p>
          <w:p w:rsidR="006157EA" w:rsidRPr="006157EA" w:rsidRDefault="006157EA" w:rsidP="00673324">
            <w:pPr>
              <w:tabs>
                <w:tab w:val="left" w:pos="720"/>
              </w:tabs>
              <w:rPr>
                <w:rFonts w:eastAsia="Calibri"/>
                <w:sz w:val="16"/>
                <w:szCs w:val="16"/>
              </w:rPr>
            </w:pPr>
          </w:p>
          <w:p w:rsidR="006157EA" w:rsidRPr="006157EA" w:rsidRDefault="006157EA" w:rsidP="00673324">
            <w:pPr>
              <w:tabs>
                <w:tab w:val="left" w:pos="720"/>
              </w:tabs>
              <w:rPr>
                <w:rFonts w:eastAsia="Calibri"/>
                <w:sz w:val="16"/>
                <w:szCs w:val="16"/>
              </w:rPr>
            </w:pPr>
            <w:r w:rsidRPr="006157EA">
              <w:rPr>
                <w:rFonts w:eastAsia="Calibri"/>
                <w:noProof/>
                <w:sz w:val="16"/>
                <w:szCs w:val="16"/>
              </w:rPr>
              <w:drawing>
                <wp:inline distT="0" distB="0" distL="0" distR="0">
                  <wp:extent cx="2928730" cy="1742661"/>
                  <wp:effectExtent l="0" t="0" r="0" b="0"/>
                  <wp:docPr id="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57EA" w:rsidRDefault="006157EA" w:rsidP="00673324">
            <w:pPr>
              <w:pStyle w:val="ListParagraph"/>
              <w:tabs>
                <w:tab w:val="left" w:pos="720"/>
              </w:tabs>
              <w:ind w:left="0"/>
            </w:pPr>
            <w:r w:rsidRPr="006157EA">
              <w:rPr>
                <w:rFonts w:eastAsia="Calibri"/>
                <w:i/>
                <w:sz w:val="16"/>
                <w:szCs w:val="16"/>
              </w:rPr>
              <w:t>Source</w:t>
            </w:r>
            <w:r w:rsidRPr="006157EA">
              <w:rPr>
                <w:rFonts w:eastAsia="Calibri"/>
                <w:sz w:val="16"/>
                <w:szCs w:val="16"/>
              </w:rPr>
              <w:t>:  Solomon Islands: Analysis of Poverty from 2005/06 HIES, Table 17.</w:t>
            </w:r>
          </w:p>
        </w:tc>
      </w:tr>
    </w:tbl>
    <w:p w:rsidR="00C12B29" w:rsidRDefault="00C12B29" w:rsidP="00673324">
      <w:pPr>
        <w:pStyle w:val="ListParagraph"/>
        <w:tabs>
          <w:tab w:val="left" w:pos="720"/>
        </w:tabs>
        <w:ind w:left="0"/>
      </w:pPr>
    </w:p>
    <w:p w:rsidR="001F22C2" w:rsidRDefault="000A0519" w:rsidP="00AB6A47">
      <w:pPr>
        <w:pStyle w:val="ListParagraph"/>
        <w:tabs>
          <w:tab w:val="left" w:pos="720"/>
        </w:tabs>
        <w:ind w:left="0"/>
        <w:jc w:val="both"/>
      </w:pPr>
      <w:r w:rsidRPr="001F22C2">
        <w:fldChar w:fldCharType="begin"/>
      </w:r>
      <w:r w:rsidR="001F22C2" w:rsidRPr="001F22C2">
        <w:instrText xml:space="preserve"> AUTONUM  \* Arabic </w:instrText>
      </w:r>
      <w:r w:rsidRPr="001F22C2">
        <w:fldChar w:fldCharType="end"/>
      </w:r>
      <w:r w:rsidR="001F22C2" w:rsidRPr="001F22C2">
        <w:tab/>
        <w:t xml:space="preserve">It’s also striking that the various constituency development funds </w:t>
      </w:r>
      <w:r w:rsidR="002B5664">
        <w:t xml:space="preserve">help to </w:t>
      </w:r>
      <w:r w:rsidR="001F22C2" w:rsidRPr="001F22C2">
        <w:t>ensure that MPs have a much larger role in many local citizens’ lives than their provincial governments</w:t>
      </w:r>
      <w:r w:rsidR="002B5664">
        <w:t xml:space="preserve"> do</w:t>
      </w:r>
      <w:r w:rsidR="001F22C2" w:rsidRPr="001F22C2">
        <w:t xml:space="preserve">.  For example, in the Province of </w:t>
      </w:r>
      <w:proofErr w:type="spellStart"/>
      <w:r w:rsidR="001F22C2" w:rsidRPr="001F22C2">
        <w:t>Malaita</w:t>
      </w:r>
      <w:proofErr w:type="spellEnd"/>
      <w:r w:rsidR="001F22C2" w:rsidRPr="001F22C2">
        <w:t>, MPs could disburse up to SBD$24.6 million in 2010 whereas the Provincial Government spending would amount to about SBD$6 million that year.  Unfortunately, there is no effective requirement that the actual use of these monies and their impact be monitored and reported.</w:t>
      </w:r>
      <w:r w:rsidR="001F22C2" w:rsidRPr="001F22C2">
        <w:rPr>
          <w:vertAlign w:val="superscript"/>
        </w:rPr>
        <w:footnoteReference w:id="11"/>
      </w:r>
    </w:p>
    <w:p w:rsidR="00C12B29" w:rsidRDefault="00C12B29" w:rsidP="00673324">
      <w:pPr>
        <w:pStyle w:val="ListParagraph"/>
        <w:tabs>
          <w:tab w:val="left" w:pos="720"/>
        </w:tabs>
        <w:ind w:left="0"/>
      </w:pPr>
    </w:p>
    <w:p w:rsidR="00472718" w:rsidRDefault="00472718" w:rsidP="00673324">
      <w:pPr>
        <w:pStyle w:val="ListParagraph"/>
        <w:tabs>
          <w:tab w:val="left" w:pos="720"/>
        </w:tabs>
        <w:ind w:left="0"/>
      </w:pPr>
    </w:p>
    <w:p w:rsidR="00C12B29" w:rsidRPr="00C12B29" w:rsidRDefault="00C12B29" w:rsidP="00673324">
      <w:pPr>
        <w:pStyle w:val="ListParagraph"/>
        <w:tabs>
          <w:tab w:val="left" w:pos="720"/>
        </w:tabs>
        <w:ind w:left="0"/>
        <w:jc w:val="center"/>
        <w:rPr>
          <w:b/>
        </w:rPr>
      </w:pPr>
      <w:r w:rsidRPr="00C12B29">
        <w:rPr>
          <w:b/>
        </w:rPr>
        <w:t>II. DIAGNOSIS</w:t>
      </w:r>
    </w:p>
    <w:p w:rsidR="00C12B29" w:rsidRDefault="00C12B29" w:rsidP="00673324">
      <w:pPr>
        <w:pStyle w:val="ListParagraph"/>
        <w:tabs>
          <w:tab w:val="left" w:pos="720"/>
        </w:tabs>
        <w:ind w:left="0"/>
      </w:pPr>
    </w:p>
    <w:p w:rsidR="008C74CA" w:rsidRPr="00226ADD" w:rsidRDefault="000A0519" w:rsidP="00673324">
      <w:pPr>
        <w:tabs>
          <w:tab w:val="left" w:pos="720"/>
        </w:tabs>
        <w:jc w:val="both"/>
      </w:pPr>
      <w:r w:rsidRPr="00C0478B">
        <w:fldChar w:fldCharType="begin"/>
      </w:r>
      <w:r w:rsidR="00C0478B" w:rsidRPr="00C0478B">
        <w:instrText xml:space="preserve"> AUTONUM  \* Arabic </w:instrText>
      </w:r>
      <w:r w:rsidRPr="00C0478B">
        <w:fldChar w:fldCharType="end"/>
      </w:r>
      <w:r w:rsidR="00C0478B" w:rsidRPr="00C0478B">
        <w:tab/>
      </w:r>
      <w:r w:rsidR="00A36747">
        <w:rPr>
          <w:b/>
        </w:rPr>
        <w:t>Some of the difficulties in getting good results can be traced to local conditions beyond government control.</w:t>
      </w:r>
      <w:r w:rsidR="0044687D">
        <w:t xml:space="preserve">  </w:t>
      </w:r>
      <w:r w:rsidR="00BA2C06">
        <w:t>A</w:t>
      </w:r>
      <w:r w:rsidR="0044687D">
        <w:t>dministration costs and travel costs</w:t>
      </w:r>
      <w:r w:rsidR="00BA2C06">
        <w:t>, for example,</w:t>
      </w:r>
      <w:r w:rsidR="0044687D">
        <w:t xml:space="preserve"> are increased by the geographic dispersion of the islands.  Road construction is made difficult by the mountainous terrain on most islands.  </w:t>
      </w:r>
      <w:r w:rsidR="00C828FC">
        <w:t>SIG</w:t>
      </w:r>
      <w:r w:rsidR="0044687D">
        <w:t xml:space="preserve"> </w:t>
      </w:r>
      <w:r w:rsidR="00C828FC">
        <w:t xml:space="preserve">is </w:t>
      </w:r>
      <w:r w:rsidR="0044687D">
        <w:t>heav</w:t>
      </w:r>
      <w:r w:rsidR="00C828FC">
        <w:t>il</w:t>
      </w:r>
      <w:r w:rsidR="0044687D">
        <w:t xml:space="preserve">y </w:t>
      </w:r>
      <w:r w:rsidR="00C828FC">
        <w:t xml:space="preserve">dependent on expensive imports </w:t>
      </w:r>
      <w:r w:rsidR="0044687D">
        <w:t xml:space="preserve">due to the fact that few products are manufactured in the Solomon Islands because the population is too small to justify major investments in manufacturing.  </w:t>
      </w:r>
      <w:r w:rsidR="00C828FC">
        <w:t>I</w:t>
      </w:r>
      <w:r w:rsidR="0044687D">
        <w:t>mports are expensive because the islands are quite remote from many trading partners.  Yet, these obstacles are also common to most other neighboring countries</w:t>
      </w:r>
      <w:r w:rsidR="00C828FC" w:rsidRPr="00C828FC">
        <w:rPr>
          <w:vertAlign w:val="superscript"/>
        </w:rPr>
        <w:footnoteReference w:id="12"/>
      </w:r>
      <w:r w:rsidR="008660CF">
        <w:t xml:space="preserve"> – and </w:t>
      </w:r>
      <w:r w:rsidR="00C828FC">
        <w:t xml:space="preserve">many of </w:t>
      </w:r>
      <w:r w:rsidR="008660CF">
        <w:t>those countries are generally performing better with regard to public service provision</w:t>
      </w:r>
      <w:r w:rsidR="0044687D">
        <w:t>.</w:t>
      </w:r>
      <w:r w:rsidR="008660CF">
        <w:t xml:space="preserve">  </w:t>
      </w:r>
    </w:p>
    <w:p w:rsidR="008C74CA" w:rsidRDefault="008C74CA" w:rsidP="00673324">
      <w:pPr>
        <w:pStyle w:val="ListParagraph"/>
        <w:tabs>
          <w:tab w:val="left" w:pos="720"/>
        </w:tabs>
        <w:ind w:left="0"/>
      </w:pPr>
    </w:p>
    <w:p w:rsidR="00FD15BF" w:rsidRPr="00FD15BF" w:rsidRDefault="000A0519" w:rsidP="00AB6A47">
      <w:pPr>
        <w:pStyle w:val="ListParagraph"/>
        <w:tabs>
          <w:tab w:val="left" w:pos="720"/>
        </w:tabs>
        <w:ind w:left="0"/>
        <w:jc w:val="both"/>
      </w:pPr>
      <w:r w:rsidRPr="00C0478B">
        <w:fldChar w:fldCharType="begin"/>
      </w:r>
      <w:r w:rsidR="00C0478B" w:rsidRPr="00C0478B">
        <w:instrText xml:space="preserve"> AUTONUM  \* Arabic </w:instrText>
      </w:r>
      <w:r w:rsidRPr="00C0478B">
        <w:fldChar w:fldCharType="end"/>
      </w:r>
      <w:r w:rsidR="00C0478B" w:rsidRPr="00C0478B">
        <w:tab/>
      </w:r>
      <w:r w:rsidR="00A36747">
        <w:rPr>
          <w:b/>
          <w:color w:val="000000" w:themeColor="text1"/>
        </w:rPr>
        <w:t>Some</w:t>
      </w:r>
      <w:r w:rsidR="00A36747" w:rsidRPr="00A92E9D">
        <w:rPr>
          <w:b/>
          <w:color w:val="000000" w:themeColor="text1"/>
        </w:rPr>
        <w:t xml:space="preserve"> </w:t>
      </w:r>
      <w:r w:rsidR="00C0478B" w:rsidRPr="00A92E9D">
        <w:rPr>
          <w:b/>
          <w:color w:val="000000" w:themeColor="text1"/>
        </w:rPr>
        <w:t xml:space="preserve">of </w:t>
      </w:r>
      <w:r w:rsidR="00FD2E32" w:rsidRPr="00A92E9D">
        <w:rPr>
          <w:b/>
          <w:color w:val="000000" w:themeColor="text1"/>
        </w:rPr>
        <w:t>the problem</w:t>
      </w:r>
      <w:r w:rsidR="00C828FC">
        <w:rPr>
          <w:b/>
          <w:color w:val="000000" w:themeColor="text1"/>
        </w:rPr>
        <w:t>s</w:t>
      </w:r>
      <w:r w:rsidR="00FD2E32" w:rsidRPr="00A92E9D">
        <w:rPr>
          <w:b/>
          <w:color w:val="000000" w:themeColor="text1"/>
        </w:rPr>
        <w:t xml:space="preserve"> </w:t>
      </w:r>
      <w:r w:rsidR="00C828FC">
        <w:rPr>
          <w:b/>
          <w:color w:val="000000" w:themeColor="text1"/>
        </w:rPr>
        <w:t>are</w:t>
      </w:r>
      <w:r w:rsidR="00A36747">
        <w:rPr>
          <w:b/>
          <w:color w:val="000000" w:themeColor="text1"/>
        </w:rPr>
        <w:t xml:space="preserve"> within government control, </w:t>
      </w:r>
      <w:r w:rsidR="008660CF" w:rsidRPr="00A92E9D">
        <w:rPr>
          <w:b/>
          <w:color w:val="000000" w:themeColor="text1"/>
        </w:rPr>
        <w:t xml:space="preserve">the </w:t>
      </w:r>
      <w:r w:rsidR="00C0478B" w:rsidRPr="00A92E9D">
        <w:rPr>
          <w:b/>
          <w:color w:val="000000" w:themeColor="text1"/>
        </w:rPr>
        <w:t xml:space="preserve">budget </w:t>
      </w:r>
      <w:r w:rsidR="008660CF" w:rsidRPr="00A92E9D">
        <w:rPr>
          <w:b/>
          <w:color w:val="000000" w:themeColor="text1"/>
        </w:rPr>
        <w:t>process</w:t>
      </w:r>
      <w:r w:rsidR="00A36747">
        <w:rPr>
          <w:b/>
          <w:color w:val="000000" w:themeColor="text1"/>
        </w:rPr>
        <w:t xml:space="preserve"> in particular</w:t>
      </w:r>
      <w:r w:rsidR="008660CF" w:rsidRPr="00A92E9D">
        <w:rPr>
          <w:b/>
          <w:color w:val="000000" w:themeColor="text1"/>
        </w:rPr>
        <w:t>.</w:t>
      </w:r>
      <w:r w:rsidR="00BA2C06">
        <w:rPr>
          <w:b/>
          <w:color w:val="FF0000"/>
        </w:rPr>
        <w:t xml:space="preserve">  </w:t>
      </w:r>
      <w:r w:rsidR="00FD15BF">
        <w:t>A good budget process should</w:t>
      </w:r>
      <w:r w:rsidR="00BA2C06">
        <w:t xml:space="preserve"> do the following four things:</w:t>
      </w:r>
      <w:r w:rsidR="00FD15BF">
        <w:t xml:space="preserve"> </w:t>
      </w:r>
      <w:r w:rsidR="00BA2C06">
        <w:t xml:space="preserve"> </w:t>
      </w:r>
      <w:r w:rsidR="00BB20F2">
        <w:t xml:space="preserve">1) </w:t>
      </w:r>
      <w:r w:rsidR="00FD15BF">
        <w:t xml:space="preserve">allow the </w:t>
      </w:r>
      <w:r w:rsidR="004E6584">
        <w:t>g</w:t>
      </w:r>
      <w:r w:rsidR="00FD15BF">
        <w:t xml:space="preserve">overnment to </w:t>
      </w:r>
      <w:r w:rsidR="00FD15BF" w:rsidRPr="00FD15BF">
        <w:t xml:space="preserve">reach agreement, in consultation with citizens, on what shall </w:t>
      </w:r>
      <w:r w:rsidR="00BB20F2">
        <w:t xml:space="preserve">be </w:t>
      </w:r>
      <w:r w:rsidR="00FD15BF" w:rsidRPr="00FD15BF">
        <w:t>achieve</w:t>
      </w:r>
      <w:r w:rsidR="00BB20F2">
        <w:t>d</w:t>
      </w:r>
      <w:r w:rsidR="00FD15BF" w:rsidRPr="00FD15BF">
        <w:t xml:space="preserve"> with </w:t>
      </w:r>
      <w:r w:rsidR="00FD15BF">
        <w:t>its</w:t>
      </w:r>
      <w:r w:rsidR="00FD15BF" w:rsidRPr="00FD15BF">
        <w:t xml:space="preserve"> money</w:t>
      </w:r>
      <w:r w:rsidR="00FD15BF">
        <w:t>; 2) p</w:t>
      </w:r>
      <w:r w:rsidR="00FD15BF" w:rsidRPr="00FD15BF">
        <w:t xml:space="preserve">rovide the right amount of money to </w:t>
      </w:r>
      <w:r w:rsidR="00364FC1">
        <w:t>line mini</w:t>
      </w:r>
      <w:r w:rsidR="00FD15BF" w:rsidRPr="00FD15BF">
        <w:t xml:space="preserve">stries and Provincial Governments so they can achieve </w:t>
      </w:r>
      <w:r w:rsidR="004E6584">
        <w:t>g</w:t>
      </w:r>
      <w:r w:rsidR="00FD15BF" w:rsidRPr="00FD15BF">
        <w:t>overnment goals</w:t>
      </w:r>
      <w:r w:rsidR="00FD15BF">
        <w:t>; 3) e</w:t>
      </w:r>
      <w:r w:rsidR="00FD15BF" w:rsidRPr="00FD15BF">
        <w:t xml:space="preserve">nsure that </w:t>
      </w:r>
      <w:r w:rsidR="00364FC1">
        <w:t>line mini</w:t>
      </w:r>
      <w:r w:rsidR="00FD15BF" w:rsidRPr="00FD15BF">
        <w:t xml:space="preserve">stries </w:t>
      </w:r>
      <w:r w:rsidR="00FD15BF">
        <w:t xml:space="preserve">and Provincial Governments </w:t>
      </w:r>
      <w:r w:rsidR="00FD15BF" w:rsidRPr="00FD15BF">
        <w:lastRenderedPageBreak/>
        <w:t>make good use of the resources entrusted to them</w:t>
      </w:r>
      <w:r w:rsidR="00FD15BF">
        <w:t xml:space="preserve">; and 4) make it possible for officials, citizens, and donors </w:t>
      </w:r>
      <w:r w:rsidR="00FD15BF" w:rsidRPr="00FD15BF">
        <w:t xml:space="preserve">to check if </w:t>
      </w:r>
      <w:r w:rsidR="004E6584">
        <w:t>g</w:t>
      </w:r>
      <w:r w:rsidR="004E6584" w:rsidRPr="00FD15BF">
        <w:t>overnment</w:t>
      </w:r>
      <w:r w:rsidR="004E6584">
        <w:t xml:space="preserve"> </w:t>
      </w:r>
      <w:r w:rsidR="00FD15BF">
        <w:t xml:space="preserve">goals were achieved so that people within the government </w:t>
      </w:r>
      <w:r w:rsidR="00BB20F2">
        <w:t xml:space="preserve">administration </w:t>
      </w:r>
      <w:r w:rsidR="00FD15BF">
        <w:t>can be held accountable for results.</w:t>
      </w:r>
      <w:r w:rsidR="00BA2C06">
        <w:t xml:space="preserve">  </w:t>
      </w:r>
      <w:r w:rsidR="00903A32">
        <w:t>More succinctly</w:t>
      </w:r>
      <w:r w:rsidR="00C0478B">
        <w:t xml:space="preserve">, one should look for a well formed budget, faithfully executed with full transparency and accountability throughout.  </w:t>
      </w:r>
      <w:r w:rsidR="00C828FC">
        <w:t>N</w:t>
      </w:r>
      <w:r w:rsidR="00BA2C06">
        <w:t>one of these conditions are presently well met.</w:t>
      </w:r>
    </w:p>
    <w:p w:rsidR="00FD15BF" w:rsidRDefault="00FD15BF" w:rsidP="00673324">
      <w:pPr>
        <w:tabs>
          <w:tab w:val="left" w:pos="720"/>
        </w:tabs>
        <w:jc w:val="both"/>
      </w:pPr>
    </w:p>
    <w:p w:rsidR="00C0478B" w:rsidRPr="00C0478B" w:rsidRDefault="000A0519" w:rsidP="00673324">
      <w:pPr>
        <w:tabs>
          <w:tab w:val="left" w:pos="720"/>
        </w:tabs>
        <w:jc w:val="both"/>
      </w:pPr>
      <w:r w:rsidRPr="00C0478B">
        <w:fldChar w:fldCharType="begin"/>
      </w:r>
      <w:r w:rsidR="000E5C20" w:rsidRPr="00C0478B">
        <w:instrText xml:space="preserve"> AUTONUM  \* Arabic </w:instrText>
      </w:r>
      <w:r w:rsidRPr="00C0478B">
        <w:fldChar w:fldCharType="end"/>
      </w:r>
      <w:r w:rsidR="000E5C20" w:rsidRPr="00C0478B">
        <w:tab/>
      </w:r>
      <w:r w:rsidR="00C0478B">
        <w:rPr>
          <w:b/>
        </w:rPr>
        <w:t>The b</w:t>
      </w:r>
      <w:r w:rsidR="00C0478B" w:rsidRPr="00C0478B">
        <w:rPr>
          <w:b/>
        </w:rPr>
        <w:t xml:space="preserve">udget formation </w:t>
      </w:r>
      <w:r w:rsidR="00C0478B">
        <w:rPr>
          <w:b/>
        </w:rPr>
        <w:t xml:space="preserve">process </w:t>
      </w:r>
      <w:r w:rsidR="00C0478B" w:rsidRPr="00C0478B">
        <w:rPr>
          <w:b/>
        </w:rPr>
        <w:t>needs strengthening</w:t>
      </w:r>
      <w:r w:rsidR="00C0478B" w:rsidRPr="00C0478B">
        <w:t>.  The PER team found three main issues</w:t>
      </w:r>
      <w:r w:rsidR="000E5C20">
        <w:t xml:space="preserve"> related to budget formation</w:t>
      </w:r>
      <w:r w:rsidR="00C0478B" w:rsidRPr="00C0478B">
        <w:t xml:space="preserve">:  </w:t>
      </w:r>
      <w:r w:rsidR="00903A32">
        <w:t>a</w:t>
      </w:r>
      <w:r w:rsidR="00C0478B" w:rsidRPr="00C0478B">
        <w:t xml:space="preserve">) </w:t>
      </w:r>
      <w:r w:rsidR="00903A32">
        <w:t>policy priorities, plans, and budgets are not well linked or integrated</w:t>
      </w:r>
      <w:proofErr w:type="gramStart"/>
      <w:r w:rsidR="00C0478B">
        <w:t xml:space="preserve">;  </w:t>
      </w:r>
      <w:r w:rsidR="00903A32">
        <w:t>b</w:t>
      </w:r>
      <w:proofErr w:type="gramEnd"/>
      <w:r w:rsidR="00C0478B">
        <w:t>) b</w:t>
      </w:r>
      <w:r w:rsidR="00C0478B" w:rsidRPr="00C0478B">
        <w:t xml:space="preserve">udgetary allocations are made with little consultation with the </w:t>
      </w:r>
      <w:r w:rsidR="00770DE5">
        <w:t>l</w:t>
      </w:r>
      <w:r w:rsidR="00C0478B" w:rsidRPr="00C0478B">
        <w:t xml:space="preserve">ine </w:t>
      </w:r>
      <w:r w:rsidR="00770DE5">
        <w:t>m</w:t>
      </w:r>
      <w:r w:rsidR="00C0478B" w:rsidRPr="00C0478B">
        <w:t>inistries</w:t>
      </w:r>
      <w:r w:rsidR="00770DE5">
        <w:t xml:space="preserve"> or citizens</w:t>
      </w:r>
      <w:r w:rsidR="008672B7">
        <w:t xml:space="preserve"> and without a feed-back process to facilitate corrections</w:t>
      </w:r>
      <w:r w:rsidR="00C0478B">
        <w:t xml:space="preserve">; and </w:t>
      </w:r>
      <w:r w:rsidR="00903A32">
        <w:t>c</w:t>
      </w:r>
      <w:r w:rsidR="00C0478B">
        <w:t>)</w:t>
      </w:r>
      <w:r w:rsidR="00C0478B" w:rsidRPr="00C0478B">
        <w:t xml:space="preserve"> </w:t>
      </w:r>
      <w:r w:rsidR="00C0478B">
        <w:t>t</w:t>
      </w:r>
      <w:r w:rsidR="00C0478B" w:rsidRPr="00C0478B">
        <w:t>here is a general lack of consistency over time in allocations to public services.</w:t>
      </w:r>
    </w:p>
    <w:p w:rsidR="00C0478B" w:rsidRDefault="00C0478B" w:rsidP="00673324">
      <w:pPr>
        <w:tabs>
          <w:tab w:val="left" w:pos="720"/>
        </w:tabs>
        <w:jc w:val="both"/>
      </w:pPr>
    </w:p>
    <w:p w:rsidR="00BB20F2" w:rsidRDefault="00770DE5" w:rsidP="00AB6A47">
      <w:pPr>
        <w:pStyle w:val="ListParagraph"/>
        <w:numPr>
          <w:ilvl w:val="0"/>
          <w:numId w:val="5"/>
        </w:numPr>
        <w:tabs>
          <w:tab w:val="left" w:pos="720"/>
        </w:tabs>
        <w:ind w:left="360"/>
        <w:jc w:val="both"/>
      </w:pPr>
      <w:r w:rsidRPr="00770DE5">
        <w:rPr>
          <w:b/>
        </w:rPr>
        <w:t>It is not clear how budgets support SIG policy and plans.</w:t>
      </w:r>
      <w:r>
        <w:t xml:space="preserve">  </w:t>
      </w:r>
      <w:r w:rsidRPr="00770DE5">
        <w:t>The Ministry of Planning requests that each ministry develop a four year corporate plan.  Ministries are also asked to prepare an annual or operational plan for each year of the corporate plan.  These plans lay out in more detail, what will be achieved from the implementation of each activity.   These plans typically include a large number of goals, often far more than could feasibly be achieved</w:t>
      </w:r>
      <w:r w:rsidR="008672B7">
        <w:t xml:space="preserve"> under present human and budget constraints</w:t>
      </w:r>
      <w:r>
        <w:t xml:space="preserve">.    </w:t>
      </w:r>
      <w:r w:rsidR="00BB20F2" w:rsidRPr="00BB20F2">
        <w:t xml:space="preserve">National plans </w:t>
      </w:r>
      <w:r w:rsidR="00187A96">
        <w:t xml:space="preserve">set targets for </w:t>
      </w:r>
      <w:r w:rsidR="00187A96" w:rsidRPr="00903A32">
        <w:rPr>
          <w:i/>
        </w:rPr>
        <w:t>outputs</w:t>
      </w:r>
      <w:r w:rsidR="00187A96">
        <w:t xml:space="preserve"> </w:t>
      </w:r>
      <w:r w:rsidR="00472646">
        <w:t xml:space="preserve">and/or </w:t>
      </w:r>
      <w:r w:rsidR="00472646" w:rsidRPr="00472646">
        <w:rPr>
          <w:i/>
        </w:rPr>
        <w:t>outcomes</w:t>
      </w:r>
      <w:r w:rsidR="00472646">
        <w:t xml:space="preserve"> </w:t>
      </w:r>
      <w:r w:rsidR="00187A96">
        <w:t xml:space="preserve">but these are </w:t>
      </w:r>
      <w:r w:rsidR="00BB20F2" w:rsidRPr="00BB20F2">
        <w:t xml:space="preserve">not </w:t>
      </w:r>
      <w:r w:rsidR="00187A96">
        <w:t xml:space="preserve">generally accompanied by cost estimates.  </w:t>
      </w:r>
      <w:r w:rsidR="00903A32">
        <w:t>By contrast, t</w:t>
      </w:r>
      <w:r w:rsidR="00187A96">
        <w:t xml:space="preserve">he national budgets are organized in terms of </w:t>
      </w:r>
      <w:r w:rsidR="00187A96" w:rsidRPr="00903A32">
        <w:rPr>
          <w:i/>
        </w:rPr>
        <w:t>inputs</w:t>
      </w:r>
      <w:r w:rsidR="00BB20F2" w:rsidRPr="00BB20F2">
        <w:t xml:space="preserve"> and </w:t>
      </w:r>
      <w:r w:rsidR="00187A96">
        <w:t>do not include</w:t>
      </w:r>
      <w:r w:rsidR="00BB20F2" w:rsidRPr="00BB20F2">
        <w:t xml:space="preserve"> clear expectations for service delivery targets</w:t>
      </w:r>
      <w:r w:rsidR="00872EB5">
        <w:t xml:space="preserve">.  </w:t>
      </w:r>
      <w:r w:rsidR="00BB20F2" w:rsidRPr="00BB20F2">
        <w:t xml:space="preserve">National plans and budgets are not linked:  the budget does not show </w:t>
      </w:r>
      <w:r w:rsidR="00472646">
        <w:t xml:space="preserve">clearly and consistently </w:t>
      </w:r>
      <w:r w:rsidR="00BB20F2" w:rsidRPr="00BB20F2">
        <w:t xml:space="preserve">what activities are to be delivered and how spending contributes to </w:t>
      </w:r>
      <w:r w:rsidR="004E6584">
        <w:t>g</w:t>
      </w:r>
      <w:r w:rsidR="00BB20F2" w:rsidRPr="00BB20F2">
        <w:t>overnment policy priorities</w:t>
      </w:r>
      <w:r w:rsidR="00872EB5">
        <w:t>.</w:t>
      </w:r>
      <w:r w:rsidR="00903A32">
        <w:t xml:space="preserve">  </w:t>
      </w:r>
    </w:p>
    <w:p w:rsidR="00872EB5" w:rsidRPr="00A30BA9" w:rsidRDefault="00872EB5" w:rsidP="00673324">
      <w:pPr>
        <w:tabs>
          <w:tab w:val="left" w:pos="720"/>
        </w:tabs>
      </w:pPr>
    </w:p>
    <w:p w:rsidR="00872EB5" w:rsidRPr="00A30BA9" w:rsidRDefault="00FE27B5" w:rsidP="00AB6A47">
      <w:pPr>
        <w:pStyle w:val="ListParagraph"/>
        <w:numPr>
          <w:ilvl w:val="0"/>
          <w:numId w:val="5"/>
        </w:numPr>
        <w:tabs>
          <w:tab w:val="left" w:pos="720"/>
        </w:tabs>
        <w:ind w:left="360"/>
        <w:jc w:val="both"/>
      </w:pPr>
      <w:r>
        <w:rPr>
          <w:b/>
        </w:rPr>
        <w:t xml:space="preserve">Consultations with </w:t>
      </w:r>
      <w:r w:rsidR="00770DE5" w:rsidRPr="00A30BA9">
        <w:rPr>
          <w:b/>
        </w:rPr>
        <w:t xml:space="preserve">line ministries </w:t>
      </w:r>
      <w:r w:rsidR="00B7754B">
        <w:rPr>
          <w:b/>
        </w:rPr>
        <w:t xml:space="preserve">have </w:t>
      </w:r>
      <w:r>
        <w:rPr>
          <w:b/>
        </w:rPr>
        <w:t>been poor</w:t>
      </w:r>
      <w:r w:rsidR="00770DE5" w:rsidRPr="00A30BA9">
        <w:rPr>
          <w:b/>
        </w:rPr>
        <w:t>.</w:t>
      </w:r>
      <w:r w:rsidR="00770DE5" w:rsidRPr="00A30BA9">
        <w:t xml:space="preserve">  </w:t>
      </w:r>
      <w:r w:rsidR="00187A96" w:rsidRPr="00A30BA9">
        <w:t>The only portion</w:t>
      </w:r>
      <w:r w:rsidR="001D5B2F" w:rsidRPr="00A30BA9">
        <w:t>s</w:t>
      </w:r>
      <w:r w:rsidR="00187A96" w:rsidRPr="00A30BA9">
        <w:t xml:space="preserve"> of a ministry budget that </w:t>
      </w:r>
      <w:r w:rsidR="001D5B2F" w:rsidRPr="00A30BA9">
        <w:t>are</w:t>
      </w:r>
      <w:r w:rsidR="00187A96" w:rsidRPr="00A30BA9">
        <w:t xml:space="preserve"> </w:t>
      </w:r>
      <w:r w:rsidR="00BA2C06" w:rsidRPr="00A30BA9">
        <w:t xml:space="preserve">systematically </w:t>
      </w:r>
      <w:r w:rsidR="00187A96" w:rsidRPr="00A30BA9">
        <w:t xml:space="preserve">deliberated upon </w:t>
      </w:r>
      <w:r w:rsidR="001D5B2F" w:rsidRPr="00A30BA9">
        <w:t>are</w:t>
      </w:r>
      <w:r w:rsidR="00187A96" w:rsidRPr="00A30BA9">
        <w:t xml:space="preserve"> a small fraction </w:t>
      </w:r>
      <w:r w:rsidR="001D5B2F" w:rsidRPr="00A30BA9">
        <w:t xml:space="preserve">of the recurrent budget </w:t>
      </w:r>
      <w:r w:rsidR="00187A96" w:rsidRPr="00A30BA9">
        <w:t>set aside for new activities</w:t>
      </w:r>
      <w:r w:rsidR="001D5B2F" w:rsidRPr="00A30BA9">
        <w:t>,</w:t>
      </w:r>
      <w:r w:rsidR="00B82B5B" w:rsidRPr="00A30BA9">
        <w:rPr>
          <w:rStyle w:val="FootnoteReference"/>
        </w:rPr>
        <w:footnoteReference w:id="13"/>
      </w:r>
      <w:r w:rsidR="001D5B2F" w:rsidRPr="00A30BA9">
        <w:t xml:space="preserve"> and the development budget.</w:t>
      </w:r>
      <w:r w:rsidR="001D5B2F" w:rsidRPr="00A30BA9">
        <w:rPr>
          <w:rStyle w:val="FootnoteReference"/>
        </w:rPr>
        <w:footnoteReference w:id="14"/>
      </w:r>
      <w:r w:rsidR="00187A96" w:rsidRPr="00A30BA9">
        <w:t xml:space="preserve">  Decisions regarding </w:t>
      </w:r>
      <w:r w:rsidR="008B08FD">
        <w:t>most</w:t>
      </w:r>
      <w:r w:rsidR="00187A96" w:rsidRPr="00A30BA9">
        <w:t xml:space="preserve"> of </w:t>
      </w:r>
      <w:r w:rsidR="008B08FD">
        <w:t>each</w:t>
      </w:r>
      <w:r w:rsidR="00187A96" w:rsidRPr="00A30BA9">
        <w:t xml:space="preserve"> ministry budget are largely incremental, meaning that the bulk of the allocation decisions are </w:t>
      </w:r>
      <w:r w:rsidR="00B82B5B" w:rsidRPr="00A30BA9">
        <w:t>percentage increases</w:t>
      </w:r>
      <w:r w:rsidR="00187A96" w:rsidRPr="00A30BA9">
        <w:t xml:space="preserve"> over the previous year’s baseline allocations</w:t>
      </w:r>
      <w:r w:rsidR="00770DE5" w:rsidRPr="00A30BA9">
        <w:t xml:space="preserve"> </w:t>
      </w:r>
      <w:r w:rsidR="008B08FD">
        <w:t>–</w:t>
      </w:r>
      <w:r w:rsidR="00770DE5" w:rsidRPr="00A30BA9">
        <w:t xml:space="preserve"> </w:t>
      </w:r>
      <w:r w:rsidR="008B08FD">
        <w:t xml:space="preserve">decisions are </w:t>
      </w:r>
      <w:r w:rsidR="00770DE5" w:rsidRPr="00A30BA9">
        <w:t xml:space="preserve">made with </w:t>
      </w:r>
      <w:r w:rsidR="008B08FD">
        <w:t>insufficient</w:t>
      </w:r>
      <w:r w:rsidR="00770DE5" w:rsidRPr="00A30BA9">
        <w:t xml:space="preserve"> regard for what ministries should achieve or how much their goals would cost</w:t>
      </w:r>
      <w:r w:rsidR="00187A96" w:rsidRPr="00A30BA9">
        <w:t>.</w:t>
      </w:r>
      <w:r w:rsidR="00B82B5B" w:rsidRPr="00A30BA9">
        <w:t xml:space="preserve">  </w:t>
      </w:r>
      <w:r w:rsidR="00187A96" w:rsidRPr="00A30BA9">
        <w:t xml:space="preserve">  </w:t>
      </w:r>
    </w:p>
    <w:p w:rsidR="00BA2C06" w:rsidRPr="00A30BA9" w:rsidRDefault="00BA2C06" w:rsidP="00673324">
      <w:pPr>
        <w:pStyle w:val="ListParagraph"/>
        <w:tabs>
          <w:tab w:val="left" w:pos="720"/>
        </w:tabs>
        <w:ind w:left="360"/>
        <w:jc w:val="both"/>
      </w:pPr>
    </w:p>
    <w:p w:rsidR="00770DE5" w:rsidRDefault="00B7754B" w:rsidP="00AB6A47">
      <w:pPr>
        <w:pStyle w:val="ListParagraph"/>
        <w:numPr>
          <w:ilvl w:val="0"/>
          <w:numId w:val="5"/>
        </w:numPr>
        <w:tabs>
          <w:tab w:val="left" w:pos="720"/>
        </w:tabs>
        <w:ind w:left="360"/>
        <w:jc w:val="both"/>
      </w:pPr>
      <w:r>
        <w:rPr>
          <w:b/>
        </w:rPr>
        <w:t xml:space="preserve">There </w:t>
      </w:r>
      <w:r w:rsidR="00FE27B5">
        <w:rPr>
          <w:b/>
        </w:rPr>
        <w:t>are few mechanisms for consultations with citizens</w:t>
      </w:r>
      <w:r w:rsidR="00770DE5" w:rsidRPr="00770DE5">
        <w:rPr>
          <w:b/>
        </w:rPr>
        <w:t>.</w:t>
      </w:r>
      <w:r w:rsidR="00770DE5" w:rsidRPr="00770DE5">
        <w:t xml:space="preserve"> </w:t>
      </w:r>
      <w:r w:rsidR="00770DE5">
        <w:t xml:space="preserve"> </w:t>
      </w:r>
      <w:r w:rsidR="00770DE5" w:rsidRPr="00BB20F2">
        <w:t xml:space="preserve">Consultations with citizens and provincial governments are not used well in forming </w:t>
      </w:r>
      <w:r w:rsidR="00770DE5">
        <w:t xml:space="preserve">and prioritizing </w:t>
      </w:r>
      <w:r w:rsidR="00770DE5" w:rsidRPr="00BB20F2">
        <w:t>national plan</w:t>
      </w:r>
      <w:r w:rsidR="00770DE5">
        <w:t>s and line ministry corporate plans</w:t>
      </w:r>
      <w:r w:rsidR="00770DE5" w:rsidRPr="00BB20F2">
        <w:t>.</w:t>
      </w:r>
      <w:r w:rsidR="00770DE5">
        <w:t xml:space="preserve">  </w:t>
      </w:r>
      <w:r w:rsidR="00770DE5" w:rsidRPr="00770DE5">
        <w:t xml:space="preserve">The budget process includes no formal processes for </w:t>
      </w:r>
      <w:r w:rsidR="00770DE5">
        <w:t>hearing</w:t>
      </w:r>
      <w:r w:rsidR="00770DE5" w:rsidRPr="00770DE5">
        <w:t xml:space="preserve"> </w:t>
      </w:r>
      <w:r w:rsidR="00770DE5">
        <w:t>citizen</w:t>
      </w:r>
      <w:r w:rsidR="00770DE5" w:rsidRPr="00770DE5">
        <w:t xml:space="preserve"> input and encouraging debate regarding allocations of resources. </w:t>
      </w:r>
      <w:r w:rsidR="00770DE5">
        <w:t xml:space="preserve"> </w:t>
      </w:r>
      <w:r w:rsidR="00770DE5" w:rsidRPr="00770DE5">
        <w:t>Unlike in many other poor countries, there is very limited discussion within media or civil society regarding resource allocation decisions included in the budget.</w:t>
      </w:r>
      <w:r w:rsidR="00A36747">
        <w:t xml:space="preserve">  </w:t>
      </w:r>
      <w:r w:rsidR="00A36747" w:rsidRPr="00A36747">
        <w:t xml:space="preserve">Examples </w:t>
      </w:r>
      <w:r w:rsidR="00A36747">
        <w:t xml:space="preserve">of citizen participation </w:t>
      </w:r>
      <w:r w:rsidR="00A36747" w:rsidRPr="00A36747">
        <w:t>include community oversight committe</w:t>
      </w:r>
      <w:r w:rsidR="00A36747">
        <w:t>es (</w:t>
      </w:r>
      <w:r w:rsidR="00A36747" w:rsidRPr="00A36747">
        <w:t xml:space="preserve">Sierra </w:t>
      </w:r>
      <w:r w:rsidR="00A36747">
        <w:t>Leone) and citizen compacts (</w:t>
      </w:r>
      <w:r w:rsidR="00A36747" w:rsidRPr="00A36747">
        <w:t xml:space="preserve">Kenya).  </w:t>
      </w:r>
    </w:p>
    <w:p w:rsidR="00770DE5" w:rsidRPr="00BA2C06" w:rsidRDefault="00770DE5" w:rsidP="00673324">
      <w:pPr>
        <w:pStyle w:val="ListParagraph"/>
        <w:tabs>
          <w:tab w:val="left" w:pos="720"/>
        </w:tabs>
        <w:ind w:left="360"/>
        <w:jc w:val="both"/>
      </w:pPr>
    </w:p>
    <w:p w:rsidR="00872EB5" w:rsidRPr="00B82B5B" w:rsidRDefault="00CB6CE1" w:rsidP="00673324">
      <w:pPr>
        <w:pStyle w:val="ListParagraph"/>
        <w:numPr>
          <w:ilvl w:val="0"/>
          <w:numId w:val="5"/>
        </w:numPr>
        <w:tabs>
          <w:tab w:val="left" w:pos="720"/>
        </w:tabs>
        <w:ind w:left="360"/>
        <w:jc w:val="both"/>
      </w:pPr>
      <w:r w:rsidRPr="00CB6CE1">
        <w:rPr>
          <w:b/>
        </w:rPr>
        <w:t xml:space="preserve">There may be a need to better align budgetary allocations with ministry requirements.  </w:t>
      </w:r>
      <w:r w:rsidRPr="00CB6CE1">
        <w:t xml:space="preserve">There is a general lack of consistency over time in allocations to large, priority public services such as policing, health, or education.  </w:t>
      </w:r>
      <w:r w:rsidR="00872EB5" w:rsidRPr="00B82B5B">
        <w:t xml:space="preserve">For example, in </w:t>
      </w:r>
      <w:r w:rsidR="004E00C0">
        <w:t>T</w:t>
      </w:r>
      <w:r w:rsidR="00872EB5" w:rsidRPr="00B82B5B">
        <w:t xml:space="preserve">able </w:t>
      </w:r>
      <w:r w:rsidR="004E00C0">
        <w:t xml:space="preserve">2 </w:t>
      </w:r>
      <w:r w:rsidR="00872EB5" w:rsidRPr="00B82B5B">
        <w:t xml:space="preserve">below, the allocation to the Ministry of Education for personnel increases as a share of the personnel budget in </w:t>
      </w:r>
      <w:r w:rsidR="00872EB5" w:rsidRPr="00B82B5B">
        <w:lastRenderedPageBreak/>
        <w:t>2009 and decreases in 2010 – even while the allocations to the same ministry for other recurrent needs move in the opposite direction, falling in 2009 and rising in 2010.</w:t>
      </w:r>
      <w:r w:rsidR="00E231E4">
        <w:rPr>
          <w:rStyle w:val="FootnoteReference"/>
        </w:rPr>
        <w:footnoteReference w:id="15"/>
      </w:r>
      <w:r w:rsidR="00872EB5" w:rsidRPr="00B82B5B">
        <w:t xml:space="preserve"> </w:t>
      </w:r>
      <w:r w:rsidR="004E00C0">
        <w:t xml:space="preserve"> </w:t>
      </w:r>
      <w:r w:rsidR="00872EB5" w:rsidRPr="00B82B5B">
        <w:t xml:space="preserve">This same pattern is repeated when the data are adjusted for inflation and population growth.  A similar puzzle can be seen for the Ministry of Provincial Government which saw </w:t>
      </w:r>
      <w:r w:rsidR="002D46CD">
        <w:t xml:space="preserve">its </w:t>
      </w:r>
      <w:r w:rsidR="00872EB5" w:rsidRPr="00B82B5B">
        <w:t xml:space="preserve">inflation adjusted per capita </w:t>
      </w:r>
      <w:r w:rsidR="002D46CD">
        <w:t>allocation</w:t>
      </w:r>
      <w:r w:rsidR="00872EB5" w:rsidRPr="00B82B5B">
        <w:t xml:space="preserve"> </w:t>
      </w:r>
      <w:r w:rsidR="002D46CD">
        <w:t>to</w:t>
      </w:r>
      <w:r w:rsidR="00872EB5" w:rsidRPr="00B82B5B">
        <w:t xml:space="preserve"> personnel fall sharply by almost 40 percent in 2009 while its allocation for other goods and services increased by 8 percent!</w:t>
      </w:r>
      <w:r w:rsidR="008B08FD">
        <w:rPr>
          <w:rStyle w:val="FootnoteReference"/>
        </w:rPr>
        <w:footnoteReference w:id="16"/>
      </w:r>
      <w:r w:rsidR="00872EB5" w:rsidRPr="00B82B5B">
        <w:t xml:space="preserve"> </w:t>
      </w:r>
      <w:r w:rsidR="008672B7">
        <w:t xml:space="preserve"> </w:t>
      </w:r>
      <w:r w:rsidRPr="00CB6CE1">
        <w:t xml:space="preserve">These changes appear hard to justify when the needs of the population are generally constant over time and when government policy objectives have not fundamentally changed over the last several years.  </w:t>
      </w:r>
      <w:r>
        <w:t>This suggests</w:t>
      </w:r>
      <w:r w:rsidR="00872EB5" w:rsidRPr="00B82B5B">
        <w:t xml:space="preserve"> that the current b</w:t>
      </w:r>
      <w:r w:rsidR="008672B7">
        <w:t xml:space="preserve">udget process </w:t>
      </w:r>
      <w:r>
        <w:t>may</w:t>
      </w:r>
      <w:r w:rsidR="008672B7">
        <w:t xml:space="preserve"> not promote</w:t>
      </w:r>
      <w:r w:rsidR="00872EB5" w:rsidRPr="00B82B5B">
        <w:t xml:space="preserve"> good match</w:t>
      </w:r>
      <w:r w:rsidR="008672B7">
        <w:t>ing</w:t>
      </w:r>
      <w:r w:rsidR="00872EB5" w:rsidRPr="00B82B5B">
        <w:t xml:space="preserve"> </w:t>
      </w:r>
      <w:r w:rsidR="008672B7">
        <w:t>of</w:t>
      </w:r>
      <w:r w:rsidR="00872EB5" w:rsidRPr="00B82B5B">
        <w:t xml:space="preserve"> allocations </w:t>
      </w:r>
      <w:r w:rsidR="008672B7">
        <w:t>to</w:t>
      </w:r>
      <w:r w:rsidR="00872EB5" w:rsidRPr="00B82B5B">
        <w:t xml:space="preserve"> needs.</w:t>
      </w:r>
      <w:r w:rsidR="004E00C0">
        <w:rPr>
          <w:rStyle w:val="FootnoteReference"/>
        </w:rPr>
        <w:footnoteReference w:id="17"/>
      </w:r>
      <w:r w:rsidR="00872EB5" w:rsidRPr="00B82B5B">
        <w:t xml:space="preserve">  </w:t>
      </w:r>
    </w:p>
    <w:p w:rsidR="00C002CB" w:rsidRDefault="00C002CB" w:rsidP="00673324">
      <w:pPr>
        <w:tabs>
          <w:tab w:val="left" w:pos="720"/>
        </w:tabs>
        <w:jc w:val="both"/>
        <w:rPr>
          <w:rFonts w:ascii="Arial" w:hAnsi="Arial" w:cs="Arial"/>
          <w:sz w:val="18"/>
          <w:szCs w:val="18"/>
        </w:rPr>
      </w:pPr>
    </w:p>
    <w:p w:rsidR="00872EB5" w:rsidRDefault="00C002CB" w:rsidP="00673324">
      <w:pPr>
        <w:tabs>
          <w:tab w:val="left" w:pos="720"/>
        </w:tabs>
        <w:jc w:val="center"/>
        <w:rPr>
          <w:b/>
        </w:rPr>
      </w:pPr>
      <w:r w:rsidRPr="00C002CB">
        <w:rPr>
          <w:b/>
        </w:rPr>
        <w:t>Table 2:  Selected Budgetary Allocations, 2008-10</w:t>
      </w:r>
    </w:p>
    <w:tbl>
      <w:tblPr>
        <w:tblStyle w:val="TableGrid"/>
        <w:tblW w:w="9360" w:type="dxa"/>
        <w:jc w:val="center"/>
        <w:tblLook w:val="04A0"/>
      </w:tblPr>
      <w:tblGrid>
        <w:gridCol w:w="3438"/>
        <w:gridCol w:w="987"/>
        <w:gridCol w:w="987"/>
        <w:gridCol w:w="987"/>
        <w:gridCol w:w="987"/>
        <w:gridCol w:w="987"/>
        <w:gridCol w:w="987"/>
      </w:tblGrid>
      <w:tr w:rsidR="00872EB5" w:rsidRPr="00C002CB" w:rsidTr="002D46CD">
        <w:trPr>
          <w:jc w:val="center"/>
        </w:trPr>
        <w:tc>
          <w:tcPr>
            <w:tcW w:w="3438" w:type="dxa"/>
            <w:tcBorders>
              <w:left w:val="nil"/>
              <w:bottom w:val="nil"/>
            </w:tcBorders>
            <w:shd w:val="clear" w:color="auto" w:fill="D9D9D9" w:themeFill="background1" w:themeFillShade="D9"/>
          </w:tcPr>
          <w:p w:rsidR="00872EB5" w:rsidRPr="00C002CB" w:rsidRDefault="00872EB5" w:rsidP="00673324">
            <w:pPr>
              <w:tabs>
                <w:tab w:val="left" w:pos="720"/>
              </w:tabs>
              <w:rPr>
                <w:rFonts w:ascii="Times New Roman" w:hAnsi="Times New Roman" w:cs="Times New Roman"/>
                <w:b/>
                <w:sz w:val="16"/>
                <w:szCs w:val="16"/>
              </w:rPr>
            </w:pPr>
          </w:p>
        </w:tc>
        <w:tc>
          <w:tcPr>
            <w:tcW w:w="2961" w:type="dxa"/>
            <w:gridSpan w:val="3"/>
            <w:tcBorders>
              <w:right w:val="double" w:sz="4" w:space="0" w:color="auto"/>
            </w:tcBorders>
            <w:shd w:val="clear" w:color="auto" w:fill="D9D9D9" w:themeFill="background1" w:themeFillShade="D9"/>
          </w:tcPr>
          <w:p w:rsidR="00872EB5" w:rsidRPr="00C002CB" w:rsidRDefault="00872EB5" w:rsidP="00673324">
            <w:pPr>
              <w:tabs>
                <w:tab w:val="left" w:pos="720"/>
              </w:tabs>
              <w:jc w:val="center"/>
              <w:rPr>
                <w:rFonts w:ascii="Times New Roman" w:hAnsi="Times New Roman" w:cs="Times New Roman"/>
                <w:b/>
                <w:sz w:val="16"/>
                <w:szCs w:val="16"/>
              </w:rPr>
            </w:pPr>
            <w:r w:rsidRPr="00C002CB">
              <w:rPr>
                <w:rFonts w:ascii="Times New Roman" w:hAnsi="Times New Roman" w:cs="Times New Roman"/>
                <w:b/>
                <w:sz w:val="16"/>
                <w:szCs w:val="16"/>
              </w:rPr>
              <w:t>Personnel</w:t>
            </w:r>
          </w:p>
        </w:tc>
        <w:tc>
          <w:tcPr>
            <w:tcW w:w="2961" w:type="dxa"/>
            <w:gridSpan w:val="3"/>
            <w:tcBorders>
              <w:left w:val="double" w:sz="4" w:space="0" w:color="auto"/>
              <w:right w:val="nil"/>
            </w:tcBorders>
            <w:shd w:val="clear" w:color="auto" w:fill="D9D9D9" w:themeFill="background1" w:themeFillShade="D9"/>
          </w:tcPr>
          <w:p w:rsidR="00872EB5" w:rsidRPr="00C002CB" w:rsidRDefault="00872EB5" w:rsidP="00673324">
            <w:pPr>
              <w:tabs>
                <w:tab w:val="left" w:pos="720"/>
              </w:tabs>
              <w:jc w:val="center"/>
              <w:rPr>
                <w:rFonts w:ascii="Times New Roman" w:hAnsi="Times New Roman" w:cs="Times New Roman"/>
                <w:b/>
                <w:sz w:val="16"/>
                <w:szCs w:val="16"/>
              </w:rPr>
            </w:pPr>
            <w:r w:rsidRPr="00C002CB">
              <w:rPr>
                <w:rFonts w:ascii="Times New Roman" w:hAnsi="Times New Roman" w:cs="Times New Roman"/>
                <w:b/>
                <w:sz w:val="16"/>
                <w:szCs w:val="16"/>
              </w:rPr>
              <w:t>Other Recurrent</w:t>
            </w:r>
          </w:p>
        </w:tc>
      </w:tr>
      <w:tr w:rsidR="00872EB5" w:rsidRPr="00C002CB" w:rsidTr="002D46CD">
        <w:trPr>
          <w:jc w:val="center"/>
        </w:trPr>
        <w:tc>
          <w:tcPr>
            <w:tcW w:w="3438" w:type="dxa"/>
            <w:tcBorders>
              <w:top w:val="nil"/>
              <w:left w:val="nil"/>
              <w:bottom w:val="single" w:sz="4" w:space="0" w:color="000000" w:themeColor="text1"/>
            </w:tcBorders>
            <w:shd w:val="clear" w:color="auto" w:fill="D9D9D9" w:themeFill="background1" w:themeFillShade="D9"/>
          </w:tcPr>
          <w:p w:rsidR="00872EB5" w:rsidRPr="00C002CB" w:rsidRDefault="00872EB5" w:rsidP="00673324">
            <w:pPr>
              <w:tabs>
                <w:tab w:val="left" w:pos="720"/>
              </w:tabs>
              <w:rPr>
                <w:rFonts w:ascii="Times New Roman" w:hAnsi="Times New Roman" w:cs="Times New Roman"/>
                <w:b/>
                <w:sz w:val="16"/>
                <w:szCs w:val="16"/>
              </w:rPr>
            </w:pPr>
          </w:p>
        </w:tc>
        <w:tc>
          <w:tcPr>
            <w:tcW w:w="987" w:type="dxa"/>
            <w:tcBorders>
              <w:bottom w:val="single" w:sz="4" w:space="0" w:color="000000" w:themeColor="text1"/>
            </w:tcBorders>
            <w:shd w:val="clear" w:color="auto" w:fill="D9D9D9" w:themeFill="background1" w:themeFillShade="D9"/>
          </w:tcPr>
          <w:p w:rsidR="00872EB5" w:rsidRPr="00C002CB" w:rsidRDefault="00872EB5" w:rsidP="00673324">
            <w:pPr>
              <w:tabs>
                <w:tab w:val="left" w:pos="720"/>
              </w:tabs>
              <w:jc w:val="right"/>
              <w:rPr>
                <w:rFonts w:ascii="Times New Roman" w:hAnsi="Times New Roman" w:cs="Times New Roman"/>
                <w:b/>
                <w:sz w:val="16"/>
                <w:szCs w:val="16"/>
              </w:rPr>
            </w:pPr>
            <w:r w:rsidRPr="00C002CB">
              <w:rPr>
                <w:rFonts w:ascii="Times New Roman" w:hAnsi="Times New Roman" w:cs="Times New Roman"/>
                <w:b/>
                <w:sz w:val="16"/>
                <w:szCs w:val="16"/>
              </w:rPr>
              <w:t>2008</w:t>
            </w:r>
          </w:p>
        </w:tc>
        <w:tc>
          <w:tcPr>
            <w:tcW w:w="987" w:type="dxa"/>
            <w:tcBorders>
              <w:bottom w:val="single" w:sz="4" w:space="0" w:color="000000" w:themeColor="text1"/>
            </w:tcBorders>
            <w:shd w:val="clear" w:color="auto" w:fill="D9D9D9" w:themeFill="background1" w:themeFillShade="D9"/>
          </w:tcPr>
          <w:p w:rsidR="00872EB5" w:rsidRPr="00C002CB" w:rsidRDefault="00872EB5" w:rsidP="00673324">
            <w:pPr>
              <w:tabs>
                <w:tab w:val="left" w:pos="720"/>
              </w:tabs>
              <w:jc w:val="right"/>
              <w:rPr>
                <w:rFonts w:ascii="Times New Roman" w:hAnsi="Times New Roman" w:cs="Times New Roman"/>
                <w:b/>
                <w:sz w:val="16"/>
                <w:szCs w:val="16"/>
              </w:rPr>
            </w:pPr>
            <w:r w:rsidRPr="00C002CB">
              <w:rPr>
                <w:rFonts w:ascii="Times New Roman" w:hAnsi="Times New Roman" w:cs="Times New Roman"/>
                <w:b/>
                <w:sz w:val="16"/>
                <w:szCs w:val="16"/>
              </w:rPr>
              <w:t>2009</w:t>
            </w:r>
          </w:p>
        </w:tc>
        <w:tc>
          <w:tcPr>
            <w:tcW w:w="987" w:type="dxa"/>
            <w:tcBorders>
              <w:bottom w:val="single" w:sz="4" w:space="0" w:color="000000" w:themeColor="text1"/>
              <w:right w:val="double" w:sz="4" w:space="0" w:color="auto"/>
            </w:tcBorders>
            <w:shd w:val="clear" w:color="auto" w:fill="D9D9D9" w:themeFill="background1" w:themeFillShade="D9"/>
          </w:tcPr>
          <w:p w:rsidR="00872EB5" w:rsidRPr="00C002CB" w:rsidRDefault="00872EB5" w:rsidP="00673324">
            <w:pPr>
              <w:tabs>
                <w:tab w:val="left" w:pos="720"/>
              </w:tabs>
              <w:jc w:val="right"/>
              <w:rPr>
                <w:rFonts w:ascii="Times New Roman" w:hAnsi="Times New Roman" w:cs="Times New Roman"/>
                <w:b/>
                <w:sz w:val="16"/>
                <w:szCs w:val="16"/>
              </w:rPr>
            </w:pPr>
            <w:r w:rsidRPr="00C002CB">
              <w:rPr>
                <w:rFonts w:ascii="Times New Roman" w:hAnsi="Times New Roman" w:cs="Times New Roman"/>
                <w:b/>
                <w:sz w:val="16"/>
                <w:szCs w:val="16"/>
              </w:rPr>
              <w:t>2010</w:t>
            </w:r>
          </w:p>
        </w:tc>
        <w:tc>
          <w:tcPr>
            <w:tcW w:w="987" w:type="dxa"/>
            <w:tcBorders>
              <w:left w:val="double" w:sz="4" w:space="0" w:color="auto"/>
              <w:bottom w:val="single" w:sz="4" w:space="0" w:color="000000" w:themeColor="text1"/>
            </w:tcBorders>
            <w:shd w:val="clear" w:color="auto" w:fill="D9D9D9" w:themeFill="background1" w:themeFillShade="D9"/>
          </w:tcPr>
          <w:p w:rsidR="00872EB5" w:rsidRPr="00C002CB" w:rsidRDefault="00872EB5" w:rsidP="00673324">
            <w:pPr>
              <w:tabs>
                <w:tab w:val="left" w:pos="720"/>
              </w:tabs>
              <w:jc w:val="right"/>
              <w:rPr>
                <w:rFonts w:ascii="Times New Roman" w:hAnsi="Times New Roman" w:cs="Times New Roman"/>
                <w:b/>
                <w:sz w:val="16"/>
                <w:szCs w:val="16"/>
              </w:rPr>
            </w:pPr>
            <w:r w:rsidRPr="00C002CB">
              <w:rPr>
                <w:rFonts w:ascii="Times New Roman" w:hAnsi="Times New Roman" w:cs="Times New Roman"/>
                <w:b/>
                <w:sz w:val="16"/>
                <w:szCs w:val="16"/>
              </w:rPr>
              <w:t>2008</w:t>
            </w:r>
          </w:p>
        </w:tc>
        <w:tc>
          <w:tcPr>
            <w:tcW w:w="987" w:type="dxa"/>
            <w:tcBorders>
              <w:bottom w:val="single" w:sz="4" w:space="0" w:color="000000" w:themeColor="text1"/>
            </w:tcBorders>
            <w:shd w:val="clear" w:color="auto" w:fill="D9D9D9" w:themeFill="background1" w:themeFillShade="D9"/>
          </w:tcPr>
          <w:p w:rsidR="00872EB5" w:rsidRPr="00C002CB" w:rsidRDefault="00872EB5" w:rsidP="00673324">
            <w:pPr>
              <w:tabs>
                <w:tab w:val="left" w:pos="720"/>
              </w:tabs>
              <w:jc w:val="right"/>
              <w:rPr>
                <w:rFonts w:ascii="Times New Roman" w:hAnsi="Times New Roman" w:cs="Times New Roman"/>
                <w:b/>
                <w:sz w:val="16"/>
                <w:szCs w:val="16"/>
              </w:rPr>
            </w:pPr>
            <w:r w:rsidRPr="00C002CB">
              <w:rPr>
                <w:rFonts w:ascii="Times New Roman" w:hAnsi="Times New Roman" w:cs="Times New Roman"/>
                <w:b/>
                <w:sz w:val="16"/>
                <w:szCs w:val="16"/>
              </w:rPr>
              <w:t>2009</w:t>
            </w:r>
          </w:p>
        </w:tc>
        <w:tc>
          <w:tcPr>
            <w:tcW w:w="987" w:type="dxa"/>
            <w:tcBorders>
              <w:bottom w:val="single" w:sz="4" w:space="0" w:color="000000" w:themeColor="text1"/>
              <w:right w:val="nil"/>
            </w:tcBorders>
            <w:shd w:val="clear" w:color="auto" w:fill="D9D9D9" w:themeFill="background1" w:themeFillShade="D9"/>
          </w:tcPr>
          <w:p w:rsidR="00872EB5" w:rsidRPr="00C002CB" w:rsidRDefault="00872EB5" w:rsidP="00673324">
            <w:pPr>
              <w:tabs>
                <w:tab w:val="left" w:pos="720"/>
              </w:tabs>
              <w:jc w:val="right"/>
              <w:rPr>
                <w:rFonts w:ascii="Times New Roman" w:hAnsi="Times New Roman" w:cs="Times New Roman"/>
                <w:b/>
                <w:sz w:val="16"/>
                <w:szCs w:val="16"/>
              </w:rPr>
            </w:pPr>
            <w:r w:rsidRPr="00C002CB">
              <w:rPr>
                <w:rFonts w:ascii="Times New Roman" w:hAnsi="Times New Roman" w:cs="Times New Roman"/>
                <w:b/>
                <w:sz w:val="16"/>
                <w:szCs w:val="16"/>
              </w:rPr>
              <w:t>2010</w:t>
            </w:r>
          </w:p>
        </w:tc>
      </w:tr>
      <w:tr w:rsidR="00872EB5" w:rsidRPr="00C002CB" w:rsidTr="002D46CD">
        <w:trPr>
          <w:jc w:val="center"/>
        </w:trPr>
        <w:tc>
          <w:tcPr>
            <w:tcW w:w="3438" w:type="dxa"/>
            <w:tcBorders>
              <w:left w:val="nil"/>
              <w:bottom w:val="nil"/>
            </w:tcBorders>
          </w:tcPr>
          <w:p w:rsidR="00872EB5" w:rsidRPr="00C002CB" w:rsidRDefault="00872EB5" w:rsidP="00673324">
            <w:pPr>
              <w:tabs>
                <w:tab w:val="left" w:pos="720"/>
              </w:tabs>
              <w:rPr>
                <w:rFonts w:ascii="Times New Roman" w:hAnsi="Times New Roman" w:cs="Times New Roman"/>
                <w:b/>
                <w:sz w:val="16"/>
                <w:szCs w:val="16"/>
              </w:rPr>
            </w:pPr>
            <w:r w:rsidRPr="00C002CB">
              <w:rPr>
                <w:rFonts w:ascii="Times New Roman" w:hAnsi="Times New Roman" w:cs="Times New Roman"/>
                <w:b/>
                <w:sz w:val="16"/>
                <w:szCs w:val="16"/>
              </w:rPr>
              <w:t>Share of Budget (%)</w:t>
            </w:r>
          </w:p>
        </w:tc>
        <w:tc>
          <w:tcPr>
            <w:tcW w:w="987" w:type="dxa"/>
            <w:tcBorders>
              <w:bottom w:val="nil"/>
            </w:tcBorders>
          </w:tcPr>
          <w:p w:rsidR="00872EB5" w:rsidRPr="00C002CB" w:rsidRDefault="00872EB5" w:rsidP="00673324">
            <w:pPr>
              <w:tabs>
                <w:tab w:val="left" w:pos="720"/>
              </w:tabs>
              <w:rPr>
                <w:rFonts w:ascii="Times New Roman" w:hAnsi="Times New Roman" w:cs="Times New Roman"/>
                <w:sz w:val="16"/>
                <w:szCs w:val="16"/>
              </w:rPr>
            </w:pPr>
          </w:p>
        </w:tc>
        <w:tc>
          <w:tcPr>
            <w:tcW w:w="987" w:type="dxa"/>
            <w:tcBorders>
              <w:bottom w:val="nil"/>
            </w:tcBorders>
          </w:tcPr>
          <w:p w:rsidR="00872EB5" w:rsidRPr="00C002CB" w:rsidRDefault="00872EB5" w:rsidP="00673324">
            <w:pPr>
              <w:tabs>
                <w:tab w:val="left" w:pos="720"/>
              </w:tabs>
              <w:rPr>
                <w:rFonts w:ascii="Times New Roman" w:hAnsi="Times New Roman" w:cs="Times New Roman"/>
                <w:sz w:val="16"/>
                <w:szCs w:val="16"/>
              </w:rPr>
            </w:pPr>
          </w:p>
        </w:tc>
        <w:tc>
          <w:tcPr>
            <w:tcW w:w="987" w:type="dxa"/>
            <w:tcBorders>
              <w:bottom w:val="nil"/>
              <w:right w:val="double" w:sz="4" w:space="0" w:color="auto"/>
            </w:tcBorders>
          </w:tcPr>
          <w:p w:rsidR="00872EB5" w:rsidRPr="00C002CB" w:rsidRDefault="00872EB5" w:rsidP="00673324">
            <w:pPr>
              <w:tabs>
                <w:tab w:val="left" w:pos="720"/>
              </w:tabs>
              <w:rPr>
                <w:rFonts w:ascii="Times New Roman" w:hAnsi="Times New Roman" w:cs="Times New Roman"/>
                <w:sz w:val="16"/>
                <w:szCs w:val="16"/>
              </w:rPr>
            </w:pPr>
          </w:p>
        </w:tc>
        <w:tc>
          <w:tcPr>
            <w:tcW w:w="987" w:type="dxa"/>
            <w:tcBorders>
              <w:left w:val="double" w:sz="4" w:space="0" w:color="auto"/>
              <w:bottom w:val="nil"/>
            </w:tcBorders>
          </w:tcPr>
          <w:p w:rsidR="00872EB5" w:rsidRPr="00C002CB" w:rsidRDefault="00872EB5" w:rsidP="00673324">
            <w:pPr>
              <w:tabs>
                <w:tab w:val="left" w:pos="720"/>
              </w:tabs>
              <w:rPr>
                <w:rFonts w:ascii="Times New Roman" w:hAnsi="Times New Roman" w:cs="Times New Roman"/>
                <w:sz w:val="16"/>
                <w:szCs w:val="16"/>
              </w:rPr>
            </w:pPr>
          </w:p>
        </w:tc>
        <w:tc>
          <w:tcPr>
            <w:tcW w:w="987" w:type="dxa"/>
            <w:tcBorders>
              <w:bottom w:val="nil"/>
            </w:tcBorders>
          </w:tcPr>
          <w:p w:rsidR="00872EB5" w:rsidRPr="00C002CB" w:rsidRDefault="00872EB5" w:rsidP="00673324">
            <w:pPr>
              <w:tabs>
                <w:tab w:val="left" w:pos="720"/>
              </w:tabs>
              <w:rPr>
                <w:rFonts w:ascii="Times New Roman" w:hAnsi="Times New Roman" w:cs="Times New Roman"/>
                <w:sz w:val="16"/>
                <w:szCs w:val="16"/>
              </w:rPr>
            </w:pPr>
          </w:p>
        </w:tc>
        <w:tc>
          <w:tcPr>
            <w:tcW w:w="987" w:type="dxa"/>
            <w:tcBorders>
              <w:bottom w:val="nil"/>
              <w:right w:val="nil"/>
            </w:tcBorders>
          </w:tcPr>
          <w:p w:rsidR="00872EB5" w:rsidRPr="00C002CB" w:rsidRDefault="00872EB5" w:rsidP="00673324">
            <w:pPr>
              <w:tabs>
                <w:tab w:val="left" w:pos="720"/>
              </w:tabs>
              <w:rPr>
                <w:rFonts w:ascii="Times New Roman" w:hAnsi="Times New Roman" w:cs="Times New Roman"/>
                <w:sz w:val="16"/>
                <w:szCs w:val="16"/>
              </w:rPr>
            </w:pPr>
          </w:p>
        </w:tc>
      </w:tr>
      <w:tr w:rsidR="00872EB5" w:rsidRPr="00C002CB" w:rsidTr="002D46CD">
        <w:trPr>
          <w:jc w:val="center"/>
        </w:trPr>
        <w:tc>
          <w:tcPr>
            <w:tcW w:w="3438" w:type="dxa"/>
            <w:tcBorders>
              <w:top w:val="nil"/>
              <w:left w:val="nil"/>
              <w:bottom w:val="nil"/>
            </w:tcBorders>
          </w:tcPr>
          <w:p w:rsidR="00872EB5" w:rsidRPr="00C002CB" w:rsidRDefault="00872EB5" w:rsidP="00673324">
            <w:pPr>
              <w:tabs>
                <w:tab w:val="left" w:pos="720"/>
              </w:tabs>
              <w:rPr>
                <w:rFonts w:ascii="Times New Roman" w:hAnsi="Times New Roman" w:cs="Times New Roman"/>
                <w:sz w:val="16"/>
                <w:szCs w:val="16"/>
              </w:rPr>
            </w:pPr>
            <w:r w:rsidRPr="00C002CB">
              <w:rPr>
                <w:rFonts w:ascii="Times New Roman" w:hAnsi="Times New Roman" w:cs="Times New Roman"/>
                <w:sz w:val="16"/>
                <w:szCs w:val="16"/>
              </w:rPr>
              <w:t xml:space="preserve">  Min. Education</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36.4</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42.7</w:t>
            </w:r>
          </w:p>
        </w:tc>
        <w:tc>
          <w:tcPr>
            <w:tcW w:w="987" w:type="dxa"/>
            <w:tcBorders>
              <w:top w:val="nil"/>
              <w:bottom w:val="nil"/>
              <w:right w:val="double" w:sz="4" w:space="0" w:color="auto"/>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41.1</w:t>
            </w:r>
          </w:p>
        </w:tc>
        <w:tc>
          <w:tcPr>
            <w:tcW w:w="987" w:type="dxa"/>
            <w:tcBorders>
              <w:top w:val="nil"/>
              <w:left w:val="double" w:sz="4" w:space="0" w:color="auto"/>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20.6</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19.9</w:t>
            </w:r>
          </w:p>
        </w:tc>
        <w:tc>
          <w:tcPr>
            <w:tcW w:w="987" w:type="dxa"/>
            <w:tcBorders>
              <w:top w:val="nil"/>
              <w:bottom w:val="nil"/>
              <w:right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20.3</w:t>
            </w:r>
          </w:p>
        </w:tc>
      </w:tr>
      <w:tr w:rsidR="00872EB5" w:rsidRPr="00C002CB" w:rsidTr="002D46CD">
        <w:trPr>
          <w:jc w:val="center"/>
        </w:trPr>
        <w:tc>
          <w:tcPr>
            <w:tcW w:w="3438" w:type="dxa"/>
            <w:tcBorders>
              <w:top w:val="nil"/>
              <w:left w:val="nil"/>
              <w:bottom w:val="nil"/>
            </w:tcBorders>
          </w:tcPr>
          <w:p w:rsidR="00872EB5" w:rsidRPr="00C002CB" w:rsidRDefault="00872EB5" w:rsidP="00673324">
            <w:pPr>
              <w:tabs>
                <w:tab w:val="left" w:pos="720"/>
              </w:tabs>
              <w:rPr>
                <w:rFonts w:ascii="Times New Roman" w:hAnsi="Times New Roman" w:cs="Times New Roman"/>
                <w:sz w:val="16"/>
                <w:szCs w:val="16"/>
              </w:rPr>
            </w:pPr>
            <w:r w:rsidRPr="00C002CB">
              <w:rPr>
                <w:rFonts w:ascii="Times New Roman" w:hAnsi="Times New Roman" w:cs="Times New Roman"/>
                <w:sz w:val="16"/>
                <w:szCs w:val="16"/>
              </w:rPr>
              <w:t xml:space="preserve">  Min. Police</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12.4</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10.9</w:t>
            </w:r>
          </w:p>
        </w:tc>
        <w:tc>
          <w:tcPr>
            <w:tcW w:w="987" w:type="dxa"/>
            <w:tcBorders>
              <w:top w:val="nil"/>
              <w:bottom w:val="nil"/>
              <w:right w:val="double" w:sz="4" w:space="0" w:color="auto"/>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11.9</w:t>
            </w:r>
          </w:p>
        </w:tc>
        <w:tc>
          <w:tcPr>
            <w:tcW w:w="987" w:type="dxa"/>
            <w:tcBorders>
              <w:top w:val="nil"/>
              <w:left w:val="double" w:sz="4" w:space="0" w:color="auto"/>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7.1</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7.8</w:t>
            </w:r>
          </w:p>
        </w:tc>
        <w:tc>
          <w:tcPr>
            <w:tcW w:w="987" w:type="dxa"/>
            <w:tcBorders>
              <w:top w:val="nil"/>
              <w:bottom w:val="nil"/>
              <w:right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7.5</w:t>
            </w:r>
          </w:p>
        </w:tc>
      </w:tr>
      <w:tr w:rsidR="00872EB5" w:rsidRPr="00C002CB" w:rsidTr="002D46CD">
        <w:trPr>
          <w:jc w:val="center"/>
        </w:trPr>
        <w:tc>
          <w:tcPr>
            <w:tcW w:w="3438" w:type="dxa"/>
            <w:tcBorders>
              <w:top w:val="nil"/>
              <w:left w:val="nil"/>
              <w:bottom w:val="nil"/>
            </w:tcBorders>
          </w:tcPr>
          <w:p w:rsidR="00872EB5" w:rsidRPr="00C002CB" w:rsidRDefault="00872EB5" w:rsidP="00673324">
            <w:pPr>
              <w:tabs>
                <w:tab w:val="left" w:pos="720"/>
              </w:tabs>
              <w:rPr>
                <w:rFonts w:ascii="Times New Roman" w:hAnsi="Times New Roman" w:cs="Times New Roman"/>
                <w:sz w:val="16"/>
                <w:szCs w:val="16"/>
              </w:rPr>
            </w:pPr>
            <w:r w:rsidRPr="00C002CB">
              <w:rPr>
                <w:rFonts w:ascii="Times New Roman" w:hAnsi="Times New Roman" w:cs="Times New Roman"/>
                <w:sz w:val="16"/>
                <w:szCs w:val="16"/>
              </w:rPr>
              <w:t xml:space="preserve">  Min. Provincial Government</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1.6</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0.8</w:t>
            </w:r>
          </w:p>
        </w:tc>
        <w:tc>
          <w:tcPr>
            <w:tcW w:w="987" w:type="dxa"/>
            <w:tcBorders>
              <w:top w:val="nil"/>
              <w:bottom w:val="nil"/>
              <w:right w:val="double" w:sz="4" w:space="0" w:color="auto"/>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0.8</w:t>
            </w:r>
          </w:p>
        </w:tc>
        <w:tc>
          <w:tcPr>
            <w:tcW w:w="987" w:type="dxa"/>
            <w:tcBorders>
              <w:top w:val="nil"/>
              <w:left w:val="double" w:sz="4" w:space="0" w:color="auto"/>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6.7</w:t>
            </w:r>
          </w:p>
        </w:tc>
        <w:tc>
          <w:tcPr>
            <w:tcW w:w="987" w:type="dxa"/>
            <w:tcBorders>
              <w:top w:val="nil"/>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7.2</w:t>
            </w:r>
          </w:p>
        </w:tc>
        <w:tc>
          <w:tcPr>
            <w:tcW w:w="987" w:type="dxa"/>
            <w:tcBorders>
              <w:top w:val="nil"/>
              <w:bottom w:val="nil"/>
              <w:right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6.8</w:t>
            </w:r>
          </w:p>
        </w:tc>
      </w:tr>
      <w:tr w:rsidR="00872EB5" w:rsidRPr="00C002CB" w:rsidTr="002D46CD">
        <w:trPr>
          <w:jc w:val="center"/>
        </w:trPr>
        <w:tc>
          <w:tcPr>
            <w:tcW w:w="3438" w:type="dxa"/>
            <w:tcBorders>
              <w:top w:val="nil"/>
              <w:left w:val="nil"/>
              <w:bottom w:val="nil"/>
            </w:tcBorders>
          </w:tcPr>
          <w:p w:rsidR="00872EB5" w:rsidRPr="00C002CB" w:rsidRDefault="00872EB5" w:rsidP="00673324">
            <w:pPr>
              <w:tabs>
                <w:tab w:val="left" w:pos="720"/>
              </w:tabs>
              <w:rPr>
                <w:rFonts w:ascii="Times New Roman" w:hAnsi="Times New Roman" w:cs="Times New Roman"/>
                <w:sz w:val="16"/>
                <w:szCs w:val="16"/>
              </w:rPr>
            </w:pPr>
            <w:r w:rsidRPr="00C002CB">
              <w:rPr>
                <w:rFonts w:ascii="Times New Roman" w:hAnsi="Times New Roman" w:cs="Times New Roman"/>
                <w:sz w:val="16"/>
                <w:szCs w:val="16"/>
              </w:rPr>
              <w:t xml:space="preserve">  Min. Rural Development</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0.7</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0.5</w:t>
            </w:r>
          </w:p>
        </w:tc>
        <w:tc>
          <w:tcPr>
            <w:tcW w:w="987" w:type="dxa"/>
            <w:tcBorders>
              <w:top w:val="nil"/>
              <w:bottom w:val="nil"/>
              <w:right w:val="double" w:sz="4" w:space="0" w:color="auto"/>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0.6</w:t>
            </w:r>
          </w:p>
        </w:tc>
        <w:tc>
          <w:tcPr>
            <w:tcW w:w="987" w:type="dxa"/>
            <w:tcBorders>
              <w:top w:val="nil"/>
              <w:left w:val="double" w:sz="4" w:space="0" w:color="auto"/>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0.7</w:t>
            </w:r>
          </w:p>
        </w:tc>
        <w:tc>
          <w:tcPr>
            <w:tcW w:w="987" w:type="dxa"/>
            <w:tcBorders>
              <w:top w:val="nil"/>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1.2</w:t>
            </w:r>
          </w:p>
        </w:tc>
        <w:tc>
          <w:tcPr>
            <w:tcW w:w="987" w:type="dxa"/>
            <w:tcBorders>
              <w:top w:val="nil"/>
              <w:bottom w:val="nil"/>
              <w:right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1.2</w:t>
            </w:r>
          </w:p>
        </w:tc>
      </w:tr>
      <w:tr w:rsidR="00872EB5" w:rsidRPr="00C002CB" w:rsidTr="002D46CD">
        <w:trPr>
          <w:jc w:val="center"/>
        </w:trPr>
        <w:tc>
          <w:tcPr>
            <w:tcW w:w="3438" w:type="dxa"/>
            <w:tcBorders>
              <w:top w:val="nil"/>
              <w:left w:val="nil"/>
              <w:bottom w:val="nil"/>
            </w:tcBorders>
          </w:tcPr>
          <w:p w:rsidR="00872EB5" w:rsidRPr="00C002CB" w:rsidRDefault="00872EB5" w:rsidP="00673324">
            <w:pPr>
              <w:tabs>
                <w:tab w:val="left" w:pos="720"/>
              </w:tabs>
              <w:rPr>
                <w:rFonts w:ascii="Times New Roman" w:hAnsi="Times New Roman" w:cs="Times New Roman"/>
                <w:sz w:val="16"/>
                <w:szCs w:val="16"/>
              </w:rPr>
            </w:pPr>
          </w:p>
        </w:tc>
        <w:tc>
          <w:tcPr>
            <w:tcW w:w="987" w:type="dxa"/>
            <w:tcBorders>
              <w:top w:val="nil"/>
              <w:bottom w:val="nil"/>
            </w:tcBorders>
          </w:tcPr>
          <w:p w:rsidR="00872EB5" w:rsidRPr="00C002CB" w:rsidRDefault="00872EB5" w:rsidP="00673324">
            <w:pPr>
              <w:tabs>
                <w:tab w:val="left" w:pos="720"/>
              </w:tabs>
              <w:jc w:val="right"/>
              <w:rPr>
                <w:rFonts w:ascii="Times New Roman" w:hAnsi="Times New Roman" w:cs="Times New Roman"/>
                <w:sz w:val="16"/>
                <w:szCs w:val="16"/>
              </w:rPr>
            </w:pPr>
          </w:p>
        </w:tc>
        <w:tc>
          <w:tcPr>
            <w:tcW w:w="987" w:type="dxa"/>
            <w:tcBorders>
              <w:top w:val="nil"/>
              <w:bottom w:val="nil"/>
            </w:tcBorders>
          </w:tcPr>
          <w:p w:rsidR="00872EB5" w:rsidRPr="00C002CB" w:rsidRDefault="00872EB5" w:rsidP="00673324">
            <w:pPr>
              <w:tabs>
                <w:tab w:val="left" w:pos="720"/>
              </w:tabs>
              <w:jc w:val="right"/>
              <w:rPr>
                <w:rFonts w:ascii="Times New Roman" w:hAnsi="Times New Roman" w:cs="Times New Roman"/>
                <w:sz w:val="16"/>
                <w:szCs w:val="16"/>
              </w:rPr>
            </w:pPr>
          </w:p>
        </w:tc>
        <w:tc>
          <w:tcPr>
            <w:tcW w:w="987" w:type="dxa"/>
            <w:tcBorders>
              <w:top w:val="nil"/>
              <w:bottom w:val="nil"/>
              <w:right w:val="double" w:sz="4" w:space="0" w:color="auto"/>
            </w:tcBorders>
          </w:tcPr>
          <w:p w:rsidR="00872EB5" w:rsidRPr="004E00C0" w:rsidRDefault="00872EB5" w:rsidP="00673324">
            <w:pPr>
              <w:tabs>
                <w:tab w:val="left" w:pos="720"/>
              </w:tabs>
              <w:jc w:val="right"/>
              <w:rPr>
                <w:rFonts w:ascii="Times New Roman" w:hAnsi="Times New Roman" w:cs="Times New Roman"/>
                <w:sz w:val="16"/>
                <w:szCs w:val="16"/>
              </w:rPr>
            </w:pPr>
          </w:p>
        </w:tc>
        <w:tc>
          <w:tcPr>
            <w:tcW w:w="987" w:type="dxa"/>
            <w:tcBorders>
              <w:top w:val="nil"/>
              <w:left w:val="double" w:sz="4" w:space="0" w:color="auto"/>
              <w:bottom w:val="nil"/>
            </w:tcBorders>
          </w:tcPr>
          <w:p w:rsidR="00872EB5" w:rsidRPr="004E00C0" w:rsidRDefault="00872EB5" w:rsidP="00673324">
            <w:pPr>
              <w:tabs>
                <w:tab w:val="left" w:pos="720"/>
              </w:tabs>
              <w:jc w:val="right"/>
              <w:rPr>
                <w:rFonts w:ascii="Times New Roman" w:hAnsi="Times New Roman" w:cs="Times New Roman"/>
                <w:sz w:val="16"/>
                <w:szCs w:val="16"/>
              </w:rPr>
            </w:pPr>
          </w:p>
        </w:tc>
        <w:tc>
          <w:tcPr>
            <w:tcW w:w="987" w:type="dxa"/>
            <w:tcBorders>
              <w:top w:val="nil"/>
              <w:bottom w:val="nil"/>
            </w:tcBorders>
          </w:tcPr>
          <w:p w:rsidR="00872EB5" w:rsidRPr="004E00C0" w:rsidRDefault="00872EB5" w:rsidP="00673324">
            <w:pPr>
              <w:tabs>
                <w:tab w:val="left" w:pos="720"/>
              </w:tabs>
              <w:jc w:val="right"/>
              <w:rPr>
                <w:rFonts w:ascii="Times New Roman" w:hAnsi="Times New Roman" w:cs="Times New Roman"/>
                <w:sz w:val="16"/>
                <w:szCs w:val="16"/>
              </w:rPr>
            </w:pPr>
          </w:p>
        </w:tc>
        <w:tc>
          <w:tcPr>
            <w:tcW w:w="987" w:type="dxa"/>
            <w:tcBorders>
              <w:top w:val="nil"/>
              <w:bottom w:val="nil"/>
              <w:right w:val="nil"/>
            </w:tcBorders>
          </w:tcPr>
          <w:p w:rsidR="00872EB5" w:rsidRPr="004E00C0" w:rsidRDefault="00872EB5" w:rsidP="00673324">
            <w:pPr>
              <w:tabs>
                <w:tab w:val="left" w:pos="720"/>
              </w:tabs>
              <w:jc w:val="right"/>
              <w:rPr>
                <w:rFonts w:ascii="Times New Roman" w:hAnsi="Times New Roman" w:cs="Times New Roman"/>
                <w:sz w:val="16"/>
                <w:szCs w:val="16"/>
              </w:rPr>
            </w:pPr>
          </w:p>
        </w:tc>
      </w:tr>
      <w:tr w:rsidR="00872EB5" w:rsidRPr="00C002CB" w:rsidTr="002D46CD">
        <w:trPr>
          <w:jc w:val="center"/>
        </w:trPr>
        <w:tc>
          <w:tcPr>
            <w:tcW w:w="3438" w:type="dxa"/>
            <w:tcBorders>
              <w:top w:val="nil"/>
              <w:left w:val="nil"/>
              <w:bottom w:val="nil"/>
            </w:tcBorders>
          </w:tcPr>
          <w:p w:rsidR="00872EB5" w:rsidRPr="00C002CB" w:rsidRDefault="00872EB5" w:rsidP="00D16132">
            <w:pPr>
              <w:tabs>
                <w:tab w:val="left" w:pos="720"/>
              </w:tabs>
              <w:rPr>
                <w:rFonts w:ascii="Times New Roman" w:hAnsi="Times New Roman" w:cs="Times New Roman"/>
                <w:b/>
                <w:sz w:val="16"/>
                <w:szCs w:val="16"/>
              </w:rPr>
            </w:pPr>
            <w:r w:rsidRPr="00C002CB">
              <w:rPr>
                <w:rFonts w:ascii="Times New Roman" w:hAnsi="Times New Roman" w:cs="Times New Roman"/>
                <w:b/>
                <w:sz w:val="16"/>
                <w:szCs w:val="16"/>
              </w:rPr>
              <w:t>Inflation Adjusted Changes (</w:t>
            </w:r>
            <w:r w:rsidR="00D16132">
              <w:rPr>
                <w:rFonts w:ascii="Times New Roman" w:hAnsi="Times New Roman" w:cs="Times New Roman"/>
                <w:b/>
                <w:sz w:val="16"/>
                <w:szCs w:val="16"/>
              </w:rPr>
              <w:t xml:space="preserve">year on year, </w:t>
            </w:r>
            <w:r w:rsidRPr="00C002CB">
              <w:rPr>
                <w:rFonts w:ascii="Times New Roman" w:hAnsi="Times New Roman" w:cs="Times New Roman"/>
                <w:b/>
                <w:sz w:val="16"/>
                <w:szCs w:val="16"/>
              </w:rPr>
              <w:t>%)</w:t>
            </w:r>
          </w:p>
        </w:tc>
        <w:tc>
          <w:tcPr>
            <w:tcW w:w="987" w:type="dxa"/>
            <w:tcBorders>
              <w:top w:val="nil"/>
              <w:bottom w:val="nil"/>
            </w:tcBorders>
          </w:tcPr>
          <w:p w:rsidR="00872EB5" w:rsidRPr="00C002CB" w:rsidRDefault="00872EB5" w:rsidP="00673324">
            <w:pPr>
              <w:tabs>
                <w:tab w:val="left" w:pos="720"/>
              </w:tabs>
              <w:jc w:val="right"/>
              <w:rPr>
                <w:rFonts w:ascii="Times New Roman" w:hAnsi="Times New Roman" w:cs="Times New Roman"/>
                <w:sz w:val="16"/>
                <w:szCs w:val="16"/>
              </w:rPr>
            </w:pPr>
          </w:p>
        </w:tc>
        <w:tc>
          <w:tcPr>
            <w:tcW w:w="987" w:type="dxa"/>
            <w:tcBorders>
              <w:top w:val="nil"/>
              <w:bottom w:val="nil"/>
            </w:tcBorders>
          </w:tcPr>
          <w:p w:rsidR="00872EB5" w:rsidRPr="00C002CB" w:rsidRDefault="00872EB5" w:rsidP="00673324">
            <w:pPr>
              <w:tabs>
                <w:tab w:val="left" w:pos="720"/>
              </w:tabs>
              <w:jc w:val="right"/>
              <w:rPr>
                <w:rFonts w:ascii="Times New Roman" w:hAnsi="Times New Roman" w:cs="Times New Roman"/>
                <w:sz w:val="16"/>
                <w:szCs w:val="16"/>
              </w:rPr>
            </w:pPr>
          </w:p>
        </w:tc>
        <w:tc>
          <w:tcPr>
            <w:tcW w:w="987" w:type="dxa"/>
            <w:tcBorders>
              <w:top w:val="nil"/>
              <w:bottom w:val="nil"/>
              <w:right w:val="double" w:sz="4" w:space="0" w:color="auto"/>
            </w:tcBorders>
          </w:tcPr>
          <w:p w:rsidR="00872EB5" w:rsidRPr="004E00C0" w:rsidRDefault="00872EB5" w:rsidP="00673324">
            <w:pPr>
              <w:tabs>
                <w:tab w:val="left" w:pos="720"/>
              </w:tabs>
              <w:jc w:val="right"/>
              <w:rPr>
                <w:rFonts w:ascii="Times New Roman" w:hAnsi="Times New Roman" w:cs="Times New Roman"/>
                <w:sz w:val="16"/>
                <w:szCs w:val="16"/>
              </w:rPr>
            </w:pPr>
          </w:p>
        </w:tc>
        <w:tc>
          <w:tcPr>
            <w:tcW w:w="987" w:type="dxa"/>
            <w:tcBorders>
              <w:top w:val="nil"/>
              <w:left w:val="double" w:sz="4" w:space="0" w:color="auto"/>
              <w:bottom w:val="nil"/>
            </w:tcBorders>
          </w:tcPr>
          <w:p w:rsidR="00872EB5" w:rsidRPr="004E00C0" w:rsidRDefault="00872EB5" w:rsidP="00673324">
            <w:pPr>
              <w:tabs>
                <w:tab w:val="left" w:pos="720"/>
              </w:tabs>
              <w:jc w:val="right"/>
              <w:rPr>
                <w:rFonts w:ascii="Times New Roman" w:hAnsi="Times New Roman" w:cs="Times New Roman"/>
                <w:sz w:val="16"/>
                <w:szCs w:val="16"/>
              </w:rPr>
            </w:pPr>
          </w:p>
        </w:tc>
        <w:tc>
          <w:tcPr>
            <w:tcW w:w="987" w:type="dxa"/>
            <w:tcBorders>
              <w:top w:val="nil"/>
              <w:bottom w:val="nil"/>
            </w:tcBorders>
          </w:tcPr>
          <w:p w:rsidR="00872EB5" w:rsidRPr="004E00C0" w:rsidRDefault="00872EB5" w:rsidP="00673324">
            <w:pPr>
              <w:tabs>
                <w:tab w:val="left" w:pos="720"/>
              </w:tabs>
              <w:jc w:val="right"/>
              <w:rPr>
                <w:rFonts w:ascii="Times New Roman" w:hAnsi="Times New Roman" w:cs="Times New Roman"/>
                <w:sz w:val="16"/>
                <w:szCs w:val="16"/>
              </w:rPr>
            </w:pPr>
          </w:p>
        </w:tc>
        <w:tc>
          <w:tcPr>
            <w:tcW w:w="987" w:type="dxa"/>
            <w:tcBorders>
              <w:top w:val="nil"/>
              <w:bottom w:val="nil"/>
              <w:right w:val="nil"/>
            </w:tcBorders>
          </w:tcPr>
          <w:p w:rsidR="00872EB5" w:rsidRPr="004E00C0" w:rsidRDefault="00872EB5" w:rsidP="00673324">
            <w:pPr>
              <w:tabs>
                <w:tab w:val="left" w:pos="720"/>
              </w:tabs>
              <w:jc w:val="right"/>
              <w:rPr>
                <w:rFonts w:ascii="Times New Roman" w:hAnsi="Times New Roman" w:cs="Times New Roman"/>
                <w:sz w:val="16"/>
                <w:szCs w:val="16"/>
              </w:rPr>
            </w:pPr>
          </w:p>
        </w:tc>
      </w:tr>
      <w:tr w:rsidR="00872EB5" w:rsidRPr="00C002CB" w:rsidTr="002D46CD">
        <w:trPr>
          <w:jc w:val="center"/>
        </w:trPr>
        <w:tc>
          <w:tcPr>
            <w:tcW w:w="3438" w:type="dxa"/>
            <w:tcBorders>
              <w:top w:val="nil"/>
              <w:left w:val="nil"/>
              <w:bottom w:val="nil"/>
            </w:tcBorders>
          </w:tcPr>
          <w:p w:rsidR="00872EB5" w:rsidRPr="00C002CB" w:rsidRDefault="00872EB5" w:rsidP="00673324">
            <w:pPr>
              <w:tabs>
                <w:tab w:val="left" w:pos="720"/>
              </w:tabs>
              <w:rPr>
                <w:rFonts w:ascii="Times New Roman" w:hAnsi="Times New Roman" w:cs="Times New Roman"/>
                <w:sz w:val="16"/>
                <w:szCs w:val="16"/>
              </w:rPr>
            </w:pPr>
            <w:r w:rsidRPr="00C002CB">
              <w:rPr>
                <w:rFonts w:ascii="Times New Roman" w:hAnsi="Times New Roman" w:cs="Times New Roman"/>
                <w:sz w:val="16"/>
                <w:szCs w:val="16"/>
              </w:rPr>
              <w:t xml:space="preserve">  Min. Education</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color w:val="000000"/>
                <w:sz w:val="16"/>
                <w:szCs w:val="16"/>
              </w:rPr>
              <w:t>8.3</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color w:val="000000"/>
                <w:sz w:val="16"/>
                <w:szCs w:val="16"/>
              </w:rPr>
              <w:t>35.1</w:t>
            </w:r>
          </w:p>
        </w:tc>
        <w:tc>
          <w:tcPr>
            <w:tcW w:w="987" w:type="dxa"/>
            <w:tcBorders>
              <w:top w:val="nil"/>
              <w:bottom w:val="nil"/>
              <w:right w:val="double" w:sz="4" w:space="0" w:color="auto"/>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-22.3</w:t>
            </w:r>
          </w:p>
        </w:tc>
        <w:tc>
          <w:tcPr>
            <w:tcW w:w="987" w:type="dxa"/>
            <w:tcBorders>
              <w:top w:val="nil"/>
              <w:left w:val="double" w:sz="4" w:space="0" w:color="auto"/>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9.6</w:t>
            </w:r>
          </w:p>
        </w:tc>
        <w:tc>
          <w:tcPr>
            <w:tcW w:w="987" w:type="dxa"/>
            <w:tcBorders>
              <w:top w:val="nil"/>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-2.0</w:t>
            </w:r>
          </w:p>
        </w:tc>
        <w:tc>
          <w:tcPr>
            <w:tcW w:w="987" w:type="dxa"/>
            <w:tcBorders>
              <w:top w:val="nil"/>
              <w:bottom w:val="nil"/>
              <w:right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13.7</w:t>
            </w:r>
          </w:p>
        </w:tc>
      </w:tr>
      <w:tr w:rsidR="00872EB5" w:rsidRPr="00C002CB" w:rsidTr="002D46CD">
        <w:trPr>
          <w:jc w:val="center"/>
        </w:trPr>
        <w:tc>
          <w:tcPr>
            <w:tcW w:w="3438" w:type="dxa"/>
            <w:tcBorders>
              <w:top w:val="nil"/>
              <w:left w:val="nil"/>
              <w:bottom w:val="nil"/>
            </w:tcBorders>
          </w:tcPr>
          <w:p w:rsidR="00872EB5" w:rsidRPr="00C002CB" w:rsidRDefault="00872EB5" w:rsidP="00673324">
            <w:pPr>
              <w:tabs>
                <w:tab w:val="left" w:pos="720"/>
              </w:tabs>
              <w:rPr>
                <w:rFonts w:ascii="Times New Roman" w:hAnsi="Times New Roman" w:cs="Times New Roman"/>
                <w:sz w:val="16"/>
                <w:szCs w:val="16"/>
              </w:rPr>
            </w:pPr>
            <w:r w:rsidRPr="00C002CB">
              <w:rPr>
                <w:rFonts w:ascii="Times New Roman" w:hAnsi="Times New Roman" w:cs="Times New Roman"/>
                <w:sz w:val="16"/>
                <w:szCs w:val="16"/>
              </w:rPr>
              <w:t xml:space="preserve">  Min. Police</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color w:val="000000"/>
                <w:sz w:val="16"/>
                <w:szCs w:val="16"/>
              </w:rPr>
              <w:t>-17.4</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color w:val="000000"/>
                <w:sz w:val="16"/>
                <w:szCs w:val="16"/>
              </w:rPr>
              <w:t>1.8</w:t>
            </w:r>
          </w:p>
        </w:tc>
        <w:tc>
          <w:tcPr>
            <w:tcW w:w="987" w:type="dxa"/>
            <w:tcBorders>
              <w:top w:val="nil"/>
              <w:bottom w:val="nil"/>
              <w:right w:val="double" w:sz="4" w:space="0" w:color="auto"/>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-11.7</w:t>
            </w:r>
          </w:p>
        </w:tc>
        <w:tc>
          <w:tcPr>
            <w:tcW w:w="987" w:type="dxa"/>
            <w:tcBorders>
              <w:top w:val="nil"/>
              <w:left w:val="double" w:sz="4" w:space="0" w:color="auto"/>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7.5</w:t>
            </w:r>
          </w:p>
        </w:tc>
        <w:tc>
          <w:tcPr>
            <w:tcW w:w="987" w:type="dxa"/>
            <w:tcBorders>
              <w:top w:val="nil"/>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10.6</w:t>
            </w:r>
          </w:p>
        </w:tc>
        <w:tc>
          <w:tcPr>
            <w:tcW w:w="987" w:type="dxa"/>
            <w:tcBorders>
              <w:top w:val="nil"/>
              <w:bottom w:val="nil"/>
              <w:right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6.9</w:t>
            </w:r>
          </w:p>
        </w:tc>
      </w:tr>
      <w:tr w:rsidR="00872EB5" w:rsidRPr="00C002CB" w:rsidTr="002D46CD">
        <w:trPr>
          <w:jc w:val="center"/>
        </w:trPr>
        <w:tc>
          <w:tcPr>
            <w:tcW w:w="3438" w:type="dxa"/>
            <w:tcBorders>
              <w:top w:val="nil"/>
              <w:left w:val="nil"/>
              <w:bottom w:val="nil"/>
            </w:tcBorders>
          </w:tcPr>
          <w:p w:rsidR="00872EB5" w:rsidRPr="00C002CB" w:rsidRDefault="00872EB5" w:rsidP="00673324">
            <w:pPr>
              <w:tabs>
                <w:tab w:val="left" w:pos="720"/>
              </w:tabs>
              <w:rPr>
                <w:rFonts w:ascii="Times New Roman" w:hAnsi="Times New Roman" w:cs="Times New Roman"/>
                <w:sz w:val="16"/>
                <w:szCs w:val="16"/>
              </w:rPr>
            </w:pPr>
            <w:r w:rsidRPr="00C002CB">
              <w:rPr>
                <w:rFonts w:ascii="Times New Roman" w:hAnsi="Times New Roman" w:cs="Times New Roman"/>
                <w:sz w:val="16"/>
                <w:szCs w:val="16"/>
              </w:rPr>
              <w:t xml:space="preserve">  Min. Provincial Government</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color w:val="000000"/>
                <w:sz w:val="16"/>
                <w:szCs w:val="16"/>
              </w:rPr>
              <w:t>171.2</w:t>
            </w:r>
          </w:p>
        </w:tc>
        <w:tc>
          <w:tcPr>
            <w:tcW w:w="987" w:type="dxa"/>
            <w:tcBorders>
              <w:top w:val="nil"/>
              <w:bottom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color w:val="000000"/>
                <w:sz w:val="16"/>
                <w:szCs w:val="16"/>
              </w:rPr>
              <w:t>-39.6</w:t>
            </w:r>
          </w:p>
        </w:tc>
        <w:tc>
          <w:tcPr>
            <w:tcW w:w="987" w:type="dxa"/>
            <w:tcBorders>
              <w:top w:val="nil"/>
              <w:bottom w:val="nil"/>
              <w:right w:val="double" w:sz="4" w:space="0" w:color="auto"/>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-26.3</w:t>
            </w:r>
          </w:p>
        </w:tc>
        <w:tc>
          <w:tcPr>
            <w:tcW w:w="987" w:type="dxa"/>
            <w:tcBorders>
              <w:top w:val="nil"/>
              <w:left w:val="double" w:sz="4" w:space="0" w:color="auto"/>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-13.7</w:t>
            </w:r>
          </w:p>
        </w:tc>
        <w:tc>
          <w:tcPr>
            <w:tcW w:w="987" w:type="dxa"/>
            <w:tcBorders>
              <w:top w:val="nil"/>
              <w:bottom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8.0</w:t>
            </w:r>
          </w:p>
        </w:tc>
        <w:tc>
          <w:tcPr>
            <w:tcW w:w="987" w:type="dxa"/>
            <w:tcBorders>
              <w:top w:val="nil"/>
              <w:bottom w:val="nil"/>
              <w:right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5.9</w:t>
            </w:r>
          </w:p>
        </w:tc>
      </w:tr>
      <w:tr w:rsidR="00872EB5" w:rsidRPr="00C002CB" w:rsidTr="002D46CD">
        <w:trPr>
          <w:jc w:val="center"/>
        </w:trPr>
        <w:tc>
          <w:tcPr>
            <w:tcW w:w="3438" w:type="dxa"/>
            <w:tcBorders>
              <w:top w:val="nil"/>
              <w:left w:val="nil"/>
            </w:tcBorders>
          </w:tcPr>
          <w:p w:rsidR="00872EB5" w:rsidRPr="00C002CB" w:rsidRDefault="00872EB5" w:rsidP="00673324">
            <w:pPr>
              <w:tabs>
                <w:tab w:val="left" w:pos="720"/>
              </w:tabs>
              <w:rPr>
                <w:rFonts w:ascii="Times New Roman" w:hAnsi="Times New Roman" w:cs="Times New Roman"/>
                <w:sz w:val="16"/>
                <w:szCs w:val="16"/>
              </w:rPr>
            </w:pPr>
            <w:r w:rsidRPr="00C002CB">
              <w:rPr>
                <w:rFonts w:ascii="Times New Roman" w:hAnsi="Times New Roman" w:cs="Times New Roman"/>
                <w:sz w:val="16"/>
                <w:szCs w:val="16"/>
              </w:rPr>
              <w:t xml:space="preserve">  Min. Rural Development</w:t>
            </w:r>
          </w:p>
        </w:tc>
        <w:tc>
          <w:tcPr>
            <w:tcW w:w="987" w:type="dxa"/>
            <w:tcBorders>
              <w:top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sz w:val="16"/>
                <w:szCs w:val="16"/>
              </w:rPr>
              <w:t>..</w:t>
            </w:r>
          </w:p>
        </w:tc>
        <w:tc>
          <w:tcPr>
            <w:tcW w:w="987" w:type="dxa"/>
            <w:tcBorders>
              <w:top w:val="nil"/>
            </w:tcBorders>
            <w:vAlign w:val="bottom"/>
          </w:tcPr>
          <w:p w:rsidR="00872EB5" w:rsidRPr="00C002CB" w:rsidRDefault="00872EB5" w:rsidP="00673324">
            <w:pPr>
              <w:tabs>
                <w:tab w:val="left" w:pos="720"/>
              </w:tabs>
              <w:jc w:val="right"/>
              <w:rPr>
                <w:rFonts w:ascii="Times New Roman" w:hAnsi="Times New Roman" w:cs="Times New Roman"/>
                <w:sz w:val="16"/>
                <w:szCs w:val="16"/>
              </w:rPr>
            </w:pPr>
            <w:r w:rsidRPr="00C002CB">
              <w:rPr>
                <w:rFonts w:ascii="Times New Roman" w:hAnsi="Times New Roman" w:cs="Times New Roman"/>
                <w:color w:val="000000"/>
                <w:sz w:val="16"/>
                <w:szCs w:val="16"/>
              </w:rPr>
              <w:t>-15.3</w:t>
            </w:r>
          </w:p>
        </w:tc>
        <w:tc>
          <w:tcPr>
            <w:tcW w:w="987" w:type="dxa"/>
            <w:tcBorders>
              <w:top w:val="nil"/>
              <w:right w:val="double" w:sz="4" w:space="0" w:color="auto"/>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-14.3</w:t>
            </w:r>
          </w:p>
        </w:tc>
        <w:tc>
          <w:tcPr>
            <w:tcW w:w="987" w:type="dxa"/>
            <w:tcBorders>
              <w:top w:val="nil"/>
              <w:left w:val="double" w:sz="4" w:space="0" w:color="auto"/>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663.2</w:t>
            </w:r>
          </w:p>
        </w:tc>
        <w:tc>
          <w:tcPr>
            <w:tcW w:w="987" w:type="dxa"/>
            <w:tcBorders>
              <w:top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81.9</w:t>
            </w:r>
          </w:p>
        </w:tc>
        <w:tc>
          <w:tcPr>
            <w:tcW w:w="987" w:type="dxa"/>
            <w:tcBorders>
              <w:top w:val="nil"/>
              <w:right w:val="nil"/>
            </w:tcBorders>
            <w:vAlign w:val="bottom"/>
          </w:tcPr>
          <w:p w:rsidR="00872EB5" w:rsidRPr="004E00C0" w:rsidRDefault="00872EB5" w:rsidP="00673324">
            <w:pPr>
              <w:tabs>
                <w:tab w:val="left" w:pos="720"/>
              </w:tabs>
              <w:jc w:val="right"/>
              <w:rPr>
                <w:rFonts w:ascii="Times New Roman" w:hAnsi="Times New Roman" w:cs="Times New Roman"/>
                <w:sz w:val="16"/>
                <w:szCs w:val="16"/>
              </w:rPr>
            </w:pPr>
            <w:r w:rsidRPr="004E00C0">
              <w:rPr>
                <w:rFonts w:ascii="Times New Roman" w:hAnsi="Times New Roman" w:cs="Times New Roman"/>
                <w:sz w:val="16"/>
                <w:szCs w:val="16"/>
              </w:rPr>
              <w:t>6.0</w:t>
            </w:r>
          </w:p>
        </w:tc>
      </w:tr>
    </w:tbl>
    <w:p w:rsidR="00872EB5" w:rsidRPr="004E00C0" w:rsidRDefault="004E00C0" w:rsidP="00673324">
      <w:pPr>
        <w:tabs>
          <w:tab w:val="left" w:pos="720"/>
        </w:tabs>
        <w:jc w:val="both"/>
        <w:rPr>
          <w:sz w:val="16"/>
          <w:szCs w:val="16"/>
        </w:rPr>
      </w:pPr>
      <w:r w:rsidRPr="004E00C0">
        <w:rPr>
          <w:i/>
          <w:sz w:val="16"/>
          <w:szCs w:val="16"/>
        </w:rPr>
        <w:t>Sources</w:t>
      </w:r>
      <w:r w:rsidRPr="004E00C0">
        <w:rPr>
          <w:sz w:val="16"/>
          <w:szCs w:val="16"/>
        </w:rPr>
        <w:t>:  Ministry of Finance and Treasury data and World Bank staff calculations.</w:t>
      </w:r>
    </w:p>
    <w:p w:rsidR="004E00C0" w:rsidRPr="00E231E4" w:rsidRDefault="004E00C0" w:rsidP="00673324">
      <w:pPr>
        <w:tabs>
          <w:tab w:val="left" w:pos="720"/>
        </w:tabs>
        <w:jc w:val="both"/>
        <w:rPr>
          <w:rFonts w:ascii="Arial" w:hAnsi="Arial" w:cs="Arial"/>
        </w:rPr>
      </w:pPr>
    </w:p>
    <w:p w:rsidR="002D46CD" w:rsidRPr="002D46CD" w:rsidRDefault="000A0519" w:rsidP="002D46CD">
      <w:pPr>
        <w:tabs>
          <w:tab w:val="left" w:pos="720"/>
          <w:tab w:val="left" w:pos="1980"/>
          <w:tab w:val="left" w:pos="2160"/>
        </w:tabs>
        <w:jc w:val="both"/>
        <w:rPr>
          <w:szCs w:val="22"/>
        </w:rPr>
      </w:pPr>
      <w:r w:rsidRPr="00C0478B">
        <w:fldChar w:fldCharType="begin"/>
      </w:r>
      <w:r w:rsidR="000E5C20" w:rsidRPr="00C0478B">
        <w:instrText xml:space="preserve"> AUTONUM  \* Arabic </w:instrText>
      </w:r>
      <w:r w:rsidRPr="00C0478B">
        <w:fldChar w:fldCharType="end"/>
      </w:r>
      <w:r w:rsidR="000E5C20" w:rsidRPr="00C0478B">
        <w:tab/>
      </w:r>
      <w:r w:rsidR="002D46CD" w:rsidRPr="002D46CD">
        <w:rPr>
          <w:b/>
          <w:szCs w:val="22"/>
        </w:rPr>
        <w:t>Actual spending does not resemble approved allocations.</w:t>
      </w:r>
      <w:r w:rsidR="002D46CD" w:rsidRPr="002D46CD">
        <w:rPr>
          <w:szCs w:val="22"/>
        </w:rPr>
        <w:t xml:space="preserve">  While execution across some Ministries has been relatively close to what was approved by Parliament, there are more ministries where actual expenditure has very substantially exceeded or fallen short of budgets. This is shown in Table </w:t>
      </w:r>
      <w:r w:rsidR="00CB6CE1">
        <w:rPr>
          <w:szCs w:val="22"/>
        </w:rPr>
        <w:t>3</w:t>
      </w:r>
      <w:r w:rsidR="002D46CD" w:rsidRPr="002D46CD">
        <w:rPr>
          <w:szCs w:val="22"/>
        </w:rPr>
        <w:t xml:space="preserve"> below.  In 2009 for example, 6 of 30 budget heads were spent within plus or minus 10 percent of their original approved recurrent allocations.</w:t>
      </w:r>
      <w:r w:rsidR="002D46CD" w:rsidRPr="002D46CD">
        <w:rPr>
          <w:rStyle w:val="FootnoteReference"/>
          <w:szCs w:val="22"/>
        </w:rPr>
        <w:footnoteReference w:id="18"/>
      </w:r>
      <w:r w:rsidR="002D46CD" w:rsidRPr="002D46CD">
        <w:rPr>
          <w:szCs w:val="22"/>
        </w:rPr>
        <w:t xml:space="preserve">  That year was a difficult year in which SIG controlled resources fell short of budgeted targets by almost 14 percent.</w:t>
      </w:r>
      <w:r w:rsidR="002D46CD" w:rsidRPr="002D46CD">
        <w:rPr>
          <w:szCs w:val="22"/>
          <w:vertAlign w:val="superscript"/>
        </w:rPr>
        <w:footnoteReference w:id="19"/>
      </w:r>
      <w:r w:rsidR="002D46CD" w:rsidRPr="002D46CD">
        <w:rPr>
          <w:szCs w:val="22"/>
        </w:rPr>
        <w:t xml:space="preserve">  Yet it is interesting to contrast this outcome with the outcome from 2008 when 16 of 30 budget heads (53 percent) were spent within ±10 percent of budgeted amounts despite a 12 percent shortfall in total SIG controlled resources.  Moreover, the 2008 outcome represented a slight improvement over the 2007 outcome when only 14 of 29 budget heads (48 percent) were spent at levels close to allocated amounts.  While more work is needed to fully explain what happened, this comparison suggests that resource constraints are not the only cause of spending deviations.  The fact that some budget heads were over-spent during periods of resource shortfalls may offer a partial clue – such spending only increases the need to reduce spending elsewhere.</w:t>
      </w:r>
    </w:p>
    <w:p w:rsidR="00AE6195" w:rsidRDefault="00AE6195" w:rsidP="00AB6A47">
      <w:pPr>
        <w:tabs>
          <w:tab w:val="left" w:pos="720"/>
        </w:tabs>
        <w:jc w:val="both"/>
        <w:rPr>
          <w:rFonts w:ascii="Arial" w:hAnsi="Arial" w:cs="Arial"/>
          <w:color w:val="0070C0"/>
          <w:sz w:val="18"/>
          <w:szCs w:val="18"/>
        </w:rPr>
      </w:pPr>
    </w:p>
    <w:p w:rsidR="00D16132" w:rsidRPr="00CB6CE1" w:rsidRDefault="000A0519" w:rsidP="00CB6CE1">
      <w:pPr>
        <w:tabs>
          <w:tab w:val="left" w:pos="720"/>
          <w:tab w:val="left" w:pos="1980"/>
          <w:tab w:val="left" w:pos="2160"/>
        </w:tabs>
        <w:jc w:val="both"/>
        <w:rPr>
          <w:szCs w:val="22"/>
        </w:rPr>
      </w:pPr>
      <w:r w:rsidRPr="00360837">
        <w:lastRenderedPageBreak/>
        <w:fldChar w:fldCharType="begin"/>
      </w:r>
      <w:r w:rsidR="00360837" w:rsidRPr="00360837">
        <w:instrText xml:space="preserve"> AUTONUM  \* Arabic </w:instrText>
      </w:r>
      <w:r w:rsidRPr="00360837">
        <w:fldChar w:fldCharType="end"/>
      </w:r>
      <w:r w:rsidR="00360837" w:rsidRPr="00360837">
        <w:tab/>
      </w:r>
      <w:r w:rsidR="00CB6CE1" w:rsidRPr="00CB6CE1">
        <w:rPr>
          <w:b/>
          <w:szCs w:val="22"/>
        </w:rPr>
        <w:t>Execution of the development budget is very weak.</w:t>
      </w:r>
      <w:r w:rsidR="00CB6CE1" w:rsidRPr="00CB6CE1">
        <w:rPr>
          <w:szCs w:val="22"/>
        </w:rPr>
        <w:t xml:space="preserve">  While SIG contributes only a fraction of the funding for the development budget, Table </w:t>
      </w:r>
      <w:r w:rsidR="00CB6CE1">
        <w:rPr>
          <w:szCs w:val="22"/>
        </w:rPr>
        <w:t>3</w:t>
      </w:r>
      <w:r w:rsidR="00CB6CE1" w:rsidRPr="00CB6CE1">
        <w:rPr>
          <w:szCs w:val="22"/>
        </w:rPr>
        <w:t xml:space="preserve"> shows that fraction has been under-spent in most ministries.  In 2006-09, for example, no more than two ministries spent within plus or minus 10 percent of their approved allocation from the consolidated portion of the development budget.  The majority of ministry allocations were under-spent.  This is partially the consequence of SIG placing a higher priority on recurrent obligations (notably the wage bill) but it may also a reflection of generally weak capacity for project implementation throughout SIG.  More exploration is needed.  By contrast, donor-funded expenditure has been split with roughly half the expected contribution being over-spent and half being under-spent.</w:t>
      </w:r>
      <w:r w:rsidR="00360837" w:rsidRPr="00CB6CE1">
        <w:rPr>
          <w:szCs w:val="22"/>
        </w:rPr>
        <w:t xml:space="preserve">  </w:t>
      </w:r>
    </w:p>
    <w:p w:rsidR="000570C4" w:rsidRPr="00CB6CE1" w:rsidRDefault="000570C4" w:rsidP="00CB6CE1">
      <w:pPr>
        <w:tabs>
          <w:tab w:val="left" w:pos="720"/>
          <w:tab w:val="left" w:pos="1980"/>
          <w:tab w:val="left" w:pos="2160"/>
        </w:tabs>
        <w:jc w:val="both"/>
        <w:rPr>
          <w:szCs w:val="22"/>
        </w:rPr>
      </w:pPr>
    </w:p>
    <w:p w:rsidR="00AE6195" w:rsidRPr="00AE6195" w:rsidRDefault="00AE6195" w:rsidP="00CB6CE1">
      <w:pPr>
        <w:jc w:val="center"/>
        <w:rPr>
          <w:b/>
        </w:rPr>
      </w:pPr>
      <w:r w:rsidRPr="00AE6195">
        <w:rPr>
          <w:b/>
        </w:rPr>
        <w:t>Table 3:</w:t>
      </w:r>
      <w:r>
        <w:rPr>
          <w:b/>
        </w:rPr>
        <w:t xml:space="preserve">  Budget Execution, 2006-09</w:t>
      </w:r>
    </w:p>
    <w:tbl>
      <w:tblPr>
        <w:tblStyle w:val="TableGrid"/>
        <w:tblW w:w="9360" w:type="dxa"/>
        <w:jc w:val="center"/>
        <w:tblBorders>
          <w:left w:val="none" w:sz="0" w:space="0" w:color="auto"/>
          <w:right w:val="none" w:sz="0" w:space="0" w:color="auto"/>
          <w:insideH w:val="none" w:sz="0" w:space="0" w:color="auto"/>
          <w:insideV w:val="none" w:sz="0" w:space="0" w:color="auto"/>
        </w:tblBorders>
        <w:tblLayout w:type="fixed"/>
        <w:tblLook w:val="04A0"/>
      </w:tblPr>
      <w:tblGrid>
        <w:gridCol w:w="5310"/>
        <w:gridCol w:w="1012"/>
        <w:gridCol w:w="1013"/>
        <w:gridCol w:w="1012"/>
        <w:gridCol w:w="1013"/>
      </w:tblGrid>
      <w:tr w:rsidR="002D46CD" w:rsidRPr="00CB6CE1" w:rsidTr="002D46CD">
        <w:trPr>
          <w:jc w:val="center"/>
        </w:trPr>
        <w:tc>
          <w:tcPr>
            <w:tcW w:w="5310" w:type="dxa"/>
            <w:tcBorders>
              <w:top w:val="single" w:sz="4" w:space="0" w:color="000000" w:themeColor="text1"/>
              <w:bottom w:val="single" w:sz="4" w:space="0" w:color="000000" w:themeColor="text1"/>
            </w:tcBorders>
            <w:shd w:val="pct10" w:color="auto" w:fill="auto"/>
          </w:tcPr>
          <w:p w:rsidR="002D46CD" w:rsidRPr="00CB6CE1" w:rsidRDefault="002D46CD" w:rsidP="002D46CD">
            <w:pPr>
              <w:tabs>
                <w:tab w:val="left" w:pos="720"/>
                <w:tab w:val="left" w:pos="1980"/>
                <w:tab w:val="left" w:pos="2160"/>
              </w:tabs>
              <w:rPr>
                <w:rFonts w:ascii="Times New Roman" w:hAnsi="Times New Roman" w:cs="Times New Roman"/>
                <w:sz w:val="18"/>
                <w:szCs w:val="18"/>
              </w:rPr>
            </w:pPr>
          </w:p>
        </w:tc>
        <w:tc>
          <w:tcPr>
            <w:tcW w:w="1012" w:type="dxa"/>
            <w:tcBorders>
              <w:top w:val="single" w:sz="4" w:space="0" w:color="000000" w:themeColor="text1"/>
              <w:bottom w:val="single" w:sz="4" w:space="0" w:color="000000" w:themeColor="text1"/>
            </w:tcBorders>
            <w:shd w:val="pct10" w:color="auto" w:fill="auto"/>
          </w:tcPr>
          <w:p w:rsidR="002D46CD" w:rsidRPr="00CB6CE1" w:rsidRDefault="002D46CD" w:rsidP="002D46CD">
            <w:pPr>
              <w:tabs>
                <w:tab w:val="left" w:pos="720"/>
                <w:tab w:val="left" w:pos="1980"/>
                <w:tab w:val="left" w:pos="2160"/>
              </w:tabs>
              <w:jc w:val="right"/>
              <w:rPr>
                <w:rFonts w:ascii="Times New Roman" w:hAnsi="Times New Roman" w:cs="Times New Roman"/>
                <w:b/>
                <w:sz w:val="18"/>
                <w:szCs w:val="18"/>
              </w:rPr>
            </w:pPr>
            <w:r w:rsidRPr="00CB6CE1">
              <w:rPr>
                <w:rFonts w:ascii="Times New Roman" w:hAnsi="Times New Roman" w:cs="Times New Roman"/>
                <w:b/>
                <w:sz w:val="18"/>
                <w:szCs w:val="18"/>
              </w:rPr>
              <w:t>2006</w:t>
            </w:r>
          </w:p>
        </w:tc>
        <w:tc>
          <w:tcPr>
            <w:tcW w:w="1013" w:type="dxa"/>
            <w:tcBorders>
              <w:top w:val="single" w:sz="4" w:space="0" w:color="000000" w:themeColor="text1"/>
              <w:bottom w:val="single" w:sz="4" w:space="0" w:color="000000" w:themeColor="text1"/>
            </w:tcBorders>
            <w:shd w:val="pct10" w:color="auto" w:fill="auto"/>
          </w:tcPr>
          <w:p w:rsidR="002D46CD" w:rsidRPr="00CB6CE1" w:rsidRDefault="002D46CD" w:rsidP="002D46CD">
            <w:pPr>
              <w:tabs>
                <w:tab w:val="left" w:pos="720"/>
                <w:tab w:val="left" w:pos="1980"/>
                <w:tab w:val="left" w:pos="2160"/>
              </w:tabs>
              <w:jc w:val="right"/>
              <w:rPr>
                <w:rFonts w:ascii="Times New Roman" w:hAnsi="Times New Roman" w:cs="Times New Roman"/>
                <w:b/>
                <w:sz w:val="18"/>
                <w:szCs w:val="18"/>
              </w:rPr>
            </w:pPr>
            <w:r w:rsidRPr="00CB6CE1">
              <w:rPr>
                <w:rFonts w:ascii="Times New Roman" w:hAnsi="Times New Roman" w:cs="Times New Roman"/>
                <w:b/>
                <w:sz w:val="18"/>
                <w:szCs w:val="18"/>
              </w:rPr>
              <w:t>2007</w:t>
            </w:r>
          </w:p>
        </w:tc>
        <w:tc>
          <w:tcPr>
            <w:tcW w:w="1012" w:type="dxa"/>
            <w:tcBorders>
              <w:top w:val="single" w:sz="4" w:space="0" w:color="000000" w:themeColor="text1"/>
              <w:bottom w:val="single" w:sz="4" w:space="0" w:color="000000" w:themeColor="text1"/>
            </w:tcBorders>
            <w:shd w:val="pct10" w:color="auto" w:fill="auto"/>
          </w:tcPr>
          <w:p w:rsidR="002D46CD" w:rsidRPr="00CB6CE1" w:rsidRDefault="002D46CD" w:rsidP="002D46CD">
            <w:pPr>
              <w:tabs>
                <w:tab w:val="left" w:pos="720"/>
                <w:tab w:val="left" w:pos="1980"/>
                <w:tab w:val="left" w:pos="2160"/>
              </w:tabs>
              <w:jc w:val="right"/>
              <w:rPr>
                <w:rFonts w:ascii="Times New Roman" w:hAnsi="Times New Roman" w:cs="Times New Roman"/>
                <w:b/>
                <w:sz w:val="18"/>
                <w:szCs w:val="18"/>
              </w:rPr>
            </w:pPr>
            <w:r w:rsidRPr="00CB6CE1">
              <w:rPr>
                <w:rFonts w:ascii="Times New Roman" w:hAnsi="Times New Roman" w:cs="Times New Roman"/>
                <w:b/>
                <w:sz w:val="18"/>
                <w:szCs w:val="18"/>
              </w:rPr>
              <w:t>2008</w:t>
            </w:r>
          </w:p>
        </w:tc>
        <w:tc>
          <w:tcPr>
            <w:tcW w:w="1013" w:type="dxa"/>
            <w:tcBorders>
              <w:top w:val="single" w:sz="4" w:space="0" w:color="000000" w:themeColor="text1"/>
              <w:bottom w:val="single" w:sz="4" w:space="0" w:color="000000" w:themeColor="text1"/>
            </w:tcBorders>
            <w:shd w:val="pct10" w:color="auto" w:fill="auto"/>
          </w:tcPr>
          <w:p w:rsidR="002D46CD" w:rsidRPr="00CB6CE1" w:rsidRDefault="002D46CD" w:rsidP="002D46CD">
            <w:pPr>
              <w:tabs>
                <w:tab w:val="left" w:pos="720"/>
                <w:tab w:val="left" w:pos="1980"/>
                <w:tab w:val="left" w:pos="2160"/>
              </w:tabs>
              <w:jc w:val="right"/>
              <w:rPr>
                <w:rFonts w:ascii="Times New Roman" w:hAnsi="Times New Roman" w:cs="Times New Roman"/>
                <w:b/>
                <w:sz w:val="18"/>
                <w:szCs w:val="18"/>
              </w:rPr>
            </w:pPr>
            <w:r w:rsidRPr="00CB6CE1">
              <w:rPr>
                <w:rFonts w:ascii="Times New Roman" w:hAnsi="Times New Roman" w:cs="Times New Roman"/>
                <w:b/>
                <w:sz w:val="18"/>
                <w:szCs w:val="18"/>
              </w:rPr>
              <w:t>2009</w:t>
            </w:r>
          </w:p>
        </w:tc>
      </w:tr>
      <w:tr w:rsidR="002D46CD" w:rsidRPr="00CB6CE1" w:rsidTr="002D46CD">
        <w:trPr>
          <w:jc w:val="center"/>
        </w:trPr>
        <w:tc>
          <w:tcPr>
            <w:tcW w:w="5310" w:type="dxa"/>
            <w:tcBorders>
              <w:top w:val="single" w:sz="4" w:space="0" w:color="000000" w:themeColor="text1"/>
            </w:tcBorders>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b/>
                <w:sz w:val="18"/>
                <w:szCs w:val="18"/>
              </w:rPr>
            </w:pPr>
            <w:r w:rsidRPr="00CB6CE1">
              <w:rPr>
                <w:rFonts w:ascii="Times New Roman" w:hAnsi="Times New Roman" w:cs="Times New Roman"/>
                <w:b/>
                <w:sz w:val="18"/>
                <w:szCs w:val="18"/>
              </w:rPr>
              <w:t>Deviation in SIG Controlled Resources (% of Budgeted Amount)</w:t>
            </w:r>
          </w:p>
        </w:tc>
        <w:tc>
          <w:tcPr>
            <w:tcW w:w="1012"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0.3</w:t>
            </w:r>
          </w:p>
        </w:tc>
        <w:tc>
          <w:tcPr>
            <w:tcW w:w="1013"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4.8</w:t>
            </w:r>
          </w:p>
        </w:tc>
        <w:tc>
          <w:tcPr>
            <w:tcW w:w="1012"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-11.9</w:t>
            </w:r>
          </w:p>
        </w:tc>
        <w:tc>
          <w:tcPr>
            <w:tcW w:w="1013"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-13.6</w:t>
            </w:r>
          </w:p>
        </w:tc>
      </w:tr>
      <w:tr w:rsidR="002D46CD" w:rsidRPr="00CB6CE1" w:rsidTr="002D46CD">
        <w:trPr>
          <w:jc w:val="center"/>
        </w:trPr>
        <w:tc>
          <w:tcPr>
            <w:tcW w:w="5310" w:type="dxa"/>
            <w:tcBorders>
              <w:top w:val="single" w:sz="4" w:space="0" w:color="000000" w:themeColor="text1"/>
            </w:tcBorders>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b/>
                <w:sz w:val="18"/>
                <w:szCs w:val="18"/>
              </w:rPr>
            </w:pPr>
          </w:p>
        </w:tc>
        <w:tc>
          <w:tcPr>
            <w:tcW w:w="1012"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3"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2"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3"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r>
      <w:tr w:rsidR="002D46CD" w:rsidRPr="00CB6CE1" w:rsidTr="002D46CD">
        <w:trPr>
          <w:jc w:val="center"/>
        </w:trPr>
        <w:tc>
          <w:tcPr>
            <w:tcW w:w="5310" w:type="dxa"/>
            <w:tcBorders>
              <w:top w:val="single" w:sz="4" w:space="0" w:color="000000" w:themeColor="text1"/>
            </w:tcBorders>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b/>
                <w:sz w:val="18"/>
                <w:szCs w:val="18"/>
              </w:rPr>
            </w:pPr>
            <w:r w:rsidRPr="00CB6CE1">
              <w:rPr>
                <w:rFonts w:ascii="Times New Roman" w:hAnsi="Times New Roman" w:cs="Times New Roman"/>
                <w:b/>
                <w:sz w:val="18"/>
                <w:szCs w:val="18"/>
              </w:rPr>
              <w:t>Recurrent Spending a/</w:t>
            </w:r>
          </w:p>
        </w:tc>
        <w:tc>
          <w:tcPr>
            <w:tcW w:w="1012"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3"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2"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3" w:type="dxa"/>
            <w:tcBorders>
              <w:top w:val="single" w:sz="4" w:space="0" w:color="000000" w:themeColor="text1"/>
            </w:tcBorders>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Good Execution (Number of budget heads within ±10%)</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10</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14</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16</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6</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Poor Execution (Number of budget heads)</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5</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15</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14</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24</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Over +10% of approved allocation</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8</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4</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Under -10% of approved allocation</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3</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7</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12</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20</w:t>
            </w:r>
          </w:p>
        </w:tc>
      </w:tr>
      <w:tr w:rsidR="002D46CD" w:rsidRPr="00CB6CE1" w:rsidTr="002D46CD">
        <w:trPr>
          <w:jc w:val="center"/>
        </w:trPr>
        <w:tc>
          <w:tcPr>
            <w:tcW w:w="5310" w:type="dxa"/>
            <w:tcBorders>
              <w:bottom w:val="nil"/>
            </w:tcBorders>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Spent without allocation</w:t>
            </w:r>
          </w:p>
        </w:tc>
        <w:tc>
          <w:tcPr>
            <w:tcW w:w="1012" w:type="dxa"/>
            <w:tcBorders>
              <w:bottom w:val="nil"/>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c>
          <w:tcPr>
            <w:tcW w:w="1013" w:type="dxa"/>
            <w:tcBorders>
              <w:bottom w:val="nil"/>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c>
          <w:tcPr>
            <w:tcW w:w="1012" w:type="dxa"/>
            <w:tcBorders>
              <w:bottom w:val="nil"/>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c>
          <w:tcPr>
            <w:tcW w:w="1013" w:type="dxa"/>
            <w:tcBorders>
              <w:bottom w:val="nil"/>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r>
      <w:tr w:rsidR="002D46CD" w:rsidRPr="00CB6CE1" w:rsidTr="002D46CD">
        <w:trPr>
          <w:jc w:val="center"/>
        </w:trPr>
        <w:tc>
          <w:tcPr>
            <w:tcW w:w="5310" w:type="dxa"/>
            <w:tcBorders>
              <w:top w:val="nil"/>
              <w:bottom w:val="single" w:sz="4" w:space="0" w:color="auto"/>
            </w:tcBorders>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Total Budget Heads with Allocations or Expenditures</w:t>
            </w:r>
          </w:p>
        </w:tc>
        <w:tc>
          <w:tcPr>
            <w:tcW w:w="1012" w:type="dxa"/>
            <w:tcBorders>
              <w:top w:val="nil"/>
              <w:bottom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15</w:t>
            </w:r>
          </w:p>
        </w:tc>
        <w:tc>
          <w:tcPr>
            <w:tcW w:w="1013" w:type="dxa"/>
            <w:tcBorders>
              <w:top w:val="nil"/>
              <w:bottom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29</w:t>
            </w:r>
          </w:p>
        </w:tc>
        <w:tc>
          <w:tcPr>
            <w:tcW w:w="1012" w:type="dxa"/>
            <w:tcBorders>
              <w:top w:val="nil"/>
              <w:bottom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30</w:t>
            </w:r>
          </w:p>
        </w:tc>
        <w:tc>
          <w:tcPr>
            <w:tcW w:w="1013" w:type="dxa"/>
            <w:tcBorders>
              <w:top w:val="nil"/>
              <w:bottom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30</w:t>
            </w:r>
          </w:p>
        </w:tc>
      </w:tr>
      <w:tr w:rsidR="002D46CD" w:rsidRPr="00CB6CE1" w:rsidTr="002D46CD">
        <w:trPr>
          <w:jc w:val="center"/>
        </w:trPr>
        <w:tc>
          <w:tcPr>
            <w:tcW w:w="5310" w:type="dxa"/>
            <w:tcBorders>
              <w:top w:val="single" w:sz="4" w:space="0" w:color="auto"/>
            </w:tcBorders>
            <w:tcMar>
              <w:left w:w="58" w:type="dxa"/>
              <w:right w:w="115" w:type="dxa"/>
            </w:tcMar>
            <w:vAlign w:val="bottom"/>
          </w:tcPr>
          <w:p w:rsidR="002D46CD" w:rsidRPr="00CB6CE1" w:rsidRDefault="002D46CD" w:rsidP="002D46CD">
            <w:pPr>
              <w:tabs>
                <w:tab w:val="left" w:pos="720"/>
                <w:tab w:val="left" w:pos="1980"/>
                <w:tab w:val="left" w:pos="2160"/>
              </w:tabs>
              <w:rPr>
                <w:rFonts w:ascii="Times New Roman" w:hAnsi="Times New Roman" w:cs="Times New Roman"/>
                <w:b/>
                <w:sz w:val="18"/>
                <w:szCs w:val="18"/>
              </w:rPr>
            </w:pPr>
            <w:r w:rsidRPr="00CB6CE1">
              <w:rPr>
                <w:rFonts w:ascii="Times New Roman" w:hAnsi="Times New Roman" w:cs="Times New Roman"/>
                <w:b/>
                <w:sz w:val="18"/>
                <w:szCs w:val="18"/>
              </w:rPr>
              <w:t>Development Spending, Consolidated</w:t>
            </w:r>
          </w:p>
        </w:tc>
        <w:tc>
          <w:tcPr>
            <w:tcW w:w="1012" w:type="dxa"/>
            <w:tcBorders>
              <w:top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3" w:type="dxa"/>
            <w:tcBorders>
              <w:top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2" w:type="dxa"/>
            <w:tcBorders>
              <w:top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3" w:type="dxa"/>
            <w:tcBorders>
              <w:top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Good Execution (Number of budget heads within ±10%)</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Poor Execution (Number of budget heads)</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9</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13</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25</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26</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Over +10% of approved allocation</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Under -10% of approved allocation</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8</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12</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25</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25</w:t>
            </w:r>
          </w:p>
        </w:tc>
      </w:tr>
      <w:tr w:rsidR="002D46CD" w:rsidRPr="00CB6CE1" w:rsidTr="002D46CD">
        <w:trPr>
          <w:jc w:val="center"/>
        </w:trPr>
        <w:tc>
          <w:tcPr>
            <w:tcW w:w="5310" w:type="dxa"/>
            <w:tcBorders>
              <w:bottom w:val="nil"/>
            </w:tcBorders>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Spent without allocation</w:t>
            </w:r>
          </w:p>
        </w:tc>
        <w:tc>
          <w:tcPr>
            <w:tcW w:w="1012" w:type="dxa"/>
            <w:tcBorders>
              <w:bottom w:val="nil"/>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c>
          <w:tcPr>
            <w:tcW w:w="1013" w:type="dxa"/>
            <w:tcBorders>
              <w:bottom w:val="nil"/>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w:t>
            </w:r>
          </w:p>
        </w:tc>
        <w:tc>
          <w:tcPr>
            <w:tcW w:w="1012" w:type="dxa"/>
            <w:tcBorders>
              <w:bottom w:val="nil"/>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c>
          <w:tcPr>
            <w:tcW w:w="1013" w:type="dxa"/>
            <w:tcBorders>
              <w:bottom w:val="nil"/>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0</w:t>
            </w:r>
          </w:p>
        </w:tc>
      </w:tr>
      <w:tr w:rsidR="002D46CD" w:rsidRPr="00CB6CE1" w:rsidTr="002D46CD">
        <w:trPr>
          <w:jc w:val="center"/>
        </w:trPr>
        <w:tc>
          <w:tcPr>
            <w:tcW w:w="5310" w:type="dxa"/>
            <w:tcBorders>
              <w:top w:val="nil"/>
              <w:bottom w:val="single" w:sz="4" w:space="0" w:color="auto"/>
            </w:tcBorders>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Total Budget Heads with Allocations or Expenditures</w:t>
            </w:r>
          </w:p>
        </w:tc>
        <w:tc>
          <w:tcPr>
            <w:tcW w:w="1012" w:type="dxa"/>
            <w:tcBorders>
              <w:top w:val="nil"/>
              <w:bottom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9</w:t>
            </w:r>
          </w:p>
        </w:tc>
        <w:tc>
          <w:tcPr>
            <w:tcW w:w="1013" w:type="dxa"/>
            <w:tcBorders>
              <w:top w:val="nil"/>
              <w:bottom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17</w:t>
            </w:r>
          </w:p>
        </w:tc>
        <w:tc>
          <w:tcPr>
            <w:tcW w:w="1012" w:type="dxa"/>
            <w:tcBorders>
              <w:top w:val="nil"/>
              <w:bottom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26</w:t>
            </w:r>
          </w:p>
        </w:tc>
        <w:tc>
          <w:tcPr>
            <w:tcW w:w="1013" w:type="dxa"/>
            <w:tcBorders>
              <w:top w:val="nil"/>
              <w:bottom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26</w:t>
            </w:r>
          </w:p>
        </w:tc>
      </w:tr>
      <w:tr w:rsidR="002D46CD" w:rsidRPr="00CB6CE1" w:rsidTr="002D46CD">
        <w:trPr>
          <w:jc w:val="center"/>
        </w:trPr>
        <w:tc>
          <w:tcPr>
            <w:tcW w:w="5310" w:type="dxa"/>
            <w:tcBorders>
              <w:top w:val="single" w:sz="4" w:space="0" w:color="auto"/>
            </w:tcBorders>
            <w:tcMar>
              <w:left w:w="58" w:type="dxa"/>
              <w:right w:w="115" w:type="dxa"/>
            </w:tcMar>
            <w:vAlign w:val="bottom"/>
          </w:tcPr>
          <w:p w:rsidR="002D46CD" w:rsidRPr="00CB6CE1" w:rsidRDefault="002D46CD" w:rsidP="002D46CD">
            <w:pPr>
              <w:tabs>
                <w:tab w:val="left" w:pos="720"/>
                <w:tab w:val="left" w:pos="1980"/>
                <w:tab w:val="left" w:pos="2160"/>
              </w:tabs>
              <w:rPr>
                <w:rFonts w:ascii="Times New Roman" w:hAnsi="Times New Roman" w:cs="Times New Roman"/>
                <w:b/>
                <w:sz w:val="18"/>
                <w:szCs w:val="18"/>
              </w:rPr>
            </w:pPr>
            <w:r w:rsidRPr="00CB6CE1">
              <w:rPr>
                <w:rFonts w:ascii="Times New Roman" w:hAnsi="Times New Roman" w:cs="Times New Roman"/>
                <w:b/>
                <w:sz w:val="18"/>
                <w:szCs w:val="18"/>
              </w:rPr>
              <w:t>Development Spending, Non-appropriated b/</w:t>
            </w:r>
          </w:p>
        </w:tc>
        <w:tc>
          <w:tcPr>
            <w:tcW w:w="1012" w:type="dxa"/>
            <w:tcBorders>
              <w:top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3" w:type="dxa"/>
            <w:tcBorders>
              <w:top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2" w:type="dxa"/>
            <w:tcBorders>
              <w:top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c>
          <w:tcPr>
            <w:tcW w:w="1013" w:type="dxa"/>
            <w:tcBorders>
              <w:top w:val="single" w:sz="4" w:space="0" w:color="auto"/>
            </w:tcBorders>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Good Execution (Number of budget heads within ±10%)</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3</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10</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4</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5</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Poor Execution (Number of budget heads)</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14</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13</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23</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20</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Over +10% of approved allocation</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6</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6</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10</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3</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Under -10% of approved allocation</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8</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7</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13</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17</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Spent without allocation</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7</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1</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w:t>
            </w:r>
          </w:p>
        </w:tc>
      </w:tr>
      <w:tr w:rsidR="002D46CD" w:rsidRPr="00CB6CE1" w:rsidTr="002D46CD">
        <w:trPr>
          <w:jc w:val="center"/>
        </w:trPr>
        <w:tc>
          <w:tcPr>
            <w:tcW w:w="5310" w:type="dxa"/>
            <w:tcMar>
              <w:left w:w="58" w:type="dxa"/>
              <w:right w:w="115" w:type="dxa"/>
            </w:tcMar>
          </w:tcPr>
          <w:p w:rsidR="002D46CD" w:rsidRPr="00CB6CE1" w:rsidRDefault="002D46CD" w:rsidP="002D46CD">
            <w:pPr>
              <w:tabs>
                <w:tab w:val="left" w:pos="720"/>
                <w:tab w:val="left" w:pos="1980"/>
                <w:tab w:val="left" w:pos="2160"/>
              </w:tabs>
              <w:rPr>
                <w:rFonts w:ascii="Times New Roman" w:hAnsi="Times New Roman" w:cs="Times New Roman"/>
                <w:sz w:val="18"/>
                <w:szCs w:val="18"/>
              </w:rPr>
            </w:pPr>
            <w:r w:rsidRPr="00CB6CE1">
              <w:rPr>
                <w:rFonts w:ascii="Times New Roman" w:hAnsi="Times New Roman" w:cs="Times New Roman"/>
                <w:sz w:val="18"/>
                <w:szCs w:val="18"/>
              </w:rPr>
              <w:t xml:space="preserve">  Total Budget Heads with Allocations or Expenditures</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24</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25</w:t>
            </w:r>
          </w:p>
        </w:tc>
        <w:tc>
          <w:tcPr>
            <w:tcW w:w="1012"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28</w:t>
            </w:r>
          </w:p>
        </w:tc>
        <w:tc>
          <w:tcPr>
            <w:tcW w:w="1013" w:type="dxa"/>
            <w:vAlign w:val="bottom"/>
          </w:tcPr>
          <w:p w:rsidR="002D46CD" w:rsidRPr="00CB6CE1" w:rsidRDefault="002D46CD" w:rsidP="002D46CD">
            <w:pPr>
              <w:tabs>
                <w:tab w:val="left" w:pos="720"/>
                <w:tab w:val="left" w:pos="1980"/>
                <w:tab w:val="left" w:pos="2160"/>
              </w:tabs>
              <w:jc w:val="right"/>
              <w:rPr>
                <w:rFonts w:ascii="Times New Roman" w:hAnsi="Times New Roman" w:cs="Times New Roman"/>
                <w:sz w:val="18"/>
                <w:szCs w:val="18"/>
              </w:rPr>
            </w:pPr>
            <w:r w:rsidRPr="00CB6CE1">
              <w:rPr>
                <w:rFonts w:ascii="Times New Roman" w:hAnsi="Times New Roman" w:cs="Times New Roman"/>
                <w:sz w:val="18"/>
                <w:szCs w:val="18"/>
              </w:rPr>
              <w:t>27</w:t>
            </w:r>
          </w:p>
        </w:tc>
      </w:tr>
    </w:tbl>
    <w:p w:rsidR="00AE6195" w:rsidRPr="00CB6CE1" w:rsidRDefault="003D0AB1" w:rsidP="00AB15DC">
      <w:pPr>
        <w:tabs>
          <w:tab w:val="left" w:pos="720"/>
        </w:tabs>
        <w:rPr>
          <w:sz w:val="18"/>
        </w:rPr>
      </w:pPr>
      <w:r w:rsidRPr="00CB6CE1">
        <w:rPr>
          <w:sz w:val="18"/>
        </w:rPr>
        <w:t xml:space="preserve">a. </w:t>
      </w:r>
      <w:r w:rsidR="002D46CD" w:rsidRPr="00CB6CE1">
        <w:rPr>
          <w:sz w:val="18"/>
        </w:rPr>
        <w:t>Ex</w:t>
      </w:r>
      <w:r w:rsidR="00AE6195" w:rsidRPr="00CB6CE1">
        <w:rPr>
          <w:sz w:val="18"/>
        </w:rPr>
        <w:t>cludes sector budget support for health and education.</w:t>
      </w:r>
    </w:p>
    <w:p w:rsidR="003D0AB1" w:rsidRPr="00CB6CE1" w:rsidRDefault="003D0AB1" w:rsidP="00AB15DC">
      <w:pPr>
        <w:tabs>
          <w:tab w:val="left" w:pos="720"/>
        </w:tabs>
        <w:rPr>
          <w:sz w:val="18"/>
        </w:rPr>
      </w:pPr>
      <w:r w:rsidRPr="00CB6CE1">
        <w:rPr>
          <w:sz w:val="18"/>
        </w:rPr>
        <w:t>b. The outcome in 2009 reflects changes in the accounting of support for police and justice programs as well as some under-counting in other ministry programs rather than actual under-spending.</w:t>
      </w:r>
    </w:p>
    <w:p w:rsidR="00AE6195" w:rsidRPr="00CB6CE1" w:rsidRDefault="00AE6195" w:rsidP="00C1479D">
      <w:pPr>
        <w:tabs>
          <w:tab w:val="left" w:pos="720"/>
        </w:tabs>
        <w:rPr>
          <w:sz w:val="18"/>
        </w:rPr>
      </w:pPr>
      <w:r w:rsidRPr="00CB6CE1">
        <w:rPr>
          <w:i/>
          <w:sz w:val="18"/>
        </w:rPr>
        <w:t>Sources</w:t>
      </w:r>
      <w:r w:rsidRPr="00CB6CE1">
        <w:rPr>
          <w:sz w:val="18"/>
        </w:rPr>
        <w:t>:  MOFT</w:t>
      </w:r>
      <w:r w:rsidR="00ED15BC" w:rsidRPr="00CB6CE1">
        <w:rPr>
          <w:sz w:val="18"/>
        </w:rPr>
        <w:t xml:space="preserve"> and World Bank staff </w:t>
      </w:r>
      <w:r w:rsidR="002D46CD" w:rsidRPr="00CB6CE1">
        <w:rPr>
          <w:sz w:val="18"/>
        </w:rPr>
        <w:t>calculations using most recent database from January 2011</w:t>
      </w:r>
      <w:r w:rsidR="00ED15BC" w:rsidRPr="00CB6CE1">
        <w:rPr>
          <w:sz w:val="18"/>
        </w:rPr>
        <w:t>.</w:t>
      </w:r>
    </w:p>
    <w:p w:rsidR="00A81F5B" w:rsidRDefault="00A81F5B" w:rsidP="00673324">
      <w:pPr>
        <w:tabs>
          <w:tab w:val="left" w:pos="720"/>
        </w:tabs>
        <w:jc w:val="both"/>
      </w:pPr>
    </w:p>
    <w:p w:rsidR="00CF2871" w:rsidRDefault="000A0519" w:rsidP="00673324">
      <w:pPr>
        <w:tabs>
          <w:tab w:val="left" w:pos="720"/>
        </w:tabs>
        <w:jc w:val="both"/>
      </w:pPr>
      <w:r w:rsidRPr="00C0478B">
        <w:fldChar w:fldCharType="begin"/>
      </w:r>
      <w:r w:rsidR="00A81F5B" w:rsidRPr="00C0478B">
        <w:instrText xml:space="preserve"> AUTONUM  \* Arabic </w:instrText>
      </w:r>
      <w:r w:rsidRPr="00C0478B">
        <w:fldChar w:fldCharType="end"/>
      </w:r>
      <w:r w:rsidR="00A81F5B" w:rsidRPr="00C0478B">
        <w:tab/>
      </w:r>
      <w:r w:rsidR="00CF2871" w:rsidRPr="00C828FC">
        <w:rPr>
          <w:b/>
        </w:rPr>
        <w:t>There are many reasons why the budget that is delivered does not match the budget that was approved.</w:t>
      </w:r>
      <w:r w:rsidR="00CF2871">
        <w:t xml:space="preserve">  Here is a </w:t>
      </w:r>
      <w:r w:rsidR="00EB2F68">
        <w:t xml:space="preserve">partial </w:t>
      </w:r>
      <w:r w:rsidR="00CF2871">
        <w:t>list:</w:t>
      </w:r>
    </w:p>
    <w:p w:rsidR="00CF2871" w:rsidRDefault="00CF2871" w:rsidP="00673324">
      <w:pPr>
        <w:tabs>
          <w:tab w:val="left" w:pos="720"/>
        </w:tabs>
        <w:jc w:val="both"/>
      </w:pPr>
    </w:p>
    <w:p w:rsidR="00D1351F" w:rsidRPr="00C94631" w:rsidRDefault="00D1351F" w:rsidP="00673324">
      <w:pPr>
        <w:pStyle w:val="ListParagraph"/>
        <w:numPr>
          <w:ilvl w:val="0"/>
          <w:numId w:val="9"/>
        </w:numPr>
        <w:tabs>
          <w:tab w:val="left" w:pos="720"/>
        </w:tabs>
        <w:jc w:val="both"/>
      </w:pPr>
      <w:r w:rsidRPr="00C94631">
        <w:rPr>
          <w:b/>
        </w:rPr>
        <w:t>Cash reserves are insufficient.</w:t>
      </w:r>
      <w:r w:rsidRPr="00C94631">
        <w:t xml:space="preserve">  As in all countries, macroeconomic forecasts to provide estimates of the amount of revenue available </w:t>
      </w:r>
      <w:r w:rsidR="00EB1B91">
        <w:t xml:space="preserve">versus the amounts needed </w:t>
      </w:r>
      <w:r w:rsidRPr="00C94631">
        <w:t xml:space="preserve">for spending are not always accurate. When revenue falls short of forecasts, </w:t>
      </w:r>
      <w:r w:rsidR="00EB1B91">
        <w:t xml:space="preserve">or when needs exceed forecasts, then </w:t>
      </w:r>
      <w:r w:rsidRPr="00C94631">
        <w:t>the only option available is to disrupt spending</w:t>
      </w:r>
      <w:r w:rsidR="00EB1B91">
        <w:t xml:space="preserve"> after cash reserves are exhausted</w:t>
      </w:r>
      <w:r w:rsidRPr="00C94631">
        <w:t>.</w:t>
      </w:r>
    </w:p>
    <w:p w:rsidR="00CF2871" w:rsidRPr="00C94631" w:rsidRDefault="006477D8" w:rsidP="00673324">
      <w:pPr>
        <w:pStyle w:val="ListParagraph"/>
        <w:numPr>
          <w:ilvl w:val="0"/>
          <w:numId w:val="9"/>
        </w:numPr>
        <w:tabs>
          <w:tab w:val="left" w:pos="720"/>
        </w:tabs>
        <w:jc w:val="both"/>
      </w:pPr>
      <w:r w:rsidRPr="00C94631">
        <w:rPr>
          <w:b/>
        </w:rPr>
        <w:t>Ministers</w:t>
      </w:r>
      <w:r w:rsidR="00CF2871" w:rsidRPr="00C94631">
        <w:rPr>
          <w:b/>
        </w:rPr>
        <w:t xml:space="preserve"> have changed their minds about what money should be spent on.</w:t>
      </w:r>
      <w:r w:rsidR="00CF2871" w:rsidRPr="00C94631">
        <w:t xml:space="preserve">  They have reallocated resources to different areas throughout each year by means of Cabinet Letters, Contingency Warrants and Supplementary Budgets.  </w:t>
      </w:r>
      <w:r w:rsidRPr="00C94631">
        <w:t xml:space="preserve">The need to make such changes implies either that </w:t>
      </w:r>
      <w:r w:rsidR="00AA47E1">
        <w:t>SIG is</w:t>
      </w:r>
      <w:r w:rsidRPr="00C94631">
        <w:t xml:space="preserve"> not getting the approved budget right the first time or </w:t>
      </w:r>
      <w:r w:rsidR="00AA47E1">
        <w:t>some</w:t>
      </w:r>
      <w:r w:rsidRPr="00C94631">
        <w:t xml:space="preserve"> </w:t>
      </w:r>
      <w:r w:rsidR="00AA47E1">
        <w:t xml:space="preserve">people </w:t>
      </w:r>
      <w:r w:rsidRPr="00C94631">
        <w:t>do not respect the approved budget as a legal</w:t>
      </w:r>
      <w:r w:rsidR="00C828FC">
        <w:t>ly binding</w:t>
      </w:r>
      <w:r w:rsidRPr="00C94631">
        <w:t xml:space="preserve"> instrument for expenditure control.</w:t>
      </w:r>
    </w:p>
    <w:p w:rsidR="00D1351F" w:rsidRPr="00C94631" w:rsidRDefault="006477D8" w:rsidP="00673324">
      <w:pPr>
        <w:pStyle w:val="ListParagraph"/>
        <w:numPr>
          <w:ilvl w:val="0"/>
          <w:numId w:val="9"/>
        </w:numPr>
        <w:tabs>
          <w:tab w:val="left" w:pos="720"/>
        </w:tabs>
        <w:jc w:val="both"/>
      </w:pPr>
      <w:r w:rsidRPr="00C94631">
        <w:rPr>
          <w:b/>
        </w:rPr>
        <w:lastRenderedPageBreak/>
        <w:t xml:space="preserve">Current laws, regulations, and procedures </w:t>
      </w:r>
      <w:r w:rsidR="00393904" w:rsidRPr="00C94631">
        <w:rPr>
          <w:b/>
        </w:rPr>
        <w:t>do not provide adequate expenditure commitment controls.</w:t>
      </w:r>
      <w:r w:rsidR="00393904" w:rsidRPr="00C94631">
        <w:t xml:space="preserve">  MoFT revised its financial instructions </w:t>
      </w:r>
      <w:r w:rsidR="00CF2871" w:rsidRPr="00C94631">
        <w:t xml:space="preserve">in 2010. If these are </w:t>
      </w:r>
      <w:r w:rsidR="00393904" w:rsidRPr="00C94631">
        <w:t xml:space="preserve">effectively implemented, </w:t>
      </w:r>
      <w:r w:rsidR="00CF2871" w:rsidRPr="00C94631">
        <w:t>they</w:t>
      </w:r>
      <w:r w:rsidR="00393904" w:rsidRPr="00C94631">
        <w:t xml:space="preserve"> will significantly improve accounting and financial management practices. </w:t>
      </w:r>
    </w:p>
    <w:p w:rsidR="00EF37C6" w:rsidRPr="00EB2F68" w:rsidRDefault="006477D8" w:rsidP="00673324">
      <w:pPr>
        <w:pStyle w:val="ListParagraph"/>
        <w:numPr>
          <w:ilvl w:val="0"/>
          <w:numId w:val="9"/>
        </w:numPr>
        <w:tabs>
          <w:tab w:val="left" w:pos="720"/>
        </w:tabs>
        <w:jc w:val="both"/>
      </w:pPr>
      <w:r w:rsidRPr="00C94631">
        <w:rPr>
          <w:b/>
        </w:rPr>
        <w:t xml:space="preserve">Government </w:t>
      </w:r>
      <w:r w:rsidRPr="00EB2F68">
        <w:rPr>
          <w:b/>
        </w:rPr>
        <w:t>officials have diverted (vired) resources from productive uses.</w:t>
      </w:r>
      <w:r w:rsidRPr="00EB2F68">
        <w:t xml:space="preserve">  </w:t>
      </w:r>
      <w:r w:rsidR="00C1479D" w:rsidRPr="00C1479D">
        <w:t xml:space="preserve">Virement is an official process by which ministries are able to reallocate funding between line items. </w:t>
      </w:r>
      <w:proofErr w:type="spellStart"/>
      <w:r w:rsidR="00C1479D" w:rsidRPr="00C1479D">
        <w:t>Virements</w:t>
      </w:r>
      <w:proofErr w:type="spellEnd"/>
      <w:r w:rsidR="00C1479D" w:rsidRPr="00C1479D">
        <w:t xml:space="preserve"> can serve an important role in correcting the inevitable </w:t>
      </w:r>
      <w:proofErr w:type="spellStart"/>
      <w:r w:rsidR="00C1479D" w:rsidRPr="00C1479D">
        <w:t>mis</w:t>
      </w:r>
      <w:proofErr w:type="spellEnd"/>
      <w:r w:rsidR="00C1479D" w:rsidRPr="00C1479D">
        <w:t xml:space="preserve">-allocations built into the budget every year. </w:t>
      </w:r>
      <w:r w:rsidR="00EF37C6" w:rsidRPr="00EB2F68">
        <w:t xml:space="preserve"> </w:t>
      </w:r>
      <w:r w:rsidR="00C1479D">
        <w:t>Unfortunately, m</w:t>
      </w:r>
      <w:r w:rsidR="00EF37C6" w:rsidRPr="00EB2F68">
        <w:t xml:space="preserve">ost ministries </w:t>
      </w:r>
      <w:r w:rsidR="00C1479D">
        <w:t>have used</w:t>
      </w:r>
      <w:r w:rsidR="00EF37C6" w:rsidRPr="00EB2F68">
        <w:t xml:space="preserve"> virement for purposes that do not contribute substantially to the achievement of policy objectives</w:t>
      </w:r>
      <w:r w:rsidRPr="00EB2F68">
        <w:t xml:space="preserve">.  These include </w:t>
      </w:r>
      <w:r w:rsidR="00EF37C6" w:rsidRPr="00EB2F68">
        <w:t>travel, allowances</w:t>
      </w:r>
      <w:r w:rsidRPr="00EB2F68">
        <w:t>,</w:t>
      </w:r>
      <w:r w:rsidR="00EF37C6" w:rsidRPr="00EB2F68">
        <w:t xml:space="preserve"> and entertainment expenses.  </w:t>
      </w:r>
      <w:r w:rsidR="00C94631" w:rsidRPr="00EB2F68">
        <w:t xml:space="preserve">(See </w:t>
      </w:r>
      <w:r w:rsidR="00EB2F68" w:rsidRPr="00EB2F68">
        <w:t>Box 1</w:t>
      </w:r>
      <w:r w:rsidR="00C94631" w:rsidRPr="00EB2F68">
        <w:t xml:space="preserve">.)  </w:t>
      </w:r>
      <w:r w:rsidR="00EF37C6" w:rsidRPr="00EB2F68">
        <w:t xml:space="preserve">These </w:t>
      </w:r>
      <w:r w:rsidRPr="00EB2F68">
        <w:t>diversions</w:t>
      </w:r>
      <w:r w:rsidR="00EF37C6" w:rsidRPr="00EB2F68">
        <w:t xml:space="preserve"> appear to be increasing over time.</w:t>
      </w:r>
    </w:p>
    <w:p w:rsidR="00D1351F" w:rsidRPr="00D1351F" w:rsidRDefault="00D1351F" w:rsidP="00673324">
      <w:pPr>
        <w:pStyle w:val="ListParagraph"/>
        <w:numPr>
          <w:ilvl w:val="0"/>
          <w:numId w:val="9"/>
        </w:numPr>
        <w:tabs>
          <w:tab w:val="left" w:pos="720"/>
        </w:tabs>
        <w:jc w:val="both"/>
        <w:rPr>
          <w:i/>
        </w:rPr>
      </w:pPr>
      <w:r w:rsidRPr="00EB2F68">
        <w:rPr>
          <w:b/>
        </w:rPr>
        <w:t>Donor funding is volatile</w:t>
      </w:r>
      <w:r w:rsidR="00C94631" w:rsidRPr="00EB2F68">
        <w:rPr>
          <w:b/>
        </w:rPr>
        <w:t>.</w:t>
      </w:r>
      <w:r w:rsidR="00C94631">
        <w:t xml:space="preserve">  Donor support</w:t>
      </w:r>
      <w:r w:rsidRPr="00C94631">
        <w:t xml:space="preserve"> </w:t>
      </w:r>
      <w:r w:rsidR="00C94631">
        <w:t xml:space="preserve">often exceeding forecasts for some projects while falling short for others.  </w:t>
      </w:r>
    </w:p>
    <w:p w:rsidR="00C94631" w:rsidRDefault="000A0519" w:rsidP="00673324">
      <w:pPr>
        <w:tabs>
          <w:tab w:val="left" w:pos="720"/>
        </w:tabs>
      </w:pPr>
      <w:r>
        <w:rPr>
          <w:noProof/>
        </w:rPr>
        <w:pict>
          <v:shape id="_x0000_s1026" type="#_x0000_t202" style="position:absolute;margin-left:0;margin-top:14.4pt;width:467.1pt;height:249.45pt;z-index:251659264;mso-height-percent:200;mso-position-horizontal:center;mso-position-vertical:absolute;mso-height-percent:200;mso-width-relative:margin;mso-height-relative:margin">
            <v:textbox style="mso-next-textbox:#_x0000_s1026;mso-fit-shape-to-text:t">
              <w:txbxContent>
                <w:p w:rsidR="002D46CD" w:rsidRPr="006477D8" w:rsidRDefault="002D46CD" w:rsidP="00C94631">
                  <w:pPr>
                    <w:rPr>
                      <w:b/>
                      <w:sz w:val="20"/>
                    </w:rPr>
                  </w:pPr>
                  <w:r w:rsidRPr="006477D8">
                    <w:rPr>
                      <w:b/>
                      <w:sz w:val="20"/>
                    </w:rPr>
                    <w:t>Box</w:t>
                  </w:r>
                  <w:r>
                    <w:rPr>
                      <w:b/>
                      <w:sz w:val="20"/>
                    </w:rPr>
                    <w:t xml:space="preserve"> 1</w:t>
                  </w:r>
                  <w:r w:rsidRPr="006477D8">
                    <w:rPr>
                      <w:b/>
                      <w:sz w:val="20"/>
                    </w:rPr>
                    <w:t xml:space="preserve">: </w:t>
                  </w:r>
                  <w:r>
                    <w:rPr>
                      <w:b/>
                      <w:sz w:val="20"/>
                    </w:rPr>
                    <w:t>The Record on Virement</w:t>
                  </w:r>
                </w:p>
                <w:p w:rsidR="002D46CD" w:rsidRDefault="002D46CD" w:rsidP="00C94631">
                  <w:pPr>
                    <w:rPr>
                      <w:sz w:val="20"/>
                    </w:rPr>
                  </w:pPr>
                </w:p>
                <w:p w:rsidR="002D46CD" w:rsidRPr="006477D8" w:rsidRDefault="002D46CD" w:rsidP="00C94631">
                  <w:pPr>
                    <w:rPr>
                      <w:sz w:val="20"/>
                    </w:rPr>
                  </w:pPr>
                  <w:r w:rsidRPr="006477D8">
                    <w:rPr>
                      <w:sz w:val="20"/>
                    </w:rPr>
                    <w:t xml:space="preserve">Ministries typically submit a very large number of </w:t>
                  </w:r>
                  <w:proofErr w:type="spellStart"/>
                  <w:r w:rsidRPr="006477D8">
                    <w:rPr>
                      <w:sz w:val="20"/>
                    </w:rPr>
                    <w:t>virements</w:t>
                  </w:r>
                  <w:proofErr w:type="spellEnd"/>
                  <w:r w:rsidRPr="006477D8">
                    <w:rPr>
                      <w:sz w:val="20"/>
                    </w:rPr>
                    <w:t xml:space="preserve"> during the course of a year.  The Ministry of Foreign Affairs had just over 300 </w:t>
                  </w:r>
                  <w:proofErr w:type="spellStart"/>
                  <w:r w:rsidRPr="006477D8">
                    <w:rPr>
                      <w:sz w:val="20"/>
                    </w:rPr>
                    <w:t>virements</w:t>
                  </w:r>
                  <w:proofErr w:type="spellEnd"/>
                  <w:r w:rsidRPr="006477D8">
                    <w:rPr>
                      <w:sz w:val="20"/>
                    </w:rPr>
                    <w:t xml:space="preserve"> approved in </w:t>
                  </w:r>
                  <w:proofErr w:type="gramStart"/>
                  <w:r w:rsidRPr="006477D8">
                    <w:rPr>
                      <w:sz w:val="20"/>
                    </w:rPr>
                    <w:t>2009,</w:t>
                  </w:r>
                  <w:proofErr w:type="gramEnd"/>
                  <w:r w:rsidRPr="006477D8">
                    <w:rPr>
                      <w:sz w:val="20"/>
                    </w:rPr>
                    <w:t xml:space="preserve"> the Ministry of Health had nearly 400 </w:t>
                  </w:r>
                  <w:proofErr w:type="spellStart"/>
                  <w:r w:rsidRPr="006477D8">
                    <w:rPr>
                      <w:sz w:val="20"/>
                    </w:rPr>
                    <w:t>virements</w:t>
                  </w:r>
                  <w:proofErr w:type="spellEnd"/>
                  <w:r w:rsidRPr="006477D8">
                    <w:rPr>
                      <w:sz w:val="20"/>
                    </w:rPr>
                    <w:t xml:space="preserve"> that year while the Ministry of Police submitted roughly 450.  The amount of funding that is vired is often a substantial portion of overall allocations.  For example, they accounted for 14 percent of the approved 2009 recurrent allocation to the Office of the Prime Minister and Cabinet and 18 percent of the recurrent allocations to the ministries responsible for commerce and forestry. </w:t>
                  </w:r>
                </w:p>
                <w:p w:rsidR="002D46CD" w:rsidRPr="006477D8" w:rsidRDefault="002D46CD" w:rsidP="00C94631">
                  <w:pPr>
                    <w:rPr>
                      <w:sz w:val="20"/>
                    </w:rPr>
                  </w:pPr>
                </w:p>
                <w:p w:rsidR="002D46CD" w:rsidRDefault="002D46CD" w:rsidP="00C94631">
                  <w:pPr>
                    <w:rPr>
                      <w:sz w:val="20"/>
                    </w:rPr>
                  </w:pPr>
                  <w:r w:rsidRPr="006477D8">
                    <w:rPr>
                      <w:sz w:val="20"/>
                    </w:rPr>
                    <w:t xml:space="preserve">It is not uncommon for line ministries to submit requests for virement of funds </w:t>
                  </w:r>
                  <w:r>
                    <w:rPr>
                      <w:sz w:val="20"/>
                    </w:rPr>
                    <w:t>only</w:t>
                  </w:r>
                  <w:r w:rsidRPr="006477D8">
                    <w:rPr>
                      <w:sz w:val="20"/>
                    </w:rPr>
                    <w:t xml:space="preserve"> days after the appropriated budget becomes effective. Although the Treasury Division has often tried to deter the practice by turning them down when they are scrutinizing the applications, their usage has remained high.  Some of the highly placed officers within line ministries lobby for the approving authority (the PS/the minister) when Treasury Division rejects their requests. </w:t>
                  </w:r>
                </w:p>
                <w:p w:rsidR="002D46CD" w:rsidRDefault="002D46CD" w:rsidP="00C94631">
                  <w:pPr>
                    <w:rPr>
                      <w:sz w:val="20"/>
                    </w:rPr>
                  </w:pPr>
                </w:p>
                <w:p w:rsidR="002D46CD" w:rsidRPr="006477D8" w:rsidRDefault="002D46CD" w:rsidP="00C94631">
                  <w:pPr>
                    <w:rPr>
                      <w:sz w:val="20"/>
                    </w:rPr>
                  </w:pPr>
                  <w:r w:rsidRPr="006477D8">
                    <w:rPr>
                      <w:sz w:val="20"/>
                    </w:rPr>
                    <w:t xml:space="preserve">There are no clear guidelines in the </w:t>
                  </w:r>
                  <w:r>
                    <w:rPr>
                      <w:sz w:val="20"/>
                    </w:rPr>
                    <w:t xml:space="preserve">revised </w:t>
                  </w:r>
                  <w:r w:rsidRPr="006477D8">
                    <w:rPr>
                      <w:sz w:val="20"/>
                    </w:rPr>
                    <w:t xml:space="preserve">Financial Instructions to regulate the use of </w:t>
                  </w:r>
                  <w:proofErr w:type="spellStart"/>
                  <w:r w:rsidRPr="006477D8">
                    <w:rPr>
                      <w:sz w:val="20"/>
                    </w:rPr>
                    <w:t>virements</w:t>
                  </w:r>
                  <w:proofErr w:type="spellEnd"/>
                  <w:r w:rsidRPr="006477D8">
                    <w:rPr>
                      <w:sz w:val="20"/>
                    </w:rPr>
                    <w:t xml:space="preserve"> in the execution of the budget. </w:t>
                  </w:r>
                  <w:r>
                    <w:rPr>
                      <w:sz w:val="20"/>
                    </w:rPr>
                    <w:t xml:space="preserve"> Moreover, t</w:t>
                  </w:r>
                  <w:r w:rsidRPr="006477D8">
                    <w:rPr>
                      <w:sz w:val="20"/>
                    </w:rPr>
                    <w:t>here no set minimum or maximum amounts that can be transferred through virement within a budget head provided the accounting officer responsible for the line ministry concerned has approved the request.</w:t>
                  </w:r>
                  <w:r>
                    <w:rPr>
                      <w:sz w:val="20"/>
                    </w:rPr>
                    <w:t xml:space="preserve"> </w:t>
                  </w:r>
                </w:p>
              </w:txbxContent>
            </v:textbox>
            <w10:wrap type="square"/>
          </v:shape>
        </w:pict>
      </w:r>
    </w:p>
    <w:p w:rsidR="00AA47E1" w:rsidRDefault="00AA47E1" w:rsidP="00673324">
      <w:pPr>
        <w:tabs>
          <w:tab w:val="left" w:pos="720"/>
        </w:tabs>
      </w:pPr>
    </w:p>
    <w:p w:rsidR="00BB20F2" w:rsidRPr="00BB20F2" w:rsidRDefault="000A0519" w:rsidP="00AB6A47">
      <w:pPr>
        <w:tabs>
          <w:tab w:val="left" w:pos="720"/>
        </w:tabs>
        <w:jc w:val="both"/>
      </w:pPr>
      <w:r w:rsidRPr="00C0478B">
        <w:fldChar w:fldCharType="begin"/>
      </w:r>
      <w:r w:rsidR="00903A32" w:rsidRPr="00C0478B">
        <w:instrText xml:space="preserve"> AUTONUM  \* Arabic </w:instrText>
      </w:r>
      <w:r w:rsidRPr="00C0478B">
        <w:fldChar w:fldCharType="end"/>
      </w:r>
      <w:r w:rsidR="00903A32" w:rsidRPr="00C0478B">
        <w:tab/>
      </w:r>
      <w:r w:rsidR="00BB20F2" w:rsidRPr="00903A32">
        <w:rPr>
          <w:b/>
        </w:rPr>
        <w:t>There has been little accountability for the use of resources and results achieved</w:t>
      </w:r>
      <w:r w:rsidR="00F87F01" w:rsidRPr="00903A32">
        <w:rPr>
          <w:b/>
        </w:rPr>
        <w:t xml:space="preserve">.  </w:t>
      </w:r>
      <w:r w:rsidR="00BB20F2" w:rsidRPr="00BB20F2">
        <w:t xml:space="preserve">The public has not been able to see what </w:t>
      </w:r>
      <w:r w:rsidR="00F87F01">
        <w:t xml:space="preserve">activities and programs </w:t>
      </w:r>
      <w:r w:rsidR="00BB20F2" w:rsidRPr="00BB20F2">
        <w:t xml:space="preserve">the </w:t>
      </w:r>
      <w:r w:rsidR="004E6584">
        <w:t>g</w:t>
      </w:r>
      <w:r w:rsidR="00BB20F2" w:rsidRPr="00BB20F2">
        <w:t>overnment was using money for</w:t>
      </w:r>
      <w:r w:rsidR="00F87F01">
        <w:t>,</w:t>
      </w:r>
      <w:r w:rsidR="00BB20F2" w:rsidRPr="00BB20F2">
        <w:t xml:space="preserve"> </w:t>
      </w:r>
      <w:r w:rsidR="00F87F01">
        <w:t>n</w:t>
      </w:r>
      <w:r w:rsidR="00BB20F2" w:rsidRPr="00BB20F2">
        <w:t>or the results achieved</w:t>
      </w:r>
      <w:r w:rsidR="00F87F01">
        <w:t>,</w:t>
      </w:r>
      <w:r w:rsidR="00BB20F2" w:rsidRPr="00BB20F2">
        <w:t xml:space="preserve"> because of the way the budget is presented and </w:t>
      </w:r>
      <w:r w:rsidR="00F87F01">
        <w:t xml:space="preserve">because of </w:t>
      </w:r>
      <w:r w:rsidR="00BB20F2" w:rsidRPr="00BB20F2">
        <w:t>delays in reporting actual outcomes</w:t>
      </w:r>
      <w:r w:rsidR="00F87F01">
        <w:t xml:space="preserve">.  </w:t>
      </w:r>
      <w:r w:rsidR="00364FC1">
        <w:t>Line mini</w:t>
      </w:r>
      <w:r w:rsidR="00BB20F2" w:rsidRPr="00BB20F2">
        <w:t xml:space="preserve">stries have not been held to account by Ministers, </w:t>
      </w:r>
      <w:r w:rsidR="0029166A">
        <w:t xml:space="preserve">in part </w:t>
      </w:r>
      <w:r w:rsidR="00BB20F2" w:rsidRPr="00BB20F2">
        <w:t xml:space="preserve">because there is </w:t>
      </w:r>
      <w:r w:rsidR="0029166A">
        <w:t>little</w:t>
      </w:r>
      <w:r w:rsidR="00BB20F2" w:rsidRPr="00BB20F2">
        <w:t xml:space="preserve"> information about what activities they will deliver or results they will achieve</w:t>
      </w:r>
      <w:r w:rsidR="00F87F01">
        <w:t>.</w:t>
      </w:r>
      <w:r w:rsidR="0029166A">
        <w:t xml:space="preserve">  Some of the reasons for this situation are listed below:</w:t>
      </w:r>
    </w:p>
    <w:p w:rsidR="00770DE5" w:rsidRPr="00FF5DB1" w:rsidRDefault="00770DE5" w:rsidP="00673324">
      <w:pPr>
        <w:tabs>
          <w:tab w:val="left" w:pos="720"/>
        </w:tabs>
        <w:jc w:val="both"/>
      </w:pPr>
    </w:p>
    <w:p w:rsidR="007E16F4" w:rsidRDefault="007E16F4" w:rsidP="007E16F4">
      <w:pPr>
        <w:pStyle w:val="ListParagraph"/>
        <w:numPr>
          <w:ilvl w:val="0"/>
          <w:numId w:val="8"/>
        </w:numPr>
        <w:tabs>
          <w:tab w:val="left" w:pos="720"/>
        </w:tabs>
        <w:jc w:val="both"/>
      </w:pPr>
      <w:r w:rsidRPr="00FF5DB1">
        <w:rPr>
          <w:b/>
        </w:rPr>
        <w:t>The legal framework is weak.</w:t>
      </w:r>
      <w:r w:rsidRPr="00FF5DB1">
        <w:t xml:space="preserve">  </w:t>
      </w:r>
      <w:r>
        <w:t xml:space="preserve">It does not require due diligence for equity and efficiency in public service provision.  </w:t>
      </w:r>
      <w:r w:rsidRPr="00FF5DB1">
        <w:t xml:space="preserve">It does not provide enough restraint for fiscal imprudence and taking undue fiscal risks. It does not provide a framework for improving government performance or accountability.  Roles of Parliament, the Caucus, and the Office of the Prime Minister and Cabinet are not clearly spent out. </w:t>
      </w:r>
      <w:r w:rsidR="00C1479D">
        <w:t xml:space="preserve"> In addition, it is likely that not all existing laws are well enforced.  More exploration is needed.</w:t>
      </w:r>
    </w:p>
    <w:p w:rsidR="00770DE5" w:rsidRPr="00FF5DB1" w:rsidRDefault="006131E6" w:rsidP="00673324">
      <w:pPr>
        <w:pStyle w:val="ListParagraph"/>
        <w:numPr>
          <w:ilvl w:val="0"/>
          <w:numId w:val="8"/>
        </w:numPr>
        <w:tabs>
          <w:tab w:val="left" w:pos="720"/>
        </w:tabs>
        <w:jc w:val="both"/>
      </w:pPr>
      <w:r w:rsidRPr="00FF5DB1">
        <w:rPr>
          <w:b/>
        </w:rPr>
        <w:t>Success has not been well defined for most activities.</w:t>
      </w:r>
      <w:r w:rsidRPr="00FF5DB1">
        <w:t xml:space="preserve">  </w:t>
      </w:r>
      <w:r w:rsidR="0029166A" w:rsidRPr="00FF5DB1">
        <w:t xml:space="preserve">National </w:t>
      </w:r>
      <w:r w:rsidR="00770DE5" w:rsidRPr="00FF5DB1">
        <w:t xml:space="preserve">plans </w:t>
      </w:r>
      <w:r w:rsidR="0029166A" w:rsidRPr="00FF5DB1">
        <w:t>and co</w:t>
      </w:r>
      <w:r w:rsidR="004C1F2E" w:rsidRPr="00FF5DB1">
        <w:t>r</w:t>
      </w:r>
      <w:r w:rsidR="0029166A" w:rsidRPr="00FF5DB1">
        <w:t xml:space="preserve">porate plans </w:t>
      </w:r>
      <w:r w:rsidR="00770DE5" w:rsidRPr="00FF5DB1">
        <w:t xml:space="preserve">typically include a large number of </w:t>
      </w:r>
      <w:r w:rsidR="00870BF1">
        <w:t xml:space="preserve">policy </w:t>
      </w:r>
      <w:r w:rsidR="00770DE5" w:rsidRPr="00FF5DB1">
        <w:t xml:space="preserve">goals only some of </w:t>
      </w:r>
      <w:r w:rsidR="0029166A" w:rsidRPr="00FF5DB1">
        <w:t>which include</w:t>
      </w:r>
      <w:r w:rsidR="00770DE5" w:rsidRPr="00FF5DB1">
        <w:t xml:space="preserve"> performance </w:t>
      </w:r>
      <w:r w:rsidR="00770DE5" w:rsidRPr="00FF5DB1">
        <w:lastRenderedPageBreak/>
        <w:t>measures</w:t>
      </w:r>
      <w:r w:rsidR="0029166A" w:rsidRPr="00FF5DB1">
        <w:t xml:space="preserve"> – and only some of those can actually be monitored by the line ministries</w:t>
      </w:r>
      <w:r w:rsidR="00770DE5" w:rsidRPr="00FF5DB1">
        <w:t>.  Many of the performance indicators are not measurable</w:t>
      </w:r>
      <w:r w:rsidR="0029166A" w:rsidRPr="00FF5DB1">
        <w:t xml:space="preserve"> either because they are poorly formulated or are beyond ministry capacity</w:t>
      </w:r>
      <w:r w:rsidR="00770DE5" w:rsidRPr="00FF5DB1">
        <w:t xml:space="preserve">.  </w:t>
      </w:r>
      <w:r w:rsidR="00870BF1">
        <w:t>And, of course, it is not possible to design monitoring systems for those goals for which success is not defined.</w:t>
      </w:r>
    </w:p>
    <w:p w:rsidR="0048590F" w:rsidRPr="00FF5DB1" w:rsidRDefault="0048590F" w:rsidP="00673324">
      <w:pPr>
        <w:pStyle w:val="ListParagraph"/>
        <w:numPr>
          <w:ilvl w:val="0"/>
          <w:numId w:val="8"/>
        </w:numPr>
        <w:tabs>
          <w:tab w:val="left" w:pos="720"/>
        </w:tabs>
        <w:jc w:val="both"/>
      </w:pPr>
      <w:r w:rsidRPr="00FF5DB1">
        <w:rPr>
          <w:b/>
        </w:rPr>
        <w:t>There isn’t any central office systematically keeping track of policy outcomes.</w:t>
      </w:r>
      <w:r w:rsidRPr="00FF5DB1">
        <w:t xml:space="preserve">  The Office of the Cabinet and Prime Minister, for example, has been larg</w:t>
      </w:r>
      <w:r w:rsidR="00870BF1">
        <w:t>ely focused in re</w:t>
      </w:r>
      <w:r w:rsidRPr="00FF5DB1">
        <w:t xml:space="preserve">cent years on tracking political rather than technical outcomes.  </w:t>
      </w:r>
      <w:r w:rsidR="00870BF1">
        <w:t>In addition to a central office, it will also be important for each line ministry to develop the capacity to ensure that policy goals are on track.</w:t>
      </w:r>
    </w:p>
    <w:p w:rsidR="007E16F4" w:rsidRPr="007E16F4" w:rsidRDefault="007E16F4" w:rsidP="007E16F4">
      <w:pPr>
        <w:pStyle w:val="ListParagraph"/>
        <w:numPr>
          <w:ilvl w:val="0"/>
          <w:numId w:val="8"/>
        </w:numPr>
        <w:tabs>
          <w:tab w:val="left" w:pos="720"/>
        </w:tabs>
        <w:jc w:val="both"/>
      </w:pPr>
      <w:r w:rsidRPr="00CE5376">
        <w:rPr>
          <w:b/>
        </w:rPr>
        <w:t xml:space="preserve">The </w:t>
      </w:r>
      <w:r w:rsidRPr="007E16F4">
        <w:rPr>
          <w:b/>
        </w:rPr>
        <w:t>Public Accounts Committee (PAC) has limited capacity.</w:t>
      </w:r>
      <w:r w:rsidRPr="007E16F4">
        <w:t xml:space="preserve">  The </w:t>
      </w:r>
      <w:r>
        <w:t>PAC</w:t>
      </w:r>
      <w:r w:rsidRPr="007E16F4">
        <w:t xml:space="preserve"> in many countries is empowered to sanction ministers and public officials for fiduciary breaches</w:t>
      </w:r>
      <w:r w:rsidR="00307D02">
        <w:t xml:space="preserve"> in the course of a fiscal year, based on a review of the public accounts</w:t>
      </w:r>
      <w:r w:rsidRPr="007E16F4">
        <w:t>.</w:t>
      </w:r>
      <w:r w:rsidR="00307D02">
        <w:t xml:space="preserve">  This role could be emphasized more.  </w:t>
      </w:r>
      <w:r w:rsidRPr="007E16F4">
        <w:t xml:space="preserve">Unusually, </w:t>
      </w:r>
      <w:r>
        <w:t xml:space="preserve">since the 1980s, </w:t>
      </w:r>
      <w:r w:rsidRPr="007E16F4">
        <w:t>PAC in SIG also invites officials to defend their budgets.  At the culmination of these hearings, the PAC issues a formal report with recommendations.  The team was informed that, so far, the PAC reviews have not resulted in any substantive requests for changes beyond correcting errors spotted by PAC – calculations, spelling mistakes, incorrect page numbers et cetera.  During these hearings the PAC has also sought to review progress on ministry audit action plans which they are required to submit as part of the review of the OAG’s report.  This review is not done in a systematic way and effectiveness is restricted because of the limited number of parliamentary sessions.</w:t>
      </w:r>
    </w:p>
    <w:p w:rsidR="004C1F2E" w:rsidRPr="00FF5DB1" w:rsidRDefault="006131E6" w:rsidP="00673324">
      <w:pPr>
        <w:pStyle w:val="ListParagraph"/>
        <w:numPr>
          <w:ilvl w:val="0"/>
          <w:numId w:val="8"/>
        </w:numPr>
        <w:tabs>
          <w:tab w:val="left" w:pos="720"/>
        </w:tabs>
        <w:jc w:val="both"/>
      </w:pPr>
      <w:r w:rsidRPr="00FF5DB1">
        <w:rPr>
          <w:b/>
        </w:rPr>
        <w:t xml:space="preserve">Information on outcomes and results is scarce and often of </w:t>
      </w:r>
      <w:r w:rsidR="00FE27B5">
        <w:rPr>
          <w:b/>
        </w:rPr>
        <w:t>mixed</w:t>
      </w:r>
      <w:r w:rsidR="00FE27B5" w:rsidRPr="00FF5DB1">
        <w:rPr>
          <w:b/>
        </w:rPr>
        <w:t xml:space="preserve"> </w:t>
      </w:r>
      <w:r w:rsidRPr="00FF5DB1">
        <w:rPr>
          <w:b/>
        </w:rPr>
        <w:t>quality</w:t>
      </w:r>
      <w:r w:rsidR="00770DE5" w:rsidRPr="00FF5DB1">
        <w:rPr>
          <w:b/>
        </w:rPr>
        <w:t>.</w:t>
      </w:r>
      <w:r w:rsidR="00FF5DB1" w:rsidRPr="00FF5DB1">
        <w:rPr>
          <w:b/>
        </w:rPr>
        <w:t xml:space="preserve">  </w:t>
      </w:r>
      <w:r w:rsidR="00FF5DB1" w:rsidRPr="00FF5DB1">
        <w:t xml:space="preserve">This </w:t>
      </w:r>
      <w:r w:rsidR="00C828FC">
        <w:t xml:space="preserve">is </w:t>
      </w:r>
      <w:r w:rsidR="00FF5DB1" w:rsidRPr="00FF5DB1">
        <w:t xml:space="preserve">true for national indicators such as population, GDP, and inflation but also true for various aspects of sector performance such as </w:t>
      </w:r>
      <w:r w:rsidR="00870BF1">
        <w:t xml:space="preserve">school enrollment, </w:t>
      </w:r>
      <w:r w:rsidR="00FF5DB1" w:rsidRPr="00FF5DB1">
        <w:t xml:space="preserve">literacy rates or maternal mortality.  </w:t>
      </w:r>
      <w:r w:rsidR="00870BF1">
        <w:t xml:space="preserve">The team noted in particular that there did not appear to be any </w:t>
      </w:r>
      <w:r w:rsidR="00307D02">
        <w:t xml:space="preserve">general </w:t>
      </w:r>
      <w:r w:rsidR="00870BF1">
        <w:t>rec</w:t>
      </w:r>
      <w:r w:rsidR="00970377">
        <w:t>ord keeping standards being maintained throughout the government</w:t>
      </w:r>
      <w:r w:rsidR="00307D02">
        <w:t xml:space="preserve"> for key documents and decisions</w:t>
      </w:r>
      <w:r w:rsidR="00870BF1">
        <w:t>.</w:t>
      </w:r>
      <w:r w:rsidR="00307D02">
        <w:t xml:space="preserve">  In a positive move, however, in 2010 SIG became the second government in the Pacific region to adopt </w:t>
      </w:r>
      <w:r w:rsidR="00307D02" w:rsidRPr="00307D02">
        <w:t>International Public Sector Accounting Standards</w:t>
      </w:r>
      <w:r w:rsidR="00307D02">
        <w:t xml:space="preserve"> for its financial records.</w:t>
      </w:r>
      <w:r w:rsidR="00567A78">
        <w:rPr>
          <w:rStyle w:val="FootnoteReference"/>
        </w:rPr>
        <w:footnoteReference w:id="20"/>
      </w:r>
      <w:r w:rsidR="00B7754B">
        <w:t xml:space="preserve">  SIG is now also releasing fiscal outcomes to the press on a quarterly basis and has created a new website for MOFT which will also facilitate information sharing with the public.</w:t>
      </w:r>
    </w:p>
    <w:p w:rsidR="00770DE5" w:rsidRPr="00FF5DB1" w:rsidRDefault="00324397" w:rsidP="00673324">
      <w:pPr>
        <w:pStyle w:val="ListParagraph"/>
        <w:numPr>
          <w:ilvl w:val="0"/>
          <w:numId w:val="8"/>
        </w:numPr>
        <w:tabs>
          <w:tab w:val="left" w:pos="720"/>
        </w:tabs>
        <w:jc w:val="both"/>
      </w:pPr>
      <w:r>
        <w:rPr>
          <w:b/>
        </w:rPr>
        <w:t xml:space="preserve">Budgetary data </w:t>
      </w:r>
      <w:r w:rsidR="00770DE5" w:rsidRPr="00FF5DB1">
        <w:rPr>
          <w:b/>
        </w:rPr>
        <w:t xml:space="preserve">is not collated or presented </w:t>
      </w:r>
      <w:r w:rsidR="00FE27B5">
        <w:rPr>
          <w:b/>
        </w:rPr>
        <w:t xml:space="preserve">optimally </w:t>
      </w:r>
      <w:r w:rsidR="00770DE5" w:rsidRPr="00FF5DB1">
        <w:rPr>
          <w:b/>
        </w:rPr>
        <w:t>to either the public or to decision-makers.</w:t>
      </w:r>
      <w:r w:rsidR="00770DE5" w:rsidRPr="00FF5DB1">
        <w:t xml:space="preserve"> Information regarding </w:t>
      </w:r>
      <w:r w:rsidR="004C1F2E" w:rsidRPr="00FF5DB1">
        <w:t xml:space="preserve">budgetary </w:t>
      </w:r>
      <w:r w:rsidR="00770DE5" w:rsidRPr="00FF5DB1">
        <w:t>allocation</w:t>
      </w:r>
      <w:r w:rsidR="004C1F2E" w:rsidRPr="00FF5DB1">
        <w:t xml:space="preserve">s and outcomes </w:t>
      </w:r>
      <w:r w:rsidR="00770DE5" w:rsidRPr="00FF5DB1">
        <w:t xml:space="preserve">is scattered between three different documents (the Recurrent Estimates, the Development Estimates, and the Establishment Register), </w:t>
      </w:r>
      <w:r w:rsidR="00FF5DB1" w:rsidRPr="00FF5DB1">
        <w:t>even though</w:t>
      </w:r>
      <w:r w:rsidR="00770DE5" w:rsidRPr="00FF5DB1">
        <w:t xml:space="preserve"> comprehensive understanding of the resources available to various ministries requires information from all three. </w:t>
      </w:r>
      <w:r w:rsidR="00FF5DB1" w:rsidRPr="00FF5DB1">
        <w:t xml:space="preserve"> </w:t>
      </w:r>
      <w:r w:rsidR="00770DE5" w:rsidRPr="00FF5DB1">
        <w:t xml:space="preserve">The documents are not user-friendly, and not </w:t>
      </w:r>
      <w:r w:rsidR="004C1F2E" w:rsidRPr="00FF5DB1">
        <w:t>easily available</w:t>
      </w:r>
      <w:r w:rsidR="00770DE5" w:rsidRPr="00FF5DB1">
        <w:t xml:space="preserve"> to the general public. The distinction between the Development and Recurrent budgets is not clear, with both budgets containing operating and capital costs. Information regarding donor-funded projects presented in the Development Budget is provided by donors, and is often inadequate to provide a clear understanding of the purpose, nature, and cost of projects. The data that is provided by donors is sometimes inaccurate.  </w:t>
      </w:r>
    </w:p>
    <w:p w:rsidR="00FF5DB1" w:rsidRPr="00FF5DB1" w:rsidRDefault="00770DE5" w:rsidP="00673324">
      <w:pPr>
        <w:pStyle w:val="ListParagraph"/>
        <w:numPr>
          <w:ilvl w:val="0"/>
          <w:numId w:val="8"/>
        </w:numPr>
        <w:tabs>
          <w:tab w:val="left" w:pos="720"/>
        </w:tabs>
        <w:jc w:val="both"/>
      </w:pPr>
      <w:r w:rsidRPr="00FF5DB1">
        <w:rPr>
          <w:b/>
        </w:rPr>
        <w:t>Some important information for management and accountability is not readily available.</w:t>
      </w:r>
      <w:r w:rsidRPr="00FF5DB1">
        <w:t xml:space="preserve"> </w:t>
      </w:r>
      <w:r w:rsidR="004C1F2E" w:rsidRPr="00FF5DB1">
        <w:t>U</w:t>
      </w:r>
      <w:r w:rsidRPr="00FF5DB1">
        <w:t xml:space="preserve">ntil recently the Solomon Islands Government had little capacity to bring together existing information on levels and trends in payroll, recurrent, and development </w:t>
      </w:r>
      <w:r w:rsidRPr="00FF5DB1">
        <w:lastRenderedPageBreak/>
        <w:t>expenditure to build a comprehensive picture of how resources were being used, or examine changes over time. During the PER process, the PER team was required to build a new database to assess levels and trends in expenditure as much of this information could not be generated by SIG systems. Crucially, only input information is currently available to decision-makers and the public.</w:t>
      </w:r>
    </w:p>
    <w:p w:rsidR="004C1F2E" w:rsidRPr="007E16F4" w:rsidRDefault="004C1F2E" w:rsidP="00673324">
      <w:pPr>
        <w:tabs>
          <w:tab w:val="left" w:pos="720"/>
        </w:tabs>
        <w:rPr>
          <w:color w:val="0070C0"/>
        </w:rPr>
      </w:pPr>
    </w:p>
    <w:p w:rsidR="00470BB3" w:rsidRDefault="000A0519" w:rsidP="00AB6A47">
      <w:pPr>
        <w:tabs>
          <w:tab w:val="left" w:pos="720"/>
        </w:tabs>
        <w:jc w:val="both"/>
      </w:pPr>
      <w:r w:rsidRPr="00C0478B">
        <w:fldChar w:fldCharType="begin"/>
      </w:r>
      <w:r w:rsidR="00470BB3" w:rsidRPr="00C0478B">
        <w:instrText xml:space="preserve"> AUTONUM  \* Arabic </w:instrText>
      </w:r>
      <w:r w:rsidRPr="00C0478B">
        <w:fldChar w:fldCharType="end"/>
      </w:r>
      <w:r w:rsidR="00470BB3" w:rsidRPr="00C0478B">
        <w:tab/>
      </w:r>
      <w:r w:rsidR="00470BB3" w:rsidRPr="00470BB3">
        <w:rPr>
          <w:b/>
        </w:rPr>
        <w:t>It</w:t>
      </w:r>
      <w:r w:rsidR="00C828FC">
        <w:rPr>
          <w:b/>
        </w:rPr>
        <w:t xml:space="preserve"> i</w:t>
      </w:r>
      <w:r w:rsidR="00470BB3" w:rsidRPr="00470BB3">
        <w:rPr>
          <w:b/>
        </w:rPr>
        <w:t xml:space="preserve">s important to </w:t>
      </w:r>
      <w:r w:rsidR="00A92E9D" w:rsidRPr="00470BB3">
        <w:rPr>
          <w:b/>
        </w:rPr>
        <w:t>deal with</w:t>
      </w:r>
      <w:r w:rsidR="00470BB3" w:rsidRPr="00470BB3">
        <w:rPr>
          <w:b/>
        </w:rPr>
        <w:t xml:space="preserve"> </w:t>
      </w:r>
      <w:r w:rsidR="00C828FC">
        <w:rPr>
          <w:b/>
        </w:rPr>
        <w:t xml:space="preserve">the </w:t>
      </w:r>
      <w:r w:rsidR="00470BB3" w:rsidRPr="00470BB3">
        <w:rPr>
          <w:b/>
        </w:rPr>
        <w:t>formation</w:t>
      </w:r>
      <w:r w:rsidR="00470BB3">
        <w:rPr>
          <w:b/>
        </w:rPr>
        <w:t>,</w:t>
      </w:r>
      <w:r w:rsidR="00470BB3" w:rsidRPr="00470BB3">
        <w:rPr>
          <w:b/>
        </w:rPr>
        <w:t xml:space="preserve"> execution</w:t>
      </w:r>
      <w:r w:rsidR="00C828FC">
        <w:rPr>
          <w:b/>
        </w:rPr>
        <w:t>,</w:t>
      </w:r>
      <w:r w:rsidR="00470BB3" w:rsidRPr="00470BB3">
        <w:rPr>
          <w:b/>
        </w:rPr>
        <w:t xml:space="preserve"> </w:t>
      </w:r>
      <w:r w:rsidR="00470BB3">
        <w:rPr>
          <w:b/>
        </w:rPr>
        <w:t xml:space="preserve">and accountability </w:t>
      </w:r>
      <w:r w:rsidR="00470BB3" w:rsidRPr="00470BB3">
        <w:rPr>
          <w:b/>
        </w:rPr>
        <w:t xml:space="preserve">problems together </w:t>
      </w:r>
      <w:r w:rsidR="00470BB3">
        <w:rPr>
          <w:b/>
        </w:rPr>
        <w:t xml:space="preserve">because </w:t>
      </w:r>
      <w:r w:rsidR="00470BB3" w:rsidRPr="00470BB3">
        <w:rPr>
          <w:b/>
        </w:rPr>
        <w:t>they are mutually reinforcing.</w:t>
      </w:r>
      <w:r w:rsidR="00470BB3" w:rsidRPr="00470BB3">
        <w:t xml:space="preserve">  The incentive to budget well </w:t>
      </w:r>
      <w:r w:rsidR="00470BB3">
        <w:t xml:space="preserve">increases </w:t>
      </w:r>
      <w:r w:rsidR="00470BB3" w:rsidRPr="00470BB3">
        <w:t>when</w:t>
      </w:r>
      <w:r w:rsidR="00C828FC">
        <w:t xml:space="preserve"> three conditions are met:</w:t>
      </w:r>
      <w:r w:rsidR="00470BB3" w:rsidRPr="00470BB3">
        <w:t xml:space="preserve"> </w:t>
      </w:r>
      <w:r w:rsidR="00C828FC">
        <w:t xml:space="preserve"> </w:t>
      </w:r>
      <w:proofErr w:type="spellStart"/>
      <w:r w:rsidR="00C828FC" w:rsidRPr="00413009">
        <w:rPr>
          <w:i/>
        </w:rPr>
        <w:t>i</w:t>
      </w:r>
      <w:proofErr w:type="spellEnd"/>
      <w:r w:rsidR="00C828FC">
        <w:t xml:space="preserve">) </w:t>
      </w:r>
      <w:r w:rsidR="00413009">
        <w:t>l</w:t>
      </w:r>
      <w:r w:rsidR="00413009" w:rsidRPr="00470BB3">
        <w:t xml:space="preserve">ine </w:t>
      </w:r>
      <w:r w:rsidR="00413009">
        <w:t>m</w:t>
      </w:r>
      <w:r w:rsidR="00413009" w:rsidRPr="00470BB3">
        <w:t xml:space="preserve">inistry </w:t>
      </w:r>
      <w:r w:rsidR="00470BB3" w:rsidRPr="00470BB3">
        <w:t>officials have confidence that they will be consulted</w:t>
      </w:r>
      <w:r w:rsidR="00C828FC">
        <w:t xml:space="preserve">; </w:t>
      </w:r>
      <w:r w:rsidR="00413009">
        <w:t xml:space="preserve"> </w:t>
      </w:r>
      <w:r w:rsidR="00C828FC" w:rsidRPr="00413009">
        <w:rPr>
          <w:i/>
        </w:rPr>
        <w:t>ii</w:t>
      </w:r>
      <w:r w:rsidR="00C828FC">
        <w:t xml:space="preserve">) </w:t>
      </w:r>
      <w:r w:rsidR="00413009">
        <w:t>ministry officials</w:t>
      </w:r>
      <w:r w:rsidR="00470BB3" w:rsidRPr="00470BB3">
        <w:t xml:space="preserve"> </w:t>
      </w:r>
      <w:r w:rsidR="00413009">
        <w:t>have confidence</w:t>
      </w:r>
      <w:r w:rsidR="00413009" w:rsidRPr="00470BB3">
        <w:t xml:space="preserve"> </w:t>
      </w:r>
      <w:r w:rsidR="00413009">
        <w:t xml:space="preserve">that </w:t>
      </w:r>
      <w:r w:rsidR="00470BB3" w:rsidRPr="00470BB3">
        <w:t>allocations provided will match what was agreed</w:t>
      </w:r>
      <w:r w:rsidR="00413009">
        <w:t xml:space="preserve"> during consultations;</w:t>
      </w:r>
      <w:r w:rsidR="00470BB3" w:rsidRPr="00470BB3">
        <w:t xml:space="preserve"> </w:t>
      </w:r>
      <w:r w:rsidR="00413009">
        <w:t xml:space="preserve"> </w:t>
      </w:r>
      <w:r w:rsidR="00470BB3" w:rsidRPr="00470BB3">
        <w:t>and</w:t>
      </w:r>
      <w:r w:rsidR="00413009">
        <w:t xml:space="preserve"> </w:t>
      </w:r>
      <w:r w:rsidR="00413009" w:rsidRPr="00413009">
        <w:rPr>
          <w:i/>
        </w:rPr>
        <w:t>iii</w:t>
      </w:r>
      <w:r w:rsidR="00413009">
        <w:t>)</w:t>
      </w:r>
      <w:r w:rsidR="00470BB3" w:rsidRPr="00470BB3">
        <w:t xml:space="preserve"> </w:t>
      </w:r>
      <w:r w:rsidR="00470BB3">
        <w:t xml:space="preserve">the approved budget is the final word -- </w:t>
      </w:r>
      <w:r w:rsidR="00470BB3" w:rsidRPr="00470BB3">
        <w:t>ministers can</w:t>
      </w:r>
      <w:r w:rsidR="00470BB3">
        <w:t>not</w:t>
      </w:r>
      <w:r w:rsidR="00470BB3" w:rsidRPr="00470BB3">
        <w:t xml:space="preserve"> press for changes </w:t>
      </w:r>
      <w:r w:rsidR="00413009">
        <w:t>except in clear cases of emergency</w:t>
      </w:r>
      <w:r w:rsidR="00470BB3" w:rsidRPr="00470BB3">
        <w:t xml:space="preserve">.  Similarly, the incentive to execute each budget faithfully </w:t>
      </w:r>
      <w:r w:rsidR="00AB3919">
        <w:t xml:space="preserve">improves </w:t>
      </w:r>
      <w:r w:rsidR="00470BB3" w:rsidRPr="00470BB3">
        <w:t xml:space="preserve">when </w:t>
      </w:r>
      <w:r w:rsidR="00413009">
        <w:t>l</w:t>
      </w:r>
      <w:r w:rsidR="00413009" w:rsidRPr="00470BB3">
        <w:t xml:space="preserve">ine </w:t>
      </w:r>
      <w:r w:rsidR="00413009">
        <w:t>m</w:t>
      </w:r>
      <w:r w:rsidR="00413009" w:rsidRPr="00470BB3">
        <w:t xml:space="preserve">inistry </w:t>
      </w:r>
      <w:r w:rsidR="00470BB3" w:rsidRPr="00470BB3">
        <w:t>officials believe it meets their needs and when they are held accountable for their decisions.</w:t>
      </w:r>
    </w:p>
    <w:p w:rsidR="00CB6CE1" w:rsidRDefault="00CB6CE1" w:rsidP="00AB6A47">
      <w:pPr>
        <w:tabs>
          <w:tab w:val="left" w:pos="720"/>
        </w:tabs>
        <w:jc w:val="both"/>
      </w:pPr>
    </w:p>
    <w:p w:rsidR="00472718" w:rsidRDefault="00472718" w:rsidP="002B5664">
      <w:pPr>
        <w:jc w:val="center"/>
        <w:rPr>
          <w:b/>
        </w:rPr>
      </w:pPr>
    </w:p>
    <w:p w:rsidR="004157C2" w:rsidRPr="00BD4F09" w:rsidRDefault="00BD4F09" w:rsidP="002B5664">
      <w:pPr>
        <w:jc w:val="center"/>
        <w:rPr>
          <w:b/>
        </w:rPr>
      </w:pPr>
      <w:r w:rsidRPr="00BD4F09">
        <w:rPr>
          <w:b/>
        </w:rPr>
        <w:t xml:space="preserve">III. A </w:t>
      </w:r>
      <w:r w:rsidR="00286079">
        <w:rPr>
          <w:b/>
        </w:rPr>
        <w:t xml:space="preserve">TEN YEAR </w:t>
      </w:r>
      <w:r w:rsidRPr="00BD4F09">
        <w:rPr>
          <w:b/>
        </w:rPr>
        <w:t>STRATEGY FOR REFORM</w:t>
      </w:r>
    </w:p>
    <w:p w:rsidR="00BD4F09" w:rsidRDefault="00BD4F09" w:rsidP="00673324">
      <w:pPr>
        <w:tabs>
          <w:tab w:val="left" w:pos="720"/>
        </w:tabs>
      </w:pPr>
    </w:p>
    <w:p w:rsidR="00673324" w:rsidRDefault="000A0519" w:rsidP="00673324">
      <w:pPr>
        <w:tabs>
          <w:tab w:val="left" w:pos="720"/>
        </w:tabs>
        <w:jc w:val="both"/>
      </w:pPr>
      <w:r>
        <w:fldChar w:fldCharType="begin"/>
      </w:r>
      <w:r w:rsidR="00BD4F09">
        <w:instrText xml:space="preserve"> AUTONUM  \* Arabic </w:instrText>
      </w:r>
      <w:r>
        <w:fldChar w:fldCharType="end"/>
      </w:r>
      <w:r w:rsidR="00BD4F09">
        <w:tab/>
      </w:r>
      <w:r w:rsidR="00BD4F09" w:rsidRPr="00AA7B51">
        <w:rPr>
          <w:b/>
        </w:rPr>
        <w:t xml:space="preserve">The proposed strategy is based on </w:t>
      </w:r>
      <w:r w:rsidR="00324397">
        <w:rPr>
          <w:b/>
        </w:rPr>
        <w:t xml:space="preserve">just a few </w:t>
      </w:r>
      <w:r w:rsidR="00BD4F09" w:rsidRPr="00AA7B51">
        <w:rPr>
          <w:b/>
        </w:rPr>
        <w:t>principles.</w:t>
      </w:r>
      <w:r w:rsidR="00BD4F09">
        <w:t xml:space="preserve">  </w:t>
      </w:r>
      <w:r w:rsidR="00C85197">
        <w:t>First</w:t>
      </w:r>
      <w:r w:rsidR="00324397">
        <w:t>, government officials</w:t>
      </w:r>
      <w:r w:rsidR="00BD4F09">
        <w:t xml:space="preserve"> </w:t>
      </w:r>
      <w:r w:rsidR="00324397">
        <w:t xml:space="preserve">will </w:t>
      </w:r>
      <w:r w:rsidR="00C85197">
        <w:t xml:space="preserve">deliver better results when they are empowered to do so with adequate funding and good information and when they know they will be held accountable for what happens.  </w:t>
      </w:r>
      <w:r w:rsidR="00077473">
        <w:t xml:space="preserve">Second, the reform program should focus on getting the basic functions of government working well before attempting more sophisticated reforms.  Third, be mindful of how long each reform step takes and which reforms must precede others.  </w:t>
      </w:r>
      <w:r w:rsidR="000F1E24">
        <w:t>Fourth, to avoid over-burdening the system, proceed with a few ministries at first and then gradually expand the reforms to the remaining ministries with the benefit of lessons learned.</w:t>
      </w:r>
      <w:r w:rsidR="00F96851">
        <w:t xml:space="preserve">  Fifth, build on existing programs of donor support</w:t>
      </w:r>
      <w:r w:rsidR="00413009">
        <w:t xml:space="preserve"> </w:t>
      </w:r>
      <w:r w:rsidR="00413009" w:rsidRPr="00413009">
        <w:t>as much as possible</w:t>
      </w:r>
      <w:r w:rsidR="00F96851">
        <w:t>.</w:t>
      </w:r>
      <w:r w:rsidR="000F1E24">
        <w:t xml:space="preserve">  </w:t>
      </w:r>
    </w:p>
    <w:p w:rsidR="00673324" w:rsidRDefault="00673324" w:rsidP="00673324">
      <w:pPr>
        <w:tabs>
          <w:tab w:val="left" w:pos="360"/>
          <w:tab w:val="left" w:pos="720"/>
        </w:tabs>
        <w:jc w:val="both"/>
      </w:pPr>
    </w:p>
    <w:p w:rsidR="00673324" w:rsidRPr="00673324" w:rsidRDefault="000A0519" w:rsidP="00673324">
      <w:pPr>
        <w:tabs>
          <w:tab w:val="left" w:pos="720"/>
        </w:tabs>
        <w:jc w:val="both"/>
      </w:pPr>
      <w:r>
        <w:fldChar w:fldCharType="begin"/>
      </w:r>
      <w:r w:rsidR="00673324">
        <w:instrText xml:space="preserve"> AUTONUM  \* Arabic </w:instrText>
      </w:r>
      <w:r>
        <w:fldChar w:fldCharType="end"/>
      </w:r>
      <w:r w:rsidR="00673324">
        <w:tab/>
      </w:r>
      <w:r w:rsidR="00BD4F09" w:rsidRPr="00D16132">
        <w:rPr>
          <w:b/>
        </w:rPr>
        <w:t xml:space="preserve">A </w:t>
      </w:r>
      <w:r w:rsidR="00602640" w:rsidRPr="00D16132">
        <w:rPr>
          <w:b/>
          <w:i/>
        </w:rPr>
        <w:t xml:space="preserve">ten-year </w:t>
      </w:r>
      <w:r w:rsidR="00BD4F09" w:rsidRPr="00D16132">
        <w:rPr>
          <w:b/>
          <w:i/>
        </w:rPr>
        <w:t>strategy</w:t>
      </w:r>
      <w:r w:rsidR="00BD4F09" w:rsidRPr="00D16132">
        <w:rPr>
          <w:b/>
        </w:rPr>
        <w:t xml:space="preserve"> based on these principles is laid out below</w:t>
      </w:r>
      <w:r w:rsidR="00BD4F09" w:rsidRPr="00673324">
        <w:t>, accompanied by brief explanations of how and why each strategic element is needed.</w:t>
      </w:r>
      <w:r w:rsidR="00673324" w:rsidRPr="00673324">
        <w:t xml:space="preserve">  </w:t>
      </w:r>
    </w:p>
    <w:p w:rsidR="00673324" w:rsidRPr="00673324" w:rsidRDefault="00673324" w:rsidP="00673324">
      <w:pPr>
        <w:tabs>
          <w:tab w:val="left" w:pos="360"/>
          <w:tab w:val="left" w:pos="720"/>
        </w:tabs>
        <w:jc w:val="both"/>
        <w:rPr>
          <w:b/>
        </w:rPr>
      </w:pPr>
    </w:p>
    <w:p w:rsidR="006A307F" w:rsidRPr="000D0F7D" w:rsidRDefault="00F96851" w:rsidP="00764E6B">
      <w:pPr>
        <w:pStyle w:val="ListParagraph"/>
        <w:numPr>
          <w:ilvl w:val="0"/>
          <w:numId w:val="11"/>
        </w:numPr>
        <w:tabs>
          <w:tab w:val="left" w:pos="720"/>
        </w:tabs>
        <w:jc w:val="both"/>
      </w:pPr>
      <w:r w:rsidRPr="00764E6B">
        <w:rPr>
          <w:b/>
        </w:rPr>
        <w:t xml:space="preserve">Decide what </w:t>
      </w:r>
      <w:r w:rsidR="006A307F" w:rsidRPr="00764E6B">
        <w:rPr>
          <w:b/>
        </w:rPr>
        <w:t>is to be</w:t>
      </w:r>
      <w:r w:rsidRPr="00764E6B">
        <w:rPr>
          <w:b/>
        </w:rPr>
        <w:t xml:space="preserve"> </w:t>
      </w:r>
      <w:r w:rsidR="006A307F" w:rsidRPr="00764E6B">
        <w:rPr>
          <w:b/>
        </w:rPr>
        <w:t>achieved</w:t>
      </w:r>
      <w:r w:rsidRPr="00764E6B">
        <w:rPr>
          <w:b/>
        </w:rPr>
        <w:t xml:space="preserve"> and how you will know when </w:t>
      </w:r>
      <w:r w:rsidR="006A307F" w:rsidRPr="00764E6B">
        <w:rPr>
          <w:b/>
        </w:rPr>
        <w:t>you have succeeded</w:t>
      </w:r>
      <w:r w:rsidR="00673324" w:rsidRPr="00764E6B">
        <w:rPr>
          <w:b/>
        </w:rPr>
        <w:t xml:space="preserve">.  </w:t>
      </w:r>
      <w:r w:rsidR="006A307F" w:rsidRPr="000D0F7D">
        <w:t>Hold annual consultations with citizens and provincial leaders on their needs.</w:t>
      </w:r>
      <w:r w:rsidR="006A307F">
        <w:rPr>
          <w:rStyle w:val="FootnoteReference"/>
        </w:rPr>
        <w:footnoteReference w:id="21"/>
      </w:r>
      <w:r w:rsidR="006A307F">
        <w:t xml:space="preserve">  </w:t>
      </w:r>
      <w:r w:rsidR="006A307F" w:rsidRPr="000D0F7D">
        <w:t xml:space="preserve">Build the capacity of SIG central ministries to agree with </w:t>
      </w:r>
      <w:r w:rsidR="00364FC1">
        <w:t>line mini</w:t>
      </w:r>
      <w:r w:rsidR="006A307F" w:rsidRPr="000D0F7D">
        <w:t xml:space="preserve">stries on feasible and measurable goals. </w:t>
      </w:r>
      <w:r w:rsidR="006A307F">
        <w:t xml:space="preserve"> </w:t>
      </w:r>
      <w:r w:rsidR="006A307F" w:rsidRPr="000D0F7D">
        <w:t xml:space="preserve">Change the format of budget documents so that links between activities </w:t>
      </w:r>
      <w:r w:rsidR="002B5664">
        <w:t xml:space="preserve">and </w:t>
      </w:r>
      <w:r w:rsidR="004E6584">
        <w:t>g</w:t>
      </w:r>
      <w:r w:rsidR="006A307F" w:rsidRPr="000D0F7D">
        <w:t>overnment goals are clear</w:t>
      </w:r>
      <w:r w:rsidR="006A307F">
        <w:t xml:space="preserve"> to decision makers</w:t>
      </w:r>
      <w:r w:rsidR="00673324">
        <w:t xml:space="preserve"> and line ministry officials</w:t>
      </w:r>
      <w:r w:rsidR="006A307F">
        <w:t>.  If these changes are made, and if the budget process is used to get good results at the community level, then p</w:t>
      </w:r>
      <w:r w:rsidR="006A307F" w:rsidRPr="000D0F7D">
        <w:t xml:space="preserve">eople will see that the </w:t>
      </w:r>
      <w:r w:rsidR="004E6584">
        <w:t>g</w:t>
      </w:r>
      <w:r w:rsidR="006A307F" w:rsidRPr="000D0F7D">
        <w:t>overnment is more responsive to their needs</w:t>
      </w:r>
      <w:r w:rsidR="006A307F">
        <w:t xml:space="preserve">.  </w:t>
      </w:r>
      <w:r w:rsidR="006A307F" w:rsidRPr="000D0F7D">
        <w:t xml:space="preserve">The public will have better information regarding what government money is being spent on </w:t>
      </w:r>
      <w:r w:rsidR="006A307F">
        <w:t>and it</w:t>
      </w:r>
      <w:r w:rsidR="006A307F" w:rsidRPr="000D0F7D">
        <w:t xml:space="preserve"> will be easier to demonstrate success</w:t>
      </w:r>
      <w:r w:rsidR="006A307F">
        <w:t xml:space="preserve">.  At the same time, </w:t>
      </w:r>
      <w:r w:rsidR="006A307F" w:rsidRPr="000D0F7D">
        <w:t>failures will also be easier to detect</w:t>
      </w:r>
      <w:r w:rsidR="006A307F">
        <w:t xml:space="preserve"> and correct</w:t>
      </w:r>
      <w:r w:rsidR="006A307F" w:rsidRPr="000D0F7D">
        <w:t>.</w:t>
      </w:r>
    </w:p>
    <w:p w:rsidR="006A307F" w:rsidRDefault="006A307F" w:rsidP="00673324">
      <w:pPr>
        <w:tabs>
          <w:tab w:val="left" w:pos="720"/>
        </w:tabs>
        <w:rPr>
          <w:b/>
        </w:rPr>
      </w:pPr>
    </w:p>
    <w:p w:rsidR="00673324" w:rsidRPr="00764E6B" w:rsidRDefault="00F96851" w:rsidP="00AB6A47">
      <w:pPr>
        <w:pStyle w:val="ListParagraph"/>
        <w:numPr>
          <w:ilvl w:val="0"/>
          <w:numId w:val="11"/>
        </w:numPr>
        <w:tabs>
          <w:tab w:val="left" w:pos="360"/>
          <w:tab w:val="left" w:pos="720"/>
        </w:tabs>
        <w:jc w:val="both"/>
      </w:pPr>
      <w:r w:rsidRPr="00764E6B">
        <w:rPr>
          <w:b/>
        </w:rPr>
        <w:lastRenderedPageBreak/>
        <w:t xml:space="preserve">Make sure the line ministries know how to do </w:t>
      </w:r>
      <w:r w:rsidR="006A307F" w:rsidRPr="00764E6B">
        <w:rPr>
          <w:b/>
        </w:rPr>
        <w:t>each task</w:t>
      </w:r>
      <w:r w:rsidRPr="00764E6B">
        <w:rPr>
          <w:b/>
        </w:rPr>
        <w:t xml:space="preserve"> and how much </w:t>
      </w:r>
      <w:r w:rsidR="006A307F" w:rsidRPr="00764E6B">
        <w:rPr>
          <w:b/>
        </w:rPr>
        <w:t>they cost</w:t>
      </w:r>
      <w:r w:rsidR="00673324" w:rsidRPr="00764E6B">
        <w:rPr>
          <w:b/>
        </w:rPr>
        <w:t xml:space="preserve">.  </w:t>
      </w:r>
      <w:r w:rsidR="00673324" w:rsidRPr="00673324">
        <w:t xml:space="preserve">Decision makers and SIG officials need better information.  As of 2010, all they have is </w:t>
      </w:r>
      <w:r w:rsidR="00673324">
        <w:t xml:space="preserve">information about previously approved allocations to ministry inputs (staff, paper, electricity, vehicles et cetera), an estimate of an affordable increment to add to those allocations, and line ministry wish-lists for new activities.  More is needed.  Information about actual spending patterns from the previous year could help in detecting gaps between what is needed and what was provided but </w:t>
      </w:r>
      <w:r w:rsidR="00413009">
        <w:t xml:space="preserve">this </w:t>
      </w:r>
      <w:r w:rsidR="00673324">
        <w:t>has not been available early enough to be useful in the budget cycle.  This information can also help detect the need to improve capacity or internal controls with various ministries.  Looking forward, it would be helpful to begin recording the actual cost of activities and programs in addition to inputs – this is a necessary first step to gaining knowledge about the unit costs of public service delivery.  The new Chart of Accounts</w:t>
      </w:r>
      <w:r w:rsidR="00D54C6A">
        <w:t xml:space="preserve"> (</w:t>
      </w:r>
      <w:proofErr w:type="spellStart"/>
      <w:r w:rsidR="00D54C6A">
        <w:t>CoA</w:t>
      </w:r>
      <w:proofErr w:type="spellEnd"/>
      <w:r w:rsidR="00D54C6A">
        <w:t>)</w:t>
      </w:r>
      <w:r w:rsidR="00673324">
        <w:t xml:space="preserve">, devised as part of the FEMSP, is </w:t>
      </w:r>
      <w:r w:rsidR="00970377">
        <w:t>a good</w:t>
      </w:r>
      <w:r w:rsidR="00673324">
        <w:t xml:space="preserve"> tool for this purpose</w:t>
      </w:r>
      <w:r w:rsidR="00E449E9">
        <w:t xml:space="preserve"> because it </w:t>
      </w:r>
      <w:r w:rsidR="00970377">
        <w:t>will allow</w:t>
      </w:r>
      <w:r w:rsidR="00E449E9" w:rsidRPr="00E449E9">
        <w:t xml:space="preserve"> line ministries to </w:t>
      </w:r>
      <w:r w:rsidR="007F5AEA">
        <w:t xml:space="preserve">gradually begin </w:t>
      </w:r>
      <w:r w:rsidR="00E449E9" w:rsidRPr="00E449E9">
        <w:t>record</w:t>
      </w:r>
      <w:r w:rsidR="007F5AEA">
        <w:t>ing</w:t>
      </w:r>
      <w:r w:rsidR="00E449E9" w:rsidRPr="00E449E9">
        <w:t xml:space="preserve"> expenditures against activities in addition to inputs</w:t>
      </w:r>
      <w:r w:rsidR="00673324" w:rsidRPr="00E449E9">
        <w:t>.</w:t>
      </w:r>
      <w:r w:rsidR="00602640" w:rsidRPr="00E449E9">
        <w:rPr>
          <w:rStyle w:val="FootnoteReference"/>
        </w:rPr>
        <w:footnoteReference w:id="22"/>
      </w:r>
      <w:r w:rsidR="00673324">
        <w:t xml:space="preserve">  Information about the future cost implications of various programs and projects would also be helpful.  This could help officials reject projects that cannot be affordably maintained in the future and ensure that proposed spending does not exceed forecasted resource availability.</w:t>
      </w:r>
      <w:r w:rsidR="00764E6B">
        <w:t xml:space="preserve">  </w:t>
      </w:r>
      <w:r w:rsidR="0049520D">
        <w:t xml:space="preserve">In order to better present such information, SIG may also consider following other countries by placing the annual budget estimates within </w:t>
      </w:r>
      <w:r w:rsidR="00764E6B">
        <w:t>a rolling multi-year framework</w:t>
      </w:r>
      <w:r w:rsidR="00AA47E1">
        <w:t>, once the annual budget process has been improved</w:t>
      </w:r>
      <w:r w:rsidR="00764E6B">
        <w:t>.</w:t>
      </w:r>
      <w:r w:rsidR="00673324">
        <w:t xml:space="preserve">  </w:t>
      </w:r>
      <w:r w:rsidR="00673324" w:rsidRPr="00764E6B">
        <w:rPr>
          <w:i/>
        </w:rPr>
        <w:t>SIG may wish to seek donor technical assistance for these reform elements – much of this agenda is not well addressed under existing programs of donor support.</w:t>
      </w:r>
    </w:p>
    <w:p w:rsidR="00673324" w:rsidRDefault="00673324" w:rsidP="00673324">
      <w:pPr>
        <w:tabs>
          <w:tab w:val="left" w:pos="360"/>
          <w:tab w:val="left" w:pos="720"/>
        </w:tabs>
      </w:pPr>
    </w:p>
    <w:p w:rsidR="006A307F" w:rsidRPr="006A307F" w:rsidRDefault="00F96851" w:rsidP="00AB6A47">
      <w:pPr>
        <w:pStyle w:val="ListParagraph"/>
        <w:numPr>
          <w:ilvl w:val="0"/>
          <w:numId w:val="11"/>
        </w:numPr>
        <w:tabs>
          <w:tab w:val="left" w:pos="360"/>
          <w:tab w:val="left" w:pos="720"/>
        </w:tabs>
        <w:jc w:val="both"/>
      </w:pPr>
      <w:r w:rsidRPr="00764E6B">
        <w:rPr>
          <w:b/>
        </w:rPr>
        <w:t xml:space="preserve">Ensure ministries </w:t>
      </w:r>
      <w:r w:rsidR="00673324" w:rsidRPr="00764E6B">
        <w:rPr>
          <w:b/>
        </w:rPr>
        <w:t xml:space="preserve">and provincial governments </w:t>
      </w:r>
      <w:r w:rsidRPr="00764E6B">
        <w:rPr>
          <w:b/>
        </w:rPr>
        <w:t>have the resources they need</w:t>
      </w:r>
      <w:r w:rsidR="00673324" w:rsidRPr="00764E6B">
        <w:rPr>
          <w:b/>
        </w:rPr>
        <w:t xml:space="preserve"> to achieve </w:t>
      </w:r>
      <w:r w:rsidR="00970377">
        <w:rPr>
          <w:b/>
        </w:rPr>
        <w:t>the</w:t>
      </w:r>
      <w:r w:rsidR="00673324" w:rsidRPr="00764E6B">
        <w:rPr>
          <w:b/>
        </w:rPr>
        <w:t xml:space="preserve"> goals</w:t>
      </w:r>
      <w:r w:rsidR="00970377">
        <w:rPr>
          <w:b/>
        </w:rPr>
        <w:t xml:space="preserve"> set out for them</w:t>
      </w:r>
      <w:r w:rsidR="00673324" w:rsidRPr="00764E6B">
        <w:rPr>
          <w:b/>
        </w:rPr>
        <w:t xml:space="preserve">.  </w:t>
      </w:r>
      <w:r w:rsidR="007F5AEA" w:rsidRPr="007F5AEA">
        <w:t xml:space="preserve">As more expenditure information becomes available, especially for fixed costs and unit costs, it should become possible to </w:t>
      </w:r>
      <w:r w:rsidR="00970377" w:rsidRPr="007F5AEA">
        <w:t>c</w:t>
      </w:r>
      <w:r w:rsidR="006A307F" w:rsidRPr="007F5AEA">
        <w:t>hange</w:t>
      </w:r>
      <w:r w:rsidR="006A307F" w:rsidRPr="006A307F">
        <w:t xml:space="preserve"> the budget process so that baseline allocations are informed by consultations on what </w:t>
      </w:r>
      <w:r w:rsidR="00364FC1">
        <w:t>line mini</w:t>
      </w:r>
      <w:r w:rsidR="006A307F" w:rsidRPr="006A307F">
        <w:t xml:space="preserve">stries need to achieve agreed goals, as well as what they actually spent in each previous year.  Baseline allocations could also be informed by the findings from expenditure reviews conducted for a few key ministries each year.  If these reforms are completed, then the coordinating ministries (MOFT, MDPAC, MPS) will be better able to help </w:t>
      </w:r>
      <w:r w:rsidR="00364FC1">
        <w:t>line mini</w:t>
      </w:r>
      <w:r w:rsidR="006A307F" w:rsidRPr="006A307F">
        <w:t xml:space="preserve">stries achieved their agreed goals.  Budget allocations will be better aligned with needs.  This will </w:t>
      </w:r>
      <w:r w:rsidR="00413009">
        <w:t xml:space="preserve">help </w:t>
      </w:r>
      <w:r w:rsidR="006A307F" w:rsidRPr="006A307F">
        <w:t xml:space="preserve">give ministry officials confidence that their efforts in budget formation are being rewarded.  </w:t>
      </w:r>
    </w:p>
    <w:p w:rsidR="006A307F" w:rsidRPr="006A307F" w:rsidRDefault="006A307F" w:rsidP="00AB6A47">
      <w:pPr>
        <w:tabs>
          <w:tab w:val="left" w:pos="360"/>
          <w:tab w:val="left" w:pos="720"/>
        </w:tabs>
        <w:jc w:val="both"/>
      </w:pPr>
    </w:p>
    <w:p w:rsidR="00673324" w:rsidRPr="00764E6B" w:rsidRDefault="00F96851" w:rsidP="00AB6A47">
      <w:pPr>
        <w:pStyle w:val="ListParagraph"/>
        <w:numPr>
          <w:ilvl w:val="0"/>
          <w:numId w:val="11"/>
        </w:numPr>
        <w:tabs>
          <w:tab w:val="left" w:pos="360"/>
          <w:tab w:val="left" w:pos="720"/>
        </w:tabs>
        <w:jc w:val="both"/>
      </w:pPr>
      <w:r w:rsidRPr="00764E6B">
        <w:rPr>
          <w:b/>
        </w:rPr>
        <w:t>Ensure th</w:t>
      </w:r>
      <w:r w:rsidR="00764E6B" w:rsidRPr="00764E6B">
        <w:rPr>
          <w:b/>
        </w:rPr>
        <w:t>at ministries and provincial governments</w:t>
      </w:r>
      <w:r w:rsidRPr="00764E6B">
        <w:rPr>
          <w:b/>
        </w:rPr>
        <w:t xml:space="preserve"> use th</w:t>
      </w:r>
      <w:r w:rsidR="00764E6B" w:rsidRPr="00764E6B">
        <w:rPr>
          <w:b/>
        </w:rPr>
        <w:t>eir</w:t>
      </w:r>
      <w:r w:rsidRPr="00764E6B">
        <w:rPr>
          <w:b/>
        </w:rPr>
        <w:t xml:space="preserve"> resources well</w:t>
      </w:r>
      <w:r w:rsidR="00764E6B" w:rsidRPr="00764E6B">
        <w:rPr>
          <w:b/>
        </w:rPr>
        <w:t xml:space="preserve">.  </w:t>
      </w:r>
      <w:r w:rsidR="007F5AEA" w:rsidRPr="007F5AEA">
        <w:t xml:space="preserve">Conduct expenditure reviews in key ministries to ensure that resources are being well used.  </w:t>
      </w:r>
      <w:r w:rsidR="00413009">
        <w:t>Use s</w:t>
      </w:r>
      <w:r w:rsidR="00C1479D">
        <w:t xml:space="preserve">upplemental budgets </w:t>
      </w:r>
      <w:r w:rsidR="00413009">
        <w:t>to</w:t>
      </w:r>
      <w:r w:rsidR="00C1479D">
        <w:t xml:space="preserve"> adjust spending plans for new circumstances and needs</w:t>
      </w:r>
      <w:r w:rsidR="00413009">
        <w:t xml:space="preserve"> but also </w:t>
      </w:r>
      <w:r w:rsidR="00C1479D">
        <w:t>require</w:t>
      </w:r>
      <w:r w:rsidR="00413009">
        <w:t xml:space="preserve"> that they </w:t>
      </w:r>
      <w:r w:rsidR="00673324" w:rsidRPr="00673324">
        <w:t xml:space="preserve">are </w:t>
      </w:r>
      <w:r w:rsidR="00413009">
        <w:t xml:space="preserve">fully </w:t>
      </w:r>
      <w:r w:rsidR="00673324" w:rsidRPr="00673324">
        <w:t xml:space="preserve">paid for </w:t>
      </w:r>
      <w:r w:rsidR="00413009">
        <w:t xml:space="preserve">-- </w:t>
      </w:r>
      <w:r w:rsidR="00673324" w:rsidRPr="00673324">
        <w:t xml:space="preserve">from new revenues, grants, or </w:t>
      </w:r>
      <w:r w:rsidR="00413009">
        <w:t xml:space="preserve">from </w:t>
      </w:r>
      <w:r w:rsidR="00673324" w:rsidRPr="00673324">
        <w:t xml:space="preserve">cuts in low priority programs.  </w:t>
      </w:r>
      <w:r w:rsidR="00C1479D">
        <w:t xml:space="preserve">In addition, </w:t>
      </w:r>
      <w:r w:rsidR="007C7E10">
        <w:t xml:space="preserve">new </w:t>
      </w:r>
      <w:r w:rsidR="007F5AEA">
        <w:t xml:space="preserve">spending </w:t>
      </w:r>
      <w:r w:rsidR="00C1479D">
        <w:t>should not</w:t>
      </w:r>
      <w:r w:rsidR="007F5AEA">
        <w:t xml:space="preserve"> </w:t>
      </w:r>
      <w:r w:rsidR="00C1479D">
        <w:t xml:space="preserve">be </w:t>
      </w:r>
      <w:r w:rsidR="007F5AEA">
        <w:t>authorized outside of approved budgetary allocations</w:t>
      </w:r>
      <w:r w:rsidR="007C7E10">
        <w:t xml:space="preserve">:  the use of Cabinet Letters should be discontinued.  </w:t>
      </w:r>
      <w:r w:rsidR="00413009">
        <w:t>M</w:t>
      </w:r>
      <w:r w:rsidR="00673324" w:rsidRPr="00673324">
        <w:t xml:space="preserve">inistries </w:t>
      </w:r>
      <w:r w:rsidR="00413009">
        <w:t xml:space="preserve">should be discouraged </w:t>
      </w:r>
      <w:r w:rsidR="00673324" w:rsidRPr="00673324">
        <w:t xml:space="preserve">from </w:t>
      </w:r>
      <w:proofErr w:type="spellStart"/>
      <w:r w:rsidR="00673324" w:rsidRPr="00673324">
        <w:t>viring</w:t>
      </w:r>
      <w:proofErr w:type="spellEnd"/>
      <w:r w:rsidR="00673324" w:rsidRPr="00673324">
        <w:t xml:space="preserve"> money to unproductive uses such as travel and entertainment</w:t>
      </w:r>
      <w:r w:rsidR="007F5AEA">
        <w:t xml:space="preserve"> </w:t>
      </w:r>
      <w:r w:rsidR="00413009">
        <w:t xml:space="preserve">even </w:t>
      </w:r>
      <w:r w:rsidR="007F5AEA">
        <w:t>while allowing virement for essential adjustments in favor of public service delivery</w:t>
      </w:r>
      <w:r w:rsidR="00673324" w:rsidRPr="00673324">
        <w:t xml:space="preserve">.  </w:t>
      </w:r>
      <w:r w:rsidR="00C1479D">
        <w:t xml:space="preserve">Access to contingency warrants should be </w:t>
      </w:r>
      <w:r w:rsidR="002B5664">
        <w:t xml:space="preserve">limited to unforeseen and consequential requirements for public service delivery.  </w:t>
      </w:r>
      <w:r w:rsidR="00673324" w:rsidRPr="00673324">
        <w:t xml:space="preserve">If these changes are made, then </w:t>
      </w:r>
      <w:r w:rsidR="00413009">
        <w:t xml:space="preserve">more resources will reach their </w:t>
      </w:r>
      <w:r w:rsidR="00413009">
        <w:lastRenderedPageBreak/>
        <w:t>intended destinations as expressed by approved allocations</w:t>
      </w:r>
      <w:r w:rsidR="00673324" w:rsidRPr="00673324">
        <w:t xml:space="preserve">.  This will make it much easier for ministries to implement their </w:t>
      </w:r>
      <w:r w:rsidR="00673324" w:rsidRPr="00764E6B">
        <w:t>pro</w:t>
      </w:r>
      <w:r w:rsidR="002757BF">
        <w:t>grams and achieve their goals.</w:t>
      </w:r>
      <w:r w:rsidR="00673324" w:rsidRPr="00764E6B">
        <w:t xml:space="preserve">  </w:t>
      </w:r>
    </w:p>
    <w:p w:rsidR="00673324" w:rsidRPr="00764E6B" w:rsidRDefault="00673324" w:rsidP="00AB6A47">
      <w:pPr>
        <w:tabs>
          <w:tab w:val="left" w:pos="360"/>
          <w:tab w:val="left" w:pos="720"/>
        </w:tabs>
        <w:jc w:val="both"/>
      </w:pPr>
    </w:p>
    <w:p w:rsidR="00BD4F09" w:rsidRPr="00764E6B" w:rsidRDefault="00F96851" w:rsidP="00AB6A47">
      <w:pPr>
        <w:pStyle w:val="ListParagraph"/>
        <w:numPr>
          <w:ilvl w:val="0"/>
          <w:numId w:val="11"/>
        </w:numPr>
        <w:tabs>
          <w:tab w:val="left" w:pos="360"/>
          <w:tab w:val="left" w:pos="720"/>
        </w:tabs>
        <w:jc w:val="both"/>
      </w:pPr>
      <w:r w:rsidRPr="00764E6B">
        <w:rPr>
          <w:b/>
        </w:rPr>
        <w:t xml:space="preserve">Hold </w:t>
      </w:r>
      <w:r w:rsidR="00764E6B" w:rsidRPr="00764E6B">
        <w:rPr>
          <w:b/>
        </w:rPr>
        <w:t>decision makers and government officials</w:t>
      </w:r>
      <w:r w:rsidRPr="00764E6B">
        <w:rPr>
          <w:b/>
        </w:rPr>
        <w:t xml:space="preserve"> accountable for good results</w:t>
      </w:r>
      <w:r w:rsidR="00764E6B" w:rsidRPr="00764E6B">
        <w:rPr>
          <w:b/>
        </w:rPr>
        <w:t xml:space="preserve">.  </w:t>
      </w:r>
      <w:r w:rsidR="00BD4F09" w:rsidRPr="00764E6B">
        <w:t>Thus far, there has been very little in the way of formal or informal requirements for accountability.  The proposed strategy would start a long-run process that would increase accountability in several ways.  Decision makers in the coordinating ministries could allow themselves to be held accountable to citizens through budgetary consultations with their provincial leaders or with organized citizens groups</w:t>
      </w:r>
      <w:r w:rsidR="00364FC1">
        <w:t xml:space="preserve"> and </w:t>
      </w:r>
      <w:r w:rsidR="00413009">
        <w:t>journalists</w:t>
      </w:r>
      <w:r w:rsidR="00BD4F09" w:rsidRPr="00764E6B">
        <w:t xml:space="preserve">.  The UNDP Provincial Government Strengthening Program could conceivably become a vehicle for the former </w:t>
      </w:r>
      <w:r w:rsidR="00BD4F09" w:rsidRPr="00764E6B">
        <w:rPr>
          <w:i/>
        </w:rPr>
        <w:t>while technical assistance could be solicited for the latter</w:t>
      </w:r>
      <w:r w:rsidR="00BD4F09" w:rsidRPr="00764E6B">
        <w:t xml:space="preserve">. </w:t>
      </w:r>
      <w:r w:rsidR="00764E6B" w:rsidRPr="00764E6B">
        <w:t xml:space="preserve"> </w:t>
      </w:r>
      <w:r w:rsidR="00BD4F09" w:rsidRPr="00764E6B">
        <w:t>It would also be helpful to strengthen the legal basis for the roles and accountabilities to be played by various officials.  This is not as clear as it should be at present.</w:t>
      </w:r>
    </w:p>
    <w:p w:rsidR="00BD4F09" w:rsidRPr="00764E6B" w:rsidRDefault="00BD4F09" w:rsidP="00AB6A47">
      <w:pPr>
        <w:tabs>
          <w:tab w:val="left" w:pos="360"/>
          <w:tab w:val="left" w:pos="720"/>
        </w:tabs>
        <w:jc w:val="both"/>
      </w:pPr>
    </w:p>
    <w:p w:rsidR="00673324" w:rsidRPr="00764E6B" w:rsidRDefault="00764E6B" w:rsidP="00AB6A47">
      <w:pPr>
        <w:pStyle w:val="ListParagraph"/>
        <w:numPr>
          <w:ilvl w:val="0"/>
          <w:numId w:val="11"/>
        </w:numPr>
        <w:tabs>
          <w:tab w:val="left" w:pos="360"/>
          <w:tab w:val="left" w:pos="720"/>
        </w:tabs>
        <w:jc w:val="both"/>
      </w:pPr>
      <w:r w:rsidRPr="00764E6B">
        <w:rPr>
          <w:b/>
        </w:rPr>
        <w:t xml:space="preserve">Accountability will require building the capacity to </w:t>
      </w:r>
      <w:r w:rsidR="00673324" w:rsidRPr="00764E6B">
        <w:rPr>
          <w:b/>
        </w:rPr>
        <w:t xml:space="preserve">check if </w:t>
      </w:r>
      <w:r w:rsidR="00364FC1">
        <w:rPr>
          <w:b/>
        </w:rPr>
        <w:t>g</w:t>
      </w:r>
      <w:r w:rsidR="00364FC1" w:rsidRPr="00764E6B">
        <w:rPr>
          <w:b/>
        </w:rPr>
        <w:t xml:space="preserve">overnment </w:t>
      </w:r>
      <w:r w:rsidR="00673324" w:rsidRPr="00764E6B">
        <w:rPr>
          <w:b/>
        </w:rPr>
        <w:t xml:space="preserve">goals </w:t>
      </w:r>
      <w:r w:rsidRPr="00764E6B">
        <w:rPr>
          <w:b/>
        </w:rPr>
        <w:t>are</w:t>
      </w:r>
      <w:r w:rsidR="00673324" w:rsidRPr="00764E6B">
        <w:rPr>
          <w:b/>
        </w:rPr>
        <w:t xml:space="preserve"> achieved.  </w:t>
      </w:r>
      <w:r w:rsidR="007C7E10" w:rsidRPr="007C7E10">
        <w:t>As improvements in expenditure information are made, it should become possible to c</w:t>
      </w:r>
      <w:r w:rsidR="00673324" w:rsidRPr="00764E6B">
        <w:t xml:space="preserve">hange the format of the budget estimates to clearly show what activities and programs </w:t>
      </w:r>
      <w:r w:rsidR="00364FC1">
        <w:t>l</w:t>
      </w:r>
      <w:r w:rsidR="00364FC1" w:rsidRPr="00764E6B">
        <w:t xml:space="preserve">ine </w:t>
      </w:r>
      <w:r w:rsidR="00364FC1">
        <w:t>m</w:t>
      </w:r>
      <w:r w:rsidR="00364FC1" w:rsidRPr="00764E6B">
        <w:t xml:space="preserve">inistries </w:t>
      </w:r>
      <w:r w:rsidR="00673324" w:rsidRPr="00764E6B">
        <w:t xml:space="preserve">and their divisions are undertaking, and how much funding is used for each.  </w:t>
      </w:r>
      <w:r w:rsidR="00364FC1">
        <w:t>Performance targets for ministries should be c</w:t>
      </w:r>
      <w:r w:rsidR="00364FC1" w:rsidRPr="00764E6B">
        <w:t>arefully identif</w:t>
      </w:r>
      <w:r w:rsidR="00364FC1">
        <w:t>ied</w:t>
      </w:r>
      <w:r w:rsidR="00364FC1" w:rsidRPr="00764E6B">
        <w:t xml:space="preserve"> </w:t>
      </w:r>
      <w:r w:rsidR="00673324" w:rsidRPr="00764E6B">
        <w:t>and publish</w:t>
      </w:r>
      <w:r w:rsidR="00364FC1">
        <w:t>ed</w:t>
      </w:r>
      <w:r w:rsidR="00673324" w:rsidRPr="00764E6B">
        <w:t xml:space="preserve">.  </w:t>
      </w:r>
      <w:r w:rsidR="00364FC1">
        <w:t>S</w:t>
      </w:r>
      <w:r w:rsidR="00673324" w:rsidRPr="00764E6B">
        <w:t xml:space="preserve">ystems </w:t>
      </w:r>
      <w:r w:rsidR="00364FC1">
        <w:t xml:space="preserve">should be established to allow </w:t>
      </w:r>
      <w:r w:rsidR="00673324" w:rsidRPr="00764E6B">
        <w:t xml:space="preserve">citizens </w:t>
      </w:r>
      <w:r w:rsidR="00364FC1">
        <w:t>to</w:t>
      </w:r>
      <w:r w:rsidR="00364FC1" w:rsidRPr="00764E6B">
        <w:t xml:space="preserve"> </w:t>
      </w:r>
      <w:r w:rsidR="00673324" w:rsidRPr="00764E6B">
        <w:t xml:space="preserve">join with </w:t>
      </w:r>
      <w:r w:rsidR="00364FC1">
        <w:t>the g</w:t>
      </w:r>
      <w:r w:rsidR="00364FC1" w:rsidRPr="00764E6B">
        <w:t xml:space="preserve">overnment </w:t>
      </w:r>
      <w:r w:rsidR="00673324" w:rsidRPr="00764E6B">
        <w:t>in monitoring performance outcome</w:t>
      </w:r>
      <w:r w:rsidR="00364FC1">
        <w:t>s</w:t>
      </w:r>
      <w:r w:rsidR="00673324" w:rsidRPr="00764E6B">
        <w:t xml:space="preserve"> against targets.  If these reforms are completed, then it will become possible for </w:t>
      </w:r>
      <w:r w:rsidR="00364FC1">
        <w:t>the</w:t>
      </w:r>
      <w:r w:rsidR="00364FC1" w:rsidRPr="00764E6B">
        <w:t xml:space="preserve"> </w:t>
      </w:r>
      <w:r w:rsidR="00364FC1">
        <w:t>g</w:t>
      </w:r>
      <w:r w:rsidR="00364FC1" w:rsidRPr="00764E6B">
        <w:t xml:space="preserve">overnment </w:t>
      </w:r>
      <w:r w:rsidR="00673324" w:rsidRPr="00764E6B">
        <w:t xml:space="preserve">to hold accountable its ministers and Permanent Secretaries for their contributions to </w:t>
      </w:r>
      <w:r w:rsidR="00364FC1">
        <w:t>g</w:t>
      </w:r>
      <w:r w:rsidR="00364FC1" w:rsidRPr="00764E6B">
        <w:t xml:space="preserve">overnment </w:t>
      </w:r>
      <w:r w:rsidR="00673324" w:rsidRPr="00764E6B">
        <w:t xml:space="preserve">successes and failures.  In turn, Permanent Secretaries will be able to hold Division heads accountable for their performance.  Moreover, the citizens will start to understand what Ministries are using money for, and whether their community needs </w:t>
      </w:r>
      <w:proofErr w:type="gramStart"/>
      <w:r w:rsidR="00673324" w:rsidRPr="00764E6B">
        <w:t>are</w:t>
      </w:r>
      <w:proofErr w:type="gramEnd"/>
      <w:r w:rsidR="00673324" w:rsidRPr="00764E6B">
        <w:t xml:space="preserve"> being met. </w:t>
      </w:r>
    </w:p>
    <w:p w:rsidR="00673324" w:rsidRDefault="00673324" w:rsidP="00673324">
      <w:pPr>
        <w:tabs>
          <w:tab w:val="left" w:pos="360"/>
          <w:tab w:val="left" w:pos="720"/>
        </w:tabs>
      </w:pPr>
    </w:p>
    <w:p w:rsidR="00BD4F09" w:rsidRDefault="000A0519" w:rsidP="00AB6A47">
      <w:pPr>
        <w:tabs>
          <w:tab w:val="left" w:pos="360"/>
          <w:tab w:val="left" w:pos="720"/>
        </w:tabs>
        <w:jc w:val="both"/>
      </w:pPr>
      <w:r>
        <w:fldChar w:fldCharType="begin"/>
      </w:r>
      <w:r w:rsidR="00BD4F09">
        <w:instrText xml:space="preserve"> AUTONUM  \* Arabic </w:instrText>
      </w:r>
      <w:r>
        <w:fldChar w:fldCharType="end"/>
      </w:r>
      <w:r w:rsidR="00BD4F09">
        <w:tab/>
      </w:r>
      <w:r w:rsidR="00BD4F09">
        <w:tab/>
      </w:r>
      <w:r w:rsidR="00624F80">
        <w:rPr>
          <w:b/>
        </w:rPr>
        <w:t>In the long-run,</w:t>
      </w:r>
      <w:r w:rsidR="00BD4F09" w:rsidRPr="002C1120">
        <w:rPr>
          <w:b/>
        </w:rPr>
        <w:t xml:space="preserve"> </w:t>
      </w:r>
      <w:r w:rsidR="00624F80">
        <w:rPr>
          <w:b/>
        </w:rPr>
        <w:t xml:space="preserve">coordinating ministries </w:t>
      </w:r>
      <w:r w:rsidR="00BD4F09">
        <w:rPr>
          <w:b/>
        </w:rPr>
        <w:t>c</w:t>
      </w:r>
      <w:r w:rsidR="00BD4F09" w:rsidRPr="002C1120">
        <w:rPr>
          <w:b/>
        </w:rPr>
        <w:t>ould rely more on line ministry staff.</w:t>
      </w:r>
      <w:r w:rsidR="00BD4F09">
        <w:t xml:space="preserve">  It is not </w:t>
      </w:r>
      <w:r w:rsidR="00624F80">
        <w:t>realistic to expect the staff in</w:t>
      </w:r>
      <w:r w:rsidR="00BD4F09">
        <w:t xml:space="preserve"> MOFT, MDPAC, or MPS to have a good understanding of whether a particular mix of inputs is well suited to the activities and programs of </w:t>
      </w:r>
      <w:r w:rsidR="00624F80">
        <w:t>each and every</w:t>
      </w:r>
      <w:r w:rsidR="00BD4F09">
        <w:t xml:space="preserve"> line ministr</w:t>
      </w:r>
      <w:r w:rsidR="00624F80">
        <w:t>y</w:t>
      </w:r>
      <w:r w:rsidR="007C2789">
        <w:t>, nor is it desirable</w:t>
      </w:r>
      <w:r w:rsidR="00BD4F09">
        <w:t xml:space="preserve">.  </w:t>
      </w:r>
      <w:r w:rsidR="00624F80">
        <w:t>O</w:t>
      </w:r>
      <w:r w:rsidR="00BD4F09">
        <w:t xml:space="preserve">ne </w:t>
      </w:r>
      <w:r w:rsidR="00624F80">
        <w:t>c</w:t>
      </w:r>
      <w:r w:rsidR="00BD4F09">
        <w:t>ould</w:t>
      </w:r>
      <w:r w:rsidR="00624F80">
        <w:t>, however,</w:t>
      </w:r>
      <w:r w:rsidR="00BD4F09">
        <w:t xml:space="preserve"> expect the line ministries to have the best knowledge of what is needed to achieve the goals set out for them – particularly after they have begun collecting several years of data on actual spending arranged by activity and program.  Thus, line ministries with a good track record of data collection, budgeting skill, and expenditure controls should eventually be granted </w:t>
      </w:r>
      <w:r w:rsidR="00BD4F09" w:rsidRPr="000F3BE6">
        <w:rPr>
          <w:i/>
        </w:rPr>
        <w:t>more autonomy</w:t>
      </w:r>
      <w:r w:rsidR="00BD4F09">
        <w:t xml:space="preserve"> over how they manage their expenditures and their personnel.  In particular, they should be allowed to 1) budget by activity and program rather than inputs (although inputs would still be tracked and accounted for); and 2) hire, fire, train, and promote staff as needed in order to best achieve their goals.</w:t>
      </w:r>
      <w:r w:rsidR="00764E6B" w:rsidRPr="00764E6B">
        <w:rPr>
          <w:rStyle w:val="FootnoteReference"/>
        </w:rPr>
        <w:footnoteReference w:id="23"/>
      </w:r>
      <w:r w:rsidR="00764E6B" w:rsidRPr="00764E6B">
        <w:t xml:space="preserve">  </w:t>
      </w:r>
      <w:proofErr w:type="gramStart"/>
      <w:r w:rsidR="00764E6B" w:rsidRPr="00764E6B">
        <w:t>The 2010-15 Human Resource Management Strategy</w:t>
      </w:r>
      <w:proofErr w:type="gramEnd"/>
      <w:r w:rsidR="00764E6B" w:rsidRPr="00764E6B">
        <w:t xml:space="preserve"> is largely consistent with these objectives.</w:t>
      </w:r>
      <w:r w:rsidR="00BD4F09">
        <w:t xml:space="preserve">  Very importantly</w:t>
      </w:r>
      <w:r w:rsidR="00970377">
        <w:t xml:space="preserve"> </w:t>
      </w:r>
      <w:r w:rsidR="00BD4F09">
        <w:t xml:space="preserve">promotion should be performance based.  Moving in this direction will take many years but it would be helpful to begin </w:t>
      </w:r>
      <w:r w:rsidR="004E6584">
        <w:t>considering what is desirable and feasible</w:t>
      </w:r>
      <w:r w:rsidR="00BD4F09">
        <w:t xml:space="preserve">.  </w:t>
      </w:r>
      <w:r w:rsidR="00BD4F09" w:rsidRPr="002C1120">
        <w:rPr>
          <w:i/>
        </w:rPr>
        <w:t>SIG may wish to seek donor technical assistance for these reform elements – much of this agenda is not well addressed under existing programs of donor support.</w:t>
      </w:r>
    </w:p>
    <w:p w:rsidR="00BD4F09" w:rsidRDefault="00BD4F09" w:rsidP="00AB6A47">
      <w:pPr>
        <w:tabs>
          <w:tab w:val="left" w:pos="360"/>
          <w:tab w:val="left" w:pos="720"/>
        </w:tabs>
        <w:jc w:val="both"/>
      </w:pPr>
    </w:p>
    <w:p w:rsidR="00602640" w:rsidRDefault="000A0519" w:rsidP="00AB6A47">
      <w:pPr>
        <w:tabs>
          <w:tab w:val="left" w:pos="360"/>
          <w:tab w:val="left" w:pos="720"/>
        </w:tabs>
        <w:jc w:val="both"/>
      </w:pPr>
      <w:r>
        <w:lastRenderedPageBreak/>
        <w:fldChar w:fldCharType="begin"/>
      </w:r>
      <w:r w:rsidR="00BD4F09">
        <w:instrText xml:space="preserve"> AUTONUM  \* Arabic </w:instrText>
      </w:r>
      <w:r>
        <w:fldChar w:fldCharType="end"/>
      </w:r>
      <w:r w:rsidR="00BD4F09">
        <w:tab/>
      </w:r>
      <w:r w:rsidR="00BD4F09">
        <w:tab/>
      </w:r>
      <w:r w:rsidR="00BD4F09" w:rsidRPr="00F03553">
        <w:rPr>
          <w:b/>
        </w:rPr>
        <w:t>If one is to make use of these changes, then one must necessarily change the nature of the budget process and the presentation of the budget estimates.</w:t>
      </w:r>
      <w:r w:rsidR="00BD4F09" w:rsidRPr="00F03553">
        <w:t xml:space="preserve">  If allocations to line ministries</w:t>
      </w:r>
      <w:r w:rsidR="00BD4F09">
        <w:t xml:space="preserve"> are to be based on policy goals and the estimated costs of meeting those goals, then the old practice of setting incremental baselines would need to be phased out.  If ministries are to focus on meeting policy goals, then the budget estimates should be revised to present information on activities and programs rather than inputs and, eventually, include indicators of results and impact.  </w:t>
      </w:r>
      <w:r w:rsidR="007C7E10">
        <w:t>This could be done quickly</w:t>
      </w:r>
      <w:r w:rsidR="00E9233C">
        <w:t xml:space="preserve"> by supplementing </w:t>
      </w:r>
      <w:r w:rsidR="007C7E10">
        <w:t>the existing format</w:t>
      </w:r>
      <w:r w:rsidR="00E9233C">
        <w:t xml:space="preserve"> with new tables and charts where appropriate</w:t>
      </w:r>
      <w:r w:rsidR="007C7E10">
        <w:t>.</w:t>
      </w:r>
    </w:p>
    <w:p w:rsidR="00BD4F09" w:rsidRDefault="00BD4F09" w:rsidP="00AB6A47">
      <w:pPr>
        <w:tabs>
          <w:tab w:val="left" w:pos="360"/>
          <w:tab w:val="left" w:pos="720"/>
        </w:tabs>
        <w:jc w:val="both"/>
      </w:pPr>
      <w:r>
        <w:t xml:space="preserve"> </w:t>
      </w:r>
    </w:p>
    <w:p w:rsidR="00BD4F09" w:rsidRDefault="000A0519" w:rsidP="00AB6A47">
      <w:pPr>
        <w:tabs>
          <w:tab w:val="left" w:pos="360"/>
          <w:tab w:val="left" w:pos="720"/>
        </w:tabs>
        <w:jc w:val="both"/>
      </w:pPr>
      <w:r>
        <w:fldChar w:fldCharType="begin"/>
      </w:r>
      <w:r w:rsidR="00BD4F09">
        <w:instrText xml:space="preserve"> AUTONUM  \* Arabic </w:instrText>
      </w:r>
      <w:r>
        <w:fldChar w:fldCharType="end"/>
      </w:r>
      <w:r w:rsidR="00BD4F09">
        <w:tab/>
      </w:r>
      <w:r w:rsidR="00BD4F09">
        <w:tab/>
      </w:r>
      <w:r w:rsidR="00BD4F09" w:rsidRPr="002F4DE1">
        <w:rPr>
          <w:b/>
        </w:rPr>
        <w:t>The pace of change will be governed by the pace of change within the line ministries because they hold the information needed by the coordinating ministries.</w:t>
      </w:r>
      <w:r w:rsidR="00BD4F09">
        <w:t xml:space="preserve">  The basic steps that the line ministries would need to take include:  </w:t>
      </w:r>
      <w:r w:rsidR="00BD4F09" w:rsidRPr="002F4DE1">
        <w:t xml:space="preserve">begin recording the actual cost of ministry activities and programs using the new Chart of Accounts; accumulate at least 2 years of data using new </w:t>
      </w:r>
      <w:proofErr w:type="spellStart"/>
      <w:r w:rsidR="00BD4F09" w:rsidRPr="002F4DE1">
        <w:t>CoA</w:t>
      </w:r>
      <w:proofErr w:type="spellEnd"/>
      <w:r w:rsidR="00BD4F09" w:rsidRPr="002F4DE1">
        <w:t xml:space="preserve"> codes; use the new data on actual costs to inform the unit costs of service provision; build capacity for </w:t>
      </w:r>
      <w:r w:rsidR="00E74A4D">
        <w:t>m</w:t>
      </w:r>
      <w:r w:rsidR="00BD4F09" w:rsidRPr="002F4DE1">
        <w:t xml:space="preserve">onitoring and </w:t>
      </w:r>
      <w:r w:rsidR="00E74A4D">
        <w:t>e</w:t>
      </w:r>
      <w:r w:rsidR="00BD4F09" w:rsidRPr="002F4DE1">
        <w:t>valuation</w:t>
      </w:r>
      <w:r w:rsidR="00BD4F09">
        <w:t>; and build capacity for better human resource management</w:t>
      </w:r>
      <w:r w:rsidR="00BD4F09" w:rsidRPr="002F4DE1">
        <w:t xml:space="preserve">.  Each step will take several years per ministry, so that the first set of pilot ministries would be ready for </w:t>
      </w:r>
      <w:r w:rsidR="004E6584">
        <w:t>some simple form of p</w:t>
      </w:r>
      <w:r w:rsidR="004E6584" w:rsidRPr="002F4DE1">
        <w:t xml:space="preserve">olicy </w:t>
      </w:r>
      <w:r w:rsidR="004E6584">
        <w:t>b</w:t>
      </w:r>
      <w:r w:rsidR="004E6584" w:rsidRPr="002F4DE1">
        <w:t xml:space="preserve">ased </w:t>
      </w:r>
      <w:r w:rsidR="004E6584">
        <w:t>b</w:t>
      </w:r>
      <w:r w:rsidR="004E6584" w:rsidRPr="002F4DE1">
        <w:t xml:space="preserve">udgeting </w:t>
      </w:r>
      <w:r w:rsidR="00E449E9">
        <w:t>in ten year’s time, by</w:t>
      </w:r>
      <w:r w:rsidR="00BD4F09" w:rsidRPr="002F4DE1">
        <w:t xml:space="preserve"> 2021.</w:t>
      </w:r>
    </w:p>
    <w:p w:rsidR="00BD4F09" w:rsidRDefault="00BD4F09" w:rsidP="00673324">
      <w:pPr>
        <w:tabs>
          <w:tab w:val="left" w:pos="360"/>
          <w:tab w:val="left" w:pos="720"/>
        </w:tabs>
      </w:pPr>
    </w:p>
    <w:p w:rsidR="00BD4F09" w:rsidRPr="00602640" w:rsidRDefault="00BD4F09" w:rsidP="00602640">
      <w:pPr>
        <w:pBdr>
          <w:top w:val="single" w:sz="4" w:space="1" w:color="auto"/>
          <w:left w:val="single" w:sz="4" w:space="4" w:color="auto"/>
          <w:bottom w:val="single" w:sz="4" w:space="1" w:color="auto"/>
          <w:right w:val="single" w:sz="4" w:space="4" w:color="auto"/>
        </w:pBdr>
        <w:tabs>
          <w:tab w:val="left" w:pos="360"/>
          <w:tab w:val="left" w:pos="720"/>
        </w:tabs>
        <w:rPr>
          <w:sz w:val="20"/>
        </w:rPr>
      </w:pPr>
      <w:r w:rsidRPr="00602640">
        <w:rPr>
          <w:b/>
          <w:sz w:val="20"/>
        </w:rPr>
        <w:t xml:space="preserve">Caveat: </w:t>
      </w:r>
      <w:r w:rsidRPr="00602640">
        <w:rPr>
          <w:sz w:val="20"/>
        </w:rPr>
        <w:t xml:space="preserve"> the proposed strategy assumes that all relevant ministry staff </w:t>
      </w:r>
      <w:proofErr w:type="gramStart"/>
      <w:r w:rsidRPr="00602640">
        <w:rPr>
          <w:sz w:val="20"/>
        </w:rPr>
        <w:t>have</w:t>
      </w:r>
      <w:proofErr w:type="gramEnd"/>
      <w:r w:rsidRPr="00602640">
        <w:rPr>
          <w:sz w:val="20"/>
        </w:rPr>
        <w:t xml:space="preserve"> </w:t>
      </w:r>
      <w:r w:rsidR="00602640">
        <w:rPr>
          <w:sz w:val="20"/>
        </w:rPr>
        <w:t>the</w:t>
      </w:r>
      <w:r w:rsidRPr="00602640">
        <w:rPr>
          <w:sz w:val="20"/>
        </w:rPr>
        <w:t xml:space="preserve"> capacity to absorb additional training.  This may not be true for all individuals in all ministries either due to educational constraints or time constraints arising from ongoing work obligations.  Further investigation would be helpful in assessing whether the proposed strategy should be adjusted in light of </w:t>
      </w:r>
      <w:r w:rsidR="00602640">
        <w:rPr>
          <w:sz w:val="20"/>
        </w:rPr>
        <w:t>such</w:t>
      </w:r>
      <w:r w:rsidRPr="00602640">
        <w:rPr>
          <w:sz w:val="20"/>
        </w:rPr>
        <w:t xml:space="preserve"> constraints.</w:t>
      </w:r>
    </w:p>
    <w:p w:rsidR="00BD4F09" w:rsidRDefault="00BD4F09" w:rsidP="00673324">
      <w:pPr>
        <w:tabs>
          <w:tab w:val="left" w:pos="360"/>
          <w:tab w:val="left" w:pos="720"/>
        </w:tabs>
      </w:pPr>
    </w:p>
    <w:p w:rsidR="00286079" w:rsidRPr="00286079" w:rsidRDefault="000A0519" w:rsidP="00AB6A47">
      <w:pPr>
        <w:tabs>
          <w:tab w:val="left" w:pos="360"/>
          <w:tab w:val="left" w:pos="720"/>
        </w:tabs>
        <w:jc w:val="both"/>
      </w:pPr>
      <w:r w:rsidRPr="00286079">
        <w:fldChar w:fldCharType="begin"/>
      </w:r>
      <w:r w:rsidR="00286079" w:rsidRPr="00286079">
        <w:instrText xml:space="preserve"> AUTONUM  \* Arabic </w:instrText>
      </w:r>
      <w:r w:rsidRPr="00286079">
        <w:fldChar w:fldCharType="end"/>
      </w:r>
      <w:r w:rsidR="00286079" w:rsidRPr="00286079">
        <w:tab/>
      </w:r>
      <w:r w:rsidR="00286079" w:rsidRPr="00286079">
        <w:rPr>
          <w:b/>
        </w:rPr>
        <w:t>Achieving government ownership and consensus among all key stakeholders will be very important to sustaining the proposed reforms because of the long time frame envisaged.</w:t>
      </w:r>
      <w:r w:rsidR="00286079" w:rsidRPr="00286079">
        <w:t xml:space="preserve">  Many of the necessary reforms would need to take place in MOFT although there is also much work to be done in the line ministries as well.  The ongoing FEMSP is well placed to address MOFT needs although a broader program of Public Financial Management reforms may be needed for the line ministries as well, particularly for the accounting cadre that take on extra duties as budget and planning officers as well as procurement officers.  </w:t>
      </w:r>
    </w:p>
    <w:p w:rsidR="00286079" w:rsidRDefault="00286079" w:rsidP="00AB6A47">
      <w:pPr>
        <w:tabs>
          <w:tab w:val="left" w:pos="360"/>
          <w:tab w:val="left" w:pos="720"/>
        </w:tabs>
        <w:jc w:val="both"/>
      </w:pPr>
    </w:p>
    <w:p w:rsidR="00BD4F09" w:rsidRDefault="000A0519" w:rsidP="00AB6A47">
      <w:pPr>
        <w:tabs>
          <w:tab w:val="left" w:pos="360"/>
          <w:tab w:val="left" w:pos="720"/>
        </w:tabs>
        <w:jc w:val="both"/>
      </w:pPr>
      <w:r>
        <w:fldChar w:fldCharType="begin"/>
      </w:r>
      <w:r w:rsidR="00BD4F09">
        <w:instrText xml:space="preserve"> AUTONUM  \* Arabic </w:instrText>
      </w:r>
      <w:r>
        <w:fldChar w:fldCharType="end"/>
      </w:r>
      <w:r w:rsidR="00BD4F09">
        <w:tab/>
      </w:r>
      <w:r w:rsidR="00BD4F09">
        <w:tab/>
      </w:r>
      <w:r w:rsidR="00E9233C">
        <w:rPr>
          <w:b/>
        </w:rPr>
        <w:t>A</w:t>
      </w:r>
      <w:r w:rsidR="00BD4F09" w:rsidRPr="000F3BE6">
        <w:rPr>
          <w:b/>
        </w:rPr>
        <w:t xml:space="preserve"> </w:t>
      </w:r>
      <w:r w:rsidR="00E449E9">
        <w:rPr>
          <w:b/>
        </w:rPr>
        <w:t xml:space="preserve">specific </w:t>
      </w:r>
      <w:r w:rsidR="00BD4F09" w:rsidRPr="000F3BE6">
        <w:rPr>
          <w:b/>
        </w:rPr>
        <w:t xml:space="preserve">sequence of steps </w:t>
      </w:r>
      <w:r w:rsidR="00E9233C">
        <w:rPr>
          <w:b/>
        </w:rPr>
        <w:t xml:space="preserve">is proposed </w:t>
      </w:r>
      <w:r w:rsidR="00BD4F09" w:rsidRPr="000F3BE6">
        <w:rPr>
          <w:b/>
        </w:rPr>
        <w:t xml:space="preserve">for each of </w:t>
      </w:r>
      <w:r w:rsidR="00472718">
        <w:rPr>
          <w:b/>
        </w:rPr>
        <w:t xml:space="preserve">the </w:t>
      </w:r>
      <w:r w:rsidR="00BD4F09" w:rsidRPr="000F3BE6">
        <w:rPr>
          <w:b/>
        </w:rPr>
        <w:t>strategy elements outlined above.</w:t>
      </w:r>
      <w:r w:rsidR="00BD4F09">
        <w:t xml:space="preserve">  Each sequence would progressively strengthen the budgetary capacity of the government.  The strengthening would take place over a period of several years and start with just a few key ministries each year, expanding gradually to cover the entire government.  More than one sequence and more than one objective could be pursued in any given year, depending upon the capacity and interest of those involved.  </w:t>
      </w:r>
      <w:r w:rsidR="00602640">
        <w:t xml:space="preserve">SIG is well positioned to undertake these reforms given the extensive support already provided by RAMSI and other donors to MOFT.  This now needs to be broadened to reach the line ministries as well.  </w:t>
      </w:r>
      <w:r w:rsidR="00602640" w:rsidRPr="00286079">
        <w:rPr>
          <w:b/>
        </w:rPr>
        <w:t xml:space="preserve">Annex </w:t>
      </w:r>
      <w:r w:rsidR="00E74A4D" w:rsidRPr="00286079">
        <w:rPr>
          <w:b/>
        </w:rPr>
        <w:t>B</w:t>
      </w:r>
      <w:r w:rsidR="00E74A4D">
        <w:t xml:space="preserve"> </w:t>
      </w:r>
      <w:r w:rsidR="00602640">
        <w:t>to this paper provides a step-by-step plan along with estimates on timing and references to available technical assistance.</w:t>
      </w:r>
      <w:r w:rsidR="00E74A4D">
        <w:t xml:space="preserve">  </w:t>
      </w:r>
      <w:r w:rsidR="00E9233C">
        <w:t>It is hoped that this design can be further improved through careful exploration and discussion with all stakeholders throughout SIG.</w:t>
      </w:r>
    </w:p>
    <w:p w:rsidR="006F67E2" w:rsidRDefault="006F67E2" w:rsidP="00673324">
      <w:pPr>
        <w:tabs>
          <w:tab w:val="left" w:pos="360"/>
          <w:tab w:val="left" w:pos="720"/>
        </w:tabs>
      </w:pPr>
    </w:p>
    <w:p w:rsidR="00472718" w:rsidRDefault="00472718">
      <w:pPr>
        <w:rPr>
          <w:b/>
        </w:rPr>
      </w:pPr>
      <w:r>
        <w:rPr>
          <w:b/>
        </w:rPr>
        <w:br w:type="page"/>
      </w:r>
    </w:p>
    <w:p w:rsidR="00A81F5B" w:rsidRDefault="00A81F5B" w:rsidP="006F67E2">
      <w:pPr>
        <w:tabs>
          <w:tab w:val="left" w:pos="360"/>
          <w:tab w:val="left" w:pos="720"/>
        </w:tabs>
        <w:jc w:val="center"/>
        <w:rPr>
          <w:b/>
        </w:rPr>
      </w:pPr>
    </w:p>
    <w:p w:rsidR="00BD4F09" w:rsidRPr="006F67E2" w:rsidRDefault="006F67E2" w:rsidP="007C2789">
      <w:pPr>
        <w:jc w:val="center"/>
        <w:rPr>
          <w:b/>
        </w:rPr>
      </w:pPr>
      <w:r w:rsidRPr="006F67E2">
        <w:rPr>
          <w:b/>
        </w:rPr>
        <w:t>IV. PRIORITIES FOR 2011/12</w:t>
      </w:r>
    </w:p>
    <w:p w:rsidR="006F67E2" w:rsidRDefault="006F67E2" w:rsidP="00673324">
      <w:pPr>
        <w:tabs>
          <w:tab w:val="left" w:pos="360"/>
          <w:tab w:val="left" w:pos="720"/>
        </w:tabs>
      </w:pPr>
    </w:p>
    <w:p w:rsidR="00BD4F09" w:rsidRDefault="000A0519" w:rsidP="00673324">
      <w:pPr>
        <w:tabs>
          <w:tab w:val="left" w:pos="360"/>
          <w:tab w:val="left" w:pos="720"/>
        </w:tabs>
      </w:pPr>
      <w:r>
        <w:fldChar w:fldCharType="begin"/>
      </w:r>
      <w:r w:rsidR="00602640">
        <w:instrText xml:space="preserve"> AUTONUM  \* Arabic </w:instrText>
      </w:r>
      <w:r>
        <w:fldChar w:fldCharType="end"/>
      </w:r>
      <w:r w:rsidR="00602640">
        <w:tab/>
      </w:r>
      <w:r w:rsidR="00602640">
        <w:tab/>
      </w:r>
      <w:r w:rsidR="00BD4F09" w:rsidRPr="00602640">
        <w:rPr>
          <w:b/>
        </w:rPr>
        <w:t xml:space="preserve">The </w:t>
      </w:r>
      <w:r w:rsidR="004E6584">
        <w:rPr>
          <w:b/>
        </w:rPr>
        <w:t xml:space="preserve">six </w:t>
      </w:r>
      <w:r w:rsidR="00BD4F09" w:rsidRPr="00602640">
        <w:rPr>
          <w:b/>
        </w:rPr>
        <w:t>most important steps required to put SIG on the reform path in 2011/12 are summarized below.</w:t>
      </w:r>
      <w:r w:rsidR="00BD4F09">
        <w:t xml:space="preserve">   </w:t>
      </w:r>
      <w:r w:rsidR="00602640">
        <w:t>These include alphanumeric references, such as A1,</w:t>
      </w:r>
      <w:r w:rsidR="00BD4F09">
        <w:t xml:space="preserve"> </w:t>
      </w:r>
      <w:r w:rsidR="00602640">
        <w:t>to specific steps found in Annex</w:t>
      </w:r>
      <w:r w:rsidR="00E74A4D">
        <w:t xml:space="preserve"> B</w:t>
      </w:r>
      <w:r w:rsidR="00602640">
        <w:t>.</w:t>
      </w:r>
      <w:r w:rsidR="00A81F5B">
        <w:t xml:space="preserve">  Two of these are already agreed and good progress has been made on a third.</w:t>
      </w:r>
    </w:p>
    <w:p w:rsidR="00BD4F09" w:rsidRDefault="00BD4F09" w:rsidP="00673324">
      <w:pPr>
        <w:tabs>
          <w:tab w:val="left" w:pos="360"/>
          <w:tab w:val="left" w:pos="720"/>
        </w:tabs>
      </w:pPr>
    </w:p>
    <w:p w:rsidR="008E2A46" w:rsidRDefault="00E449E9" w:rsidP="00E449E9">
      <w:pPr>
        <w:tabs>
          <w:tab w:val="left" w:pos="720"/>
        </w:tabs>
        <w:ind w:left="720" w:hanging="720"/>
        <w:jc w:val="both"/>
      </w:pPr>
      <w:r>
        <w:t>A1.</w:t>
      </w:r>
      <w:r>
        <w:tab/>
      </w:r>
      <w:r w:rsidR="008E2A46" w:rsidRPr="00982EBC">
        <w:t xml:space="preserve">Consider increasing central government responsiveness to citizen needs for non-devolved services by using the annual Premiere’s conference as an opportunity for the coordinating and line ministries to discuss how various provincial priorities could be addressed in the annual budget.  </w:t>
      </w:r>
    </w:p>
    <w:p w:rsidR="00E449E9" w:rsidRDefault="00E449E9" w:rsidP="00673324">
      <w:pPr>
        <w:tabs>
          <w:tab w:val="left" w:pos="720"/>
        </w:tabs>
      </w:pPr>
    </w:p>
    <w:p w:rsidR="008E2A46" w:rsidRDefault="008E2A46" w:rsidP="00E449E9">
      <w:pPr>
        <w:tabs>
          <w:tab w:val="left" w:pos="720"/>
        </w:tabs>
        <w:ind w:left="720" w:hanging="720"/>
      </w:pPr>
      <w:r w:rsidRPr="008E2A46">
        <w:t>B1.</w:t>
      </w:r>
      <w:r w:rsidRPr="008E2A46">
        <w:tab/>
        <w:t xml:space="preserve">Begin recording the actual cost of </w:t>
      </w:r>
      <w:r w:rsidR="00E9233C">
        <w:t xml:space="preserve">selected </w:t>
      </w:r>
      <w:r w:rsidRPr="008E2A46">
        <w:t xml:space="preserve">ministry activities and programs using the new </w:t>
      </w:r>
      <w:proofErr w:type="spellStart"/>
      <w:r w:rsidR="00D54C6A">
        <w:t>CoA</w:t>
      </w:r>
      <w:proofErr w:type="spellEnd"/>
      <w:r w:rsidR="00E449E9">
        <w:t>.</w:t>
      </w:r>
      <w:r w:rsidRPr="008E2A46">
        <w:t xml:space="preserve">  Similar work should proceed with the UNDP Development Assistance Database to capture donor financed spending in the recu</w:t>
      </w:r>
      <w:r w:rsidR="006F67E2">
        <w:t>rrent and development budgets.</w:t>
      </w:r>
      <w:r w:rsidR="00A81F5B">
        <w:t xml:space="preserve"> </w:t>
      </w:r>
      <w:proofErr w:type="gramStart"/>
      <w:r w:rsidR="00A81F5B">
        <w:t>(Underway.)</w:t>
      </w:r>
      <w:proofErr w:type="gramEnd"/>
    </w:p>
    <w:p w:rsidR="00E449E9" w:rsidRDefault="00E449E9" w:rsidP="00673324">
      <w:pPr>
        <w:tabs>
          <w:tab w:val="left" w:pos="720"/>
        </w:tabs>
      </w:pPr>
    </w:p>
    <w:p w:rsidR="00E449E9" w:rsidRPr="00982EBC" w:rsidRDefault="00E449E9" w:rsidP="00186289">
      <w:pPr>
        <w:tabs>
          <w:tab w:val="left" w:pos="720"/>
        </w:tabs>
        <w:ind w:left="720" w:hanging="720"/>
        <w:jc w:val="both"/>
      </w:pPr>
      <w:r w:rsidRPr="00982EBC">
        <w:t>C</w:t>
      </w:r>
      <w:r>
        <w:t>2</w:t>
      </w:r>
      <w:r w:rsidRPr="00982EBC">
        <w:t>.</w:t>
      </w:r>
      <w:r w:rsidRPr="00982EBC">
        <w:tab/>
      </w:r>
      <w:r w:rsidR="00186289">
        <w:t>Establish a policy of b</w:t>
      </w:r>
      <w:r w:rsidRPr="00982EBC">
        <w:t>uild</w:t>
      </w:r>
      <w:r w:rsidR="00186289">
        <w:t xml:space="preserve">ing and maintaining </w:t>
      </w:r>
      <w:r w:rsidRPr="00982EBC">
        <w:t>a cushion of cash reserves to protect against</w:t>
      </w:r>
      <w:r w:rsidR="006F67E2">
        <w:t xml:space="preserve"> unexpected shocks.</w:t>
      </w:r>
      <w:r w:rsidR="00A81F5B">
        <w:t xml:space="preserve"> (This is part of the program agreed with the IMF.)</w:t>
      </w:r>
    </w:p>
    <w:p w:rsidR="00E449E9" w:rsidRPr="008E2A46" w:rsidRDefault="00E449E9" w:rsidP="00673324">
      <w:pPr>
        <w:tabs>
          <w:tab w:val="left" w:pos="720"/>
        </w:tabs>
      </w:pPr>
    </w:p>
    <w:p w:rsidR="00982EBC" w:rsidRPr="00982EBC" w:rsidRDefault="00982EBC" w:rsidP="006F67E2">
      <w:pPr>
        <w:tabs>
          <w:tab w:val="left" w:pos="720"/>
        </w:tabs>
        <w:ind w:left="720" w:hanging="720"/>
        <w:jc w:val="both"/>
      </w:pPr>
      <w:r w:rsidRPr="00982EBC">
        <w:t>C</w:t>
      </w:r>
      <w:r w:rsidR="00E449E9">
        <w:t>4</w:t>
      </w:r>
      <w:r w:rsidRPr="00982EBC">
        <w:t>.</w:t>
      </w:r>
      <w:r w:rsidRPr="00982EBC">
        <w:tab/>
        <w:t>Use periodic Public Expenditure Reviews to help better align selected budget allocations to line ministry needs</w:t>
      </w:r>
      <w:r w:rsidR="00E449E9">
        <w:t>.</w:t>
      </w:r>
    </w:p>
    <w:p w:rsidR="00982EBC" w:rsidRDefault="00982EBC" w:rsidP="00673324">
      <w:pPr>
        <w:tabs>
          <w:tab w:val="left" w:pos="720"/>
        </w:tabs>
        <w:jc w:val="both"/>
        <w:rPr>
          <w:b/>
        </w:rPr>
      </w:pPr>
    </w:p>
    <w:p w:rsidR="008E2A46" w:rsidRPr="008E2A46" w:rsidRDefault="008E2A46" w:rsidP="006F67E2">
      <w:pPr>
        <w:tabs>
          <w:tab w:val="left" w:pos="720"/>
        </w:tabs>
        <w:ind w:left="720" w:hanging="720"/>
        <w:jc w:val="both"/>
      </w:pPr>
      <w:r w:rsidRPr="008E2A46">
        <w:t>D</w:t>
      </w:r>
      <w:r w:rsidR="00472718">
        <w:t>2</w:t>
      </w:r>
      <w:r w:rsidRPr="008E2A46">
        <w:t>.</w:t>
      </w:r>
      <w:r w:rsidRPr="008E2A46">
        <w:tab/>
        <w:t>Strengthen the quality of budget execution by tightening up expenditure controls.  Change the legal framework to ensure no expenditures shall be made outside of approved budgets (</w:t>
      </w:r>
      <w:proofErr w:type="spellStart"/>
      <w:r w:rsidR="00FE27B5">
        <w:t>ie</w:t>
      </w:r>
      <w:proofErr w:type="spellEnd"/>
      <w:r w:rsidR="00FE27B5">
        <w:t xml:space="preserve">, </w:t>
      </w:r>
      <w:r w:rsidRPr="008E2A46">
        <w:t xml:space="preserve">Cabinet Letters) and all Supplementary Budgets are fully financed from new revenues and grants or specific cost savings.  This </w:t>
      </w:r>
      <w:r w:rsidR="006F67E2">
        <w:t>c</w:t>
      </w:r>
      <w:r w:rsidRPr="008E2A46">
        <w:t>ould also include training for the new Financial Instructions as well as work on commitment controls, virement, contingency warrants, supplemental budgets and procurement.</w:t>
      </w:r>
    </w:p>
    <w:p w:rsidR="00982EBC" w:rsidRPr="008E2A46" w:rsidRDefault="00982EBC" w:rsidP="00673324">
      <w:pPr>
        <w:tabs>
          <w:tab w:val="left" w:pos="720"/>
        </w:tabs>
        <w:jc w:val="both"/>
      </w:pPr>
    </w:p>
    <w:p w:rsidR="00D8187B" w:rsidRDefault="00D8187B">
      <w:pPr>
        <w:rPr>
          <w:b/>
        </w:rPr>
      </w:pPr>
      <w:r>
        <w:rPr>
          <w:b/>
        </w:rPr>
        <w:br w:type="page"/>
      </w:r>
    </w:p>
    <w:p w:rsidR="008E2A46" w:rsidRDefault="00B207E5" w:rsidP="00D8187B">
      <w:pPr>
        <w:tabs>
          <w:tab w:val="left" w:pos="720"/>
        </w:tabs>
        <w:jc w:val="center"/>
        <w:rPr>
          <w:b/>
        </w:rPr>
      </w:pPr>
      <w:r>
        <w:rPr>
          <w:b/>
        </w:rPr>
        <w:lastRenderedPageBreak/>
        <w:t>Annex A:  Related Materials</w:t>
      </w:r>
    </w:p>
    <w:p w:rsidR="00B207E5" w:rsidRDefault="00B207E5" w:rsidP="00673324">
      <w:pPr>
        <w:tabs>
          <w:tab w:val="left" w:pos="720"/>
        </w:tabs>
        <w:rPr>
          <w:b/>
        </w:rPr>
      </w:pPr>
    </w:p>
    <w:p w:rsidR="00D8187B" w:rsidRDefault="00D8187B" w:rsidP="00673324">
      <w:pPr>
        <w:tabs>
          <w:tab w:val="left" w:pos="720"/>
        </w:tabs>
        <w:rPr>
          <w:b/>
        </w:rPr>
      </w:pPr>
    </w:p>
    <w:p w:rsidR="007E16F4" w:rsidRPr="007E16F4" w:rsidRDefault="007E16F4" w:rsidP="007E16F4">
      <w:pPr>
        <w:tabs>
          <w:tab w:val="left" w:pos="720"/>
        </w:tabs>
      </w:pPr>
      <w:r w:rsidRPr="007E16F4">
        <w:t xml:space="preserve">European Commission, Nov. 2008.  </w:t>
      </w:r>
      <w:proofErr w:type="gramStart"/>
      <w:r w:rsidRPr="007E16F4">
        <w:t xml:space="preserve">Solomon Islands </w:t>
      </w:r>
      <w:r>
        <w:t xml:space="preserve">Public Financial Management </w:t>
      </w:r>
      <w:r w:rsidRPr="007E16F4">
        <w:t>Performance Report.</w:t>
      </w:r>
      <w:proofErr w:type="gramEnd"/>
    </w:p>
    <w:p w:rsidR="007E16F4" w:rsidRDefault="007E16F4" w:rsidP="007E16F4">
      <w:pPr>
        <w:tabs>
          <w:tab w:val="left" w:pos="720"/>
        </w:tabs>
        <w:rPr>
          <w:b/>
        </w:rPr>
      </w:pPr>
    </w:p>
    <w:p w:rsidR="00D8187B" w:rsidRDefault="00D8187B" w:rsidP="00B207E5">
      <w:pPr>
        <w:tabs>
          <w:tab w:val="left" w:pos="720"/>
        </w:tabs>
      </w:pPr>
      <w:r>
        <w:t xml:space="preserve">IMF PFTAC, </w:t>
      </w:r>
      <w:r w:rsidR="00FB61EB">
        <w:t>Aug</w:t>
      </w:r>
      <w:r>
        <w:t>. 2010.</w:t>
      </w:r>
      <w:r w:rsidR="00FB61EB">
        <w:t xml:space="preserve">  </w:t>
      </w:r>
      <w:proofErr w:type="gramStart"/>
      <w:r w:rsidR="00FB61EB" w:rsidRPr="00FB61EB">
        <w:t xml:space="preserve">A </w:t>
      </w:r>
      <w:r w:rsidR="00FB61EB">
        <w:t>N</w:t>
      </w:r>
      <w:r w:rsidR="00FB61EB" w:rsidRPr="00FB61EB">
        <w:t xml:space="preserve">ote on the </w:t>
      </w:r>
      <w:r w:rsidR="00FB61EB">
        <w:t>N</w:t>
      </w:r>
      <w:r w:rsidR="00FB61EB" w:rsidRPr="00FB61EB">
        <w:t xml:space="preserve">ew Financial Instructions and the </w:t>
      </w:r>
      <w:r w:rsidR="00FB61EB">
        <w:t>B</w:t>
      </w:r>
      <w:r w:rsidR="00FB61EB" w:rsidRPr="00FB61EB">
        <w:t xml:space="preserve">asis of </w:t>
      </w:r>
      <w:r w:rsidR="00FB61EB">
        <w:t>A</w:t>
      </w:r>
      <w:r w:rsidR="00FB61EB" w:rsidRPr="00FB61EB">
        <w:t xml:space="preserve">ccounting- the </w:t>
      </w:r>
      <w:r w:rsidR="00FB61EB">
        <w:t>N</w:t>
      </w:r>
      <w:r w:rsidR="00FB61EB" w:rsidRPr="00FB61EB">
        <w:t xml:space="preserve">ext </w:t>
      </w:r>
      <w:r w:rsidR="00FB61EB">
        <w:t>S</w:t>
      </w:r>
      <w:r w:rsidR="00FB61EB" w:rsidRPr="00FB61EB">
        <w:t>teps</w:t>
      </w:r>
      <w:r w:rsidR="00FB61EB">
        <w:t>.</w:t>
      </w:r>
      <w:proofErr w:type="gramEnd"/>
    </w:p>
    <w:p w:rsidR="00FB61EB" w:rsidRDefault="00FB61EB" w:rsidP="00B207E5">
      <w:pPr>
        <w:tabs>
          <w:tab w:val="left" w:pos="720"/>
        </w:tabs>
      </w:pPr>
    </w:p>
    <w:p w:rsidR="00FB61EB" w:rsidRPr="00FB61EB" w:rsidRDefault="00FB61EB" w:rsidP="00B207E5">
      <w:pPr>
        <w:tabs>
          <w:tab w:val="left" w:pos="720"/>
        </w:tabs>
      </w:pPr>
      <w:r>
        <w:t xml:space="preserve">IMF PFTAC, Aug. 2010.  </w:t>
      </w:r>
      <w:proofErr w:type="gramStart"/>
      <w:r w:rsidRPr="00FB61EB">
        <w:t>Solomon Island</w:t>
      </w:r>
      <w:r>
        <w:t>s PEFA Assessment 2008 and PFM I</w:t>
      </w:r>
      <w:r w:rsidRPr="00FB61EB">
        <w:t xml:space="preserve">mprovements </w:t>
      </w:r>
      <w:r>
        <w:t>S</w:t>
      </w:r>
      <w:r w:rsidRPr="00FB61EB">
        <w:t>ince</w:t>
      </w:r>
      <w:r>
        <w:t>.</w:t>
      </w:r>
      <w:proofErr w:type="gramEnd"/>
    </w:p>
    <w:p w:rsidR="00FB61EB" w:rsidRDefault="00FB61EB" w:rsidP="00B207E5">
      <w:pPr>
        <w:tabs>
          <w:tab w:val="left" w:pos="720"/>
        </w:tabs>
      </w:pPr>
    </w:p>
    <w:p w:rsidR="00411122" w:rsidRDefault="00411122" w:rsidP="00411122">
      <w:pPr>
        <w:tabs>
          <w:tab w:val="left" w:pos="720"/>
        </w:tabs>
      </w:pPr>
      <w:r>
        <w:t xml:space="preserve">Regional Assistance Mission to Solomon </w:t>
      </w:r>
      <w:proofErr w:type="gramStart"/>
      <w:r>
        <w:t>Islands,</w:t>
      </w:r>
      <w:proofErr w:type="gramEnd"/>
      <w:r>
        <w:t xml:space="preserve"> May 2010.  </w:t>
      </w:r>
      <w:proofErr w:type="gramStart"/>
      <w:r w:rsidRPr="00411122">
        <w:t>Financial and Economic Management</w:t>
      </w:r>
      <w:r>
        <w:t xml:space="preserve"> </w:t>
      </w:r>
      <w:r w:rsidRPr="00411122">
        <w:t>Strengthening Program</w:t>
      </w:r>
      <w:r>
        <w:t>.</w:t>
      </w:r>
      <w:proofErr w:type="gramEnd"/>
    </w:p>
    <w:p w:rsidR="00411122" w:rsidRDefault="00411122" w:rsidP="00411122">
      <w:pPr>
        <w:tabs>
          <w:tab w:val="left" w:pos="720"/>
        </w:tabs>
      </w:pPr>
    </w:p>
    <w:p w:rsidR="00B207E5" w:rsidRPr="00B207E5" w:rsidRDefault="00B207E5" w:rsidP="00B207E5">
      <w:pPr>
        <w:tabs>
          <w:tab w:val="left" w:pos="720"/>
        </w:tabs>
        <w:rPr>
          <w:bCs/>
        </w:rPr>
      </w:pPr>
      <w:r w:rsidRPr="00B207E5">
        <w:t xml:space="preserve">World Bank, </w:t>
      </w:r>
      <w:r w:rsidR="00FB61EB">
        <w:t xml:space="preserve">Sept. </w:t>
      </w:r>
      <w:r w:rsidRPr="00B207E5">
        <w:t xml:space="preserve">2009.  </w:t>
      </w:r>
      <w:proofErr w:type="gramStart"/>
      <w:r w:rsidRPr="00B207E5">
        <w:rPr>
          <w:bCs/>
        </w:rPr>
        <w:t>Solomon Islands Education Sector Public Expenditure Review</w:t>
      </w:r>
      <w:r w:rsidR="00411122">
        <w:rPr>
          <w:bCs/>
        </w:rPr>
        <w:t>.</w:t>
      </w:r>
      <w:proofErr w:type="gramEnd"/>
    </w:p>
    <w:p w:rsidR="00B207E5" w:rsidRDefault="00B207E5" w:rsidP="00B207E5">
      <w:pPr>
        <w:pStyle w:val="ListParagraph"/>
        <w:tabs>
          <w:tab w:val="left" w:pos="720"/>
        </w:tabs>
        <w:ind w:left="0"/>
      </w:pPr>
    </w:p>
    <w:p w:rsidR="00B207E5" w:rsidRDefault="00B207E5" w:rsidP="00B207E5">
      <w:pPr>
        <w:pStyle w:val="ListParagraph"/>
        <w:tabs>
          <w:tab w:val="left" w:pos="720"/>
        </w:tabs>
        <w:ind w:left="0"/>
      </w:pPr>
      <w:r w:rsidRPr="006F67E2">
        <w:t>World Bank</w:t>
      </w:r>
      <w:r>
        <w:t xml:space="preserve">, </w:t>
      </w:r>
      <w:r w:rsidR="00FB61EB">
        <w:t xml:space="preserve">June </w:t>
      </w:r>
      <w:r w:rsidRPr="006F67E2">
        <w:t>2010</w:t>
      </w:r>
      <w:r>
        <w:t>.</w:t>
      </w:r>
      <w:r w:rsidRPr="006F67E2">
        <w:t xml:space="preserve"> </w:t>
      </w:r>
      <w:r>
        <w:t xml:space="preserve"> </w:t>
      </w:r>
      <w:proofErr w:type="gramStart"/>
      <w:r>
        <w:t>Health Financing Options</w:t>
      </w:r>
      <w:r w:rsidR="00411122">
        <w:t>.</w:t>
      </w:r>
      <w:proofErr w:type="gramEnd"/>
    </w:p>
    <w:p w:rsidR="00B207E5" w:rsidRDefault="00B207E5" w:rsidP="00B207E5">
      <w:pPr>
        <w:pStyle w:val="ListParagraph"/>
        <w:tabs>
          <w:tab w:val="left" w:pos="720"/>
        </w:tabs>
        <w:ind w:left="0"/>
      </w:pPr>
    </w:p>
    <w:p w:rsidR="00D8187B" w:rsidRDefault="00D8187B" w:rsidP="00B207E5">
      <w:pPr>
        <w:pStyle w:val="ListParagraph"/>
        <w:tabs>
          <w:tab w:val="left" w:pos="720"/>
        </w:tabs>
        <w:ind w:left="0"/>
      </w:pPr>
      <w:r>
        <w:t xml:space="preserve">World Bank, June 2010.  EXCEL Allocations and Expenditures </w:t>
      </w:r>
      <w:r w:rsidR="00411122">
        <w:t>Database.</w:t>
      </w:r>
    </w:p>
    <w:p w:rsidR="00D8187B" w:rsidRDefault="00D8187B" w:rsidP="00B207E5">
      <w:pPr>
        <w:pStyle w:val="ListParagraph"/>
        <w:tabs>
          <w:tab w:val="left" w:pos="720"/>
        </w:tabs>
        <w:ind w:left="0"/>
      </w:pPr>
    </w:p>
    <w:p w:rsidR="00D8187B" w:rsidRDefault="00D8187B" w:rsidP="00D8187B">
      <w:r>
        <w:t>World Bank, July 2010.  Two Alternative Formats for Budget Estimates</w:t>
      </w:r>
      <w:r w:rsidR="00411122">
        <w:t>.</w:t>
      </w:r>
    </w:p>
    <w:p w:rsidR="00D8187B" w:rsidRDefault="00D8187B" w:rsidP="00D8187B"/>
    <w:p w:rsidR="00D8187B" w:rsidRPr="00D8187B" w:rsidRDefault="00B207E5" w:rsidP="00D8187B">
      <w:r w:rsidRPr="006F67E2">
        <w:t>World Bank</w:t>
      </w:r>
      <w:r>
        <w:t xml:space="preserve">, </w:t>
      </w:r>
      <w:r w:rsidR="00D8187B">
        <w:t xml:space="preserve">Sept. </w:t>
      </w:r>
      <w:r w:rsidRPr="006F67E2">
        <w:t>2010</w:t>
      </w:r>
      <w:r w:rsidR="00D8187B">
        <w:t xml:space="preserve">.  </w:t>
      </w:r>
      <w:r w:rsidR="00D8187B" w:rsidRPr="00D8187B">
        <w:t>Budget Planning and Formulation in Solomon Islands: A Review</w:t>
      </w:r>
      <w:r w:rsidR="00411122">
        <w:t>.</w:t>
      </w:r>
    </w:p>
    <w:p w:rsidR="00B207E5" w:rsidRDefault="00B207E5" w:rsidP="00B207E5">
      <w:pPr>
        <w:pStyle w:val="ListParagraph"/>
        <w:tabs>
          <w:tab w:val="left" w:pos="720"/>
        </w:tabs>
        <w:ind w:left="0"/>
      </w:pPr>
    </w:p>
    <w:p w:rsidR="00FB61EB" w:rsidRPr="00FB61EB" w:rsidRDefault="00B207E5" w:rsidP="00FB61EB">
      <w:pPr>
        <w:rPr>
          <w:rFonts w:eastAsia="Calibri"/>
        </w:rPr>
      </w:pPr>
      <w:r w:rsidRPr="006F67E2">
        <w:t>World Bank</w:t>
      </w:r>
      <w:r>
        <w:t xml:space="preserve">, </w:t>
      </w:r>
      <w:r w:rsidR="00FB61EB">
        <w:t xml:space="preserve">Oct. </w:t>
      </w:r>
      <w:r w:rsidRPr="006F67E2">
        <w:t>2010</w:t>
      </w:r>
      <w:r>
        <w:t>.</w:t>
      </w:r>
      <w:r w:rsidR="00FB61EB">
        <w:t xml:space="preserve"> </w:t>
      </w:r>
      <w:r w:rsidR="00FB61EB" w:rsidRPr="00FB61EB">
        <w:rPr>
          <w:rFonts w:eastAsia="Calibri"/>
        </w:rPr>
        <w:t>Downstream aspects of the Budget Management Framework</w:t>
      </w:r>
    </w:p>
    <w:p w:rsidR="00FB61EB" w:rsidRPr="00FB61EB" w:rsidRDefault="00FB61EB" w:rsidP="00FB61EB">
      <w:pPr>
        <w:rPr>
          <w:rFonts w:eastAsia="Calibri"/>
        </w:rPr>
      </w:pPr>
      <w:r w:rsidRPr="00FB61EB">
        <w:rPr>
          <w:rFonts w:eastAsia="Calibri"/>
        </w:rPr>
        <w:t>Findings, Issues, Assessments</w:t>
      </w:r>
      <w:r>
        <w:t>,</w:t>
      </w:r>
      <w:r w:rsidRPr="00FB61EB">
        <w:rPr>
          <w:rFonts w:eastAsia="Calibri"/>
        </w:rPr>
        <w:t xml:space="preserve"> and Suggested Way Forward</w:t>
      </w:r>
      <w:r>
        <w:t>.</w:t>
      </w:r>
    </w:p>
    <w:p w:rsidR="00D8187B" w:rsidRDefault="00D8187B" w:rsidP="00B207E5">
      <w:pPr>
        <w:pStyle w:val="ListParagraph"/>
        <w:tabs>
          <w:tab w:val="left" w:pos="720"/>
        </w:tabs>
        <w:ind w:left="0"/>
      </w:pPr>
    </w:p>
    <w:p w:rsidR="00B207E5" w:rsidRDefault="00B207E5" w:rsidP="00D8187B">
      <w:r w:rsidRPr="006F67E2">
        <w:t>World Bank</w:t>
      </w:r>
      <w:r>
        <w:t xml:space="preserve">, </w:t>
      </w:r>
      <w:r w:rsidR="00D8187B">
        <w:t xml:space="preserve">Sept. 2010.  </w:t>
      </w:r>
      <w:r w:rsidR="00D8187B" w:rsidRPr="00D8187B">
        <w:t>Assessing the Readiness in the Solomon Islands Government for</w:t>
      </w:r>
      <w:r w:rsidR="00D8187B">
        <w:t xml:space="preserve"> </w:t>
      </w:r>
      <w:r w:rsidR="00D8187B" w:rsidRPr="00D8187B">
        <w:t>Results-Based Monitoring and Evaluation</w:t>
      </w:r>
      <w:r w:rsidR="00D8187B">
        <w:t xml:space="preserve"> </w:t>
      </w:r>
      <w:r w:rsidR="00D8187B" w:rsidRPr="00D8187B">
        <w:t>to Support Results Oriented Budgeting</w:t>
      </w:r>
      <w:r w:rsidR="00411122">
        <w:t>.</w:t>
      </w:r>
    </w:p>
    <w:p w:rsidR="00D8187B" w:rsidRDefault="00D8187B" w:rsidP="00B207E5">
      <w:pPr>
        <w:pStyle w:val="ListParagraph"/>
        <w:tabs>
          <w:tab w:val="left" w:pos="720"/>
        </w:tabs>
        <w:ind w:left="0"/>
      </w:pPr>
    </w:p>
    <w:p w:rsidR="00B207E5" w:rsidRDefault="00B207E5" w:rsidP="00B207E5">
      <w:pPr>
        <w:pStyle w:val="ListParagraph"/>
        <w:tabs>
          <w:tab w:val="left" w:pos="720"/>
        </w:tabs>
        <w:ind w:left="0"/>
      </w:pPr>
      <w:r w:rsidRPr="006F67E2">
        <w:t>World Bank</w:t>
      </w:r>
      <w:r>
        <w:t xml:space="preserve">, </w:t>
      </w:r>
      <w:r w:rsidR="00D8187B">
        <w:t>Nov. 2010</w:t>
      </w:r>
      <w:r>
        <w:t>.</w:t>
      </w:r>
      <w:r w:rsidR="00D8187B">
        <w:t xml:space="preserve">  A Good Budget Process Should …   </w:t>
      </w:r>
    </w:p>
    <w:p w:rsidR="00D8187B" w:rsidRDefault="00D8187B" w:rsidP="00D8187B">
      <w:pPr>
        <w:pStyle w:val="ListParagraph"/>
        <w:tabs>
          <w:tab w:val="left" w:pos="720"/>
        </w:tabs>
        <w:ind w:left="0"/>
      </w:pPr>
    </w:p>
    <w:p w:rsidR="00D8187B" w:rsidRDefault="00D8187B" w:rsidP="00D8187B">
      <w:pPr>
        <w:pStyle w:val="ListParagraph"/>
        <w:tabs>
          <w:tab w:val="left" w:pos="720"/>
        </w:tabs>
        <w:ind w:left="0"/>
      </w:pPr>
      <w:r w:rsidRPr="006F67E2">
        <w:t>World Bank</w:t>
      </w:r>
      <w:r>
        <w:t xml:space="preserve">, </w:t>
      </w:r>
      <w:r w:rsidR="00E16197">
        <w:t>May</w:t>
      </w:r>
      <w:r>
        <w:t xml:space="preserve"> </w:t>
      </w:r>
      <w:r w:rsidRPr="006F67E2">
        <w:t>201</w:t>
      </w:r>
      <w:r>
        <w:t xml:space="preserve">1.  </w:t>
      </w:r>
      <w:r w:rsidRPr="00D8187B">
        <w:t>Briefing Note: Levels and Allocations Solomon Islands Public Expenditure Review</w:t>
      </w:r>
      <w:r>
        <w:t>.</w:t>
      </w:r>
    </w:p>
    <w:p w:rsidR="00B207E5" w:rsidRPr="006F67E2" w:rsidRDefault="00B207E5" w:rsidP="00B207E5">
      <w:pPr>
        <w:pStyle w:val="ListParagraph"/>
        <w:tabs>
          <w:tab w:val="left" w:pos="720"/>
        </w:tabs>
        <w:ind w:left="0"/>
      </w:pPr>
    </w:p>
    <w:p w:rsidR="00B207E5" w:rsidRDefault="00B207E5" w:rsidP="00673324">
      <w:pPr>
        <w:tabs>
          <w:tab w:val="left" w:pos="720"/>
        </w:tabs>
        <w:rPr>
          <w:b/>
        </w:rPr>
      </w:pPr>
    </w:p>
    <w:p w:rsidR="00B207E5" w:rsidRDefault="00B207E5" w:rsidP="00673324">
      <w:pPr>
        <w:tabs>
          <w:tab w:val="left" w:pos="720"/>
        </w:tabs>
        <w:rPr>
          <w:b/>
        </w:rPr>
      </w:pPr>
    </w:p>
    <w:p w:rsidR="00982EBC" w:rsidRDefault="00982EBC" w:rsidP="00673324">
      <w:pPr>
        <w:tabs>
          <w:tab w:val="left" w:pos="720"/>
        </w:tabs>
        <w:rPr>
          <w:b/>
        </w:rPr>
      </w:pPr>
    </w:p>
    <w:p w:rsidR="004D2D41" w:rsidRDefault="004D2D41" w:rsidP="00673324">
      <w:pPr>
        <w:tabs>
          <w:tab w:val="left" w:pos="720"/>
        </w:tabs>
      </w:pPr>
      <w:r>
        <w:br w:type="page"/>
      </w:r>
    </w:p>
    <w:p w:rsidR="004D2D41" w:rsidRDefault="004D2D41" w:rsidP="00673324">
      <w:pPr>
        <w:tabs>
          <w:tab w:val="left" w:pos="720"/>
        </w:tabs>
        <w:ind w:left="360"/>
        <w:sectPr w:rsidR="004D2D41" w:rsidSect="00E47375">
          <w:footerReference w:type="default" r:id="rId10"/>
          <w:pgSz w:w="12240" w:h="15840"/>
          <w:pgMar w:top="1440" w:right="1440" w:bottom="1440" w:left="1440" w:header="720" w:footer="720" w:gutter="0"/>
          <w:cols w:space="720"/>
          <w:docGrid w:linePitch="360"/>
        </w:sectPr>
      </w:pPr>
    </w:p>
    <w:p w:rsidR="00152B42" w:rsidRDefault="00152B42" w:rsidP="00673324">
      <w:pPr>
        <w:tabs>
          <w:tab w:val="left" w:pos="720"/>
        </w:tabs>
        <w:ind w:left="360"/>
      </w:pPr>
    </w:p>
    <w:p w:rsidR="00D032D9" w:rsidRPr="00D032D9" w:rsidRDefault="00E449E9" w:rsidP="00673324">
      <w:pPr>
        <w:pStyle w:val="ListParagraph"/>
        <w:tabs>
          <w:tab w:val="left" w:pos="720"/>
        </w:tabs>
        <w:jc w:val="center"/>
        <w:rPr>
          <w:b/>
        </w:rPr>
      </w:pPr>
      <w:r>
        <w:rPr>
          <w:b/>
        </w:rPr>
        <w:t>Annex</w:t>
      </w:r>
      <w:r w:rsidR="00B207E5">
        <w:rPr>
          <w:b/>
        </w:rPr>
        <w:t xml:space="preserve"> B</w:t>
      </w:r>
      <w:r>
        <w:rPr>
          <w:b/>
        </w:rPr>
        <w:t xml:space="preserve">:  </w:t>
      </w:r>
      <w:r w:rsidR="00D032D9" w:rsidRPr="00D032D9">
        <w:rPr>
          <w:b/>
        </w:rPr>
        <w:t xml:space="preserve">An Illustrative </w:t>
      </w:r>
      <w:r w:rsidR="00B962C7">
        <w:rPr>
          <w:b/>
        </w:rPr>
        <w:t xml:space="preserve">10 Year </w:t>
      </w:r>
      <w:r w:rsidR="00D032D9" w:rsidRPr="00D032D9">
        <w:rPr>
          <w:b/>
        </w:rPr>
        <w:t>Program of Budgetary Reforms for Consideration and Review</w:t>
      </w:r>
    </w:p>
    <w:p w:rsidR="00D032D9" w:rsidRPr="00D032D9" w:rsidRDefault="00D032D9" w:rsidP="00673324">
      <w:pPr>
        <w:pStyle w:val="ListParagraph"/>
        <w:tabs>
          <w:tab w:val="left" w:pos="720"/>
        </w:tabs>
      </w:pPr>
    </w:p>
    <w:tbl>
      <w:tblPr>
        <w:tblStyle w:val="TableGrid"/>
        <w:tblW w:w="14040" w:type="dxa"/>
        <w:tblInd w:w="-432" w:type="dxa"/>
        <w:tblLook w:val="04A0"/>
      </w:tblPr>
      <w:tblGrid>
        <w:gridCol w:w="4824"/>
        <w:gridCol w:w="4626"/>
        <w:gridCol w:w="4590"/>
      </w:tblGrid>
      <w:tr w:rsidR="00D032D9" w:rsidRPr="00D032D9" w:rsidTr="004D2D41">
        <w:trPr>
          <w:tblHeader/>
        </w:trPr>
        <w:tc>
          <w:tcPr>
            <w:tcW w:w="4824" w:type="dxa"/>
            <w:shd w:val="clear" w:color="auto" w:fill="D9D9D9" w:themeFill="background1" w:themeFillShade="D9"/>
          </w:tcPr>
          <w:p w:rsidR="00D032D9" w:rsidRPr="00D032D9" w:rsidRDefault="00D032D9" w:rsidP="00AF5E04">
            <w:pPr>
              <w:pStyle w:val="ListParagraph"/>
              <w:tabs>
                <w:tab w:val="left" w:pos="720"/>
              </w:tabs>
              <w:ind w:left="72"/>
              <w:rPr>
                <w:b/>
                <w:u w:val="single"/>
              </w:rPr>
            </w:pPr>
            <w:r w:rsidRPr="00D032D9">
              <w:br w:type="page"/>
            </w:r>
            <w:r w:rsidRPr="00D032D9">
              <w:rPr>
                <w:b/>
                <w:u w:val="single"/>
              </w:rPr>
              <w:t>PLANNING</w:t>
            </w:r>
          </w:p>
          <w:p w:rsidR="00D032D9" w:rsidRPr="00D032D9" w:rsidRDefault="00D032D9" w:rsidP="00AF5E04">
            <w:pPr>
              <w:pStyle w:val="ListParagraph"/>
              <w:tabs>
                <w:tab w:val="left" w:pos="720"/>
              </w:tabs>
              <w:ind w:left="72"/>
            </w:pPr>
            <w:r w:rsidRPr="00D032D9">
              <w:t xml:space="preserve">A. </w:t>
            </w:r>
            <w:r w:rsidR="006A307F" w:rsidRPr="006A307F">
              <w:t>Decide what is to be achieved and how you will know when you have succeeded</w:t>
            </w:r>
          </w:p>
          <w:p w:rsidR="00D032D9" w:rsidRPr="00D032D9" w:rsidRDefault="00D032D9" w:rsidP="00AF5E04">
            <w:pPr>
              <w:pStyle w:val="ListParagraph"/>
              <w:tabs>
                <w:tab w:val="left" w:pos="720"/>
              </w:tabs>
              <w:ind w:left="72"/>
            </w:pPr>
            <w:r w:rsidRPr="00D032D9">
              <w:t xml:space="preserve">B. Make sure the line ministries know how to do </w:t>
            </w:r>
            <w:r w:rsidR="006A307F">
              <w:t>each task</w:t>
            </w:r>
            <w:r w:rsidRPr="00D032D9">
              <w:t xml:space="preserve"> and how much </w:t>
            </w:r>
            <w:r w:rsidR="006A307F">
              <w:t>they cost</w:t>
            </w:r>
          </w:p>
          <w:p w:rsidR="00D032D9" w:rsidRPr="00D032D9" w:rsidRDefault="00D032D9" w:rsidP="00AF5E04">
            <w:pPr>
              <w:pStyle w:val="ListParagraph"/>
              <w:tabs>
                <w:tab w:val="left" w:pos="720"/>
              </w:tabs>
            </w:pPr>
          </w:p>
        </w:tc>
        <w:tc>
          <w:tcPr>
            <w:tcW w:w="4626" w:type="dxa"/>
            <w:shd w:val="clear" w:color="auto" w:fill="D9D9D9" w:themeFill="background1" w:themeFillShade="D9"/>
          </w:tcPr>
          <w:p w:rsidR="00D032D9" w:rsidRPr="00D032D9" w:rsidRDefault="00D032D9" w:rsidP="00AF5E04">
            <w:pPr>
              <w:pStyle w:val="ListParagraph"/>
              <w:tabs>
                <w:tab w:val="left" w:pos="720"/>
              </w:tabs>
              <w:ind w:left="108"/>
              <w:rPr>
                <w:b/>
                <w:u w:val="single"/>
              </w:rPr>
            </w:pPr>
            <w:r w:rsidRPr="00D032D9">
              <w:rPr>
                <w:b/>
                <w:u w:val="single"/>
              </w:rPr>
              <w:t>BUDGETING</w:t>
            </w:r>
          </w:p>
          <w:p w:rsidR="00D032D9" w:rsidRPr="00D032D9" w:rsidRDefault="00D032D9" w:rsidP="00AF5E04">
            <w:pPr>
              <w:pStyle w:val="ListParagraph"/>
              <w:tabs>
                <w:tab w:val="left" w:pos="720"/>
              </w:tabs>
              <w:ind w:left="108"/>
            </w:pPr>
            <w:r w:rsidRPr="00D032D9">
              <w:t>C. Ensure ministries have the resources they need</w:t>
            </w:r>
          </w:p>
        </w:tc>
        <w:tc>
          <w:tcPr>
            <w:tcW w:w="4590" w:type="dxa"/>
            <w:shd w:val="clear" w:color="auto" w:fill="D9D9D9" w:themeFill="background1" w:themeFillShade="D9"/>
          </w:tcPr>
          <w:p w:rsidR="00D032D9" w:rsidRPr="00D032D9" w:rsidRDefault="00D032D9" w:rsidP="00AF5E04">
            <w:pPr>
              <w:pStyle w:val="ListParagraph"/>
              <w:tabs>
                <w:tab w:val="left" w:pos="720"/>
              </w:tabs>
              <w:ind w:left="72"/>
              <w:rPr>
                <w:b/>
                <w:u w:val="single"/>
              </w:rPr>
            </w:pPr>
            <w:r w:rsidRPr="00D032D9">
              <w:rPr>
                <w:b/>
                <w:u w:val="single"/>
              </w:rPr>
              <w:t>EXECUTION AND ACCOUNTABILITY</w:t>
            </w:r>
          </w:p>
          <w:p w:rsidR="00D032D9" w:rsidRPr="00D032D9" w:rsidRDefault="00D032D9" w:rsidP="00AF5E04">
            <w:pPr>
              <w:pStyle w:val="ListParagraph"/>
              <w:tabs>
                <w:tab w:val="left" w:pos="720"/>
              </w:tabs>
              <w:ind w:left="72"/>
            </w:pPr>
            <w:r w:rsidRPr="00D032D9">
              <w:t>D. Ensure they use those resources well</w:t>
            </w:r>
          </w:p>
          <w:p w:rsidR="00D032D9" w:rsidRPr="00D032D9" w:rsidRDefault="00D032D9" w:rsidP="00AF5E04">
            <w:pPr>
              <w:pStyle w:val="ListParagraph"/>
              <w:tabs>
                <w:tab w:val="left" w:pos="720"/>
              </w:tabs>
              <w:ind w:left="72"/>
            </w:pPr>
            <w:r w:rsidRPr="00D032D9">
              <w:t>E. Hold people accountable for good results</w:t>
            </w:r>
          </w:p>
        </w:tc>
      </w:tr>
      <w:tr w:rsidR="00D032D9" w:rsidRPr="00D032D9" w:rsidTr="00D032D9">
        <w:tc>
          <w:tcPr>
            <w:tcW w:w="4824" w:type="dxa"/>
          </w:tcPr>
          <w:p w:rsidR="00E16197" w:rsidRPr="005068E1" w:rsidRDefault="00E16197" w:rsidP="00AF5E04">
            <w:proofErr w:type="gramStart"/>
            <w:r w:rsidRPr="005068E1">
              <w:rPr>
                <w:b/>
              </w:rPr>
              <w:t>A1(</w:t>
            </w:r>
            <w:proofErr w:type="gramEnd"/>
            <w:r w:rsidRPr="005068E1">
              <w:rPr>
                <w:b/>
              </w:rPr>
              <w:t>a).</w:t>
            </w:r>
            <w:r w:rsidRPr="005068E1">
              <w:t xml:space="preserve">  Consider increasing central government responsiveness to citizen needs by soliciting input from civil society organizations on how to improve the quality of spending.  From 2011 onwards.</w:t>
            </w:r>
          </w:p>
          <w:p w:rsidR="00E16197" w:rsidRDefault="00E16197" w:rsidP="00AF5E04">
            <w:pPr>
              <w:rPr>
                <w:b/>
              </w:rPr>
            </w:pPr>
          </w:p>
          <w:p w:rsidR="00E16197" w:rsidRPr="005068E1" w:rsidRDefault="00E16197" w:rsidP="00AF5E04">
            <w:proofErr w:type="gramStart"/>
            <w:r w:rsidRPr="005068E1">
              <w:rPr>
                <w:b/>
              </w:rPr>
              <w:t>A1(</w:t>
            </w:r>
            <w:proofErr w:type="gramEnd"/>
            <w:r w:rsidRPr="005068E1">
              <w:rPr>
                <w:b/>
              </w:rPr>
              <w:t xml:space="preserve">b). </w:t>
            </w:r>
            <w:r w:rsidRPr="005068E1">
              <w:t>Consider increasing central government responsiveness to citizen needs for non-devolved services by using the annual Premiere’s conference as an opportunity for the coordinating and line ministries to discuss how various provincial priorities could be addressed in the annual budget.  This should be coordinated with the UNDP Program of Provincial Government Strengthening.  From 2012 onwards.</w:t>
            </w:r>
          </w:p>
          <w:p w:rsidR="00E16197" w:rsidRDefault="00E16197" w:rsidP="00AF5E04">
            <w:pPr>
              <w:rPr>
                <w:b/>
              </w:rPr>
            </w:pPr>
          </w:p>
          <w:p w:rsidR="00E16197" w:rsidRPr="005068E1" w:rsidRDefault="00E16197" w:rsidP="00AF5E04">
            <w:proofErr w:type="gramStart"/>
            <w:r w:rsidRPr="005068E1">
              <w:rPr>
                <w:b/>
              </w:rPr>
              <w:t>A2(</w:t>
            </w:r>
            <w:proofErr w:type="gramEnd"/>
            <w:r w:rsidRPr="005068E1">
              <w:rPr>
                <w:b/>
              </w:rPr>
              <w:t>a).</w:t>
            </w:r>
            <w:r w:rsidRPr="005068E1">
              <w:t xml:space="preserve"> Strengthen the capacity of government to coordinate policy initiatives through procedural improvements in the coordinating ministries as well as OPMC.  5 years, 2012-16.   </w:t>
            </w:r>
          </w:p>
          <w:p w:rsidR="00E16197" w:rsidRDefault="00E16197" w:rsidP="00AF5E04">
            <w:pPr>
              <w:rPr>
                <w:b/>
              </w:rPr>
            </w:pPr>
          </w:p>
          <w:p w:rsidR="00E16197" w:rsidRPr="005068E1" w:rsidRDefault="00E16197" w:rsidP="00AF5E04">
            <w:proofErr w:type="gramStart"/>
            <w:r w:rsidRPr="005068E1">
              <w:rPr>
                <w:b/>
              </w:rPr>
              <w:t>A2(</w:t>
            </w:r>
            <w:proofErr w:type="gramEnd"/>
            <w:r w:rsidRPr="005068E1">
              <w:rPr>
                <w:b/>
              </w:rPr>
              <w:t>b).</w:t>
            </w:r>
            <w:r w:rsidRPr="005068E1">
              <w:t xml:space="preserve"> Strengthen the capacity of government to coordinate policy initiatives by bringing in new talent recruited through "graduate programs" aimed at the OPMC offices responsible for the Prime Minster, the Cabinet, and Policy Design and </w:t>
            </w:r>
            <w:r w:rsidRPr="005068E1">
              <w:lastRenderedPageBreak/>
              <w:t>Monitoring.</w:t>
            </w:r>
          </w:p>
          <w:p w:rsidR="00E16197" w:rsidRDefault="00E16197" w:rsidP="00AF5E04">
            <w:pPr>
              <w:rPr>
                <w:b/>
              </w:rPr>
            </w:pPr>
          </w:p>
          <w:p w:rsidR="00E16197" w:rsidRDefault="00E16197" w:rsidP="00AF5E04">
            <w:r w:rsidRPr="005068E1">
              <w:rPr>
                <w:b/>
              </w:rPr>
              <w:t>A3.</w:t>
            </w:r>
            <w:r w:rsidRPr="005068E1">
              <w:t xml:space="preserve"> Strengthen the capacity of MDPAC &amp; LMs to select projects into the budget that serve SIG objectives, including consultation with MOFT on the sustainability of new O&amp;M obligations:  4 years, 2014-17</w:t>
            </w:r>
          </w:p>
          <w:p w:rsidR="00E16197" w:rsidRDefault="00E16197" w:rsidP="00AF5E04"/>
          <w:p w:rsidR="00E16197" w:rsidRPr="00E16197" w:rsidRDefault="00E16197" w:rsidP="00AF5E04">
            <w:proofErr w:type="gramStart"/>
            <w:r w:rsidRPr="00E16197">
              <w:rPr>
                <w:b/>
              </w:rPr>
              <w:t>B1(</w:t>
            </w:r>
            <w:proofErr w:type="gramEnd"/>
            <w:r w:rsidRPr="00E16197">
              <w:rPr>
                <w:b/>
              </w:rPr>
              <w:t>a).</w:t>
            </w:r>
            <w:r w:rsidRPr="00E16197">
              <w:t xml:space="preserve"> </w:t>
            </w:r>
            <w:r w:rsidRPr="00E16197">
              <w:rPr>
                <w:lang w:bidi="en-US"/>
              </w:rPr>
              <w:t>Update the Chart of Accounts to enable SIG to begin tracking expenditures by programs, activities, and districts.  2011</w:t>
            </w:r>
          </w:p>
          <w:p w:rsidR="00E16197" w:rsidRPr="00E16197" w:rsidRDefault="00E16197" w:rsidP="00AF5E04">
            <w:pPr>
              <w:rPr>
                <w:b/>
              </w:rPr>
            </w:pPr>
          </w:p>
          <w:p w:rsidR="00E16197" w:rsidRPr="00E16197" w:rsidRDefault="00E16197" w:rsidP="00AF5E04">
            <w:proofErr w:type="gramStart"/>
            <w:r w:rsidRPr="00E16197">
              <w:rPr>
                <w:b/>
              </w:rPr>
              <w:t>B1(</w:t>
            </w:r>
            <w:proofErr w:type="gramEnd"/>
            <w:r w:rsidRPr="00E16197">
              <w:rPr>
                <w:b/>
              </w:rPr>
              <w:t>b).</w:t>
            </w:r>
            <w:r w:rsidRPr="00E16197">
              <w:t xml:space="preserve"> Design and implement training courses for the implementation of the new </w:t>
            </w:r>
            <w:proofErr w:type="spellStart"/>
            <w:r w:rsidRPr="00E16197">
              <w:t>CoA</w:t>
            </w:r>
            <w:proofErr w:type="spellEnd"/>
            <w:r w:rsidRPr="00E16197">
              <w:t xml:space="preserve"> including guidance on how to define programs and broad groups of activities.  Provide extensive TA to ministries to assist them in accurately implementing the </w:t>
            </w:r>
            <w:proofErr w:type="spellStart"/>
            <w:r w:rsidRPr="00E16197">
              <w:t>CoA</w:t>
            </w:r>
            <w:proofErr w:type="spellEnd"/>
            <w:r w:rsidRPr="00E16197">
              <w:t>, and assigning line-items to programs and/or activity-codes as well as district codes in policy-relevant ways.  At least 1 week per ministry within 1 year per ministry, 2011/12 for pilot ministries</w:t>
            </w:r>
          </w:p>
          <w:p w:rsidR="00E16197" w:rsidRPr="00E16197" w:rsidRDefault="00E16197" w:rsidP="00AF5E04">
            <w:pPr>
              <w:rPr>
                <w:b/>
              </w:rPr>
            </w:pPr>
          </w:p>
          <w:p w:rsidR="00E16197" w:rsidRPr="00E16197" w:rsidRDefault="00E16197" w:rsidP="00AF5E04">
            <w:r w:rsidRPr="00E16197">
              <w:rPr>
                <w:b/>
              </w:rPr>
              <w:t>B1(c).</w:t>
            </w:r>
            <w:r w:rsidRPr="00E16197">
              <w:t xml:space="preserve"> Begin recording the actual cost of ministry activities and programs using the new Chart of Accounts (</w:t>
            </w:r>
            <w:proofErr w:type="spellStart"/>
            <w:r w:rsidRPr="00E16197">
              <w:t>CoA</w:t>
            </w:r>
            <w:proofErr w:type="spellEnd"/>
            <w:r w:rsidRPr="00E16197">
              <w:t>).  2 years per ministry, 2013-14 for pilot ministries</w:t>
            </w:r>
          </w:p>
          <w:p w:rsidR="00E16197" w:rsidRPr="00E16197" w:rsidRDefault="00E16197" w:rsidP="00AF5E04">
            <w:pPr>
              <w:rPr>
                <w:b/>
              </w:rPr>
            </w:pPr>
          </w:p>
          <w:p w:rsidR="00E16197" w:rsidRPr="00E16197" w:rsidRDefault="00E16197" w:rsidP="00AF5E04">
            <w:proofErr w:type="gramStart"/>
            <w:r w:rsidRPr="00E16197">
              <w:rPr>
                <w:b/>
              </w:rPr>
              <w:lastRenderedPageBreak/>
              <w:t>B1(</w:t>
            </w:r>
            <w:proofErr w:type="gramEnd"/>
            <w:r w:rsidRPr="00E16197">
              <w:rPr>
                <w:b/>
              </w:rPr>
              <w:t>d).</w:t>
            </w:r>
            <w:r w:rsidRPr="00E16197">
              <w:t xml:space="preserve"> Similar work should proceed with the UNDP Development Assistance Database to capture donor financed spending inside and outside the recurrent and development budgets. 2011 onward.</w:t>
            </w:r>
          </w:p>
          <w:p w:rsidR="00E16197" w:rsidRPr="00E16197" w:rsidRDefault="00E16197" w:rsidP="00AF5E04">
            <w:pPr>
              <w:rPr>
                <w:b/>
              </w:rPr>
            </w:pPr>
          </w:p>
          <w:p w:rsidR="00E16197" w:rsidRPr="00E16197" w:rsidRDefault="00E16197" w:rsidP="00AF5E04">
            <w:r w:rsidRPr="00E16197">
              <w:rPr>
                <w:b/>
              </w:rPr>
              <w:t>B2.</w:t>
            </w:r>
            <w:r w:rsidRPr="00E16197">
              <w:t xml:space="preserve"> Accumulate at least 2 years of data using new </w:t>
            </w:r>
            <w:proofErr w:type="spellStart"/>
            <w:r w:rsidRPr="00E16197">
              <w:t>CoA</w:t>
            </w:r>
            <w:proofErr w:type="spellEnd"/>
            <w:r w:rsidRPr="00E16197">
              <w:t xml:space="preserve"> codes and DAD, 2 years per ministry, 2014-15 for pilot ministries.  Prerequisite is B1.</w:t>
            </w:r>
          </w:p>
          <w:p w:rsidR="00E16197" w:rsidRPr="00E16197" w:rsidRDefault="00E16197" w:rsidP="00AF5E04">
            <w:pPr>
              <w:rPr>
                <w:b/>
              </w:rPr>
            </w:pPr>
          </w:p>
          <w:p w:rsidR="00E16197" w:rsidRPr="00E16197" w:rsidRDefault="00E16197" w:rsidP="00AF5E04">
            <w:r w:rsidRPr="00E16197">
              <w:rPr>
                <w:b/>
              </w:rPr>
              <w:t>B3.</w:t>
            </w:r>
            <w:r w:rsidRPr="00E16197">
              <w:t xml:space="preserve"> In selected ministries, and where considered necessary to achieve a particular policy purpose, use the new data on actual costs to inform the unit costs of service provision:  3 years per ministry with at least 1 week of training per ministry per year, 2016-18 for pilot ministries, prerequisites are B1 and B2</w:t>
            </w:r>
          </w:p>
          <w:p w:rsidR="00D032D9" w:rsidRPr="00D032D9" w:rsidRDefault="00D032D9" w:rsidP="00AF5E04">
            <w:pPr>
              <w:pStyle w:val="ListParagraph"/>
              <w:tabs>
                <w:tab w:val="left" w:pos="720"/>
              </w:tabs>
              <w:ind w:left="0"/>
            </w:pPr>
          </w:p>
        </w:tc>
        <w:tc>
          <w:tcPr>
            <w:tcW w:w="4626" w:type="dxa"/>
          </w:tcPr>
          <w:p w:rsidR="00E16197" w:rsidRPr="005068E1" w:rsidRDefault="00E16197" w:rsidP="00AF5E04">
            <w:proofErr w:type="gramStart"/>
            <w:r w:rsidRPr="005068E1">
              <w:rPr>
                <w:b/>
              </w:rPr>
              <w:lastRenderedPageBreak/>
              <w:t>C1(</w:t>
            </w:r>
            <w:proofErr w:type="gramEnd"/>
            <w:r w:rsidRPr="005068E1">
              <w:rPr>
                <w:b/>
              </w:rPr>
              <w:t>a).</w:t>
            </w:r>
            <w:r w:rsidRPr="005068E1">
              <w:t xml:space="preserve"> In order to minimize the need for spending reservations, strengthen MOFT</w:t>
            </w:r>
            <w:r w:rsidRPr="005068E1">
              <w:rPr>
                <w:vertAlign w:val="superscript"/>
              </w:rPr>
              <w:t xml:space="preserve"> </w:t>
            </w:r>
            <w:r w:rsidRPr="005068E1">
              <w:t>capacity for aggregate fiscal forecasting including real GDP, inflation, and debt burdens:  ongoing.</w:t>
            </w:r>
          </w:p>
          <w:p w:rsidR="00E16197" w:rsidRPr="005068E1" w:rsidRDefault="00E16197" w:rsidP="00AF5E04">
            <w:pPr>
              <w:rPr>
                <w:i/>
              </w:rPr>
            </w:pPr>
            <w:r w:rsidRPr="005068E1">
              <w:rPr>
                <w:i/>
              </w:rPr>
              <w:t>Note:  under-estimating expenditure can be as troublesome as over-estimating.  Under-estimates can motivate hasty and wasteful spending when actual revenue exceeds expectations.</w:t>
            </w:r>
          </w:p>
          <w:p w:rsidR="00E16197" w:rsidRDefault="00E16197" w:rsidP="00AF5E04">
            <w:pPr>
              <w:rPr>
                <w:b/>
              </w:rPr>
            </w:pPr>
          </w:p>
          <w:p w:rsidR="00E16197" w:rsidRPr="005068E1" w:rsidRDefault="00E16197" w:rsidP="00AF5E04">
            <w:pPr>
              <w:rPr>
                <w:b/>
              </w:rPr>
            </w:pPr>
            <w:proofErr w:type="gramStart"/>
            <w:r w:rsidRPr="005068E1">
              <w:rPr>
                <w:b/>
              </w:rPr>
              <w:t>C1(</w:t>
            </w:r>
            <w:proofErr w:type="gramEnd"/>
            <w:r w:rsidRPr="005068E1">
              <w:rPr>
                <w:b/>
              </w:rPr>
              <w:t xml:space="preserve">b). </w:t>
            </w:r>
            <w:r w:rsidRPr="005068E1">
              <w:t>In order to help keep public spending within sustainable levels, complete a new debt management strategy and reach agreement on any amendments to the Honiara Club Agreement. 2012</w:t>
            </w:r>
          </w:p>
          <w:p w:rsidR="00E16197" w:rsidRDefault="00E16197" w:rsidP="00AF5E04">
            <w:pPr>
              <w:rPr>
                <w:b/>
              </w:rPr>
            </w:pPr>
          </w:p>
          <w:p w:rsidR="00E16197" w:rsidRPr="005068E1" w:rsidRDefault="00E16197" w:rsidP="00AF5E04">
            <w:r w:rsidRPr="005068E1">
              <w:rPr>
                <w:b/>
              </w:rPr>
              <w:t>C2.</w:t>
            </w:r>
            <w:r w:rsidRPr="005068E1">
              <w:t xml:space="preserve"> Build up a cushion of cash reserves to protect against unexpected shocks:  2011 onward</w:t>
            </w:r>
          </w:p>
          <w:p w:rsidR="00E16197" w:rsidRPr="005068E1" w:rsidRDefault="00E16197" w:rsidP="00AF5E04">
            <w:pPr>
              <w:rPr>
                <w:i/>
              </w:rPr>
            </w:pPr>
            <w:r w:rsidRPr="005068E1">
              <w:rPr>
                <w:i/>
              </w:rPr>
              <w:t>Note:  It would be useful to review with IMF whether a minimum target of 2 months of 2 months of forward recurrent spending is too little in light of volatility of fuel import prices and gold prices.</w:t>
            </w:r>
          </w:p>
          <w:p w:rsidR="00E16197" w:rsidRDefault="00E16197" w:rsidP="00AF5E04">
            <w:pPr>
              <w:rPr>
                <w:b/>
              </w:rPr>
            </w:pPr>
          </w:p>
          <w:p w:rsidR="00E16197" w:rsidRPr="005068E1" w:rsidRDefault="00E16197" w:rsidP="00AF5E04">
            <w:r w:rsidRPr="005068E1">
              <w:rPr>
                <w:b/>
              </w:rPr>
              <w:t>C3.</w:t>
            </w:r>
            <w:r w:rsidRPr="005068E1">
              <w:t xml:space="preserve"> Further reduce the need for spending </w:t>
            </w:r>
            <w:r w:rsidRPr="005068E1">
              <w:lastRenderedPageBreak/>
              <w:t>reservations by better controlling the use of contingency warrants:  2012 onward</w:t>
            </w:r>
          </w:p>
          <w:p w:rsidR="00E16197" w:rsidRDefault="00E16197" w:rsidP="00AF5E04">
            <w:pPr>
              <w:rPr>
                <w:b/>
              </w:rPr>
            </w:pPr>
          </w:p>
          <w:p w:rsidR="00E16197" w:rsidRDefault="00E16197" w:rsidP="00AF5E04">
            <w:r w:rsidRPr="005068E1">
              <w:rPr>
                <w:b/>
              </w:rPr>
              <w:t>C4.</w:t>
            </w:r>
            <w:r w:rsidRPr="005068E1">
              <w:t xml:space="preserve"> Use periodic Public Expenditure Reviews to help better align selected budget allocations to line ministry needs:  2-3 ministries per year, 2012 onward.  This can be done with or without donors.</w:t>
            </w:r>
          </w:p>
          <w:p w:rsidR="00E16197" w:rsidRPr="005068E1" w:rsidRDefault="00E16197" w:rsidP="00AF5E04"/>
          <w:p w:rsidR="00E16197" w:rsidRPr="005068E1" w:rsidRDefault="00E16197" w:rsidP="00AF5E04">
            <w:proofErr w:type="gramStart"/>
            <w:r w:rsidRPr="005068E1">
              <w:rPr>
                <w:b/>
              </w:rPr>
              <w:t>C5(</w:t>
            </w:r>
            <w:proofErr w:type="gramEnd"/>
            <w:r w:rsidRPr="005068E1">
              <w:rPr>
                <w:b/>
              </w:rPr>
              <w:t>a).</w:t>
            </w:r>
            <w:r w:rsidRPr="005068E1">
              <w:t xml:space="preserve"> To better align allocations for operations and maintenance with government assets (buildings, vehicles etc) and projects, begin training ministries on how to produce forward estimates.  </w:t>
            </w:r>
          </w:p>
          <w:p w:rsidR="00E16197" w:rsidRDefault="00E16197" w:rsidP="00AF5E04">
            <w:pPr>
              <w:rPr>
                <w:i/>
              </w:rPr>
            </w:pPr>
            <w:r w:rsidRPr="005068E1">
              <w:rPr>
                <w:i/>
              </w:rPr>
              <w:t>Note:  This training will be more efficient with the benefit of program or activity data that would become with completion of step B3.</w:t>
            </w:r>
          </w:p>
          <w:p w:rsidR="00E16197" w:rsidRPr="005068E1" w:rsidRDefault="00E16197" w:rsidP="00AF5E04">
            <w:pPr>
              <w:rPr>
                <w:i/>
              </w:rPr>
            </w:pPr>
          </w:p>
          <w:p w:rsidR="00E16197" w:rsidRPr="005068E1" w:rsidRDefault="00E16197" w:rsidP="00AF5E04">
            <w:r w:rsidRPr="005068E1">
              <w:rPr>
                <w:b/>
              </w:rPr>
              <w:t>C5(b).</w:t>
            </w:r>
            <w:r w:rsidRPr="005068E1">
              <w:t xml:space="preserve">To better align allocations for operations and maintenance with government assets, use improved information on attribution of expenditure through the Development Assistance Database and the </w:t>
            </w:r>
            <w:proofErr w:type="spellStart"/>
            <w:r w:rsidRPr="005068E1">
              <w:t>CoA</w:t>
            </w:r>
            <w:proofErr w:type="spellEnd"/>
            <w:r w:rsidRPr="005068E1">
              <w:t xml:space="preserve"> implementation process where adequate data is available.  From 2016 onward.  Prerequisites include B2 plus prior work to identify domestic capital spending by object and program for both domestic and donor finance spending.</w:t>
            </w:r>
          </w:p>
          <w:p w:rsidR="00E16197" w:rsidRDefault="00E16197" w:rsidP="00AF5E04">
            <w:pPr>
              <w:rPr>
                <w:b/>
              </w:rPr>
            </w:pPr>
          </w:p>
          <w:p w:rsidR="00E16197" w:rsidRPr="005068E1" w:rsidRDefault="00E16197" w:rsidP="00AF5E04">
            <w:proofErr w:type="gramStart"/>
            <w:r w:rsidRPr="005068E1">
              <w:rPr>
                <w:b/>
              </w:rPr>
              <w:t>C6(</w:t>
            </w:r>
            <w:proofErr w:type="gramEnd"/>
            <w:r w:rsidRPr="005068E1">
              <w:rPr>
                <w:b/>
              </w:rPr>
              <w:t>a).</w:t>
            </w:r>
            <w:r w:rsidRPr="005068E1">
              <w:t xml:space="preserve"> To better align all budget allocations with needs, and to improve the degree of consultation with line ministries, develop an analytical capacity within MOFT (PEAS).  2011 onward.</w:t>
            </w:r>
          </w:p>
          <w:p w:rsidR="00E16197" w:rsidRDefault="00E16197" w:rsidP="00AF5E04">
            <w:pPr>
              <w:rPr>
                <w:b/>
              </w:rPr>
            </w:pPr>
          </w:p>
          <w:p w:rsidR="00E16197" w:rsidRPr="005068E1" w:rsidRDefault="00E16197" w:rsidP="00AF5E04">
            <w:proofErr w:type="gramStart"/>
            <w:r w:rsidRPr="005068E1">
              <w:rPr>
                <w:b/>
              </w:rPr>
              <w:t>C6(</w:t>
            </w:r>
            <w:proofErr w:type="gramEnd"/>
            <w:r w:rsidRPr="005068E1">
              <w:rPr>
                <w:b/>
              </w:rPr>
              <w:t xml:space="preserve">b). </w:t>
            </w:r>
            <w:r w:rsidRPr="005068E1">
              <w:t xml:space="preserve">To better align all budget allocations with needs, and to improve the degree of consultation with line ministries, develop a planning and budgeting capacity within selected line ministries. </w:t>
            </w:r>
          </w:p>
          <w:p w:rsidR="00E16197" w:rsidRDefault="00E16197" w:rsidP="00AF5E04">
            <w:pPr>
              <w:rPr>
                <w:b/>
              </w:rPr>
            </w:pPr>
          </w:p>
          <w:p w:rsidR="00E16197" w:rsidRPr="005068E1" w:rsidRDefault="00E16197" w:rsidP="00AF5E04">
            <w:pPr>
              <w:rPr>
                <w:b/>
              </w:rPr>
            </w:pPr>
            <w:r w:rsidRPr="005068E1">
              <w:rPr>
                <w:b/>
              </w:rPr>
              <w:t xml:space="preserve">C7(c). </w:t>
            </w:r>
            <w:r w:rsidRPr="005068E1">
              <w:t>To better align all budget allocations with needs, and to improve the degree of consultation with line ministries, revise the Financial Instructions in 2013 to introduce a fully con</w:t>
            </w:r>
            <w:r w:rsidR="00AF5E04">
              <w:t>sultative</w:t>
            </w:r>
            <w:r w:rsidRPr="005068E1">
              <w:t xml:space="preserve"> budget process, with a reasonable production cycle, beginning in 2014.  The goal is to provide an opportunity for each ministry to defend its budget submission, and for MOFT to examine that submission, as being reasonable and consistent with all of its needs (including personnel, other recurrent, and capital investments) rather than defending only the bids for new activities.  Design and implement training to support the change.</w:t>
            </w:r>
          </w:p>
          <w:p w:rsidR="00E16197" w:rsidRDefault="00E16197" w:rsidP="00AF5E04">
            <w:pPr>
              <w:rPr>
                <w:b/>
              </w:rPr>
            </w:pPr>
          </w:p>
          <w:p w:rsidR="00E16197" w:rsidRPr="005068E1" w:rsidRDefault="00E16197" w:rsidP="00AF5E04">
            <w:proofErr w:type="gramStart"/>
            <w:r w:rsidRPr="005068E1">
              <w:rPr>
                <w:b/>
              </w:rPr>
              <w:lastRenderedPageBreak/>
              <w:t>C7(</w:t>
            </w:r>
            <w:proofErr w:type="gramEnd"/>
            <w:r w:rsidRPr="005068E1">
              <w:rPr>
                <w:b/>
              </w:rPr>
              <w:t>d).</w:t>
            </w:r>
            <w:r w:rsidRPr="005068E1">
              <w:t xml:space="preserve"> To better align all budget allocations with needs, and to improve the degree of consultation with line ministries, implement a fully contestable budget process.  From 2014 onward.  Prerequisites are B1, C3, and E1.</w:t>
            </w:r>
          </w:p>
          <w:p w:rsidR="00D032D9" w:rsidRPr="00D032D9" w:rsidRDefault="00D032D9" w:rsidP="00AF5E04">
            <w:pPr>
              <w:rPr>
                <w:b/>
              </w:rPr>
            </w:pPr>
          </w:p>
        </w:tc>
        <w:tc>
          <w:tcPr>
            <w:tcW w:w="4590" w:type="dxa"/>
          </w:tcPr>
          <w:p w:rsidR="00E16197" w:rsidRPr="005068E1" w:rsidRDefault="00E16197" w:rsidP="00AF5E04">
            <w:r w:rsidRPr="005068E1">
              <w:rPr>
                <w:b/>
              </w:rPr>
              <w:lastRenderedPageBreak/>
              <w:t>D1.</w:t>
            </w:r>
            <w:r w:rsidRPr="005068E1">
              <w:t xml:space="preserve"> Provide training for the SIG Accounting Service on the new Financial Instructions as well as on topics such as commitment controls, </w:t>
            </w:r>
            <w:proofErr w:type="spellStart"/>
            <w:r w:rsidRPr="005068E1">
              <w:t>virement</w:t>
            </w:r>
            <w:proofErr w:type="spellEnd"/>
            <w:r w:rsidRPr="005068E1">
              <w:t xml:space="preserve">, contingency warrants, supplemental budgets and procurement.  1-2 years per ministry, 2011-12 for pilot ministries.  </w:t>
            </w:r>
          </w:p>
          <w:p w:rsidR="00E16197" w:rsidRDefault="00E16197" w:rsidP="00AF5E04">
            <w:pPr>
              <w:rPr>
                <w:b/>
              </w:rPr>
            </w:pPr>
          </w:p>
          <w:p w:rsidR="00E16197" w:rsidRPr="005068E1" w:rsidRDefault="00E16197" w:rsidP="00AF5E04">
            <w:proofErr w:type="gramStart"/>
            <w:r w:rsidRPr="005068E1">
              <w:rPr>
                <w:b/>
              </w:rPr>
              <w:t>D2(</w:t>
            </w:r>
            <w:proofErr w:type="gramEnd"/>
            <w:r w:rsidRPr="005068E1">
              <w:rPr>
                <w:b/>
              </w:rPr>
              <w:t>a).</w:t>
            </w:r>
            <w:r w:rsidRPr="005068E1">
              <w:t xml:space="preserve"> Commence a twinning arrangement to build the capacity of a SIG official to undertake a </w:t>
            </w:r>
            <w:r w:rsidRPr="005068E1">
              <w:rPr>
                <w:lang w:bidi="en-US"/>
              </w:rPr>
              <w:t>review of the Public Finance and Audit Act 1978</w:t>
            </w:r>
            <w:r w:rsidRPr="005068E1">
              <w:t xml:space="preserve"> and future reviews.  2011</w:t>
            </w:r>
          </w:p>
          <w:p w:rsidR="00E16197" w:rsidRDefault="00E16197" w:rsidP="00AF5E04">
            <w:pPr>
              <w:rPr>
                <w:b/>
              </w:rPr>
            </w:pPr>
          </w:p>
          <w:p w:rsidR="00E16197" w:rsidRDefault="00E16197" w:rsidP="00AF5E04">
            <w:proofErr w:type="gramStart"/>
            <w:r w:rsidRPr="005068E1">
              <w:rPr>
                <w:b/>
              </w:rPr>
              <w:t>D2(</w:t>
            </w:r>
            <w:proofErr w:type="gramEnd"/>
            <w:r w:rsidRPr="005068E1">
              <w:rPr>
                <w:b/>
              </w:rPr>
              <w:t>b).</w:t>
            </w:r>
            <w:r w:rsidRPr="005068E1">
              <w:t xml:space="preserve"> Strengthen the quality of budget execution by tightening expenditure controls in the Public Finance and Audit Act and the supporting Financial Instructions.  (See Annex for details.) Drafting and submission to Parliament in 2012.</w:t>
            </w:r>
          </w:p>
          <w:p w:rsidR="00E16197" w:rsidRPr="005068E1" w:rsidRDefault="00E16197" w:rsidP="00AF5E04"/>
          <w:p w:rsidR="00E16197" w:rsidRPr="005068E1" w:rsidRDefault="00E16197" w:rsidP="00AF5E04">
            <w:r w:rsidRPr="005068E1">
              <w:rPr>
                <w:b/>
              </w:rPr>
              <w:t>D3.</w:t>
            </w:r>
            <w:r w:rsidRPr="005068E1">
              <w:t xml:space="preserve"> Strengthen the quality of budget execution by introducing through training the practice of establishing agreed budget implementation strategies with the line ministries.</w:t>
            </w:r>
          </w:p>
          <w:p w:rsidR="00E16197" w:rsidRDefault="00E16197" w:rsidP="00AF5E04">
            <w:pPr>
              <w:rPr>
                <w:i/>
              </w:rPr>
            </w:pPr>
            <w:r w:rsidRPr="005068E1">
              <w:rPr>
                <w:i/>
              </w:rPr>
              <w:t xml:space="preserve">Note:  this activity could be further strengthened by introducing procurement planning to line </w:t>
            </w:r>
            <w:r w:rsidRPr="005068E1">
              <w:rPr>
                <w:i/>
              </w:rPr>
              <w:lastRenderedPageBreak/>
              <w:t>ministries.</w:t>
            </w:r>
          </w:p>
          <w:p w:rsidR="00E16197" w:rsidRPr="005068E1" w:rsidRDefault="00E16197" w:rsidP="00AF5E04">
            <w:pPr>
              <w:rPr>
                <w:i/>
              </w:rPr>
            </w:pPr>
          </w:p>
          <w:p w:rsidR="00E16197" w:rsidRPr="005068E1" w:rsidRDefault="00E16197" w:rsidP="00AF5E04">
            <w:r w:rsidRPr="005068E1">
              <w:rPr>
                <w:b/>
              </w:rPr>
              <w:t>D4.</w:t>
            </w:r>
            <w:r w:rsidRPr="005068E1">
              <w:t xml:space="preserve"> Strengthen the quality of budget execution by establishing tighter controls on spending through upgrades to FMIS and </w:t>
            </w:r>
            <w:proofErr w:type="spellStart"/>
            <w:r w:rsidRPr="005068E1">
              <w:t>Aurion</w:t>
            </w:r>
            <w:proofErr w:type="spellEnd"/>
            <w:r w:rsidRPr="005068E1">
              <w:t xml:space="preserve"> that prevent spending in excess of warrant authorities.  2011 and onward.</w:t>
            </w:r>
          </w:p>
          <w:p w:rsidR="00E16197" w:rsidRDefault="00E16197" w:rsidP="00AF5E04">
            <w:pPr>
              <w:rPr>
                <w:b/>
              </w:rPr>
            </w:pPr>
          </w:p>
          <w:p w:rsidR="00E16197" w:rsidRPr="005068E1" w:rsidRDefault="00E16197" w:rsidP="00AF5E04">
            <w:r w:rsidRPr="005068E1">
              <w:rPr>
                <w:b/>
              </w:rPr>
              <w:t>D5.</w:t>
            </w:r>
            <w:r w:rsidRPr="005068E1">
              <w:t xml:space="preserve"> Review the laws and Financial Instructions with the intention of replacing the portions referring to procurement with a comprehensive procurement law governing SIG, its provincial governments, and its SOEs and establishing basic protections against improper procurement, sanctions, and systems of redress for complaints from ministries or suppliers.  By 2013.</w:t>
            </w:r>
          </w:p>
          <w:p w:rsidR="00D032D9" w:rsidRDefault="00D032D9" w:rsidP="00AF5E04">
            <w:pPr>
              <w:pStyle w:val="ListParagraph"/>
              <w:tabs>
                <w:tab w:val="left" w:pos="720"/>
              </w:tabs>
              <w:ind w:left="0"/>
              <w:rPr>
                <w:b/>
              </w:rPr>
            </w:pPr>
          </w:p>
          <w:p w:rsidR="00E16197" w:rsidRDefault="00E16197" w:rsidP="00AF5E04">
            <w:r w:rsidRPr="00E16197">
              <w:rPr>
                <w:b/>
              </w:rPr>
              <w:t>E1.</w:t>
            </w:r>
            <w:r w:rsidRPr="005068E1">
              <w:t xml:space="preserve"> To ensure good data on actual spending is available to inform budget decisions and budget reviews, continue strengthening the FMIS capacity to produce reports comparing actual and planned spending for any year or quarter by ministry, program, activity or district.  Efforts should include providing all line ministries with access to this data.  Ongoing.  Value of the data is increased with progress on B2.</w:t>
            </w:r>
          </w:p>
          <w:p w:rsidR="00E16197" w:rsidRPr="005068E1" w:rsidRDefault="00E16197" w:rsidP="00AF5E04"/>
          <w:p w:rsidR="00E16197" w:rsidRPr="005068E1" w:rsidRDefault="00E16197" w:rsidP="00AF5E04">
            <w:r w:rsidRPr="00E16197">
              <w:rPr>
                <w:b/>
              </w:rPr>
              <w:t>E2.</w:t>
            </w:r>
            <w:r w:rsidRPr="005068E1">
              <w:t xml:space="preserve"> As actual data on spending against programs </w:t>
            </w:r>
            <w:r w:rsidRPr="005068E1">
              <w:lastRenderedPageBreak/>
              <w:t>and/or activities becomes available in various ministries, begin introducing new tables in the Budget Estimates with approved allocations and actual spending listed by programs and activities – in addition to the traditional tables with input data.  This will allow more accountability for spending against recognizable goals and activities.  From 2016 onwards.  Prerequisite is B1.</w:t>
            </w:r>
          </w:p>
          <w:p w:rsidR="00E16197" w:rsidRDefault="00E16197" w:rsidP="00AF5E04"/>
          <w:p w:rsidR="00E16197" w:rsidRPr="005068E1" w:rsidRDefault="00E16197" w:rsidP="00AF5E04">
            <w:proofErr w:type="gramStart"/>
            <w:r w:rsidRPr="00E16197">
              <w:rPr>
                <w:b/>
              </w:rPr>
              <w:t>E3(</w:t>
            </w:r>
            <w:proofErr w:type="gramEnd"/>
            <w:r w:rsidRPr="00E16197">
              <w:rPr>
                <w:b/>
              </w:rPr>
              <w:t>a).</w:t>
            </w:r>
            <w:r w:rsidRPr="005068E1">
              <w:t xml:space="preserve"> To strengthen the ability of PAC to hold ministries accountable for results, MOFT can progressively provide PAC with more information as and when needed.  Ongoing.</w:t>
            </w:r>
          </w:p>
          <w:p w:rsidR="00E16197" w:rsidRDefault="00E16197" w:rsidP="00AF5E04"/>
          <w:p w:rsidR="00E16197" w:rsidRPr="005068E1" w:rsidRDefault="00E16197" w:rsidP="00AF5E04">
            <w:proofErr w:type="gramStart"/>
            <w:r w:rsidRPr="00E16197">
              <w:rPr>
                <w:b/>
              </w:rPr>
              <w:t>E3(</w:t>
            </w:r>
            <w:proofErr w:type="gramEnd"/>
            <w:r w:rsidRPr="00E16197">
              <w:rPr>
                <w:b/>
              </w:rPr>
              <w:t>b).</w:t>
            </w:r>
            <w:r w:rsidRPr="005068E1">
              <w:t xml:space="preserve"> To strengthen the ability of PAC to hold ministries accountable for results, work with the UNDP Parliamentary Strengthening Program to progressively improve the depth and quality of annual PAC reviews of budgetary outcomes:  7 years, 2012-18, prerequisite is E1. This effort should become especially rewarding with progress towards A2 and E2.</w:t>
            </w:r>
          </w:p>
          <w:p w:rsidR="00E16197" w:rsidRDefault="00E16197" w:rsidP="00AF5E04"/>
          <w:p w:rsidR="00E16197" w:rsidRPr="005068E1" w:rsidRDefault="00E16197" w:rsidP="00AF5E04">
            <w:proofErr w:type="gramStart"/>
            <w:r w:rsidRPr="00E16197">
              <w:rPr>
                <w:b/>
              </w:rPr>
              <w:t>E4(</w:t>
            </w:r>
            <w:proofErr w:type="gramEnd"/>
            <w:r w:rsidRPr="00E16197">
              <w:rPr>
                <w:b/>
              </w:rPr>
              <w:t>a).</w:t>
            </w:r>
            <w:r w:rsidRPr="005068E1">
              <w:t xml:space="preserve"> Strengthen the legal basis for transparency and accountability in government operations.  Consider the introduction of incentives for good results and sanctions for </w:t>
            </w:r>
            <w:r w:rsidRPr="005068E1">
              <w:lastRenderedPageBreak/>
              <w:t>serious wrongdoing.  2 years, 2013-14.</w:t>
            </w:r>
          </w:p>
          <w:p w:rsidR="00E16197" w:rsidRDefault="00E16197" w:rsidP="00AF5E04"/>
          <w:p w:rsidR="00E16197" w:rsidRPr="005068E1" w:rsidRDefault="00E16197" w:rsidP="00AF5E04">
            <w:proofErr w:type="gramStart"/>
            <w:r w:rsidRPr="00E16197">
              <w:rPr>
                <w:b/>
              </w:rPr>
              <w:t>E4(</w:t>
            </w:r>
            <w:proofErr w:type="gramEnd"/>
            <w:r w:rsidRPr="00E16197">
              <w:rPr>
                <w:b/>
              </w:rPr>
              <w:t>b).</w:t>
            </w:r>
            <w:r w:rsidRPr="005068E1">
              <w:t xml:space="preserve"> Study the merits and challenges associated with the introduction of model contracts for senior officials.  This activity should begin no sooner than 2016 when pilot ministries have well defined and </w:t>
            </w:r>
            <w:proofErr w:type="spellStart"/>
            <w:r w:rsidRPr="005068E1">
              <w:t>costed</w:t>
            </w:r>
            <w:proofErr w:type="spellEnd"/>
            <w:r w:rsidRPr="005068E1">
              <w:t xml:space="preserve"> programs.</w:t>
            </w:r>
          </w:p>
          <w:p w:rsidR="00E16197" w:rsidRDefault="00E16197" w:rsidP="00AF5E04"/>
          <w:p w:rsidR="00E16197" w:rsidRPr="005068E1" w:rsidRDefault="00E16197" w:rsidP="00AF5E04">
            <w:r w:rsidRPr="00E16197">
              <w:rPr>
                <w:b/>
              </w:rPr>
              <w:t>E5.</w:t>
            </w:r>
            <w:r w:rsidRPr="005068E1">
              <w:t xml:space="preserve"> Start an educational campaign for media on what kinds of information are needed to assess budgetary spending on public service delivery and where to find it.  2014 onward.  Prerequisites are B2 and E1.</w:t>
            </w:r>
          </w:p>
          <w:p w:rsidR="00E16197" w:rsidRDefault="00E16197" w:rsidP="00AF5E04"/>
          <w:p w:rsidR="00E16197" w:rsidRPr="005068E1" w:rsidRDefault="00E16197" w:rsidP="00AF5E04">
            <w:proofErr w:type="gramStart"/>
            <w:r w:rsidRPr="00E16197">
              <w:rPr>
                <w:b/>
              </w:rPr>
              <w:t>E6(</w:t>
            </w:r>
            <w:proofErr w:type="gramEnd"/>
            <w:r w:rsidRPr="00E16197">
              <w:rPr>
                <w:b/>
              </w:rPr>
              <w:t>a).</w:t>
            </w:r>
            <w:r w:rsidRPr="005068E1">
              <w:t xml:space="preserve"> To increase accountability to the citizens, begin informing district populations, by radio and community bulletin boards, of the central government allocations due for key public services.  2014 onward.</w:t>
            </w:r>
          </w:p>
          <w:p w:rsidR="00E16197" w:rsidRDefault="00E16197" w:rsidP="00AF5E04"/>
          <w:p w:rsidR="00E16197" w:rsidRPr="00AF5E04" w:rsidRDefault="00E16197" w:rsidP="00AF5E04">
            <w:proofErr w:type="gramStart"/>
            <w:r w:rsidRPr="00E16197">
              <w:rPr>
                <w:b/>
              </w:rPr>
              <w:t>E6(</w:t>
            </w:r>
            <w:proofErr w:type="gramEnd"/>
            <w:r w:rsidRPr="00E16197">
              <w:rPr>
                <w:b/>
              </w:rPr>
              <w:t>b).</w:t>
            </w:r>
            <w:r w:rsidRPr="005068E1">
              <w:t xml:space="preserve"> To increase accountability to the citizens, introduce various ways for communities to play a role in monitoring the government budget and its impact.  Examples include community oversight committees (as in Sierra Leone) and citizen compacts (in Kenya).  5 years, 2014-18.</w:t>
            </w:r>
          </w:p>
        </w:tc>
      </w:tr>
    </w:tbl>
    <w:p w:rsidR="00FD2E32" w:rsidRDefault="00FD2E32" w:rsidP="00673324">
      <w:pPr>
        <w:pStyle w:val="ListParagraph"/>
        <w:tabs>
          <w:tab w:val="left" w:pos="720"/>
        </w:tabs>
        <w:ind w:left="0"/>
      </w:pPr>
    </w:p>
    <w:sectPr w:rsidR="00FD2E32" w:rsidSect="004D2D4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CD" w:rsidRDefault="002D46CD" w:rsidP="008C74CA">
      <w:r>
        <w:separator/>
      </w:r>
    </w:p>
  </w:endnote>
  <w:endnote w:type="continuationSeparator" w:id="0">
    <w:p w:rsidR="002D46CD" w:rsidRDefault="002D46CD" w:rsidP="008C7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6476"/>
      <w:docPartObj>
        <w:docPartGallery w:val="Page Numbers (Bottom of Page)"/>
        <w:docPartUnique/>
      </w:docPartObj>
    </w:sdtPr>
    <w:sdtContent>
      <w:p w:rsidR="002D46CD" w:rsidRDefault="000A0519">
        <w:pPr>
          <w:pStyle w:val="Footer"/>
          <w:jc w:val="center"/>
        </w:pPr>
        <w:fldSimple w:instr=" PAGE   \* MERGEFORMAT ">
          <w:r w:rsidR="00FF665B">
            <w:rPr>
              <w:noProof/>
            </w:rPr>
            <w:t>1</w:t>
          </w:r>
        </w:fldSimple>
      </w:p>
    </w:sdtContent>
  </w:sdt>
  <w:p w:rsidR="002D46CD" w:rsidRDefault="002D4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CD" w:rsidRDefault="002D46CD" w:rsidP="008C74CA">
      <w:r>
        <w:separator/>
      </w:r>
    </w:p>
  </w:footnote>
  <w:footnote w:type="continuationSeparator" w:id="0">
    <w:p w:rsidR="002D46CD" w:rsidRDefault="002D46CD" w:rsidP="008C74CA">
      <w:r>
        <w:continuationSeparator/>
      </w:r>
    </w:p>
  </w:footnote>
  <w:footnote w:id="1">
    <w:p w:rsidR="002D46CD" w:rsidRPr="00472646" w:rsidRDefault="002D46CD" w:rsidP="00D316FD">
      <w:pPr>
        <w:pStyle w:val="FootnoteText"/>
        <w:rPr>
          <w:sz w:val="18"/>
          <w:szCs w:val="18"/>
        </w:rPr>
      </w:pPr>
      <w:r w:rsidRPr="00472646">
        <w:rPr>
          <w:rStyle w:val="FootnoteReference"/>
          <w:sz w:val="18"/>
          <w:szCs w:val="18"/>
        </w:rPr>
        <w:footnoteRef/>
      </w:r>
      <w:r w:rsidRPr="00472646">
        <w:rPr>
          <w:sz w:val="18"/>
          <w:szCs w:val="18"/>
        </w:rPr>
        <w:t xml:space="preserve"> </w:t>
      </w:r>
      <w:r w:rsidRPr="00472646">
        <w:rPr>
          <w:iCs/>
          <w:sz w:val="18"/>
          <w:szCs w:val="18"/>
        </w:rPr>
        <w:t>Net enrollment</w:t>
      </w:r>
      <w:r w:rsidRPr="00472646">
        <w:rPr>
          <w:sz w:val="18"/>
          <w:szCs w:val="18"/>
        </w:rPr>
        <w:t xml:space="preserve"> is the number of students enrolled in a level of education who belong in the relevant age group, as a percentage of the population in that age group.  Gross enrollment rates include students outside the relevant age group.</w:t>
      </w:r>
    </w:p>
  </w:footnote>
  <w:footnote w:id="2">
    <w:p w:rsidR="002D46CD" w:rsidRPr="00472646" w:rsidRDefault="002D46CD" w:rsidP="00D316FD">
      <w:pPr>
        <w:pStyle w:val="FootnoteText"/>
        <w:rPr>
          <w:sz w:val="18"/>
          <w:szCs w:val="18"/>
        </w:rPr>
      </w:pPr>
      <w:r w:rsidRPr="00B41F3E">
        <w:footnoteRef/>
      </w:r>
      <w:r w:rsidRPr="00472646">
        <w:rPr>
          <w:sz w:val="18"/>
          <w:szCs w:val="18"/>
        </w:rPr>
        <w:t xml:space="preserve"> UN data published in 2010 show a lower rate of 67 percent for the period 2001-09.</w:t>
      </w:r>
    </w:p>
  </w:footnote>
  <w:footnote w:id="3">
    <w:p w:rsidR="002D46CD" w:rsidRPr="00472646" w:rsidRDefault="002D46CD" w:rsidP="004157C2">
      <w:pPr>
        <w:pStyle w:val="FootnoteText"/>
        <w:rPr>
          <w:sz w:val="18"/>
          <w:szCs w:val="18"/>
        </w:rPr>
      </w:pPr>
      <w:r w:rsidRPr="00472646">
        <w:rPr>
          <w:rStyle w:val="FootnoteReference"/>
          <w:sz w:val="18"/>
          <w:szCs w:val="18"/>
        </w:rPr>
        <w:footnoteRef/>
      </w:r>
      <w:r w:rsidRPr="00472646">
        <w:rPr>
          <w:sz w:val="18"/>
          <w:szCs w:val="18"/>
        </w:rPr>
        <w:t xml:space="preserve"> From the World Bank Interim Strategy Note.  UN data show 220 deaths per 100,000 live births.</w:t>
      </w:r>
    </w:p>
  </w:footnote>
  <w:footnote w:id="4">
    <w:p w:rsidR="002D46CD" w:rsidRPr="00472646" w:rsidRDefault="002D46CD" w:rsidP="00C828FC">
      <w:pPr>
        <w:pStyle w:val="FootnoteText"/>
        <w:rPr>
          <w:sz w:val="18"/>
          <w:szCs w:val="18"/>
        </w:rPr>
      </w:pPr>
      <w:r w:rsidRPr="00472646">
        <w:rPr>
          <w:rStyle w:val="FootnoteReference"/>
          <w:sz w:val="18"/>
          <w:szCs w:val="18"/>
        </w:rPr>
        <w:footnoteRef/>
      </w:r>
      <w:r w:rsidRPr="00472646">
        <w:rPr>
          <w:sz w:val="18"/>
          <w:szCs w:val="18"/>
        </w:rPr>
        <w:t xml:space="preserve"> </w:t>
      </w:r>
      <w:proofErr w:type="gramStart"/>
      <w:r w:rsidRPr="00472646">
        <w:rPr>
          <w:sz w:val="18"/>
          <w:szCs w:val="18"/>
        </w:rPr>
        <w:t>Based on UN population estimates and World Bank purchasing power parity adjusted exchange rates.</w:t>
      </w:r>
      <w:proofErr w:type="gramEnd"/>
      <w:r w:rsidRPr="00472646">
        <w:rPr>
          <w:sz w:val="18"/>
          <w:szCs w:val="18"/>
        </w:rPr>
        <w:t xml:space="preserve">   </w:t>
      </w:r>
      <w:r>
        <w:rPr>
          <w:sz w:val="18"/>
          <w:szCs w:val="18"/>
        </w:rPr>
        <w:t xml:space="preserve">The population estimate from the 2009 census is 1.4 percent smaller than the UN estimate.  Some observers believe the actual population could be as much as 11 percent more than the UN estimate.  In that case, SIG would be spending less per capita than most countries other than </w:t>
      </w:r>
      <w:proofErr w:type="spellStart"/>
      <w:r>
        <w:rPr>
          <w:sz w:val="18"/>
          <w:szCs w:val="18"/>
        </w:rPr>
        <w:t>Timore-Leste</w:t>
      </w:r>
      <w:proofErr w:type="spellEnd"/>
      <w:r>
        <w:rPr>
          <w:sz w:val="18"/>
          <w:szCs w:val="18"/>
        </w:rPr>
        <w:t xml:space="preserve"> and Vanuatu.</w:t>
      </w:r>
    </w:p>
  </w:footnote>
  <w:footnote w:id="5">
    <w:p w:rsidR="002D46CD" w:rsidRPr="00AD142E" w:rsidRDefault="002D46CD">
      <w:pPr>
        <w:pStyle w:val="FootnoteText"/>
        <w:rPr>
          <w:sz w:val="18"/>
          <w:szCs w:val="18"/>
        </w:rPr>
      </w:pPr>
      <w:r w:rsidRPr="00B7754B">
        <w:rPr>
          <w:rStyle w:val="FootnoteReference"/>
        </w:rPr>
        <w:footnoteRef/>
      </w:r>
      <w:r w:rsidRPr="00B7754B">
        <w:rPr>
          <w:vertAlign w:val="superscript"/>
        </w:rPr>
        <w:t xml:space="preserve"> </w:t>
      </w:r>
      <w:r w:rsidRPr="00B7754B">
        <w:rPr>
          <w:sz w:val="18"/>
          <w:szCs w:val="18"/>
        </w:rPr>
        <w:t xml:space="preserve">The UN reports a much lower estimate of 43 percent for the number of births attended by skilled personnel.  </w:t>
      </w:r>
    </w:p>
  </w:footnote>
  <w:footnote w:id="6">
    <w:p w:rsidR="002D46CD" w:rsidRPr="00472646" w:rsidRDefault="002D46CD" w:rsidP="0080496D">
      <w:pPr>
        <w:pStyle w:val="FootnoteText"/>
        <w:rPr>
          <w:sz w:val="18"/>
          <w:szCs w:val="18"/>
        </w:rPr>
      </w:pPr>
      <w:r w:rsidRPr="00472646">
        <w:rPr>
          <w:rStyle w:val="FootnoteReference"/>
          <w:sz w:val="18"/>
          <w:szCs w:val="18"/>
        </w:rPr>
        <w:footnoteRef/>
      </w:r>
      <w:r w:rsidRPr="00472646">
        <w:rPr>
          <w:sz w:val="18"/>
          <w:szCs w:val="18"/>
        </w:rPr>
        <w:t xml:space="preserve"> </w:t>
      </w:r>
      <w:r>
        <w:rPr>
          <w:sz w:val="18"/>
          <w:szCs w:val="18"/>
        </w:rPr>
        <w:t xml:space="preserve">“Out of pocket” contributions from households were estimated to finance only 6 percent of total health costs in 2008 according to the </w:t>
      </w:r>
      <w:r w:rsidRPr="0080496D">
        <w:rPr>
          <w:sz w:val="18"/>
          <w:szCs w:val="18"/>
        </w:rPr>
        <w:t>MHMS</w:t>
      </w:r>
      <w:r>
        <w:rPr>
          <w:sz w:val="18"/>
          <w:szCs w:val="18"/>
        </w:rPr>
        <w:t xml:space="preserve"> </w:t>
      </w:r>
      <w:r w:rsidRPr="0080496D">
        <w:rPr>
          <w:sz w:val="18"/>
          <w:szCs w:val="18"/>
        </w:rPr>
        <w:t>Finance Report for Year Ending 31 December 2008</w:t>
      </w:r>
      <w:r>
        <w:rPr>
          <w:sz w:val="18"/>
          <w:szCs w:val="18"/>
        </w:rPr>
        <w:t>.   Much of the financing comes from Australia which i</w:t>
      </w:r>
      <w:r w:rsidRPr="00472646">
        <w:rPr>
          <w:sz w:val="18"/>
          <w:szCs w:val="18"/>
        </w:rPr>
        <w:t xml:space="preserve">n 2009 provided over one-third of total public expenditure in the health sector, supporting pharmaceuticals, technical advisors, and provincial grant funds.  </w:t>
      </w:r>
    </w:p>
  </w:footnote>
  <w:footnote w:id="7">
    <w:p w:rsidR="002D46CD" w:rsidRPr="00472646" w:rsidRDefault="002D46CD" w:rsidP="005D3CB8">
      <w:pPr>
        <w:pStyle w:val="FootnoteText"/>
        <w:rPr>
          <w:sz w:val="18"/>
          <w:szCs w:val="18"/>
        </w:rPr>
      </w:pPr>
      <w:r w:rsidRPr="00472646">
        <w:rPr>
          <w:rStyle w:val="FootnoteReference"/>
          <w:sz w:val="18"/>
          <w:szCs w:val="18"/>
        </w:rPr>
        <w:footnoteRef/>
      </w:r>
      <w:r w:rsidRPr="00472646">
        <w:rPr>
          <w:sz w:val="18"/>
          <w:szCs w:val="18"/>
        </w:rPr>
        <w:t xml:space="preserve"> The introduction in 2009 of a fee-free policy through year 10 is likely to yield further increases if it can be sustained:  the policy is expensive.  NZAID has led a significant program of education sector planning strengthening and budget support to major initiatives such as school grants as part of the fee-free basic education.</w:t>
      </w:r>
    </w:p>
  </w:footnote>
  <w:footnote w:id="8">
    <w:p w:rsidR="002D46CD" w:rsidRPr="00472646" w:rsidRDefault="002D46CD" w:rsidP="00C12B29">
      <w:pPr>
        <w:pStyle w:val="FootnoteText"/>
        <w:rPr>
          <w:sz w:val="18"/>
          <w:szCs w:val="18"/>
        </w:rPr>
      </w:pPr>
      <w:r w:rsidRPr="00472646">
        <w:rPr>
          <w:rStyle w:val="FootnoteReference"/>
          <w:rFonts w:eastAsiaTheme="majorEastAsia"/>
          <w:sz w:val="18"/>
          <w:szCs w:val="18"/>
        </w:rPr>
        <w:footnoteRef/>
      </w:r>
      <w:r w:rsidRPr="00472646">
        <w:rPr>
          <w:sz w:val="18"/>
          <w:szCs w:val="18"/>
        </w:rPr>
        <w:t xml:space="preserve"> </w:t>
      </w:r>
      <w:proofErr w:type="gramStart"/>
      <w:r w:rsidRPr="00472646">
        <w:rPr>
          <w:i/>
          <w:sz w:val="18"/>
          <w:szCs w:val="18"/>
        </w:rPr>
        <w:t>Educational Experience Survey.</w:t>
      </w:r>
      <w:proofErr w:type="gramEnd"/>
      <w:r w:rsidRPr="00472646">
        <w:rPr>
          <w:i/>
          <w:sz w:val="18"/>
          <w:szCs w:val="18"/>
        </w:rPr>
        <w:t xml:space="preserve">  </w:t>
      </w:r>
      <w:proofErr w:type="gramStart"/>
      <w:r w:rsidRPr="00472646">
        <w:rPr>
          <w:i/>
          <w:sz w:val="18"/>
          <w:szCs w:val="18"/>
        </w:rPr>
        <w:t>Education, Language and Literacy Experience in the Solomon Islands.</w:t>
      </w:r>
      <w:proofErr w:type="gramEnd"/>
      <w:r w:rsidRPr="00472646">
        <w:rPr>
          <w:sz w:val="18"/>
          <w:szCs w:val="18"/>
        </w:rPr>
        <w:t xml:space="preserve">  October, 2007.  </w:t>
      </w:r>
      <w:proofErr w:type="gramStart"/>
      <w:r w:rsidRPr="00472646">
        <w:rPr>
          <w:sz w:val="18"/>
          <w:szCs w:val="18"/>
        </w:rPr>
        <w:t>Asian South Pacific Bureau of Adult Education and Coalition on Education Solomon Islands.</w:t>
      </w:r>
      <w:proofErr w:type="gramEnd"/>
    </w:p>
  </w:footnote>
  <w:footnote w:id="9">
    <w:p w:rsidR="002D46CD" w:rsidRPr="00472646" w:rsidRDefault="002D46CD">
      <w:pPr>
        <w:pStyle w:val="FootnoteText"/>
        <w:rPr>
          <w:sz w:val="18"/>
          <w:szCs w:val="18"/>
        </w:rPr>
      </w:pPr>
      <w:r w:rsidRPr="00472646">
        <w:rPr>
          <w:rStyle w:val="FootnoteReference"/>
          <w:sz w:val="18"/>
          <w:szCs w:val="18"/>
        </w:rPr>
        <w:footnoteRef/>
      </w:r>
      <w:r w:rsidRPr="00472646">
        <w:rPr>
          <w:sz w:val="18"/>
          <w:szCs w:val="18"/>
        </w:rPr>
        <w:t xml:space="preserve"> No judgment is implied regarding the percentage.  Much depends on what functions are devolved and how.</w:t>
      </w:r>
    </w:p>
  </w:footnote>
  <w:footnote w:id="10">
    <w:p w:rsidR="002D46CD" w:rsidRPr="00472646" w:rsidRDefault="002D46CD" w:rsidP="00C12B29">
      <w:pPr>
        <w:pStyle w:val="FootnoteText"/>
        <w:rPr>
          <w:sz w:val="18"/>
          <w:szCs w:val="18"/>
        </w:rPr>
      </w:pPr>
      <w:r w:rsidRPr="00472646">
        <w:rPr>
          <w:rStyle w:val="FootnoteReference"/>
          <w:sz w:val="18"/>
          <w:szCs w:val="18"/>
        </w:rPr>
        <w:footnoteRef/>
      </w:r>
      <w:r w:rsidRPr="00472646">
        <w:rPr>
          <w:sz w:val="18"/>
          <w:szCs w:val="18"/>
        </w:rPr>
        <w:t xml:space="preserve"> While population estimates are imprecise, the relative population </w:t>
      </w:r>
      <w:proofErr w:type="gramStart"/>
      <w:r w:rsidRPr="00472646">
        <w:rPr>
          <w:sz w:val="18"/>
          <w:szCs w:val="18"/>
        </w:rPr>
        <w:t>sizes between provinces is</w:t>
      </w:r>
      <w:proofErr w:type="gramEnd"/>
      <w:r w:rsidRPr="00472646">
        <w:rPr>
          <w:sz w:val="18"/>
          <w:szCs w:val="18"/>
        </w:rPr>
        <w:t xml:space="preserve"> less in doubt, with </w:t>
      </w:r>
      <w:proofErr w:type="spellStart"/>
      <w:r w:rsidRPr="00472646">
        <w:rPr>
          <w:sz w:val="18"/>
          <w:szCs w:val="18"/>
        </w:rPr>
        <w:t>Mailaita</w:t>
      </w:r>
      <w:proofErr w:type="spellEnd"/>
      <w:r w:rsidRPr="00472646">
        <w:rPr>
          <w:sz w:val="18"/>
          <w:szCs w:val="18"/>
        </w:rPr>
        <w:t xml:space="preserve"> the largest and Rennel and Bellona the smallest.</w:t>
      </w:r>
    </w:p>
  </w:footnote>
  <w:footnote w:id="11">
    <w:p w:rsidR="002D46CD" w:rsidRPr="00472646" w:rsidRDefault="002D46CD" w:rsidP="001F22C2">
      <w:pPr>
        <w:pStyle w:val="FootnoteText"/>
        <w:rPr>
          <w:sz w:val="18"/>
          <w:szCs w:val="18"/>
        </w:rPr>
      </w:pPr>
      <w:r w:rsidRPr="00472646">
        <w:rPr>
          <w:rStyle w:val="FootnoteReference"/>
          <w:sz w:val="18"/>
          <w:szCs w:val="18"/>
        </w:rPr>
        <w:footnoteRef/>
      </w:r>
      <w:r w:rsidRPr="00472646">
        <w:rPr>
          <w:sz w:val="18"/>
          <w:szCs w:val="18"/>
        </w:rPr>
        <w:t xml:space="preserve"> Guidelines for how the RCDF should be used were issued in 2010 but these did not include adequate reporting requirements.</w:t>
      </w:r>
    </w:p>
  </w:footnote>
  <w:footnote w:id="12">
    <w:p w:rsidR="002D46CD" w:rsidRPr="00472646" w:rsidRDefault="002D46CD" w:rsidP="00C828FC">
      <w:pPr>
        <w:pStyle w:val="FootnoteText"/>
        <w:rPr>
          <w:sz w:val="18"/>
          <w:szCs w:val="18"/>
        </w:rPr>
      </w:pPr>
      <w:r w:rsidRPr="00472646">
        <w:rPr>
          <w:rStyle w:val="FootnoteReference"/>
          <w:sz w:val="18"/>
          <w:szCs w:val="18"/>
        </w:rPr>
        <w:footnoteRef/>
      </w:r>
      <w:r w:rsidRPr="00472646">
        <w:rPr>
          <w:sz w:val="18"/>
          <w:szCs w:val="18"/>
        </w:rPr>
        <w:t xml:space="preserve"> There are some differences too.  For example, the population of Samoa is not widely dispersed across many islands.  The population of PNG is segregated by many deep mountain valleys.</w:t>
      </w:r>
    </w:p>
  </w:footnote>
  <w:footnote w:id="13">
    <w:p w:rsidR="002D46CD" w:rsidRPr="00472646" w:rsidRDefault="002D46CD">
      <w:pPr>
        <w:pStyle w:val="FootnoteText"/>
        <w:rPr>
          <w:sz w:val="18"/>
          <w:szCs w:val="18"/>
        </w:rPr>
      </w:pPr>
      <w:r w:rsidRPr="00472646">
        <w:rPr>
          <w:rStyle w:val="FootnoteReference"/>
          <w:sz w:val="18"/>
          <w:szCs w:val="18"/>
        </w:rPr>
        <w:footnoteRef/>
      </w:r>
      <w:r w:rsidRPr="00472646">
        <w:rPr>
          <w:sz w:val="18"/>
          <w:szCs w:val="18"/>
        </w:rPr>
        <w:t xml:space="preserve"> The process also makes it is difficult to know with certainty whether bids for alleged new activities represent genuine new activities or instead represent inflated costs for ongoing activities.</w:t>
      </w:r>
    </w:p>
  </w:footnote>
  <w:footnote w:id="14">
    <w:p w:rsidR="002D46CD" w:rsidRPr="00472646" w:rsidRDefault="002D46CD">
      <w:pPr>
        <w:pStyle w:val="FootnoteText"/>
        <w:rPr>
          <w:sz w:val="18"/>
          <w:szCs w:val="18"/>
        </w:rPr>
      </w:pPr>
      <w:r w:rsidRPr="00472646">
        <w:rPr>
          <w:rStyle w:val="FootnoteReference"/>
          <w:sz w:val="18"/>
          <w:szCs w:val="18"/>
        </w:rPr>
        <w:footnoteRef/>
      </w:r>
      <w:r w:rsidRPr="00472646">
        <w:rPr>
          <w:sz w:val="18"/>
          <w:szCs w:val="18"/>
        </w:rPr>
        <w:t xml:space="preserve"> The PER team received mixed reports as to how much scrutiny is given to development budget expenditures.</w:t>
      </w:r>
    </w:p>
  </w:footnote>
  <w:footnote w:id="15">
    <w:p w:rsidR="002D46CD" w:rsidRPr="00472646" w:rsidRDefault="002D46CD">
      <w:pPr>
        <w:pStyle w:val="FootnoteText"/>
        <w:rPr>
          <w:sz w:val="18"/>
          <w:szCs w:val="18"/>
        </w:rPr>
      </w:pPr>
      <w:r w:rsidRPr="00472646">
        <w:rPr>
          <w:rStyle w:val="FootnoteReference"/>
          <w:sz w:val="18"/>
          <w:szCs w:val="18"/>
        </w:rPr>
        <w:footnoteRef/>
      </w:r>
      <w:r w:rsidRPr="00472646">
        <w:rPr>
          <w:sz w:val="18"/>
          <w:szCs w:val="18"/>
        </w:rPr>
        <w:t xml:space="preserve"> This sort of variance is too large to be explained simply by some ministries being more successful in others in winning additional funding through the budget bid process.</w:t>
      </w:r>
    </w:p>
  </w:footnote>
  <w:footnote w:id="16">
    <w:p w:rsidR="008B08FD" w:rsidRDefault="008B08FD">
      <w:pPr>
        <w:pStyle w:val="FootnoteText"/>
      </w:pPr>
      <w:r>
        <w:rPr>
          <w:rStyle w:val="FootnoteReference"/>
        </w:rPr>
        <w:footnoteRef/>
      </w:r>
      <w:r>
        <w:t xml:space="preserve"> </w:t>
      </w:r>
      <w:r w:rsidRPr="008B08FD">
        <w:t>The inflation adjusted changes in actual spending are as pronounced as those for budgeted allocations.</w:t>
      </w:r>
    </w:p>
  </w:footnote>
  <w:footnote w:id="17">
    <w:p w:rsidR="002D46CD" w:rsidRPr="00472646" w:rsidRDefault="002D46CD">
      <w:pPr>
        <w:pStyle w:val="FootnoteText"/>
        <w:rPr>
          <w:sz w:val="18"/>
          <w:szCs w:val="18"/>
        </w:rPr>
      </w:pPr>
      <w:r w:rsidRPr="00472646">
        <w:rPr>
          <w:rStyle w:val="FootnoteReference"/>
          <w:sz w:val="18"/>
          <w:szCs w:val="18"/>
        </w:rPr>
        <w:footnoteRef/>
      </w:r>
      <w:r w:rsidRPr="00472646">
        <w:rPr>
          <w:sz w:val="18"/>
          <w:szCs w:val="18"/>
        </w:rPr>
        <w:t xml:space="preserve"> While much of the problem could be put down to the budget process, there are also issues related to the quality of record keeping and database management.  In 2010, for example, all personnel allocations were too low because of erroneous information about actual personnel spending in 2009 which was to have been inflated by a cost of living adjustment for 2010.</w:t>
      </w:r>
    </w:p>
  </w:footnote>
  <w:footnote w:id="18">
    <w:p w:rsidR="002D46CD" w:rsidRPr="00E579F0" w:rsidRDefault="002D46CD" w:rsidP="002D46CD">
      <w:pPr>
        <w:pStyle w:val="FootnoteText"/>
        <w:rPr>
          <w:sz w:val="18"/>
          <w:szCs w:val="18"/>
        </w:rPr>
      </w:pPr>
      <w:r>
        <w:rPr>
          <w:rStyle w:val="FootnoteReference"/>
        </w:rPr>
        <w:footnoteRef/>
      </w:r>
      <w:r>
        <w:t xml:space="preserve"> </w:t>
      </w:r>
      <w:r w:rsidRPr="00E579F0">
        <w:rPr>
          <w:sz w:val="18"/>
          <w:szCs w:val="18"/>
        </w:rPr>
        <w:t xml:space="preserve">Changes to approved allocations via supplemental budgets are not included here.  Thus, the deviations reported in Table 2 represent the sum of sanctioned and unsanctioned within year adjustments. </w:t>
      </w:r>
    </w:p>
  </w:footnote>
  <w:footnote w:id="19">
    <w:p w:rsidR="002D46CD" w:rsidRPr="00E579F0" w:rsidRDefault="002D46CD" w:rsidP="002D46CD">
      <w:pPr>
        <w:pStyle w:val="FootnoteText"/>
        <w:rPr>
          <w:sz w:val="18"/>
          <w:szCs w:val="18"/>
        </w:rPr>
      </w:pPr>
      <w:r>
        <w:rPr>
          <w:rStyle w:val="FootnoteReference"/>
        </w:rPr>
        <w:footnoteRef/>
      </w:r>
      <w:r>
        <w:t xml:space="preserve"> </w:t>
      </w:r>
      <w:r w:rsidRPr="00E579F0">
        <w:rPr>
          <w:sz w:val="18"/>
          <w:szCs w:val="18"/>
        </w:rPr>
        <w:t>SIG controlled resources include all revenues and all direct budget support but excludes project support and sector support.</w:t>
      </w:r>
    </w:p>
  </w:footnote>
  <w:footnote w:id="20">
    <w:p w:rsidR="002D46CD" w:rsidRDefault="002D46CD">
      <w:pPr>
        <w:pStyle w:val="FootnoteText"/>
      </w:pPr>
      <w:r>
        <w:rPr>
          <w:rStyle w:val="FootnoteReference"/>
        </w:rPr>
        <w:footnoteRef/>
      </w:r>
      <w:r>
        <w:t xml:space="preserve"> IPSAS cash reporting provides a consistent approach to the presentation of financial information thus leading to greater transparency and accountability.  Support comes from the Pacific Financial Technical Assistance Centre.</w:t>
      </w:r>
    </w:p>
  </w:footnote>
  <w:footnote w:id="21">
    <w:p w:rsidR="002D46CD" w:rsidRPr="00472646" w:rsidRDefault="002D46CD" w:rsidP="006A307F">
      <w:pPr>
        <w:pStyle w:val="FootnoteText"/>
        <w:rPr>
          <w:sz w:val="18"/>
          <w:szCs w:val="18"/>
        </w:rPr>
      </w:pPr>
      <w:r w:rsidRPr="00472646">
        <w:rPr>
          <w:rStyle w:val="FootnoteReference"/>
          <w:sz w:val="18"/>
          <w:szCs w:val="18"/>
        </w:rPr>
        <w:footnoteRef/>
      </w:r>
      <w:r w:rsidRPr="00472646">
        <w:rPr>
          <w:sz w:val="18"/>
          <w:szCs w:val="18"/>
        </w:rPr>
        <w:t xml:space="preserve"> Consultations cost money.  Annual consultations limited to a few days are completely affordable.  Larger consultations, such as might be conducted for a Poverty Reduction Strategy Paper, which are national in scope and conducted at multiple levels every 4-5 years, require substantial financing and planning – but yield commensurately more valuable results.</w:t>
      </w:r>
      <w:r>
        <w:rPr>
          <w:sz w:val="18"/>
          <w:szCs w:val="18"/>
        </w:rPr>
        <w:t xml:space="preserve">  This is an important option for the medium-term.</w:t>
      </w:r>
    </w:p>
  </w:footnote>
  <w:footnote w:id="22">
    <w:p w:rsidR="002D46CD" w:rsidRPr="00472646" w:rsidRDefault="002D46CD" w:rsidP="00602640">
      <w:pPr>
        <w:pStyle w:val="FootnoteText"/>
        <w:rPr>
          <w:sz w:val="18"/>
          <w:szCs w:val="18"/>
        </w:rPr>
      </w:pPr>
      <w:r w:rsidRPr="00472646">
        <w:rPr>
          <w:rStyle w:val="FootnoteReference"/>
          <w:sz w:val="18"/>
          <w:szCs w:val="18"/>
        </w:rPr>
        <w:footnoteRef/>
      </w:r>
      <w:r w:rsidRPr="00472646">
        <w:rPr>
          <w:sz w:val="18"/>
          <w:szCs w:val="18"/>
        </w:rPr>
        <w:t xml:space="preserve"> The design is well advanced.  If there is any short-coming, it would be the lack of any direct coding of expenditures within provinces.  Instead, assumptions are made based on various configurations of division, activity, and account codes.  These may be misleading when actual spending does not conform to the assumptions made.</w:t>
      </w:r>
    </w:p>
  </w:footnote>
  <w:footnote w:id="23">
    <w:p w:rsidR="002D46CD" w:rsidRPr="00472646" w:rsidRDefault="002D46CD" w:rsidP="00764E6B">
      <w:pPr>
        <w:pStyle w:val="FootnoteText"/>
        <w:rPr>
          <w:sz w:val="18"/>
          <w:szCs w:val="18"/>
        </w:rPr>
      </w:pPr>
      <w:r w:rsidRPr="00472646">
        <w:rPr>
          <w:rStyle w:val="FootnoteReference"/>
          <w:sz w:val="18"/>
          <w:szCs w:val="18"/>
        </w:rPr>
        <w:footnoteRef/>
      </w:r>
      <w:r w:rsidRPr="00472646">
        <w:rPr>
          <w:sz w:val="18"/>
          <w:szCs w:val="18"/>
        </w:rPr>
        <w:t xml:space="preserve"> Care and caution are required.  Recent lessons from the case of Vanuatu are cited in O’Donnell and Turner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F29"/>
    <w:multiLevelType w:val="hybridMultilevel"/>
    <w:tmpl w:val="659A3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93169"/>
    <w:multiLevelType w:val="hybridMultilevel"/>
    <w:tmpl w:val="C192805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473340"/>
    <w:multiLevelType w:val="hybridMultilevel"/>
    <w:tmpl w:val="1CB47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878EB"/>
    <w:multiLevelType w:val="hybridMultilevel"/>
    <w:tmpl w:val="20B0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AA4FA2"/>
    <w:multiLevelType w:val="hybridMultilevel"/>
    <w:tmpl w:val="7F4C15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B453F0"/>
    <w:multiLevelType w:val="multilevel"/>
    <w:tmpl w:val="E318BB40"/>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A42EDA"/>
    <w:multiLevelType w:val="hybridMultilevel"/>
    <w:tmpl w:val="7770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0E7527"/>
    <w:multiLevelType w:val="hybridMultilevel"/>
    <w:tmpl w:val="5B5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95B61"/>
    <w:multiLevelType w:val="hybridMultilevel"/>
    <w:tmpl w:val="D538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196EB2"/>
    <w:multiLevelType w:val="hybridMultilevel"/>
    <w:tmpl w:val="BBE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92C0B"/>
    <w:multiLevelType w:val="hybridMultilevel"/>
    <w:tmpl w:val="1AB27354"/>
    <w:lvl w:ilvl="0" w:tplc="645C7AC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9"/>
  </w:num>
  <w:num w:numId="6">
    <w:abstractNumId w:val="1"/>
  </w:num>
  <w:num w:numId="7">
    <w:abstractNumId w:val="4"/>
  </w:num>
  <w:num w:numId="8">
    <w:abstractNumId w:val="8"/>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rsids>
    <w:rsidRoot w:val="00FD2E32"/>
    <w:rsid w:val="00005913"/>
    <w:rsid w:val="000340C2"/>
    <w:rsid w:val="000570C4"/>
    <w:rsid w:val="00073749"/>
    <w:rsid w:val="00074A9D"/>
    <w:rsid w:val="00075474"/>
    <w:rsid w:val="000760B0"/>
    <w:rsid w:val="00077473"/>
    <w:rsid w:val="00080532"/>
    <w:rsid w:val="000808B0"/>
    <w:rsid w:val="000A0519"/>
    <w:rsid w:val="000C4DF9"/>
    <w:rsid w:val="000E5C20"/>
    <w:rsid w:val="000E5F92"/>
    <w:rsid w:val="000E6810"/>
    <w:rsid w:val="000E6C3D"/>
    <w:rsid w:val="000F1E24"/>
    <w:rsid w:val="00105F10"/>
    <w:rsid w:val="00152B42"/>
    <w:rsid w:val="001765CF"/>
    <w:rsid w:val="00181A7A"/>
    <w:rsid w:val="00186289"/>
    <w:rsid w:val="00187A96"/>
    <w:rsid w:val="001A113A"/>
    <w:rsid w:val="001D00A6"/>
    <w:rsid w:val="001D4173"/>
    <w:rsid w:val="001D59FD"/>
    <w:rsid w:val="001D5B2F"/>
    <w:rsid w:val="001F22C2"/>
    <w:rsid w:val="001F5FC6"/>
    <w:rsid w:val="002342B5"/>
    <w:rsid w:val="002757BF"/>
    <w:rsid w:val="00286079"/>
    <w:rsid w:val="0029166A"/>
    <w:rsid w:val="002B5664"/>
    <w:rsid w:val="002D46CD"/>
    <w:rsid w:val="002F27D3"/>
    <w:rsid w:val="00307D02"/>
    <w:rsid w:val="00320EB0"/>
    <w:rsid w:val="00324397"/>
    <w:rsid w:val="003356BE"/>
    <w:rsid w:val="00360837"/>
    <w:rsid w:val="00364FC1"/>
    <w:rsid w:val="00393904"/>
    <w:rsid w:val="003B3395"/>
    <w:rsid w:val="003D0AB1"/>
    <w:rsid w:val="003D7A98"/>
    <w:rsid w:val="004107D4"/>
    <w:rsid w:val="00411122"/>
    <w:rsid w:val="00413009"/>
    <w:rsid w:val="004157C2"/>
    <w:rsid w:val="00437167"/>
    <w:rsid w:val="00437D44"/>
    <w:rsid w:val="0044687D"/>
    <w:rsid w:val="00470BB3"/>
    <w:rsid w:val="00472646"/>
    <w:rsid w:val="00472718"/>
    <w:rsid w:val="004847CA"/>
    <w:rsid w:val="0048590F"/>
    <w:rsid w:val="0049520D"/>
    <w:rsid w:val="004C1F2E"/>
    <w:rsid w:val="004D2D41"/>
    <w:rsid w:val="004E00C0"/>
    <w:rsid w:val="004E6584"/>
    <w:rsid w:val="005264D3"/>
    <w:rsid w:val="005374CC"/>
    <w:rsid w:val="00547E8A"/>
    <w:rsid w:val="00567A78"/>
    <w:rsid w:val="005C03E7"/>
    <w:rsid w:val="005C2205"/>
    <w:rsid w:val="005D310D"/>
    <w:rsid w:val="005D3CB8"/>
    <w:rsid w:val="00602640"/>
    <w:rsid w:val="006131E6"/>
    <w:rsid w:val="006157EA"/>
    <w:rsid w:val="00624F80"/>
    <w:rsid w:val="006477D8"/>
    <w:rsid w:val="00673324"/>
    <w:rsid w:val="0068584E"/>
    <w:rsid w:val="006A307F"/>
    <w:rsid w:val="006C2BFB"/>
    <w:rsid w:val="006F67E2"/>
    <w:rsid w:val="0070042B"/>
    <w:rsid w:val="00711DA7"/>
    <w:rsid w:val="00764E6B"/>
    <w:rsid w:val="00770DE5"/>
    <w:rsid w:val="007B0BD3"/>
    <w:rsid w:val="007C2789"/>
    <w:rsid w:val="007C7E10"/>
    <w:rsid w:val="007D5BC2"/>
    <w:rsid w:val="007E16F4"/>
    <w:rsid w:val="007E2194"/>
    <w:rsid w:val="007F5AEA"/>
    <w:rsid w:val="008026BF"/>
    <w:rsid w:val="0080496D"/>
    <w:rsid w:val="00807A93"/>
    <w:rsid w:val="0082465E"/>
    <w:rsid w:val="008660CF"/>
    <w:rsid w:val="008672B7"/>
    <w:rsid w:val="00870BF1"/>
    <w:rsid w:val="00872EB5"/>
    <w:rsid w:val="00895D1E"/>
    <w:rsid w:val="008B08FD"/>
    <w:rsid w:val="008C74CA"/>
    <w:rsid w:val="008D2755"/>
    <w:rsid w:val="008E2A46"/>
    <w:rsid w:val="00903A32"/>
    <w:rsid w:val="00970377"/>
    <w:rsid w:val="00982EBC"/>
    <w:rsid w:val="00995BB4"/>
    <w:rsid w:val="009D0358"/>
    <w:rsid w:val="009D08C3"/>
    <w:rsid w:val="00A17711"/>
    <w:rsid w:val="00A30BA9"/>
    <w:rsid w:val="00A36747"/>
    <w:rsid w:val="00A52556"/>
    <w:rsid w:val="00A700C2"/>
    <w:rsid w:val="00A76502"/>
    <w:rsid w:val="00A779F3"/>
    <w:rsid w:val="00A81F5B"/>
    <w:rsid w:val="00A865EA"/>
    <w:rsid w:val="00A92E9D"/>
    <w:rsid w:val="00A93618"/>
    <w:rsid w:val="00AA47E1"/>
    <w:rsid w:val="00AB15DC"/>
    <w:rsid w:val="00AB3919"/>
    <w:rsid w:val="00AB40EC"/>
    <w:rsid w:val="00AB6A47"/>
    <w:rsid w:val="00AD142E"/>
    <w:rsid w:val="00AE4E80"/>
    <w:rsid w:val="00AE6195"/>
    <w:rsid w:val="00AF5E04"/>
    <w:rsid w:val="00B207E5"/>
    <w:rsid w:val="00B41F3E"/>
    <w:rsid w:val="00B5162C"/>
    <w:rsid w:val="00B53742"/>
    <w:rsid w:val="00B634A8"/>
    <w:rsid w:val="00B7754B"/>
    <w:rsid w:val="00B82B5B"/>
    <w:rsid w:val="00B962C7"/>
    <w:rsid w:val="00BA2C06"/>
    <w:rsid w:val="00BB20F2"/>
    <w:rsid w:val="00BC2661"/>
    <w:rsid w:val="00BC7C74"/>
    <w:rsid w:val="00BD4F09"/>
    <w:rsid w:val="00BE3ECF"/>
    <w:rsid w:val="00C002CB"/>
    <w:rsid w:val="00C0478B"/>
    <w:rsid w:val="00C0616E"/>
    <w:rsid w:val="00C12B29"/>
    <w:rsid w:val="00C1479D"/>
    <w:rsid w:val="00C4400E"/>
    <w:rsid w:val="00C65796"/>
    <w:rsid w:val="00C828FC"/>
    <w:rsid w:val="00C845E6"/>
    <w:rsid w:val="00C85197"/>
    <w:rsid w:val="00C94631"/>
    <w:rsid w:val="00C9742B"/>
    <w:rsid w:val="00CB6CE1"/>
    <w:rsid w:val="00CE309F"/>
    <w:rsid w:val="00CE5376"/>
    <w:rsid w:val="00CF2871"/>
    <w:rsid w:val="00D00685"/>
    <w:rsid w:val="00D032D9"/>
    <w:rsid w:val="00D1040C"/>
    <w:rsid w:val="00D1351F"/>
    <w:rsid w:val="00D16132"/>
    <w:rsid w:val="00D316FD"/>
    <w:rsid w:val="00D3726C"/>
    <w:rsid w:val="00D42261"/>
    <w:rsid w:val="00D54C6A"/>
    <w:rsid w:val="00D6136D"/>
    <w:rsid w:val="00D63181"/>
    <w:rsid w:val="00D714D7"/>
    <w:rsid w:val="00D8187B"/>
    <w:rsid w:val="00D86D15"/>
    <w:rsid w:val="00DE39BF"/>
    <w:rsid w:val="00DE514E"/>
    <w:rsid w:val="00DF4C47"/>
    <w:rsid w:val="00E16197"/>
    <w:rsid w:val="00E231E4"/>
    <w:rsid w:val="00E30092"/>
    <w:rsid w:val="00E449E9"/>
    <w:rsid w:val="00E47375"/>
    <w:rsid w:val="00E52676"/>
    <w:rsid w:val="00E53EA8"/>
    <w:rsid w:val="00E74A4D"/>
    <w:rsid w:val="00E826AF"/>
    <w:rsid w:val="00E90A77"/>
    <w:rsid w:val="00E9233C"/>
    <w:rsid w:val="00EB1B91"/>
    <w:rsid w:val="00EB235C"/>
    <w:rsid w:val="00EB2F68"/>
    <w:rsid w:val="00EB7DFD"/>
    <w:rsid w:val="00ED15BC"/>
    <w:rsid w:val="00EF37C6"/>
    <w:rsid w:val="00F04A0E"/>
    <w:rsid w:val="00F70D46"/>
    <w:rsid w:val="00F87F01"/>
    <w:rsid w:val="00F96851"/>
    <w:rsid w:val="00FB61EB"/>
    <w:rsid w:val="00FC3EA5"/>
    <w:rsid w:val="00FD15BF"/>
    <w:rsid w:val="00FD2E32"/>
    <w:rsid w:val="00FE27B5"/>
    <w:rsid w:val="00FF5DB1"/>
    <w:rsid w:val="00FF6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CC"/>
  </w:style>
  <w:style w:type="paragraph" w:styleId="Heading1">
    <w:name w:val="heading 1"/>
    <w:basedOn w:val="Normal"/>
    <w:next w:val="Normal"/>
    <w:link w:val="Heading1Char"/>
    <w:uiPriority w:val="9"/>
    <w:qFormat/>
    <w:rsid w:val="00D8187B"/>
    <w:pPr>
      <w:spacing w:before="300" w:after="40" w:line="360" w:lineRule="auto"/>
      <w:ind w:left="1080"/>
      <w:outlineLvl w:val="0"/>
    </w:pPr>
    <w:rPr>
      <w:rFonts w:asciiTheme="minorHAnsi" w:hAnsiTheme="minorHAnsi" w:cstheme="minorBidi"/>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32"/>
    <w:pPr>
      <w:ind w:left="720"/>
      <w:contextualSpacing/>
    </w:pPr>
  </w:style>
  <w:style w:type="paragraph" w:styleId="FootnoteText">
    <w:name w:val="footnote text"/>
    <w:aliases w:val="ft"/>
    <w:basedOn w:val="Normal"/>
    <w:link w:val="FootnoteTextChar1"/>
    <w:uiPriority w:val="99"/>
    <w:rsid w:val="008C74CA"/>
    <w:rPr>
      <w:rFonts w:eastAsia="Times New Roman"/>
      <w:sz w:val="20"/>
      <w:szCs w:val="20"/>
    </w:rPr>
  </w:style>
  <w:style w:type="character" w:customStyle="1" w:styleId="FootnoteTextChar">
    <w:name w:val="Footnote Text Char"/>
    <w:aliases w:val="ft Char1"/>
    <w:basedOn w:val="DefaultParagraphFont"/>
    <w:link w:val="FootnoteText"/>
    <w:uiPriority w:val="99"/>
    <w:semiHidden/>
    <w:rsid w:val="008C74CA"/>
    <w:rPr>
      <w:sz w:val="20"/>
      <w:szCs w:val="20"/>
    </w:rPr>
  </w:style>
  <w:style w:type="character" w:customStyle="1" w:styleId="FootnoteTextChar1">
    <w:name w:val="Footnote Text Char1"/>
    <w:aliases w:val="ft Char"/>
    <w:basedOn w:val="DefaultParagraphFont"/>
    <w:link w:val="FootnoteText"/>
    <w:uiPriority w:val="99"/>
    <w:locked/>
    <w:rsid w:val="008C74CA"/>
    <w:rPr>
      <w:rFonts w:eastAsia="Times New Roman"/>
      <w:sz w:val="20"/>
      <w:szCs w:val="20"/>
    </w:rPr>
  </w:style>
  <w:style w:type="character" w:styleId="FootnoteReference">
    <w:name w:val="footnote reference"/>
    <w:basedOn w:val="DefaultParagraphFont"/>
    <w:uiPriority w:val="99"/>
    <w:rsid w:val="008C74CA"/>
    <w:rPr>
      <w:rFonts w:cs="Times New Roman"/>
      <w:vertAlign w:val="superscript"/>
    </w:rPr>
  </w:style>
  <w:style w:type="table" w:styleId="TableGrid">
    <w:name w:val="Table Grid"/>
    <w:basedOn w:val="TableNormal"/>
    <w:uiPriority w:val="59"/>
    <w:rsid w:val="00FD15B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749"/>
    <w:rPr>
      <w:rFonts w:ascii="Tahoma" w:hAnsi="Tahoma" w:cs="Tahoma"/>
      <w:sz w:val="16"/>
      <w:szCs w:val="16"/>
    </w:rPr>
  </w:style>
  <w:style w:type="character" w:customStyle="1" w:styleId="BalloonTextChar">
    <w:name w:val="Balloon Text Char"/>
    <w:basedOn w:val="DefaultParagraphFont"/>
    <w:link w:val="BalloonText"/>
    <w:uiPriority w:val="99"/>
    <w:semiHidden/>
    <w:rsid w:val="00073749"/>
    <w:rPr>
      <w:rFonts w:ascii="Tahoma" w:hAnsi="Tahoma" w:cs="Tahoma"/>
      <w:sz w:val="16"/>
      <w:szCs w:val="16"/>
    </w:rPr>
  </w:style>
  <w:style w:type="character" w:customStyle="1" w:styleId="Heading1Char">
    <w:name w:val="Heading 1 Char"/>
    <w:basedOn w:val="DefaultParagraphFont"/>
    <w:link w:val="Heading1"/>
    <w:uiPriority w:val="9"/>
    <w:rsid w:val="00D8187B"/>
    <w:rPr>
      <w:rFonts w:asciiTheme="minorHAnsi" w:hAnsiTheme="minorHAnsi" w:cstheme="minorBidi"/>
      <w:smallCaps/>
      <w:spacing w:val="5"/>
      <w:sz w:val="32"/>
      <w:szCs w:val="32"/>
      <w:lang w:bidi="en-US"/>
    </w:rPr>
  </w:style>
  <w:style w:type="paragraph" w:styleId="Header">
    <w:name w:val="header"/>
    <w:basedOn w:val="Normal"/>
    <w:link w:val="HeaderChar"/>
    <w:uiPriority w:val="99"/>
    <w:semiHidden/>
    <w:unhideWhenUsed/>
    <w:rsid w:val="00105F10"/>
    <w:pPr>
      <w:tabs>
        <w:tab w:val="center" w:pos="4680"/>
        <w:tab w:val="right" w:pos="9360"/>
      </w:tabs>
    </w:pPr>
  </w:style>
  <w:style w:type="character" w:customStyle="1" w:styleId="HeaderChar">
    <w:name w:val="Header Char"/>
    <w:basedOn w:val="DefaultParagraphFont"/>
    <w:link w:val="Header"/>
    <w:uiPriority w:val="99"/>
    <w:semiHidden/>
    <w:rsid w:val="00105F10"/>
  </w:style>
  <w:style w:type="paragraph" w:styleId="Footer">
    <w:name w:val="footer"/>
    <w:basedOn w:val="Normal"/>
    <w:link w:val="FooterChar"/>
    <w:uiPriority w:val="99"/>
    <w:unhideWhenUsed/>
    <w:rsid w:val="00105F10"/>
    <w:pPr>
      <w:tabs>
        <w:tab w:val="center" w:pos="4680"/>
        <w:tab w:val="right" w:pos="9360"/>
      </w:tabs>
    </w:pPr>
  </w:style>
  <w:style w:type="character" w:customStyle="1" w:styleId="FooterChar">
    <w:name w:val="Footer Char"/>
    <w:basedOn w:val="DefaultParagraphFont"/>
    <w:link w:val="Footer"/>
    <w:uiPriority w:val="99"/>
    <w:rsid w:val="00105F10"/>
  </w:style>
  <w:style w:type="character" w:styleId="CommentReference">
    <w:name w:val="annotation reference"/>
    <w:basedOn w:val="DefaultParagraphFont"/>
    <w:uiPriority w:val="99"/>
    <w:semiHidden/>
    <w:unhideWhenUsed/>
    <w:rsid w:val="00FE27B5"/>
    <w:rPr>
      <w:sz w:val="16"/>
      <w:szCs w:val="16"/>
    </w:rPr>
  </w:style>
  <w:style w:type="paragraph" w:styleId="CommentText">
    <w:name w:val="annotation text"/>
    <w:basedOn w:val="Normal"/>
    <w:link w:val="CommentTextChar"/>
    <w:uiPriority w:val="99"/>
    <w:semiHidden/>
    <w:unhideWhenUsed/>
    <w:rsid w:val="00FE27B5"/>
    <w:rPr>
      <w:sz w:val="20"/>
      <w:szCs w:val="20"/>
    </w:rPr>
  </w:style>
  <w:style w:type="character" w:customStyle="1" w:styleId="CommentTextChar">
    <w:name w:val="Comment Text Char"/>
    <w:basedOn w:val="DefaultParagraphFont"/>
    <w:link w:val="CommentText"/>
    <w:uiPriority w:val="99"/>
    <w:semiHidden/>
    <w:rsid w:val="00FE27B5"/>
    <w:rPr>
      <w:sz w:val="20"/>
      <w:szCs w:val="20"/>
    </w:rPr>
  </w:style>
  <w:style w:type="paragraph" w:styleId="CommentSubject">
    <w:name w:val="annotation subject"/>
    <w:basedOn w:val="CommentText"/>
    <w:next w:val="CommentText"/>
    <w:link w:val="CommentSubjectChar"/>
    <w:uiPriority w:val="99"/>
    <w:semiHidden/>
    <w:unhideWhenUsed/>
    <w:rsid w:val="00FE27B5"/>
    <w:rPr>
      <w:b/>
      <w:bCs/>
    </w:rPr>
  </w:style>
  <w:style w:type="character" w:customStyle="1" w:styleId="CommentSubjectChar">
    <w:name w:val="Comment Subject Char"/>
    <w:basedOn w:val="CommentTextChar"/>
    <w:link w:val="CommentSubject"/>
    <w:uiPriority w:val="99"/>
    <w:semiHidden/>
    <w:rsid w:val="00FE27B5"/>
    <w:rPr>
      <w:b/>
      <w:bCs/>
    </w:rPr>
  </w:style>
</w:styles>
</file>

<file path=word/webSettings.xml><?xml version="1.0" encoding="utf-8"?>
<w:webSettings xmlns:r="http://schemas.openxmlformats.org/officeDocument/2006/relationships" xmlns:w="http://schemas.openxmlformats.org/wordprocessingml/2006/main">
  <w:divs>
    <w:div w:id="15232900">
      <w:bodyDiv w:val="1"/>
      <w:marLeft w:val="0"/>
      <w:marRight w:val="0"/>
      <w:marTop w:val="0"/>
      <w:marBottom w:val="0"/>
      <w:divBdr>
        <w:top w:val="none" w:sz="0" w:space="0" w:color="auto"/>
        <w:left w:val="none" w:sz="0" w:space="0" w:color="auto"/>
        <w:bottom w:val="none" w:sz="0" w:space="0" w:color="auto"/>
        <w:right w:val="none" w:sz="0" w:space="0" w:color="auto"/>
      </w:divBdr>
    </w:div>
    <w:div w:id="254434977">
      <w:bodyDiv w:val="1"/>
      <w:marLeft w:val="0"/>
      <w:marRight w:val="0"/>
      <w:marTop w:val="0"/>
      <w:marBottom w:val="0"/>
      <w:divBdr>
        <w:top w:val="none" w:sz="0" w:space="0" w:color="auto"/>
        <w:left w:val="none" w:sz="0" w:space="0" w:color="auto"/>
        <w:bottom w:val="none" w:sz="0" w:space="0" w:color="auto"/>
        <w:right w:val="none" w:sz="0" w:space="0" w:color="auto"/>
      </w:divBdr>
    </w:div>
    <w:div w:id="336805981">
      <w:bodyDiv w:val="1"/>
      <w:marLeft w:val="0"/>
      <w:marRight w:val="0"/>
      <w:marTop w:val="0"/>
      <w:marBottom w:val="0"/>
      <w:divBdr>
        <w:top w:val="none" w:sz="0" w:space="0" w:color="auto"/>
        <w:left w:val="none" w:sz="0" w:space="0" w:color="auto"/>
        <w:bottom w:val="none" w:sz="0" w:space="0" w:color="auto"/>
        <w:right w:val="none" w:sz="0" w:space="0" w:color="auto"/>
      </w:divBdr>
    </w:div>
    <w:div w:id="506218586">
      <w:bodyDiv w:val="1"/>
      <w:marLeft w:val="0"/>
      <w:marRight w:val="0"/>
      <w:marTop w:val="0"/>
      <w:marBottom w:val="0"/>
      <w:divBdr>
        <w:top w:val="none" w:sz="0" w:space="0" w:color="auto"/>
        <w:left w:val="none" w:sz="0" w:space="0" w:color="auto"/>
        <w:bottom w:val="none" w:sz="0" w:space="0" w:color="auto"/>
        <w:right w:val="none" w:sz="0" w:space="0" w:color="auto"/>
      </w:divBdr>
    </w:div>
    <w:div w:id="622737992">
      <w:bodyDiv w:val="1"/>
      <w:marLeft w:val="0"/>
      <w:marRight w:val="0"/>
      <w:marTop w:val="0"/>
      <w:marBottom w:val="0"/>
      <w:divBdr>
        <w:top w:val="none" w:sz="0" w:space="0" w:color="auto"/>
        <w:left w:val="none" w:sz="0" w:space="0" w:color="auto"/>
        <w:bottom w:val="none" w:sz="0" w:space="0" w:color="auto"/>
        <w:right w:val="none" w:sz="0" w:space="0" w:color="auto"/>
      </w:divBdr>
    </w:div>
    <w:div w:id="763769985">
      <w:bodyDiv w:val="1"/>
      <w:marLeft w:val="0"/>
      <w:marRight w:val="0"/>
      <w:marTop w:val="0"/>
      <w:marBottom w:val="0"/>
      <w:divBdr>
        <w:top w:val="none" w:sz="0" w:space="0" w:color="auto"/>
        <w:left w:val="none" w:sz="0" w:space="0" w:color="auto"/>
        <w:bottom w:val="none" w:sz="0" w:space="0" w:color="auto"/>
        <w:right w:val="none" w:sz="0" w:space="0" w:color="auto"/>
      </w:divBdr>
    </w:div>
    <w:div w:id="1926769227">
      <w:bodyDiv w:val="1"/>
      <w:marLeft w:val="0"/>
      <w:marRight w:val="0"/>
      <w:marTop w:val="0"/>
      <w:marBottom w:val="0"/>
      <w:divBdr>
        <w:top w:val="none" w:sz="0" w:space="0" w:color="auto"/>
        <w:left w:val="none" w:sz="0" w:space="0" w:color="auto"/>
        <w:bottom w:val="none" w:sz="0" w:space="0" w:color="auto"/>
        <w:right w:val="none" w:sz="0" w:space="0" w:color="auto"/>
      </w:divBdr>
    </w:div>
    <w:div w:id="20364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16047\Documents\Work\Countries\Solomon%20Islands\PER\Budget%20Database%20December%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16047\Documents\Work\Countries\Solomon%20Islands\PER\Budget%20Database%20December%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684001113623898"/>
          <c:y val="7.479743921838039E-2"/>
          <c:w val="0.77391530177759882"/>
          <c:h val="0.52474124744138806"/>
        </c:manualLayout>
      </c:layout>
      <c:barChart>
        <c:barDir val="col"/>
        <c:grouping val="clustered"/>
        <c:ser>
          <c:idx val="3"/>
          <c:order val="0"/>
          <c:tx>
            <c:strRef>
              <c:f>'Provincial Grants'!$E$67</c:f>
              <c:strCache>
                <c:ptCount val="1"/>
                <c:pt idx="0">
                  <c:v>2010</c:v>
                </c:pt>
              </c:strCache>
            </c:strRef>
          </c:tx>
          <c:spPr>
            <a:solidFill>
              <a:schemeClr val="bg1">
                <a:lumMod val="65000"/>
              </a:schemeClr>
            </a:solidFill>
            <a:ln>
              <a:solidFill>
                <a:schemeClr val="tx1"/>
              </a:solidFill>
            </a:ln>
          </c:spPr>
          <c:cat>
            <c:strRef>
              <c:f>'Provincial Grants'!$A$68:$A$77</c:f>
              <c:strCache>
                <c:ptCount val="10"/>
                <c:pt idx="0">
                  <c:v>Central</c:v>
                </c:pt>
                <c:pt idx="1">
                  <c:v>Choiseul </c:v>
                </c:pt>
                <c:pt idx="2">
                  <c:v>Guadalcanal </c:v>
                </c:pt>
                <c:pt idx="3">
                  <c:v>Honiara, Town </c:v>
                </c:pt>
                <c:pt idx="4">
                  <c:v>Isabel</c:v>
                </c:pt>
                <c:pt idx="5">
                  <c:v>Makira-Ulawa </c:v>
                </c:pt>
                <c:pt idx="6">
                  <c:v>Malaita</c:v>
                </c:pt>
                <c:pt idx="7">
                  <c:v>Rennel and Bellona</c:v>
                </c:pt>
                <c:pt idx="8">
                  <c:v>Temotu </c:v>
                </c:pt>
                <c:pt idx="9">
                  <c:v>Western </c:v>
                </c:pt>
              </c:strCache>
            </c:strRef>
          </c:cat>
          <c:val>
            <c:numRef>
              <c:f>'Provincial Grants'!$E$68:$E$77</c:f>
              <c:numCache>
                <c:formatCode>#,##0.0</c:formatCode>
                <c:ptCount val="10"/>
                <c:pt idx="0">
                  <c:v>225.87187026193618</c:v>
                </c:pt>
                <c:pt idx="1">
                  <c:v>422.84350732121709</c:v>
                </c:pt>
                <c:pt idx="2">
                  <c:v>33.886175300631862</c:v>
                </c:pt>
                <c:pt idx="3">
                  <c:v>71.874118931853559</c:v>
                </c:pt>
                <c:pt idx="4">
                  <c:v>209.31743004772716</c:v>
                </c:pt>
                <c:pt idx="5">
                  <c:v>344.41851583794369</c:v>
                </c:pt>
                <c:pt idx="6">
                  <c:v>18.483593194221314</c:v>
                </c:pt>
                <c:pt idx="7">
                  <c:v>1536.5541849604608</c:v>
                </c:pt>
                <c:pt idx="8">
                  <c:v>857.3314354496755</c:v>
                </c:pt>
                <c:pt idx="9">
                  <c:v>912.60563364484403</c:v>
                </c:pt>
              </c:numCache>
            </c:numRef>
          </c:val>
        </c:ser>
        <c:gapWidth val="50"/>
        <c:axId val="170833792"/>
        <c:axId val="170835328"/>
      </c:barChart>
      <c:catAx>
        <c:axId val="170833792"/>
        <c:scaling>
          <c:orientation val="minMax"/>
        </c:scaling>
        <c:axPos val="b"/>
        <c:tickLblPos val="nextTo"/>
        <c:txPr>
          <a:bodyPr rot="-5400000" vert="horz"/>
          <a:lstStyle/>
          <a:p>
            <a:pPr>
              <a:defRPr sz="700"/>
            </a:pPr>
            <a:endParaRPr lang="en-US"/>
          </a:p>
        </c:txPr>
        <c:crossAx val="170835328"/>
        <c:crosses val="autoZero"/>
        <c:auto val="1"/>
        <c:lblAlgn val="ctr"/>
        <c:lblOffset val="100"/>
      </c:catAx>
      <c:valAx>
        <c:axId val="170835328"/>
        <c:scaling>
          <c:orientation val="minMax"/>
        </c:scaling>
        <c:axPos val="l"/>
        <c:majorGridlines/>
        <c:title>
          <c:tx>
            <c:rich>
              <a:bodyPr rot="-5400000" vert="horz"/>
              <a:lstStyle/>
              <a:p>
                <a:pPr>
                  <a:defRPr/>
                </a:pPr>
                <a:r>
                  <a:rPr lang="en-US" b="0"/>
                  <a:t>SBD</a:t>
                </a:r>
              </a:p>
            </c:rich>
          </c:tx>
        </c:title>
        <c:numFmt formatCode="#,##0" sourceLinked="0"/>
        <c:tickLblPos val="nextTo"/>
        <c:crossAx val="170833792"/>
        <c:crosses val="autoZero"/>
        <c:crossBetween val="between"/>
      </c:valAx>
    </c:plotArea>
    <c:plotVisOnly val="1"/>
  </c:chart>
  <c:spPr>
    <a:ln>
      <a:noFill/>
    </a:ln>
  </c:spPr>
  <c:txPr>
    <a:bodyPr/>
    <a:lstStyle/>
    <a:p>
      <a:pPr>
        <a:defRPr sz="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728393442488571"/>
          <c:y val="5.0925925925925923E-2"/>
          <c:w val="0.81500035692853123"/>
          <c:h val="0.51294765237678897"/>
        </c:manualLayout>
      </c:layout>
      <c:barChart>
        <c:barDir val="col"/>
        <c:grouping val="clustered"/>
        <c:ser>
          <c:idx val="0"/>
          <c:order val="0"/>
          <c:spPr>
            <a:solidFill>
              <a:schemeClr val="bg1">
                <a:lumMod val="65000"/>
              </a:schemeClr>
            </a:solidFill>
            <a:ln>
              <a:solidFill>
                <a:schemeClr val="tx1"/>
              </a:solidFill>
            </a:ln>
          </c:spPr>
          <c:cat>
            <c:strRef>
              <c:f>'Provincial Grants'!$A$97:$A$105</c:f>
              <c:strCache>
                <c:ptCount val="9"/>
                <c:pt idx="0">
                  <c:v>Central</c:v>
                </c:pt>
                <c:pt idx="1">
                  <c:v>Choiseul </c:v>
                </c:pt>
                <c:pt idx="2">
                  <c:v>Guadalcanal </c:v>
                </c:pt>
                <c:pt idx="3">
                  <c:v>Isabel</c:v>
                </c:pt>
                <c:pt idx="4">
                  <c:v>Makira-Ulawa </c:v>
                </c:pt>
                <c:pt idx="5">
                  <c:v>Malaita</c:v>
                </c:pt>
                <c:pt idx="6">
                  <c:v>Rennel and Bellona</c:v>
                </c:pt>
                <c:pt idx="7">
                  <c:v>Temotu </c:v>
                </c:pt>
                <c:pt idx="8">
                  <c:v>Western </c:v>
                </c:pt>
              </c:strCache>
            </c:strRef>
          </c:cat>
          <c:val>
            <c:numRef>
              <c:f>'Provincial Grants'!$B$97:$B$105</c:f>
              <c:numCache>
                <c:formatCode>General</c:formatCode>
                <c:ptCount val="9"/>
                <c:pt idx="0">
                  <c:v>3.5</c:v>
                </c:pt>
                <c:pt idx="1">
                  <c:v>9.7000000000000011</c:v>
                </c:pt>
                <c:pt idx="2">
                  <c:v>12.8</c:v>
                </c:pt>
                <c:pt idx="3">
                  <c:v>4.7</c:v>
                </c:pt>
                <c:pt idx="4">
                  <c:v>15.3</c:v>
                </c:pt>
                <c:pt idx="5">
                  <c:v>33.5</c:v>
                </c:pt>
                <c:pt idx="6">
                  <c:v>0.30000000000000032</c:v>
                </c:pt>
                <c:pt idx="7">
                  <c:v>8.4</c:v>
                </c:pt>
                <c:pt idx="8">
                  <c:v>11.8</c:v>
                </c:pt>
              </c:numCache>
            </c:numRef>
          </c:val>
        </c:ser>
        <c:gapWidth val="50"/>
        <c:axId val="170892672"/>
        <c:axId val="170910848"/>
      </c:barChart>
      <c:catAx>
        <c:axId val="170892672"/>
        <c:scaling>
          <c:orientation val="minMax"/>
        </c:scaling>
        <c:axPos val="b"/>
        <c:tickLblPos val="nextTo"/>
        <c:txPr>
          <a:bodyPr rot="-5400000" vert="horz"/>
          <a:lstStyle/>
          <a:p>
            <a:pPr>
              <a:defRPr sz="700"/>
            </a:pPr>
            <a:endParaRPr lang="en-US"/>
          </a:p>
        </c:txPr>
        <c:crossAx val="170910848"/>
        <c:crosses val="autoZero"/>
        <c:auto val="1"/>
        <c:lblAlgn val="ctr"/>
        <c:lblOffset val="100"/>
      </c:catAx>
      <c:valAx>
        <c:axId val="170910848"/>
        <c:scaling>
          <c:orientation val="minMax"/>
        </c:scaling>
        <c:axPos val="l"/>
        <c:majorGridlines>
          <c:spPr>
            <a:ln>
              <a:solidFill>
                <a:schemeClr val="bg1">
                  <a:lumMod val="50000"/>
                </a:schemeClr>
              </a:solidFill>
            </a:ln>
          </c:spPr>
        </c:majorGridlines>
        <c:title>
          <c:tx>
            <c:rich>
              <a:bodyPr rot="-5400000" vert="horz"/>
              <a:lstStyle/>
              <a:p>
                <a:pPr>
                  <a:defRPr b="0"/>
                </a:pPr>
                <a:r>
                  <a:rPr lang="en-US" b="0"/>
                  <a:t>% of Total Households</a:t>
                </a:r>
              </a:p>
            </c:rich>
          </c:tx>
        </c:title>
        <c:numFmt formatCode="General" sourceLinked="1"/>
        <c:tickLblPos val="nextTo"/>
        <c:crossAx val="170892672"/>
        <c:crosses val="autoZero"/>
        <c:crossBetween val="between"/>
      </c:valAx>
    </c:plotArea>
    <c:plotVisOnly val="1"/>
  </c:chart>
  <c:spPr>
    <a:ln>
      <a:noFill/>
    </a:ln>
  </c:spPr>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BC94-7048-433E-AF76-90FDB5CE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7492</Words>
  <Characters>42707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WB16047</dc:creator>
  <cp:lastModifiedBy>wb406484</cp:lastModifiedBy>
  <cp:revision>2</cp:revision>
  <cp:lastPrinted>2011-01-28T23:02:00Z</cp:lastPrinted>
  <dcterms:created xsi:type="dcterms:W3CDTF">2012-05-14T16:45:00Z</dcterms:created>
  <dcterms:modified xsi:type="dcterms:W3CDTF">2012-05-14T16:45:00Z</dcterms:modified>
</cp:coreProperties>
</file>