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BFE48" w14:textId="77777777" w:rsidR="00B5234E" w:rsidRPr="00CF315D" w:rsidRDefault="0056252A" w:rsidP="00B5234E">
      <w:pPr>
        <w:rPr>
          <w:b/>
        </w:rPr>
      </w:pPr>
      <w:r>
        <w:rPr>
          <w:b/>
        </w:rPr>
        <w:t>Report No.</w:t>
      </w:r>
      <w:r w:rsidR="00CF315D">
        <w:rPr>
          <w:b/>
        </w:rPr>
        <w:t xml:space="preserve"> </w:t>
      </w:r>
      <w:r w:rsidR="00CF315D" w:rsidRPr="00CF315D">
        <w:rPr>
          <w:b/>
        </w:rPr>
        <w:t>77920-TJ</w:t>
      </w:r>
    </w:p>
    <w:p w14:paraId="55C6FEAD" w14:textId="77777777" w:rsidR="00B5234E" w:rsidRDefault="00B5234E" w:rsidP="00B5234E">
      <w:pPr>
        <w:rPr>
          <w:b/>
        </w:rPr>
      </w:pPr>
    </w:p>
    <w:p w14:paraId="4E2509B0" w14:textId="77777777" w:rsidR="00B5234E" w:rsidRDefault="00B5234E" w:rsidP="00B5234E">
      <w:pPr>
        <w:rPr>
          <w:b/>
        </w:rPr>
      </w:pPr>
    </w:p>
    <w:p w14:paraId="7DF192C7" w14:textId="77777777" w:rsidR="00B5234E" w:rsidRDefault="00FF43AD" w:rsidP="00B5234E">
      <w:pPr>
        <w:rPr>
          <w:b/>
          <w:sz w:val="32"/>
          <w:szCs w:val="32"/>
        </w:rPr>
      </w:pPr>
      <w:r>
        <w:rPr>
          <w:b/>
          <w:sz w:val="36"/>
          <w:szCs w:val="36"/>
        </w:rPr>
        <w:t>Tajikistan</w:t>
      </w:r>
    </w:p>
    <w:p w14:paraId="3798E770" w14:textId="77777777" w:rsidR="00B5234E" w:rsidRDefault="0067111C" w:rsidP="00B5234E">
      <w:pPr>
        <w:rPr>
          <w:sz w:val="28"/>
          <w:szCs w:val="28"/>
        </w:rPr>
      </w:pPr>
      <w:r>
        <w:rPr>
          <w:b/>
          <w:sz w:val="32"/>
          <w:szCs w:val="32"/>
        </w:rPr>
        <w:t>Country Gender Assessment</w:t>
      </w:r>
    </w:p>
    <w:p w14:paraId="7FF37300" w14:textId="77777777" w:rsidR="00B5234E" w:rsidRDefault="00B5234E" w:rsidP="00B5234E"/>
    <w:p w14:paraId="398FB37F" w14:textId="2417AF81" w:rsidR="00B5234E" w:rsidRPr="0067111C" w:rsidRDefault="00FE7103" w:rsidP="00B5234E">
      <w:r>
        <w:t xml:space="preserve">June </w:t>
      </w:r>
      <w:r w:rsidR="00D35CDA">
        <w:t>13</w:t>
      </w:r>
      <w:r w:rsidR="00433DDE" w:rsidRPr="0067111C">
        <w:t>, 2013</w:t>
      </w:r>
    </w:p>
    <w:p w14:paraId="58E5E993" w14:textId="77777777" w:rsidR="00B5234E" w:rsidRPr="00645EDA" w:rsidRDefault="00B5234E" w:rsidP="00B5234E"/>
    <w:p w14:paraId="073E8F76" w14:textId="77777777" w:rsidR="00B5234E" w:rsidRPr="00645EDA" w:rsidRDefault="00B5234E" w:rsidP="00B5234E"/>
    <w:p w14:paraId="06125A4B" w14:textId="77777777" w:rsidR="00B5234E" w:rsidRPr="00645EDA" w:rsidRDefault="00B5234E" w:rsidP="00B5234E">
      <w:r w:rsidRPr="00645EDA">
        <w:t>Poverty Reduction and Economic Management Unit</w:t>
      </w:r>
    </w:p>
    <w:p w14:paraId="091E9A1C" w14:textId="77777777" w:rsidR="00B5234E" w:rsidRPr="00645EDA" w:rsidRDefault="00B5234E" w:rsidP="00B5234E">
      <w:r w:rsidRPr="00645EDA">
        <w:t>Europe and Central Asia Region</w:t>
      </w:r>
    </w:p>
    <w:p w14:paraId="760AD3C0" w14:textId="77777777" w:rsidR="00B5234E" w:rsidRPr="00645EDA" w:rsidRDefault="00B5234E" w:rsidP="00B5234E"/>
    <w:p w14:paraId="186A53B4" w14:textId="77777777" w:rsidR="00B5234E" w:rsidRPr="00645EDA" w:rsidRDefault="00B5234E" w:rsidP="00B5234E"/>
    <w:p w14:paraId="4219EA0C" w14:textId="77777777" w:rsidR="00B5234E" w:rsidRDefault="001012C2" w:rsidP="00B5234E">
      <w:r>
        <w:rPr>
          <w:noProof/>
        </w:rPr>
        <w:drawing>
          <wp:inline distT="0" distB="0" distL="0" distR="0" wp14:anchorId="3D27E877" wp14:editId="3F0DF280">
            <wp:extent cx="638175" cy="504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8175" cy="504825"/>
                    </a:xfrm>
                    <a:prstGeom prst="rect">
                      <a:avLst/>
                    </a:prstGeom>
                    <a:noFill/>
                    <a:ln w="9525">
                      <a:noFill/>
                      <a:miter lim="800000"/>
                      <a:headEnd/>
                      <a:tailEnd/>
                    </a:ln>
                  </pic:spPr>
                </pic:pic>
              </a:graphicData>
            </a:graphic>
          </wp:inline>
        </w:drawing>
      </w:r>
    </w:p>
    <w:p w14:paraId="77349709" w14:textId="77777777" w:rsidR="00B5234E" w:rsidRDefault="00B5234E" w:rsidP="00B5234E"/>
    <w:p w14:paraId="37933BD1" w14:textId="77777777" w:rsidR="00B5234E" w:rsidRDefault="00B5234E" w:rsidP="00B5234E"/>
    <w:p w14:paraId="266A8B08" w14:textId="77777777" w:rsidR="00B5234E" w:rsidRDefault="00B5234E" w:rsidP="00B5234E"/>
    <w:p w14:paraId="60647E08" w14:textId="77777777" w:rsidR="00B5234E" w:rsidRDefault="00B5234E" w:rsidP="00B5234E"/>
    <w:p w14:paraId="0A43E7BB" w14:textId="77777777" w:rsidR="00B5234E" w:rsidRDefault="00B5234E" w:rsidP="00B5234E"/>
    <w:p w14:paraId="6A1D96D8" w14:textId="77777777" w:rsidR="00B5234E" w:rsidRDefault="00B5234E" w:rsidP="00B5234E"/>
    <w:p w14:paraId="0C30D93A" w14:textId="77777777" w:rsidR="00B5234E" w:rsidRDefault="00B5234E" w:rsidP="00B5234E"/>
    <w:p w14:paraId="490A4A1B" w14:textId="77777777" w:rsidR="00B5234E" w:rsidRDefault="00B5234E" w:rsidP="00B5234E"/>
    <w:p w14:paraId="2AC9C4F4" w14:textId="77777777" w:rsidR="00B5234E" w:rsidRDefault="00B5234E" w:rsidP="00B5234E"/>
    <w:p w14:paraId="199581A3" w14:textId="77777777" w:rsidR="00B5234E" w:rsidRDefault="00B5234E" w:rsidP="00B5234E"/>
    <w:p w14:paraId="179AF826" w14:textId="77777777" w:rsidR="00B5234E" w:rsidRDefault="00B5234E" w:rsidP="00B5234E"/>
    <w:p w14:paraId="2F2E8A8B" w14:textId="77777777" w:rsidR="00B5234E" w:rsidRDefault="00B5234E" w:rsidP="00B5234E"/>
    <w:p w14:paraId="2785CDF0" w14:textId="77777777" w:rsidR="00B5234E" w:rsidRDefault="00B5234E" w:rsidP="00B5234E"/>
    <w:p w14:paraId="533A490D" w14:textId="77777777" w:rsidR="00B5234E" w:rsidRDefault="00B5234E" w:rsidP="00B5234E"/>
    <w:p w14:paraId="7E1161E5" w14:textId="77777777" w:rsidR="00B5234E" w:rsidRDefault="00B5234E" w:rsidP="00B5234E"/>
    <w:p w14:paraId="7BE576CA" w14:textId="77777777" w:rsidR="00B5234E" w:rsidRDefault="00B5234E" w:rsidP="00B5234E"/>
    <w:p w14:paraId="2D0B131A" w14:textId="77777777" w:rsidR="00B5234E" w:rsidRDefault="00B5234E" w:rsidP="00B5234E"/>
    <w:p w14:paraId="1CE89FB1" w14:textId="77777777" w:rsidR="00B5234E" w:rsidRDefault="00B5234E" w:rsidP="00B5234E"/>
    <w:p w14:paraId="23431B93" w14:textId="77777777" w:rsidR="00B5234E" w:rsidRDefault="00B5234E" w:rsidP="00B5234E"/>
    <w:p w14:paraId="60859ACF" w14:textId="77777777" w:rsidR="00B5234E" w:rsidRDefault="00B5234E" w:rsidP="00B5234E"/>
    <w:p w14:paraId="0090F130" w14:textId="77777777" w:rsidR="00B5234E" w:rsidRDefault="00B5234E" w:rsidP="00B5234E"/>
    <w:p w14:paraId="538166D3" w14:textId="77777777" w:rsidR="00B5234E" w:rsidRDefault="00B5234E" w:rsidP="00B5234E"/>
    <w:p w14:paraId="265282D3" w14:textId="77777777" w:rsidR="004F08BB" w:rsidRDefault="004F08BB" w:rsidP="00B5234E"/>
    <w:p w14:paraId="4671933F" w14:textId="77777777" w:rsidR="004F08BB" w:rsidRDefault="004F08BB" w:rsidP="00B5234E"/>
    <w:p w14:paraId="0E2AB361" w14:textId="77777777" w:rsidR="004F08BB" w:rsidRDefault="004F08BB" w:rsidP="00B5234E"/>
    <w:p w14:paraId="17303B66" w14:textId="77777777" w:rsidR="00B5234E" w:rsidRPr="00645EDA" w:rsidRDefault="00B5234E" w:rsidP="00B5234E">
      <w:pPr>
        <w:pBdr>
          <w:bottom w:val="double" w:sz="4" w:space="1" w:color="auto"/>
        </w:pBdr>
        <w:ind w:right="5760"/>
      </w:pPr>
      <w:r>
        <w:rPr>
          <w:b/>
          <w:sz w:val="22"/>
          <w:szCs w:val="22"/>
        </w:rPr>
        <w:t>Document of the World Bank</w:t>
      </w:r>
    </w:p>
    <w:p w14:paraId="30638382" w14:textId="77777777" w:rsidR="004F08BB" w:rsidRDefault="004F08BB" w:rsidP="004F08BB">
      <w:pPr>
        <w:jc w:val="center"/>
        <w:rPr>
          <w:b/>
          <w:sz w:val="22"/>
          <w:szCs w:val="22"/>
        </w:rPr>
      </w:pPr>
    </w:p>
    <w:p w14:paraId="74B8E8B1" w14:textId="77777777" w:rsidR="004F08BB" w:rsidRDefault="004F08BB" w:rsidP="004F08BB">
      <w:pPr>
        <w:jc w:val="center"/>
        <w:rPr>
          <w:b/>
          <w:sz w:val="22"/>
          <w:szCs w:val="22"/>
        </w:rPr>
        <w:sectPr w:rsidR="004F08BB" w:rsidSect="004F08BB">
          <w:footerReference w:type="even" r:id="rId10"/>
          <w:footerReference w:type="default" r:id="rId11"/>
          <w:pgSz w:w="12240" w:h="15840" w:code="1"/>
          <w:pgMar w:top="1440" w:right="1797" w:bottom="1440" w:left="1797" w:header="720" w:footer="720" w:gutter="0"/>
          <w:pgNumType w:fmt="lowerRoman" w:start="1"/>
          <w:cols w:space="720"/>
          <w:titlePg/>
          <w:docGrid w:linePitch="360"/>
        </w:sectPr>
      </w:pPr>
    </w:p>
    <w:p w14:paraId="74C3BFAA" w14:textId="77777777" w:rsidR="00B5234E" w:rsidRPr="00645EDA" w:rsidRDefault="00B5234E" w:rsidP="004F08BB">
      <w:pPr>
        <w:jc w:val="center"/>
      </w:pPr>
      <w:r w:rsidRPr="005C2D48">
        <w:rPr>
          <w:b/>
          <w:sz w:val="22"/>
          <w:szCs w:val="22"/>
        </w:rPr>
        <w:lastRenderedPageBreak/>
        <w:t>CURRENCY AND EQUIVALENT UNITS</w:t>
      </w:r>
    </w:p>
    <w:p w14:paraId="149CD638" w14:textId="77777777" w:rsidR="00B5234E" w:rsidRPr="005C2D48" w:rsidRDefault="00B5234E" w:rsidP="00B5234E">
      <w:pPr>
        <w:spacing w:after="240"/>
        <w:jc w:val="center"/>
        <w:rPr>
          <w:sz w:val="22"/>
          <w:szCs w:val="22"/>
        </w:rPr>
      </w:pP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60"/>
        <w:gridCol w:w="360"/>
        <w:gridCol w:w="2096"/>
      </w:tblGrid>
      <w:tr w:rsidR="00B5234E" w:rsidRPr="005C2D48" w14:paraId="69CC4686" w14:textId="77777777">
        <w:tc>
          <w:tcPr>
            <w:tcW w:w="2160" w:type="dxa"/>
          </w:tcPr>
          <w:p w14:paraId="5FD2E6C0" w14:textId="77777777" w:rsidR="00B5234E" w:rsidRPr="005C2D48" w:rsidRDefault="00B5234E" w:rsidP="00B5234E">
            <w:pPr>
              <w:jc w:val="right"/>
              <w:rPr>
                <w:sz w:val="22"/>
                <w:szCs w:val="22"/>
              </w:rPr>
            </w:pPr>
            <w:r w:rsidRPr="005C2D48">
              <w:rPr>
                <w:sz w:val="22"/>
                <w:szCs w:val="22"/>
              </w:rPr>
              <w:t>Currency Unit</w:t>
            </w:r>
          </w:p>
        </w:tc>
        <w:tc>
          <w:tcPr>
            <w:tcW w:w="360" w:type="dxa"/>
          </w:tcPr>
          <w:p w14:paraId="38EB4DBC" w14:textId="77777777" w:rsidR="00B5234E" w:rsidRPr="005C2D48" w:rsidRDefault="00B5234E" w:rsidP="00B5234E">
            <w:pPr>
              <w:jc w:val="center"/>
              <w:rPr>
                <w:sz w:val="22"/>
                <w:szCs w:val="22"/>
              </w:rPr>
            </w:pPr>
            <w:r w:rsidRPr="005C2D48">
              <w:rPr>
                <w:sz w:val="22"/>
                <w:szCs w:val="22"/>
              </w:rPr>
              <w:t>=</w:t>
            </w:r>
          </w:p>
        </w:tc>
        <w:tc>
          <w:tcPr>
            <w:tcW w:w="2096" w:type="dxa"/>
          </w:tcPr>
          <w:p w14:paraId="3611F40C" w14:textId="77777777" w:rsidR="00B5234E" w:rsidRPr="005C2D48" w:rsidRDefault="0067111C" w:rsidP="00B5234E">
            <w:pPr>
              <w:rPr>
                <w:sz w:val="22"/>
                <w:szCs w:val="22"/>
              </w:rPr>
            </w:pPr>
            <w:proofErr w:type="spellStart"/>
            <w:r>
              <w:rPr>
                <w:sz w:val="22"/>
                <w:szCs w:val="22"/>
              </w:rPr>
              <w:t>Somoni</w:t>
            </w:r>
            <w:proofErr w:type="spellEnd"/>
          </w:p>
        </w:tc>
      </w:tr>
      <w:tr w:rsidR="00B5234E" w:rsidRPr="005C2D48" w14:paraId="150E2E55" w14:textId="77777777">
        <w:tc>
          <w:tcPr>
            <w:tcW w:w="2160" w:type="dxa"/>
          </w:tcPr>
          <w:p w14:paraId="5CBA7E89" w14:textId="7AF66F5E" w:rsidR="00B5234E" w:rsidRPr="005C2D48" w:rsidRDefault="00B5234E" w:rsidP="00B5234E">
            <w:pPr>
              <w:jc w:val="right"/>
              <w:rPr>
                <w:sz w:val="22"/>
                <w:szCs w:val="22"/>
              </w:rPr>
            </w:pPr>
            <w:r w:rsidRPr="005C2D48">
              <w:rPr>
                <w:sz w:val="22"/>
                <w:szCs w:val="22"/>
              </w:rPr>
              <w:t>US$</w:t>
            </w:r>
            <w:r w:rsidR="00AE6EFA">
              <w:rPr>
                <w:sz w:val="22"/>
                <w:szCs w:val="22"/>
              </w:rPr>
              <w:t xml:space="preserve"> 1</w:t>
            </w:r>
          </w:p>
        </w:tc>
        <w:tc>
          <w:tcPr>
            <w:tcW w:w="360" w:type="dxa"/>
          </w:tcPr>
          <w:p w14:paraId="79953145" w14:textId="77777777" w:rsidR="00B5234E" w:rsidRPr="005C2D48" w:rsidRDefault="00B5234E" w:rsidP="00B5234E">
            <w:pPr>
              <w:jc w:val="center"/>
              <w:rPr>
                <w:sz w:val="22"/>
                <w:szCs w:val="22"/>
              </w:rPr>
            </w:pPr>
            <w:r w:rsidRPr="005C2D48">
              <w:rPr>
                <w:sz w:val="22"/>
                <w:szCs w:val="22"/>
              </w:rPr>
              <w:t>=</w:t>
            </w:r>
          </w:p>
        </w:tc>
        <w:tc>
          <w:tcPr>
            <w:tcW w:w="2096" w:type="dxa"/>
          </w:tcPr>
          <w:p w14:paraId="6B902CA9" w14:textId="5B1B5857" w:rsidR="00B5234E" w:rsidRPr="005C2D48" w:rsidRDefault="0067111C" w:rsidP="00B5234E">
            <w:pPr>
              <w:rPr>
                <w:sz w:val="22"/>
                <w:szCs w:val="22"/>
              </w:rPr>
            </w:pPr>
            <w:r>
              <w:rPr>
                <w:sz w:val="22"/>
                <w:szCs w:val="22"/>
              </w:rPr>
              <w:t>4.75</w:t>
            </w:r>
            <w:r w:rsidR="00AE6EFA">
              <w:rPr>
                <w:sz w:val="22"/>
                <w:szCs w:val="22"/>
              </w:rPr>
              <w:t xml:space="preserve"> </w:t>
            </w:r>
            <w:proofErr w:type="spellStart"/>
            <w:r w:rsidR="00AE6EFA">
              <w:rPr>
                <w:sz w:val="22"/>
                <w:szCs w:val="22"/>
              </w:rPr>
              <w:t>somoni</w:t>
            </w:r>
            <w:proofErr w:type="spellEnd"/>
          </w:p>
        </w:tc>
      </w:tr>
    </w:tbl>
    <w:p w14:paraId="5C142BC0" w14:textId="77777777" w:rsidR="00B5234E" w:rsidRPr="005C2D48" w:rsidRDefault="00B5234E" w:rsidP="00B5234E">
      <w:pPr>
        <w:jc w:val="center"/>
        <w:rPr>
          <w:sz w:val="22"/>
          <w:szCs w:val="22"/>
        </w:rPr>
      </w:pPr>
    </w:p>
    <w:p w14:paraId="0CDF396C" w14:textId="77777777" w:rsidR="00B5234E" w:rsidRPr="005C2D48" w:rsidRDefault="00B5234E" w:rsidP="00B5234E">
      <w:pPr>
        <w:jc w:val="center"/>
        <w:rPr>
          <w:sz w:val="22"/>
          <w:szCs w:val="22"/>
        </w:rPr>
      </w:pPr>
    </w:p>
    <w:p w14:paraId="6AAAA173" w14:textId="77777777" w:rsidR="00B5234E" w:rsidRPr="005C2D48" w:rsidRDefault="00B5234E" w:rsidP="00B5234E">
      <w:pPr>
        <w:jc w:val="center"/>
        <w:rPr>
          <w:sz w:val="22"/>
          <w:szCs w:val="22"/>
        </w:rPr>
      </w:pPr>
    </w:p>
    <w:p w14:paraId="2F00A1FA" w14:textId="77777777" w:rsidR="00B5234E" w:rsidRPr="005C2D48" w:rsidRDefault="00B5234E" w:rsidP="00B5234E">
      <w:pPr>
        <w:jc w:val="center"/>
        <w:rPr>
          <w:sz w:val="22"/>
          <w:szCs w:val="22"/>
        </w:rPr>
      </w:pPr>
    </w:p>
    <w:p w14:paraId="4652CE8F" w14:textId="77777777" w:rsidR="00B5234E" w:rsidRPr="00645EDA" w:rsidRDefault="00B5234E" w:rsidP="00AE6EFA">
      <w:pPr>
        <w:spacing w:after="240"/>
        <w:jc w:val="center"/>
      </w:pPr>
      <w:r w:rsidRPr="005C2D48">
        <w:rPr>
          <w:b/>
          <w:sz w:val="22"/>
          <w:szCs w:val="22"/>
        </w:rPr>
        <w:t>ABBREVIATIONS</w:t>
      </w:r>
    </w:p>
    <w:tbl>
      <w:tblPr>
        <w:tblStyle w:val="TableGrid"/>
        <w:tblW w:w="864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60"/>
        <w:gridCol w:w="6480"/>
      </w:tblGrid>
      <w:tr w:rsidR="00AE6EFA" w14:paraId="6B99E7B6" w14:textId="77777777" w:rsidTr="00AE6EFA">
        <w:tc>
          <w:tcPr>
            <w:tcW w:w="2160" w:type="dxa"/>
          </w:tcPr>
          <w:p w14:paraId="4B5C45D6" w14:textId="77777777" w:rsidR="00AE6EFA" w:rsidRPr="00AE6EFA" w:rsidRDefault="00AE6EFA" w:rsidP="00AE6EFA">
            <w:pPr>
              <w:ind w:left="702"/>
              <w:rPr>
                <w:sz w:val="22"/>
                <w:szCs w:val="22"/>
              </w:rPr>
            </w:pPr>
            <w:r w:rsidRPr="00AE6EFA">
              <w:rPr>
                <w:sz w:val="22"/>
                <w:szCs w:val="22"/>
              </w:rPr>
              <w:t>AMFOT</w:t>
            </w:r>
          </w:p>
        </w:tc>
        <w:tc>
          <w:tcPr>
            <w:tcW w:w="6480" w:type="dxa"/>
          </w:tcPr>
          <w:p w14:paraId="2DF0026D" w14:textId="77777777" w:rsidR="00AE6EFA" w:rsidRPr="00AE6EFA" w:rsidRDefault="00AE6EFA" w:rsidP="00AE6EFA">
            <w:pPr>
              <w:ind w:left="252"/>
              <w:rPr>
                <w:sz w:val="22"/>
                <w:szCs w:val="22"/>
              </w:rPr>
            </w:pPr>
            <w:r w:rsidRPr="00AE6EFA">
              <w:rPr>
                <w:sz w:val="22"/>
                <w:szCs w:val="22"/>
              </w:rPr>
              <w:t>Association of Micro Finance Organizations in Tajikistan</w:t>
            </w:r>
          </w:p>
        </w:tc>
      </w:tr>
      <w:tr w:rsidR="00AE6EFA" w:rsidRPr="00FF43AD" w14:paraId="0A05F600" w14:textId="77777777" w:rsidTr="00AE6EFA">
        <w:tc>
          <w:tcPr>
            <w:tcW w:w="2160" w:type="dxa"/>
          </w:tcPr>
          <w:p w14:paraId="0A5B2256" w14:textId="77777777" w:rsidR="00AE6EFA" w:rsidRPr="00AE6EFA" w:rsidRDefault="00AE6EFA" w:rsidP="00AE6EFA">
            <w:pPr>
              <w:ind w:left="702"/>
              <w:rPr>
                <w:sz w:val="22"/>
                <w:szCs w:val="22"/>
              </w:rPr>
            </w:pPr>
            <w:r w:rsidRPr="00AE6EFA">
              <w:rPr>
                <w:sz w:val="22"/>
                <w:szCs w:val="22"/>
              </w:rPr>
              <w:t>BEEPS</w:t>
            </w:r>
          </w:p>
        </w:tc>
        <w:tc>
          <w:tcPr>
            <w:tcW w:w="6480" w:type="dxa"/>
          </w:tcPr>
          <w:p w14:paraId="65410266" w14:textId="77777777" w:rsidR="00AE6EFA" w:rsidRPr="00AE6EFA" w:rsidRDefault="00AE6EFA" w:rsidP="00AE6EFA">
            <w:pPr>
              <w:ind w:left="252"/>
              <w:rPr>
                <w:sz w:val="22"/>
                <w:szCs w:val="22"/>
              </w:rPr>
            </w:pPr>
            <w:r w:rsidRPr="00AE6EFA">
              <w:rPr>
                <w:sz w:val="22"/>
                <w:szCs w:val="22"/>
              </w:rPr>
              <w:t>Business Environment and Enterprise Performance Surveys</w:t>
            </w:r>
          </w:p>
        </w:tc>
      </w:tr>
      <w:tr w:rsidR="00AE6EFA" w:rsidRPr="00FF43AD" w14:paraId="3A796800" w14:textId="77777777" w:rsidTr="00AE6EFA">
        <w:tc>
          <w:tcPr>
            <w:tcW w:w="2160" w:type="dxa"/>
          </w:tcPr>
          <w:p w14:paraId="21BB038B" w14:textId="77777777" w:rsidR="00AE6EFA" w:rsidRPr="00AE6EFA" w:rsidRDefault="00AE6EFA" w:rsidP="00AE6EFA">
            <w:pPr>
              <w:ind w:left="702"/>
              <w:rPr>
                <w:sz w:val="22"/>
                <w:szCs w:val="22"/>
              </w:rPr>
            </w:pPr>
            <w:r w:rsidRPr="00AE6EFA">
              <w:rPr>
                <w:sz w:val="22"/>
                <w:szCs w:val="22"/>
              </w:rPr>
              <w:t>CEDAW</w:t>
            </w:r>
          </w:p>
        </w:tc>
        <w:tc>
          <w:tcPr>
            <w:tcW w:w="6480" w:type="dxa"/>
          </w:tcPr>
          <w:p w14:paraId="17958378" w14:textId="03B24588" w:rsidR="00AE6EFA" w:rsidRDefault="00AE6EFA" w:rsidP="00AE6EFA">
            <w:pPr>
              <w:ind w:left="252"/>
              <w:rPr>
                <w:sz w:val="22"/>
                <w:szCs w:val="22"/>
              </w:rPr>
            </w:pPr>
            <w:r w:rsidRPr="00AE6EFA">
              <w:rPr>
                <w:sz w:val="22"/>
                <w:szCs w:val="22"/>
              </w:rPr>
              <w:t>Convention on the Elimination of All Forms of Discrimination</w:t>
            </w:r>
          </w:p>
          <w:p w14:paraId="1E839F0D" w14:textId="27D0E0A0" w:rsidR="00AE6EFA" w:rsidRPr="00AE6EFA" w:rsidRDefault="00AE6EFA" w:rsidP="00AE6EFA">
            <w:pPr>
              <w:ind w:left="252"/>
              <w:rPr>
                <w:sz w:val="22"/>
                <w:szCs w:val="22"/>
              </w:rPr>
            </w:pPr>
            <w:r>
              <w:rPr>
                <w:sz w:val="22"/>
                <w:szCs w:val="22"/>
              </w:rPr>
              <w:t xml:space="preserve">     A</w:t>
            </w:r>
            <w:r w:rsidRPr="00AE6EFA">
              <w:rPr>
                <w:sz w:val="22"/>
                <w:szCs w:val="22"/>
              </w:rPr>
              <w:t>gainst Women</w:t>
            </w:r>
          </w:p>
        </w:tc>
      </w:tr>
      <w:tr w:rsidR="00AE6EFA" w:rsidRPr="003C3C3F" w14:paraId="39001E5A" w14:textId="77777777" w:rsidTr="00AE6EFA">
        <w:tc>
          <w:tcPr>
            <w:tcW w:w="2160" w:type="dxa"/>
          </w:tcPr>
          <w:p w14:paraId="5E979D44" w14:textId="77777777" w:rsidR="00AE6EFA" w:rsidRPr="00AE6EFA" w:rsidRDefault="00AE6EFA" w:rsidP="00AE6EFA">
            <w:pPr>
              <w:ind w:left="702"/>
              <w:rPr>
                <w:sz w:val="22"/>
                <w:szCs w:val="22"/>
              </w:rPr>
            </w:pPr>
            <w:r w:rsidRPr="00AE6EFA">
              <w:rPr>
                <w:sz w:val="22"/>
                <w:szCs w:val="22"/>
              </w:rPr>
              <w:t>ECA</w:t>
            </w:r>
          </w:p>
        </w:tc>
        <w:tc>
          <w:tcPr>
            <w:tcW w:w="6480" w:type="dxa"/>
          </w:tcPr>
          <w:p w14:paraId="79792EAA" w14:textId="77777777" w:rsidR="00AE6EFA" w:rsidRPr="00AE6EFA" w:rsidRDefault="00AE6EFA" w:rsidP="00AE6EFA">
            <w:pPr>
              <w:ind w:left="252"/>
              <w:rPr>
                <w:sz w:val="22"/>
                <w:szCs w:val="22"/>
              </w:rPr>
            </w:pPr>
            <w:r w:rsidRPr="00AE6EFA">
              <w:rPr>
                <w:sz w:val="22"/>
                <w:szCs w:val="22"/>
              </w:rPr>
              <w:t>Europe and Central Asia</w:t>
            </w:r>
          </w:p>
        </w:tc>
      </w:tr>
      <w:tr w:rsidR="00AE6EFA" w:rsidRPr="003C3C3F" w14:paraId="215ABBC2" w14:textId="77777777" w:rsidTr="00AE6EFA">
        <w:tc>
          <w:tcPr>
            <w:tcW w:w="2160" w:type="dxa"/>
          </w:tcPr>
          <w:p w14:paraId="5499406E" w14:textId="77777777" w:rsidR="00AE6EFA" w:rsidRPr="00AE6EFA" w:rsidRDefault="00AE6EFA" w:rsidP="00AE6EFA">
            <w:pPr>
              <w:ind w:left="702"/>
              <w:rPr>
                <w:sz w:val="22"/>
                <w:szCs w:val="22"/>
              </w:rPr>
            </w:pPr>
            <w:r w:rsidRPr="00AE6EFA">
              <w:rPr>
                <w:sz w:val="22"/>
                <w:szCs w:val="22"/>
              </w:rPr>
              <w:t>FTI</w:t>
            </w:r>
          </w:p>
        </w:tc>
        <w:tc>
          <w:tcPr>
            <w:tcW w:w="6480" w:type="dxa"/>
          </w:tcPr>
          <w:p w14:paraId="16499EB8" w14:textId="77777777" w:rsidR="00AE6EFA" w:rsidRPr="00AE6EFA" w:rsidRDefault="00AE6EFA" w:rsidP="00AE6EFA">
            <w:pPr>
              <w:ind w:left="252"/>
              <w:rPr>
                <w:sz w:val="22"/>
                <w:szCs w:val="22"/>
              </w:rPr>
            </w:pPr>
            <w:r w:rsidRPr="00AE6EFA">
              <w:rPr>
                <w:sz w:val="22"/>
                <w:szCs w:val="22"/>
              </w:rPr>
              <w:t>Fast Track Initiative</w:t>
            </w:r>
          </w:p>
        </w:tc>
      </w:tr>
      <w:tr w:rsidR="00AE6EFA" w:rsidRPr="003C3C3F" w14:paraId="5A9132F8" w14:textId="77777777" w:rsidTr="00AE6EFA">
        <w:tc>
          <w:tcPr>
            <w:tcW w:w="2160" w:type="dxa"/>
          </w:tcPr>
          <w:p w14:paraId="30E1BCD2" w14:textId="77777777" w:rsidR="00AE6EFA" w:rsidRPr="00AE6EFA" w:rsidRDefault="00AE6EFA" w:rsidP="00AE6EFA">
            <w:pPr>
              <w:ind w:left="702"/>
              <w:rPr>
                <w:sz w:val="22"/>
                <w:szCs w:val="22"/>
              </w:rPr>
            </w:pPr>
            <w:r w:rsidRPr="00AE6EFA">
              <w:rPr>
                <w:sz w:val="22"/>
                <w:szCs w:val="22"/>
              </w:rPr>
              <w:t>GDP</w:t>
            </w:r>
          </w:p>
        </w:tc>
        <w:tc>
          <w:tcPr>
            <w:tcW w:w="6480" w:type="dxa"/>
          </w:tcPr>
          <w:p w14:paraId="5F1598BB" w14:textId="77777777" w:rsidR="00AE6EFA" w:rsidRPr="00AE6EFA" w:rsidRDefault="00AE6EFA" w:rsidP="00AE6EFA">
            <w:pPr>
              <w:ind w:left="252"/>
              <w:rPr>
                <w:sz w:val="22"/>
                <w:szCs w:val="22"/>
              </w:rPr>
            </w:pPr>
            <w:r w:rsidRPr="00AE6EFA">
              <w:rPr>
                <w:sz w:val="22"/>
                <w:szCs w:val="22"/>
              </w:rPr>
              <w:t>Gross Domestic Product</w:t>
            </w:r>
          </w:p>
        </w:tc>
      </w:tr>
      <w:tr w:rsidR="00AE6EFA" w:rsidRPr="003C3C3F" w14:paraId="02FD1C13" w14:textId="77777777" w:rsidTr="00AE6EFA">
        <w:tc>
          <w:tcPr>
            <w:tcW w:w="2160" w:type="dxa"/>
          </w:tcPr>
          <w:p w14:paraId="0F5D49A9" w14:textId="77777777" w:rsidR="00AE6EFA" w:rsidRPr="00AE6EFA" w:rsidRDefault="00AE6EFA" w:rsidP="00AE6EFA">
            <w:pPr>
              <w:ind w:left="702"/>
              <w:rPr>
                <w:sz w:val="22"/>
                <w:szCs w:val="22"/>
              </w:rPr>
            </w:pPr>
            <w:proofErr w:type="spellStart"/>
            <w:r w:rsidRPr="00AE6EFA">
              <w:rPr>
                <w:sz w:val="22"/>
                <w:szCs w:val="22"/>
              </w:rPr>
              <w:t>GoT</w:t>
            </w:r>
            <w:proofErr w:type="spellEnd"/>
          </w:p>
        </w:tc>
        <w:tc>
          <w:tcPr>
            <w:tcW w:w="6480" w:type="dxa"/>
          </w:tcPr>
          <w:p w14:paraId="08DF8BA6" w14:textId="77777777" w:rsidR="00AE6EFA" w:rsidRPr="00AE6EFA" w:rsidRDefault="00AE6EFA" w:rsidP="00AE6EFA">
            <w:pPr>
              <w:ind w:left="252"/>
              <w:rPr>
                <w:sz w:val="22"/>
                <w:szCs w:val="22"/>
              </w:rPr>
            </w:pPr>
            <w:r w:rsidRPr="00AE6EFA">
              <w:rPr>
                <w:sz w:val="22"/>
                <w:szCs w:val="22"/>
              </w:rPr>
              <w:t>Government of Tajikistan</w:t>
            </w:r>
          </w:p>
        </w:tc>
      </w:tr>
      <w:tr w:rsidR="00AE6EFA" w:rsidRPr="003C3C3F" w14:paraId="0F99C9A8" w14:textId="77777777" w:rsidTr="00AE6EFA">
        <w:tc>
          <w:tcPr>
            <w:tcW w:w="2160" w:type="dxa"/>
          </w:tcPr>
          <w:p w14:paraId="432AC44B" w14:textId="77777777" w:rsidR="00AE6EFA" w:rsidRPr="00AE6EFA" w:rsidRDefault="00AE6EFA" w:rsidP="00AE6EFA">
            <w:pPr>
              <w:ind w:left="702"/>
              <w:rPr>
                <w:sz w:val="22"/>
                <w:szCs w:val="22"/>
              </w:rPr>
            </w:pPr>
            <w:r w:rsidRPr="00AE6EFA">
              <w:rPr>
                <w:sz w:val="22"/>
                <w:szCs w:val="22"/>
              </w:rPr>
              <w:t>IFC</w:t>
            </w:r>
          </w:p>
        </w:tc>
        <w:tc>
          <w:tcPr>
            <w:tcW w:w="6480" w:type="dxa"/>
          </w:tcPr>
          <w:p w14:paraId="5AB93E59" w14:textId="77777777" w:rsidR="00AE6EFA" w:rsidRPr="00AE6EFA" w:rsidRDefault="00AE6EFA" w:rsidP="00AE6EFA">
            <w:pPr>
              <w:ind w:left="252"/>
              <w:rPr>
                <w:sz w:val="22"/>
                <w:szCs w:val="22"/>
              </w:rPr>
            </w:pPr>
            <w:r w:rsidRPr="00AE6EFA">
              <w:rPr>
                <w:sz w:val="22"/>
                <w:szCs w:val="22"/>
              </w:rPr>
              <w:t>International Finance Corporation</w:t>
            </w:r>
          </w:p>
        </w:tc>
      </w:tr>
      <w:tr w:rsidR="00AE6EFA" w:rsidRPr="003C3C3F" w14:paraId="4A459F2E" w14:textId="77777777" w:rsidTr="00AE6EFA">
        <w:tc>
          <w:tcPr>
            <w:tcW w:w="2160" w:type="dxa"/>
          </w:tcPr>
          <w:p w14:paraId="19D9E609" w14:textId="77777777" w:rsidR="00AE6EFA" w:rsidRPr="00AE6EFA" w:rsidRDefault="00AE6EFA" w:rsidP="00AE6EFA">
            <w:pPr>
              <w:ind w:left="702"/>
              <w:rPr>
                <w:sz w:val="22"/>
                <w:szCs w:val="22"/>
              </w:rPr>
            </w:pPr>
            <w:r w:rsidRPr="00AE6EFA">
              <w:rPr>
                <w:sz w:val="22"/>
                <w:szCs w:val="22"/>
              </w:rPr>
              <w:t>IMCI</w:t>
            </w:r>
          </w:p>
        </w:tc>
        <w:tc>
          <w:tcPr>
            <w:tcW w:w="6480" w:type="dxa"/>
          </w:tcPr>
          <w:p w14:paraId="575A9CFE" w14:textId="77777777" w:rsidR="00AE6EFA" w:rsidRPr="00AE6EFA" w:rsidRDefault="00AE6EFA" w:rsidP="00AE6EFA">
            <w:pPr>
              <w:ind w:left="252"/>
              <w:rPr>
                <w:sz w:val="22"/>
                <w:szCs w:val="22"/>
              </w:rPr>
            </w:pPr>
            <w:r w:rsidRPr="00AE6EFA">
              <w:rPr>
                <w:sz w:val="22"/>
                <w:szCs w:val="22"/>
              </w:rPr>
              <w:t>Integrated Management of Childhood Illness</w:t>
            </w:r>
          </w:p>
        </w:tc>
      </w:tr>
      <w:tr w:rsidR="00AE6EFA" w:rsidRPr="003C3C3F" w14:paraId="4BC8BAB3" w14:textId="77777777" w:rsidTr="00AE6EFA">
        <w:tc>
          <w:tcPr>
            <w:tcW w:w="2160" w:type="dxa"/>
          </w:tcPr>
          <w:p w14:paraId="6BF8788E" w14:textId="77777777" w:rsidR="00AE6EFA" w:rsidRPr="00AE6EFA" w:rsidRDefault="00AE6EFA" w:rsidP="00AE6EFA">
            <w:pPr>
              <w:ind w:left="702"/>
              <w:rPr>
                <w:sz w:val="22"/>
                <w:szCs w:val="22"/>
              </w:rPr>
            </w:pPr>
            <w:r w:rsidRPr="00AE6EFA">
              <w:rPr>
                <w:sz w:val="22"/>
                <w:szCs w:val="22"/>
              </w:rPr>
              <w:t>LIC</w:t>
            </w:r>
          </w:p>
        </w:tc>
        <w:tc>
          <w:tcPr>
            <w:tcW w:w="6480" w:type="dxa"/>
          </w:tcPr>
          <w:p w14:paraId="3635DF6A" w14:textId="77777777" w:rsidR="00AE6EFA" w:rsidRPr="00AE6EFA" w:rsidRDefault="00AE6EFA" w:rsidP="00AE6EFA">
            <w:pPr>
              <w:ind w:left="252"/>
              <w:rPr>
                <w:sz w:val="22"/>
                <w:szCs w:val="22"/>
              </w:rPr>
            </w:pPr>
            <w:r w:rsidRPr="00AE6EFA">
              <w:rPr>
                <w:sz w:val="22"/>
                <w:szCs w:val="22"/>
              </w:rPr>
              <w:t>Low-Income Country</w:t>
            </w:r>
          </w:p>
        </w:tc>
      </w:tr>
      <w:tr w:rsidR="00AE6EFA" w:rsidRPr="003C3C3F" w14:paraId="3C7613D8" w14:textId="77777777" w:rsidTr="00AE6EFA">
        <w:tc>
          <w:tcPr>
            <w:tcW w:w="2160" w:type="dxa"/>
          </w:tcPr>
          <w:p w14:paraId="6EAF5305" w14:textId="77777777" w:rsidR="00AE6EFA" w:rsidRPr="00AE6EFA" w:rsidRDefault="00AE6EFA" w:rsidP="00AE6EFA">
            <w:pPr>
              <w:ind w:left="702"/>
              <w:rPr>
                <w:sz w:val="22"/>
                <w:szCs w:val="22"/>
              </w:rPr>
            </w:pPr>
            <w:r w:rsidRPr="00AE6EFA">
              <w:rPr>
                <w:sz w:val="22"/>
                <w:szCs w:val="22"/>
              </w:rPr>
              <w:t>MFO</w:t>
            </w:r>
          </w:p>
        </w:tc>
        <w:tc>
          <w:tcPr>
            <w:tcW w:w="6480" w:type="dxa"/>
          </w:tcPr>
          <w:p w14:paraId="5710D988" w14:textId="77777777" w:rsidR="00AE6EFA" w:rsidRPr="00AE6EFA" w:rsidRDefault="00AE6EFA" w:rsidP="00AE6EFA">
            <w:pPr>
              <w:ind w:left="252"/>
              <w:rPr>
                <w:sz w:val="22"/>
                <w:szCs w:val="22"/>
              </w:rPr>
            </w:pPr>
            <w:r w:rsidRPr="00AE6EFA">
              <w:rPr>
                <w:sz w:val="22"/>
                <w:szCs w:val="22"/>
              </w:rPr>
              <w:t>Micro Finance Organization</w:t>
            </w:r>
          </w:p>
        </w:tc>
      </w:tr>
      <w:tr w:rsidR="00AE6EFA" w:rsidRPr="003C3C3F" w14:paraId="3768CE90" w14:textId="77777777" w:rsidTr="00AE6EFA">
        <w:tc>
          <w:tcPr>
            <w:tcW w:w="2160" w:type="dxa"/>
          </w:tcPr>
          <w:p w14:paraId="18E40C5B" w14:textId="77777777" w:rsidR="00AE6EFA" w:rsidRPr="00AE6EFA" w:rsidRDefault="00AE6EFA" w:rsidP="00AE6EFA">
            <w:pPr>
              <w:ind w:left="702"/>
              <w:rPr>
                <w:sz w:val="22"/>
                <w:szCs w:val="22"/>
              </w:rPr>
            </w:pPr>
            <w:r w:rsidRPr="00AE6EFA">
              <w:rPr>
                <w:sz w:val="22"/>
                <w:szCs w:val="22"/>
              </w:rPr>
              <w:t>MICS</w:t>
            </w:r>
          </w:p>
        </w:tc>
        <w:tc>
          <w:tcPr>
            <w:tcW w:w="6480" w:type="dxa"/>
          </w:tcPr>
          <w:p w14:paraId="7FBAAC16" w14:textId="77777777" w:rsidR="00AE6EFA" w:rsidRPr="00AE6EFA" w:rsidRDefault="00AE6EFA" w:rsidP="00AE6EFA">
            <w:pPr>
              <w:ind w:left="252"/>
              <w:rPr>
                <w:sz w:val="22"/>
                <w:szCs w:val="22"/>
              </w:rPr>
            </w:pPr>
            <w:r w:rsidRPr="00AE6EFA">
              <w:rPr>
                <w:sz w:val="22"/>
                <w:szCs w:val="22"/>
              </w:rPr>
              <w:t>Multiple Indicator Cluster Survey</w:t>
            </w:r>
          </w:p>
        </w:tc>
      </w:tr>
      <w:tr w:rsidR="00AE6EFA" w:rsidRPr="003C3C3F" w14:paraId="392CD5D0" w14:textId="77777777" w:rsidTr="00AE6EFA">
        <w:tc>
          <w:tcPr>
            <w:tcW w:w="2160" w:type="dxa"/>
          </w:tcPr>
          <w:p w14:paraId="4AC94CD8" w14:textId="77777777" w:rsidR="00AE6EFA" w:rsidRPr="00AE6EFA" w:rsidRDefault="00AE6EFA" w:rsidP="00AE6EFA">
            <w:pPr>
              <w:ind w:left="702"/>
              <w:rPr>
                <w:sz w:val="22"/>
                <w:szCs w:val="22"/>
              </w:rPr>
            </w:pPr>
            <w:r w:rsidRPr="00AE6EFA">
              <w:rPr>
                <w:sz w:val="22"/>
                <w:szCs w:val="22"/>
              </w:rPr>
              <w:t>MOE</w:t>
            </w:r>
          </w:p>
        </w:tc>
        <w:tc>
          <w:tcPr>
            <w:tcW w:w="6480" w:type="dxa"/>
          </w:tcPr>
          <w:p w14:paraId="2795CED7" w14:textId="77777777" w:rsidR="00AE6EFA" w:rsidRPr="00AE6EFA" w:rsidRDefault="00AE6EFA" w:rsidP="00AE6EFA">
            <w:pPr>
              <w:ind w:left="252"/>
              <w:rPr>
                <w:sz w:val="22"/>
                <w:szCs w:val="22"/>
              </w:rPr>
            </w:pPr>
            <w:r w:rsidRPr="00AE6EFA">
              <w:rPr>
                <w:sz w:val="22"/>
                <w:szCs w:val="22"/>
              </w:rPr>
              <w:t>Ministry of Education</w:t>
            </w:r>
          </w:p>
        </w:tc>
      </w:tr>
      <w:tr w:rsidR="00AE6EFA" w:rsidRPr="003C3C3F" w14:paraId="6F950241" w14:textId="77777777" w:rsidTr="00AE6EFA">
        <w:tc>
          <w:tcPr>
            <w:tcW w:w="2160" w:type="dxa"/>
          </w:tcPr>
          <w:p w14:paraId="08135FE3" w14:textId="77777777" w:rsidR="00AE6EFA" w:rsidRPr="00AE6EFA" w:rsidRDefault="00AE6EFA" w:rsidP="00AE6EFA">
            <w:pPr>
              <w:ind w:left="702"/>
              <w:rPr>
                <w:sz w:val="22"/>
                <w:szCs w:val="22"/>
              </w:rPr>
            </w:pPr>
            <w:r w:rsidRPr="00AE6EFA">
              <w:rPr>
                <w:sz w:val="22"/>
                <w:szCs w:val="22"/>
              </w:rPr>
              <w:t>NCD</w:t>
            </w:r>
          </w:p>
        </w:tc>
        <w:tc>
          <w:tcPr>
            <w:tcW w:w="6480" w:type="dxa"/>
          </w:tcPr>
          <w:p w14:paraId="6A523A57" w14:textId="77777777" w:rsidR="00AE6EFA" w:rsidRPr="00AE6EFA" w:rsidRDefault="00AE6EFA" w:rsidP="00AE6EFA">
            <w:pPr>
              <w:ind w:left="252"/>
              <w:rPr>
                <w:sz w:val="22"/>
                <w:szCs w:val="22"/>
              </w:rPr>
            </w:pPr>
            <w:r w:rsidRPr="00AE6EFA">
              <w:rPr>
                <w:sz w:val="22"/>
                <w:szCs w:val="22"/>
              </w:rPr>
              <w:t>Non-Communicable Disease</w:t>
            </w:r>
          </w:p>
        </w:tc>
      </w:tr>
      <w:tr w:rsidR="00AE6EFA" w:rsidRPr="003C3C3F" w14:paraId="4783CB31"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47F1E665" w14:textId="77777777" w:rsidR="00AE6EFA" w:rsidRPr="00AE6EFA" w:rsidRDefault="00AE6EFA" w:rsidP="00AE6EFA">
            <w:pPr>
              <w:ind w:left="702"/>
              <w:rPr>
                <w:sz w:val="22"/>
                <w:szCs w:val="22"/>
              </w:rPr>
            </w:pPr>
            <w:r w:rsidRPr="00AE6EFA">
              <w:rPr>
                <w:sz w:val="22"/>
                <w:szCs w:val="22"/>
              </w:rPr>
              <w:t>NDS</w:t>
            </w:r>
          </w:p>
        </w:tc>
        <w:tc>
          <w:tcPr>
            <w:tcW w:w="6480" w:type="dxa"/>
            <w:tcBorders>
              <w:top w:val="nil"/>
              <w:left w:val="nil"/>
              <w:bottom w:val="nil"/>
              <w:right w:val="nil"/>
            </w:tcBorders>
          </w:tcPr>
          <w:p w14:paraId="26207DB8" w14:textId="77777777" w:rsidR="00AE6EFA" w:rsidRPr="00AE6EFA" w:rsidRDefault="00AE6EFA" w:rsidP="00AE6EFA">
            <w:pPr>
              <w:ind w:left="252"/>
              <w:rPr>
                <w:sz w:val="22"/>
                <w:szCs w:val="22"/>
              </w:rPr>
            </w:pPr>
            <w:r w:rsidRPr="00AE6EFA">
              <w:rPr>
                <w:sz w:val="22"/>
                <w:szCs w:val="22"/>
              </w:rPr>
              <w:t>National Development Strategy</w:t>
            </w:r>
          </w:p>
        </w:tc>
      </w:tr>
      <w:tr w:rsidR="00AE6EFA" w:rsidRPr="003C3C3F" w14:paraId="403243A2"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2616FE5B" w14:textId="77777777" w:rsidR="00AE6EFA" w:rsidRPr="00AE6EFA" w:rsidRDefault="00AE6EFA" w:rsidP="00AE6EFA">
            <w:pPr>
              <w:ind w:left="702"/>
              <w:rPr>
                <w:sz w:val="22"/>
                <w:szCs w:val="22"/>
              </w:rPr>
            </w:pPr>
            <w:r w:rsidRPr="00AE6EFA">
              <w:rPr>
                <w:sz w:val="22"/>
                <w:szCs w:val="22"/>
              </w:rPr>
              <w:t>NSED</w:t>
            </w:r>
          </w:p>
        </w:tc>
        <w:tc>
          <w:tcPr>
            <w:tcW w:w="6480" w:type="dxa"/>
            <w:tcBorders>
              <w:top w:val="nil"/>
              <w:left w:val="nil"/>
              <w:bottom w:val="nil"/>
              <w:right w:val="nil"/>
            </w:tcBorders>
          </w:tcPr>
          <w:p w14:paraId="5B289D95" w14:textId="77777777" w:rsidR="00AE6EFA" w:rsidRPr="00AE6EFA" w:rsidRDefault="00AE6EFA" w:rsidP="00AE6EFA">
            <w:pPr>
              <w:ind w:left="252"/>
              <w:rPr>
                <w:sz w:val="22"/>
                <w:szCs w:val="22"/>
              </w:rPr>
            </w:pPr>
            <w:r w:rsidRPr="00AE6EFA">
              <w:rPr>
                <w:sz w:val="22"/>
                <w:szCs w:val="22"/>
              </w:rPr>
              <w:t>National Strategy for Education and Development</w:t>
            </w:r>
          </w:p>
        </w:tc>
      </w:tr>
      <w:tr w:rsidR="00AE6EFA" w:rsidRPr="003C3C3F" w14:paraId="6DE300B5"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635963E8" w14:textId="77777777" w:rsidR="00AE6EFA" w:rsidRPr="00AE6EFA" w:rsidRDefault="00AE6EFA" w:rsidP="00AE6EFA">
            <w:pPr>
              <w:ind w:left="702"/>
              <w:rPr>
                <w:sz w:val="22"/>
                <w:szCs w:val="22"/>
              </w:rPr>
            </w:pPr>
            <w:r w:rsidRPr="00AE6EFA">
              <w:rPr>
                <w:sz w:val="22"/>
                <w:szCs w:val="22"/>
              </w:rPr>
              <w:t>PHC</w:t>
            </w:r>
          </w:p>
        </w:tc>
        <w:tc>
          <w:tcPr>
            <w:tcW w:w="6480" w:type="dxa"/>
            <w:tcBorders>
              <w:top w:val="nil"/>
              <w:left w:val="nil"/>
              <w:bottom w:val="nil"/>
              <w:right w:val="nil"/>
            </w:tcBorders>
          </w:tcPr>
          <w:p w14:paraId="775AB51D" w14:textId="77777777" w:rsidR="00AE6EFA" w:rsidRPr="00AE6EFA" w:rsidRDefault="00AE6EFA" w:rsidP="00AE6EFA">
            <w:pPr>
              <w:ind w:left="252"/>
              <w:rPr>
                <w:sz w:val="22"/>
                <w:szCs w:val="22"/>
              </w:rPr>
            </w:pPr>
            <w:r w:rsidRPr="00AE6EFA">
              <w:rPr>
                <w:sz w:val="22"/>
                <w:szCs w:val="22"/>
              </w:rPr>
              <w:t>Primary Health Care</w:t>
            </w:r>
          </w:p>
        </w:tc>
      </w:tr>
      <w:tr w:rsidR="00AE6EFA" w:rsidRPr="003C3C3F" w14:paraId="1B380A55"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389F249A" w14:textId="77777777" w:rsidR="00AE6EFA" w:rsidRPr="00AE6EFA" w:rsidRDefault="00AE6EFA" w:rsidP="00AE6EFA">
            <w:pPr>
              <w:ind w:left="702"/>
              <w:rPr>
                <w:sz w:val="22"/>
                <w:szCs w:val="22"/>
              </w:rPr>
            </w:pPr>
            <w:r w:rsidRPr="00AE6EFA">
              <w:rPr>
                <w:sz w:val="22"/>
                <w:szCs w:val="22"/>
              </w:rPr>
              <w:t>PISA</w:t>
            </w:r>
          </w:p>
        </w:tc>
        <w:tc>
          <w:tcPr>
            <w:tcW w:w="6480" w:type="dxa"/>
            <w:tcBorders>
              <w:top w:val="nil"/>
              <w:left w:val="nil"/>
              <w:bottom w:val="nil"/>
              <w:right w:val="nil"/>
            </w:tcBorders>
          </w:tcPr>
          <w:p w14:paraId="4C4C03BB" w14:textId="5EEE96F1" w:rsidR="00AE6EFA" w:rsidRPr="00AE6EFA" w:rsidRDefault="00AE6EFA" w:rsidP="00AE6EFA">
            <w:pPr>
              <w:ind w:left="252"/>
              <w:rPr>
                <w:sz w:val="22"/>
                <w:szCs w:val="22"/>
              </w:rPr>
            </w:pPr>
            <w:proofErr w:type="spellStart"/>
            <w:r w:rsidRPr="00AE6EFA">
              <w:rPr>
                <w:sz w:val="22"/>
                <w:szCs w:val="22"/>
              </w:rPr>
              <w:t>Programme</w:t>
            </w:r>
            <w:proofErr w:type="spellEnd"/>
            <w:r w:rsidRPr="00AE6EFA">
              <w:rPr>
                <w:sz w:val="22"/>
                <w:szCs w:val="22"/>
              </w:rPr>
              <w:t xml:space="preserve"> for International Student Assessment</w:t>
            </w:r>
          </w:p>
        </w:tc>
      </w:tr>
      <w:tr w:rsidR="00AE6EFA" w:rsidRPr="003C3C3F" w14:paraId="210F8264"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4FF119D9" w14:textId="77777777" w:rsidR="00AE6EFA" w:rsidRPr="00AE6EFA" w:rsidRDefault="00AE6EFA" w:rsidP="00AE6EFA">
            <w:pPr>
              <w:ind w:left="702"/>
              <w:rPr>
                <w:sz w:val="22"/>
                <w:szCs w:val="22"/>
              </w:rPr>
            </w:pPr>
            <w:r w:rsidRPr="00AE6EFA">
              <w:rPr>
                <w:sz w:val="22"/>
                <w:szCs w:val="22"/>
              </w:rPr>
              <w:t>PIRLS</w:t>
            </w:r>
          </w:p>
        </w:tc>
        <w:tc>
          <w:tcPr>
            <w:tcW w:w="6480" w:type="dxa"/>
            <w:tcBorders>
              <w:top w:val="nil"/>
              <w:left w:val="nil"/>
              <w:bottom w:val="nil"/>
              <w:right w:val="nil"/>
            </w:tcBorders>
          </w:tcPr>
          <w:p w14:paraId="6F7971CC" w14:textId="77777777" w:rsidR="00AE6EFA" w:rsidRPr="00AE6EFA" w:rsidRDefault="00AE6EFA" w:rsidP="00AE6EFA">
            <w:pPr>
              <w:ind w:left="252"/>
              <w:rPr>
                <w:sz w:val="22"/>
                <w:szCs w:val="22"/>
              </w:rPr>
            </w:pPr>
            <w:r w:rsidRPr="00AE6EFA">
              <w:rPr>
                <w:sz w:val="22"/>
                <w:szCs w:val="22"/>
              </w:rPr>
              <w:t>Progress in International Reading Literacy Study</w:t>
            </w:r>
          </w:p>
        </w:tc>
      </w:tr>
      <w:tr w:rsidR="00AE6EFA" w:rsidRPr="003C3C3F" w14:paraId="341753C9"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6B0A03BA" w14:textId="77777777" w:rsidR="00AE6EFA" w:rsidRPr="00AE6EFA" w:rsidRDefault="00AE6EFA" w:rsidP="00AE6EFA">
            <w:pPr>
              <w:ind w:left="702"/>
              <w:rPr>
                <w:sz w:val="22"/>
                <w:szCs w:val="22"/>
              </w:rPr>
            </w:pPr>
            <w:r w:rsidRPr="00AE6EFA">
              <w:rPr>
                <w:sz w:val="22"/>
                <w:szCs w:val="22"/>
              </w:rPr>
              <w:t>PRS</w:t>
            </w:r>
          </w:p>
        </w:tc>
        <w:tc>
          <w:tcPr>
            <w:tcW w:w="6480" w:type="dxa"/>
            <w:tcBorders>
              <w:top w:val="nil"/>
              <w:left w:val="nil"/>
              <w:bottom w:val="nil"/>
              <w:right w:val="nil"/>
            </w:tcBorders>
          </w:tcPr>
          <w:p w14:paraId="7A3DE8C2" w14:textId="77777777" w:rsidR="00AE6EFA" w:rsidRPr="00AE6EFA" w:rsidRDefault="00AE6EFA" w:rsidP="00AE6EFA">
            <w:pPr>
              <w:ind w:left="252"/>
              <w:rPr>
                <w:sz w:val="22"/>
                <w:szCs w:val="22"/>
              </w:rPr>
            </w:pPr>
            <w:r w:rsidRPr="00AE6EFA">
              <w:rPr>
                <w:sz w:val="22"/>
                <w:szCs w:val="22"/>
              </w:rPr>
              <w:t>Poverty Reduction Strategy</w:t>
            </w:r>
          </w:p>
        </w:tc>
      </w:tr>
      <w:tr w:rsidR="00AE6EFA" w:rsidRPr="003C3C3F" w14:paraId="3DBD883C"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7DF622DA" w14:textId="77777777" w:rsidR="00AE6EFA" w:rsidRPr="00AE6EFA" w:rsidRDefault="00AE6EFA" w:rsidP="00AE6EFA">
            <w:pPr>
              <w:ind w:left="702"/>
              <w:rPr>
                <w:sz w:val="22"/>
                <w:szCs w:val="22"/>
              </w:rPr>
            </w:pPr>
            <w:r w:rsidRPr="00AE6EFA">
              <w:rPr>
                <w:sz w:val="22"/>
                <w:szCs w:val="22"/>
              </w:rPr>
              <w:t>SME</w:t>
            </w:r>
          </w:p>
        </w:tc>
        <w:tc>
          <w:tcPr>
            <w:tcW w:w="6480" w:type="dxa"/>
            <w:tcBorders>
              <w:top w:val="nil"/>
              <w:left w:val="nil"/>
              <w:bottom w:val="nil"/>
              <w:right w:val="nil"/>
            </w:tcBorders>
          </w:tcPr>
          <w:p w14:paraId="66A4076B" w14:textId="77777777" w:rsidR="00AE6EFA" w:rsidRPr="00AE6EFA" w:rsidRDefault="00AE6EFA" w:rsidP="00AE6EFA">
            <w:pPr>
              <w:ind w:left="252"/>
              <w:rPr>
                <w:sz w:val="22"/>
                <w:szCs w:val="22"/>
              </w:rPr>
            </w:pPr>
            <w:r w:rsidRPr="00AE6EFA">
              <w:rPr>
                <w:sz w:val="22"/>
                <w:szCs w:val="22"/>
              </w:rPr>
              <w:t>Small and Medium Enterprise</w:t>
            </w:r>
          </w:p>
        </w:tc>
      </w:tr>
      <w:tr w:rsidR="00AE6EFA" w:rsidRPr="003C3C3F" w14:paraId="0D1F77F0"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2B204302" w14:textId="77777777" w:rsidR="00AE6EFA" w:rsidRPr="00AE6EFA" w:rsidRDefault="00AE6EFA" w:rsidP="00AE6EFA">
            <w:pPr>
              <w:ind w:left="702"/>
              <w:rPr>
                <w:sz w:val="22"/>
                <w:szCs w:val="22"/>
              </w:rPr>
            </w:pPr>
            <w:r w:rsidRPr="00AE6EFA">
              <w:rPr>
                <w:sz w:val="22"/>
                <w:szCs w:val="22"/>
              </w:rPr>
              <w:t>TIMSS</w:t>
            </w:r>
          </w:p>
        </w:tc>
        <w:tc>
          <w:tcPr>
            <w:tcW w:w="6480" w:type="dxa"/>
            <w:tcBorders>
              <w:top w:val="nil"/>
              <w:left w:val="nil"/>
              <w:bottom w:val="nil"/>
              <w:right w:val="nil"/>
            </w:tcBorders>
          </w:tcPr>
          <w:p w14:paraId="0FB77C12" w14:textId="77777777" w:rsidR="00AE6EFA" w:rsidRPr="00AE6EFA" w:rsidRDefault="00AE6EFA" w:rsidP="00AE6EFA">
            <w:pPr>
              <w:ind w:left="252"/>
              <w:rPr>
                <w:sz w:val="22"/>
                <w:szCs w:val="22"/>
              </w:rPr>
            </w:pPr>
            <w:r w:rsidRPr="00AE6EFA">
              <w:rPr>
                <w:sz w:val="22"/>
                <w:szCs w:val="22"/>
              </w:rPr>
              <w:t>Trends in International Mathematics and Science Study</w:t>
            </w:r>
          </w:p>
        </w:tc>
      </w:tr>
      <w:tr w:rsidR="00AE6EFA" w:rsidRPr="003C3C3F" w14:paraId="56B655B2"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0B48EAE9" w14:textId="77777777" w:rsidR="00AE6EFA" w:rsidRPr="00AE6EFA" w:rsidRDefault="00AE6EFA" w:rsidP="00AE6EFA">
            <w:pPr>
              <w:ind w:left="702"/>
              <w:rPr>
                <w:sz w:val="22"/>
                <w:szCs w:val="22"/>
              </w:rPr>
            </w:pPr>
            <w:r w:rsidRPr="00AE6EFA">
              <w:rPr>
                <w:sz w:val="22"/>
                <w:szCs w:val="22"/>
              </w:rPr>
              <w:t>TLSS</w:t>
            </w:r>
          </w:p>
        </w:tc>
        <w:tc>
          <w:tcPr>
            <w:tcW w:w="6480" w:type="dxa"/>
            <w:tcBorders>
              <w:top w:val="nil"/>
              <w:left w:val="nil"/>
              <w:bottom w:val="nil"/>
              <w:right w:val="nil"/>
            </w:tcBorders>
          </w:tcPr>
          <w:p w14:paraId="0768B361" w14:textId="77777777" w:rsidR="00AE6EFA" w:rsidRPr="00AE6EFA" w:rsidRDefault="00AE6EFA" w:rsidP="00AE6EFA">
            <w:pPr>
              <w:ind w:left="252"/>
              <w:rPr>
                <w:sz w:val="22"/>
                <w:szCs w:val="22"/>
              </w:rPr>
            </w:pPr>
            <w:r w:rsidRPr="00AE6EFA">
              <w:rPr>
                <w:sz w:val="22"/>
                <w:szCs w:val="22"/>
              </w:rPr>
              <w:t>Tajikistan Living Standards Survey</w:t>
            </w:r>
          </w:p>
        </w:tc>
      </w:tr>
      <w:tr w:rsidR="00AE6EFA" w:rsidRPr="003C3C3F" w14:paraId="6803B6D6"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2C02761E" w14:textId="77777777" w:rsidR="00AE6EFA" w:rsidRPr="00AE6EFA" w:rsidRDefault="00AE6EFA" w:rsidP="00AE6EFA">
            <w:pPr>
              <w:ind w:left="702"/>
              <w:rPr>
                <w:sz w:val="22"/>
                <w:szCs w:val="22"/>
              </w:rPr>
            </w:pPr>
            <w:r w:rsidRPr="00AE6EFA">
              <w:rPr>
                <w:sz w:val="22"/>
                <w:szCs w:val="22"/>
              </w:rPr>
              <w:t>UNICEF</w:t>
            </w:r>
          </w:p>
        </w:tc>
        <w:tc>
          <w:tcPr>
            <w:tcW w:w="6480" w:type="dxa"/>
            <w:tcBorders>
              <w:top w:val="nil"/>
              <w:left w:val="nil"/>
              <w:bottom w:val="nil"/>
              <w:right w:val="nil"/>
            </w:tcBorders>
          </w:tcPr>
          <w:p w14:paraId="757A1850" w14:textId="77777777" w:rsidR="00AE6EFA" w:rsidRPr="00AE6EFA" w:rsidRDefault="00AE6EFA" w:rsidP="00AE6EFA">
            <w:pPr>
              <w:ind w:left="252"/>
              <w:rPr>
                <w:sz w:val="22"/>
                <w:szCs w:val="22"/>
              </w:rPr>
            </w:pPr>
            <w:r w:rsidRPr="00AE6EFA">
              <w:rPr>
                <w:sz w:val="22"/>
                <w:szCs w:val="22"/>
              </w:rPr>
              <w:t>United Nations Children’s Fund</w:t>
            </w:r>
          </w:p>
        </w:tc>
      </w:tr>
      <w:tr w:rsidR="00AE6EFA" w:rsidRPr="003C3C3F" w14:paraId="202B7A30"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718A20A8" w14:textId="77777777" w:rsidR="00AE6EFA" w:rsidRPr="00AE6EFA" w:rsidRDefault="00AE6EFA" w:rsidP="00AE6EFA">
            <w:pPr>
              <w:ind w:left="702"/>
              <w:rPr>
                <w:sz w:val="22"/>
                <w:szCs w:val="22"/>
              </w:rPr>
            </w:pPr>
            <w:r w:rsidRPr="00AE6EFA">
              <w:rPr>
                <w:sz w:val="22"/>
                <w:szCs w:val="22"/>
              </w:rPr>
              <w:t>USSR</w:t>
            </w:r>
          </w:p>
        </w:tc>
        <w:tc>
          <w:tcPr>
            <w:tcW w:w="6480" w:type="dxa"/>
            <w:tcBorders>
              <w:top w:val="nil"/>
              <w:left w:val="nil"/>
              <w:bottom w:val="nil"/>
              <w:right w:val="nil"/>
            </w:tcBorders>
          </w:tcPr>
          <w:p w14:paraId="5B13C2F8" w14:textId="77777777" w:rsidR="00AE6EFA" w:rsidRPr="00AE6EFA" w:rsidRDefault="00AE6EFA" w:rsidP="00AE6EFA">
            <w:pPr>
              <w:ind w:left="252"/>
              <w:rPr>
                <w:sz w:val="22"/>
                <w:szCs w:val="22"/>
              </w:rPr>
            </w:pPr>
            <w:r w:rsidRPr="00AE6EFA">
              <w:rPr>
                <w:sz w:val="22"/>
                <w:szCs w:val="22"/>
              </w:rPr>
              <w:t>Union of Soviet Socialist Republics</w:t>
            </w:r>
          </w:p>
        </w:tc>
      </w:tr>
      <w:tr w:rsidR="00AE6EFA" w:rsidRPr="003C3C3F" w14:paraId="4C7EBF21"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3EFB51F6" w14:textId="77777777" w:rsidR="00AE6EFA" w:rsidRPr="00AE6EFA" w:rsidRDefault="00AE6EFA" w:rsidP="00AE6EFA">
            <w:pPr>
              <w:ind w:left="702"/>
              <w:rPr>
                <w:sz w:val="22"/>
                <w:szCs w:val="22"/>
              </w:rPr>
            </w:pPr>
            <w:r w:rsidRPr="00AE6EFA">
              <w:rPr>
                <w:sz w:val="22"/>
                <w:szCs w:val="22"/>
              </w:rPr>
              <w:t>WB</w:t>
            </w:r>
          </w:p>
        </w:tc>
        <w:tc>
          <w:tcPr>
            <w:tcW w:w="6480" w:type="dxa"/>
            <w:tcBorders>
              <w:top w:val="nil"/>
              <w:left w:val="nil"/>
              <w:bottom w:val="nil"/>
              <w:right w:val="nil"/>
            </w:tcBorders>
          </w:tcPr>
          <w:p w14:paraId="4A8431FE" w14:textId="77777777" w:rsidR="00AE6EFA" w:rsidRPr="00AE6EFA" w:rsidRDefault="00AE6EFA" w:rsidP="00AE6EFA">
            <w:pPr>
              <w:ind w:left="252"/>
              <w:rPr>
                <w:sz w:val="22"/>
                <w:szCs w:val="22"/>
              </w:rPr>
            </w:pPr>
            <w:r w:rsidRPr="00AE6EFA">
              <w:rPr>
                <w:sz w:val="22"/>
                <w:szCs w:val="22"/>
              </w:rPr>
              <w:t>World Bank</w:t>
            </w:r>
          </w:p>
        </w:tc>
      </w:tr>
      <w:tr w:rsidR="00AE6EFA" w:rsidRPr="003C3C3F" w14:paraId="7D81FCDC" w14:textId="77777777" w:rsidTr="00AE6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0" w:type="dxa"/>
            <w:tcBorders>
              <w:top w:val="nil"/>
              <w:left w:val="nil"/>
              <w:bottom w:val="nil"/>
              <w:right w:val="nil"/>
            </w:tcBorders>
          </w:tcPr>
          <w:p w14:paraId="3577375F" w14:textId="77777777" w:rsidR="00AE6EFA" w:rsidRPr="00AE6EFA" w:rsidRDefault="00AE6EFA" w:rsidP="00AE6EFA">
            <w:pPr>
              <w:ind w:left="702"/>
              <w:rPr>
                <w:sz w:val="22"/>
                <w:szCs w:val="22"/>
              </w:rPr>
            </w:pPr>
            <w:r w:rsidRPr="00AE6EFA">
              <w:rPr>
                <w:sz w:val="22"/>
                <w:szCs w:val="22"/>
              </w:rPr>
              <w:t>WHO</w:t>
            </w:r>
          </w:p>
        </w:tc>
        <w:tc>
          <w:tcPr>
            <w:tcW w:w="6480" w:type="dxa"/>
            <w:tcBorders>
              <w:top w:val="nil"/>
              <w:left w:val="nil"/>
              <w:bottom w:val="nil"/>
              <w:right w:val="nil"/>
            </w:tcBorders>
          </w:tcPr>
          <w:p w14:paraId="3993FDF2" w14:textId="77777777" w:rsidR="00AE6EFA" w:rsidRPr="00AE6EFA" w:rsidRDefault="00AE6EFA" w:rsidP="00AE6EFA">
            <w:pPr>
              <w:ind w:left="252"/>
              <w:rPr>
                <w:sz w:val="22"/>
                <w:szCs w:val="22"/>
              </w:rPr>
            </w:pPr>
            <w:r w:rsidRPr="00AE6EFA">
              <w:rPr>
                <w:sz w:val="22"/>
                <w:szCs w:val="22"/>
              </w:rPr>
              <w:t>World Health Organization</w:t>
            </w:r>
          </w:p>
        </w:tc>
      </w:tr>
    </w:tbl>
    <w:p w14:paraId="71CB1C83" w14:textId="77777777" w:rsidR="00B5234E" w:rsidRDefault="00B5234E" w:rsidP="00B5234E">
      <w:pPr>
        <w:jc w:val="center"/>
        <w:rPr>
          <w:sz w:val="22"/>
          <w:szCs w:val="22"/>
        </w:rPr>
      </w:pPr>
    </w:p>
    <w:p w14:paraId="6AF72AFB" w14:textId="77777777" w:rsidR="00AE6EFA" w:rsidRPr="005C2D48" w:rsidRDefault="00AE6EFA" w:rsidP="00B5234E">
      <w:pPr>
        <w:jc w:val="center"/>
        <w:rPr>
          <w:sz w:val="22"/>
          <w:szCs w:val="22"/>
        </w:rPr>
      </w:pPr>
    </w:p>
    <w:p w14:paraId="7C48166A" w14:textId="77777777" w:rsidR="00B5234E" w:rsidRPr="005C2D48" w:rsidRDefault="00B5234E" w:rsidP="00B5234E">
      <w:pPr>
        <w:jc w:val="center"/>
        <w:rPr>
          <w:sz w:val="22"/>
          <w:szCs w:val="22"/>
        </w:rPr>
      </w:pPr>
    </w:p>
    <w:tbl>
      <w:tblPr>
        <w:tblStyle w:val="TableGrid"/>
        <w:tblW w:w="0" w:type="auto"/>
        <w:tblInd w:w="2268" w:type="dxa"/>
        <w:tblLayout w:type="fixed"/>
        <w:tblLook w:val="01E0" w:firstRow="1" w:lastRow="1" w:firstColumn="1" w:lastColumn="1" w:noHBand="0" w:noVBand="0"/>
      </w:tblPr>
      <w:tblGrid>
        <w:gridCol w:w="2284"/>
        <w:gridCol w:w="236"/>
        <w:gridCol w:w="2520"/>
      </w:tblGrid>
      <w:tr w:rsidR="00B5234E" w:rsidRPr="005C2D48" w14:paraId="6E55F079" w14:textId="77777777">
        <w:tc>
          <w:tcPr>
            <w:tcW w:w="2284" w:type="dxa"/>
            <w:tcBorders>
              <w:top w:val="single" w:sz="4" w:space="0" w:color="auto"/>
              <w:left w:val="single" w:sz="4" w:space="0" w:color="auto"/>
              <w:bottom w:val="nil"/>
              <w:right w:val="nil"/>
            </w:tcBorders>
          </w:tcPr>
          <w:p w14:paraId="7490DD8F" w14:textId="77777777" w:rsidR="00B5234E" w:rsidRPr="005C2D48" w:rsidRDefault="00B5234E" w:rsidP="00B5234E">
            <w:pPr>
              <w:jc w:val="right"/>
              <w:rPr>
                <w:sz w:val="22"/>
                <w:szCs w:val="22"/>
              </w:rPr>
            </w:pPr>
            <w:r w:rsidRPr="005C2D48">
              <w:rPr>
                <w:sz w:val="22"/>
                <w:szCs w:val="22"/>
              </w:rPr>
              <w:t>Vice President</w:t>
            </w:r>
          </w:p>
        </w:tc>
        <w:tc>
          <w:tcPr>
            <w:tcW w:w="236" w:type="dxa"/>
            <w:tcBorders>
              <w:top w:val="single" w:sz="4" w:space="0" w:color="auto"/>
              <w:left w:val="nil"/>
              <w:bottom w:val="nil"/>
              <w:right w:val="nil"/>
            </w:tcBorders>
          </w:tcPr>
          <w:p w14:paraId="7490BD4B" w14:textId="77777777" w:rsidR="00B5234E" w:rsidRPr="005C2D48" w:rsidRDefault="00B5234E" w:rsidP="00B5234E">
            <w:pPr>
              <w:jc w:val="center"/>
              <w:rPr>
                <w:sz w:val="22"/>
                <w:szCs w:val="22"/>
              </w:rPr>
            </w:pPr>
            <w:r w:rsidRPr="005C2D48">
              <w:rPr>
                <w:sz w:val="22"/>
                <w:szCs w:val="22"/>
              </w:rPr>
              <w:t>:</w:t>
            </w:r>
          </w:p>
        </w:tc>
        <w:tc>
          <w:tcPr>
            <w:tcW w:w="2520" w:type="dxa"/>
            <w:tcBorders>
              <w:top w:val="single" w:sz="4" w:space="0" w:color="auto"/>
              <w:left w:val="nil"/>
              <w:bottom w:val="nil"/>
              <w:right w:val="single" w:sz="4" w:space="0" w:color="auto"/>
            </w:tcBorders>
          </w:tcPr>
          <w:p w14:paraId="6FBADA4F" w14:textId="77777777" w:rsidR="00B5234E" w:rsidRPr="005C2D48" w:rsidRDefault="0067111C" w:rsidP="00B5234E">
            <w:pPr>
              <w:rPr>
                <w:sz w:val="22"/>
                <w:szCs w:val="22"/>
              </w:rPr>
            </w:pPr>
            <w:r>
              <w:rPr>
                <w:sz w:val="22"/>
                <w:szCs w:val="22"/>
              </w:rPr>
              <w:t xml:space="preserve">Philippe H. Le </w:t>
            </w:r>
            <w:proofErr w:type="spellStart"/>
            <w:r>
              <w:rPr>
                <w:sz w:val="22"/>
                <w:szCs w:val="22"/>
              </w:rPr>
              <w:t>Houerou</w:t>
            </w:r>
            <w:proofErr w:type="spellEnd"/>
          </w:p>
        </w:tc>
      </w:tr>
      <w:tr w:rsidR="00B5234E" w:rsidRPr="005C2D48" w14:paraId="0B49DBF6" w14:textId="77777777">
        <w:tc>
          <w:tcPr>
            <w:tcW w:w="2284" w:type="dxa"/>
            <w:tcBorders>
              <w:top w:val="nil"/>
              <w:left w:val="single" w:sz="4" w:space="0" w:color="auto"/>
              <w:bottom w:val="nil"/>
              <w:right w:val="nil"/>
            </w:tcBorders>
          </w:tcPr>
          <w:p w14:paraId="71F741D2" w14:textId="77777777" w:rsidR="00B5234E" w:rsidRPr="005C2D48" w:rsidRDefault="00B5234E" w:rsidP="00B5234E">
            <w:pPr>
              <w:jc w:val="right"/>
              <w:rPr>
                <w:sz w:val="22"/>
                <w:szCs w:val="22"/>
              </w:rPr>
            </w:pPr>
            <w:r w:rsidRPr="005C2D48">
              <w:rPr>
                <w:sz w:val="22"/>
                <w:szCs w:val="22"/>
              </w:rPr>
              <w:t>Country Director</w:t>
            </w:r>
          </w:p>
        </w:tc>
        <w:tc>
          <w:tcPr>
            <w:tcW w:w="236" w:type="dxa"/>
            <w:tcBorders>
              <w:top w:val="nil"/>
              <w:left w:val="nil"/>
              <w:bottom w:val="nil"/>
              <w:right w:val="nil"/>
            </w:tcBorders>
          </w:tcPr>
          <w:p w14:paraId="35A51CD6" w14:textId="77777777" w:rsidR="00B5234E" w:rsidRPr="005C2D48" w:rsidRDefault="00B5234E" w:rsidP="00B5234E">
            <w:pPr>
              <w:jc w:val="center"/>
              <w:rPr>
                <w:sz w:val="22"/>
                <w:szCs w:val="22"/>
              </w:rPr>
            </w:pPr>
            <w:r w:rsidRPr="005C2D48">
              <w:rPr>
                <w:sz w:val="22"/>
                <w:szCs w:val="22"/>
              </w:rPr>
              <w:t>:</w:t>
            </w:r>
          </w:p>
        </w:tc>
        <w:tc>
          <w:tcPr>
            <w:tcW w:w="2520" w:type="dxa"/>
            <w:tcBorders>
              <w:top w:val="nil"/>
              <w:left w:val="nil"/>
              <w:bottom w:val="nil"/>
              <w:right w:val="single" w:sz="4" w:space="0" w:color="auto"/>
            </w:tcBorders>
          </w:tcPr>
          <w:p w14:paraId="1A5007D9" w14:textId="77777777" w:rsidR="00B5234E" w:rsidRPr="005C2D48" w:rsidRDefault="0067111C" w:rsidP="00B5234E">
            <w:pPr>
              <w:rPr>
                <w:sz w:val="22"/>
                <w:szCs w:val="22"/>
              </w:rPr>
            </w:pPr>
            <w:proofErr w:type="spellStart"/>
            <w:r>
              <w:rPr>
                <w:sz w:val="22"/>
                <w:szCs w:val="22"/>
              </w:rPr>
              <w:t>Saroj</w:t>
            </w:r>
            <w:proofErr w:type="spellEnd"/>
            <w:r>
              <w:rPr>
                <w:sz w:val="22"/>
                <w:szCs w:val="22"/>
              </w:rPr>
              <w:t xml:space="preserve"> Kumar </w:t>
            </w:r>
            <w:proofErr w:type="spellStart"/>
            <w:r>
              <w:rPr>
                <w:sz w:val="22"/>
                <w:szCs w:val="22"/>
              </w:rPr>
              <w:t>Jha</w:t>
            </w:r>
            <w:proofErr w:type="spellEnd"/>
          </w:p>
        </w:tc>
      </w:tr>
      <w:tr w:rsidR="00B5234E" w:rsidRPr="005C2D48" w14:paraId="03365399" w14:textId="77777777">
        <w:tc>
          <w:tcPr>
            <w:tcW w:w="2284" w:type="dxa"/>
            <w:tcBorders>
              <w:top w:val="nil"/>
              <w:left w:val="single" w:sz="4" w:space="0" w:color="auto"/>
              <w:bottom w:val="nil"/>
              <w:right w:val="nil"/>
            </w:tcBorders>
          </w:tcPr>
          <w:p w14:paraId="2B8834D3" w14:textId="77777777" w:rsidR="00B5234E" w:rsidRPr="005C2D48" w:rsidRDefault="00B5234E" w:rsidP="00B5234E">
            <w:pPr>
              <w:jc w:val="right"/>
              <w:rPr>
                <w:sz w:val="22"/>
                <w:szCs w:val="22"/>
              </w:rPr>
            </w:pPr>
            <w:r w:rsidRPr="005C2D48">
              <w:rPr>
                <w:sz w:val="22"/>
                <w:szCs w:val="22"/>
              </w:rPr>
              <w:t>Sector Director</w:t>
            </w:r>
          </w:p>
        </w:tc>
        <w:tc>
          <w:tcPr>
            <w:tcW w:w="236" w:type="dxa"/>
            <w:tcBorders>
              <w:top w:val="nil"/>
              <w:left w:val="nil"/>
              <w:bottom w:val="nil"/>
              <w:right w:val="nil"/>
            </w:tcBorders>
          </w:tcPr>
          <w:p w14:paraId="235F4EEE" w14:textId="77777777" w:rsidR="00B5234E" w:rsidRPr="005C2D48" w:rsidRDefault="00B5234E" w:rsidP="00B5234E">
            <w:pPr>
              <w:jc w:val="center"/>
              <w:rPr>
                <w:sz w:val="22"/>
                <w:szCs w:val="22"/>
              </w:rPr>
            </w:pPr>
            <w:r w:rsidRPr="005C2D48">
              <w:rPr>
                <w:sz w:val="22"/>
                <w:szCs w:val="22"/>
              </w:rPr>
              <w:t>:</w:t>
            </w:r>
          </w:p>
        </w:tc>
        <w:tc>
          <w:tcPr>
            <w:tcW w:w="2520" w:type="dxa"/>
            <w:tcBorders>
              <w:top w:val="nil"/>
              <w:left w:val="nil"/>
              <w:bottom w:val="nil"/>
              <w:right w:val="single" w:sz="4" w:space="0" w:color="auto"/>
            </w:tcBorders>
          </w:tcPr>
          <w:p w14:paraId="1A63D6DB" w14:textId="77777777" w:rsidR="00B5234E" w:rsidRPr="005C2D48" w:rsidRDefault="0067111C" w:rsidP="00B5234E">
            <w:pPr>
              <w:rPr>
                <w:sz w:val="22"/>
                <w:szCs w:val="22"/>
              </w:rPr>
            </w:pPr>
            <w:r>
              <w:rPr>
                <w:sz w:val="22"/>
                <w:szCs w:val="22"/>
              </w:rPr>
              <w:t xml:space="preserve">Yvonne M. </w:t>
            </w:r>
            <w:proofErr w:type="spellStart"/>
            <w:r>
              <w:rPr>
                <w:sz w:val="22"/>
                <w:szCs w:val="22"/>
              </w:rPr>
              <w:t>Tsikata</w:t>
            </w:r>
            <w:proofErr w:type="spellEnd"/>
          </w:p>
        </w:tc>
      </w:tr>
      <w:tr w:rsidR="00B5234E" w:rsidRPr="005C2D48" w14:paraId="0E860CE5" w14:textId="77777777">
        <w:tc>
          <w:tcPr>
            <w:tcW w:w="2284" w:type="dxa"/>
            <w:tcBorders>
              <w:top w:val="nil"/>
              <w:left w:val="single" w:sz="4" w:space="0" w:color="auto"/>
              <w:bottom w:val="nil"/>
              <w:right w:val="nil"/>
            </w:tcBorders>
          </w:tcPr>
          <w:p w14:paraId="5631C55C" w14:textId="77777777" w:rsidR="00B5234E" w:rsidRPr="005C2D48" w:rsidRDefault="00B5234E" w:rsidP="00B5234E">
            <w:pPr>
              <w:jc w:val="right"/>
              <w:rPr>
                <w:sz w:val="22"/>
                <w:szCs w:val="22"/>
              </w:rPr>
            </w:pPr>
            <w:r w:rsidRPr="005C2D48">
              <w:rPr>
                <w:sz w:val="22"/>
                <w:szCs w:val="22"/>
              </w:rPr>
              <w:t>Sector Manager</w:t>
            </w:r>
          </w:p>
        </w:tc>
        <w:tc>
          <w:tcPr>
            <w:tcW w:w="236" w:type="dxa"/>
            <w:tcBorders>
              <w:top w:val="nil"/>
              <w:left w:val="nil"/>
              <w:bottom w:val="nil"/>
              <w:right w:val="nil"/>
            </w:tcBorders>
          </w:tcPr>
          <w:p w14:paraId="4E6D3DC7" w14:textId="77777777" w:rsidR="00B5234E" w:rsidRPr="005C2D48" w:rsidRDefault="00B5234E" w:rsidP="00B5234E">
            <w:pPr>
              <w:jc w:val="center"/>
              <w:rPr>
                <w:sz w:val="22"/>
                <w:szCs w:val="22"/>
              </w:rPr>
            </w:pPr>
            <w:r w:rsidRPr="005C2D48">
              <w:rPr>
                <w:sz w:val="22"/>
                <w:szCs w:val="22"/>
              </w:rPr>
              <w:t>:</w:t>
            </w:r>
          </w:p>
        </w:tc>
        <w:tc>
          <w:tcPr>
            <w:tcW w:w="2520" w:type="dxa"/>
            <w:tcBorders>
              <w:top w:val="nil"/>
              <w:left w:val="nil"/>
              <w:bottom w:val="nil"/>
              <w:right w:val="single" w:sz="4" w:space="0" w:color="auto"/>
            </w:tcBorders>
          </w:tcPr>
          <w:p w14:paraId="4FE7E697" w14:textId="77777777" w:rsidR="00B5234E" w:rsidRPr="005C2D48" w:rsidRDefault="0067111C" w:rsidP="00B5234E">
            <w:pPr>
              <w:rPr>
                <w:sz w:val="22"/>
                <w:szCs w:val="22"/>
              </w:rPr>
            </w:pPr>
            <w:r>
              <w:rPr>
                <w:sz w:val="22"/>
                <w:szCs w:val="22"/>
              </w:rPr>
              <w:t>Carolina Sanchez-</w:t>
            </w:r>
            <w:proofErr w:type="spellStart"/>
            <w:r>
              <w:rPr>
                <w:sz w:val="22"/>
                <w:szCs w:val="22"/>
              </w:rPr>
              <w:t>Paramo</w:t>
            </w:r>
            <w:proofErr w:type="spellEnd"/>
          </w:p>
        </w:tc>
      </w:tr>
      <w:tr w:rsidR="00B5234E" w:rsidRPr="005C2D48" w14:paraId="7BB022AE" w14:textId="77777777">
        <w:tc>
          <w:tcPr>
            <w:tcW w:w="2284" w:type="dxa"/>
            <w:tcBorders>
              <w:top w:val="nil"/>
              <w:left w:val="single" w:sz="4" w:space="0" w:color="auto"/>
              <w:bottom w:val="single" w:sz="4" w:space="0" w:color="auto"/>
              <w:right w:val="nil"/>
            </w:tcBorders>
          </w:tcPr>
          <w:p w14:paraId="47A95F18" w14:textId="77777777" w:rsidR="00B5234E" w:rsidRPr="005C2D48" w:rsidRDefault="00B5234E" w:rsidP="00B5234E">
            <w:pPr>
              <w:jc w:val="right"/>
              <w:rPr>
                <w:sz w:val="22"/>
                <w:szCs w:val="22"/>
              </w:rPr>
            </w:pPr>
            <w:r w:rsidRPr="005C2D48">
              <w:rPr>
                <w:sz w:val="22"/>
                <w:szCs w:val="22"/>
              </w:rPr>
              <w:t>Task Leader</w:t>
            </w:r>
          </w:p>
        </w:tc>
        <w:tc>
          <w:tcPr>
            <w:tcW w:w="236" w:type="dxa"/>
            <w:tcBorders>
              <w:top w:val="nil"/>
              <w:left w:val="nil"/>
              <w:bottom w:val="single" w:sz="4" w:space="0" w:color="auto"/>
              <w:right w:val="nil"/>
            </w:tcBorders>
          </w:tcPr>
          <w:p w14:paraId="47B1F482" w14:textId="77777777" w:rsidR="00B5234E" w:rsidRPr="005C2D48" w:rsidRDefault="00B5234E" w:rsidP="00B5234E">
            <w:pPr>
              <w:jc w:val="center"/>
              <w:rPr>
                <w:sz w:val="22"/>
                <w:szCs w:val="22"/>
              </w:rPr>
            </w:pPr>
            <w:r w:rsidRPr="005C2D48">
              <w:rPr>
                <w:sz w:val="22"/>
                <w:szCs w:val="22"/>
              </w:rPr>
              <w:t>:</w:t>
            </w:r>
          </w:p>
        </w:tc>
        <w:tc>
          <w:tcPr>
            <w:tcW w:w="2520" w:type="dxa"/>
            <w:tcBorders>
              <w:top w:val="nil"/>
              <w:left w:val="nil"/>
              <w:bottom w:val="single" w:sz="4" w:space="0" w:color="auto"/>
              <w:right w:val="single" w:sz="4" w:space="0" w:color="auto"/>
            </w:tcBorders>
          </w:tcPr>
          <w:p w14:paraId="10FE026F" w14:textId="77777777" w:rsidR="00B5234E" w:rsidRPr="005C2D48" w:rsidRDefault="0067111C" w:rsidP="00B5234E">
            <w:pPr>
              <w:rPr>
                <w:sz w:val="22"/>
                <w:szCs w:val="22"/>
              </w:rPr>
            </w:pPr>
            <w:proofErr w:type="spellStart"/>
            <w:r>
              <w:rPr>
                <w:sz w:val="22"/>
                <w:szCs w:val="22"/>
              </w:rPr>
              <w:t>Sarosh</w:t>
            </w:r>
            <w:proofErr w:type="spellEnd"/>
            <w:r>
              <w:rPr>
                <w:sz w:val="22"/>
                <w:szCs w:val="22"/>
              </w:rPr>
              <w:t xml:space="preserve"> </w:t>
            </w:r>
            <w:proofErr w:type="spellStart"/>
            <w:r>
              <w:rPr>
                <w:sz w:val="22"/>
                <w:szCs w:val="22"/>
              </w:rPr>
              <w:t>Sattar</w:t>
            </w:r>
            <w:proofErr w:type="spellEnd"/>
          </w:p>
        </w:tc>
      </w:tr>
    </w:tbl>
    <w:p w14:paraId="2F2F5C8E" w14:textId="77777777" w:rsidR="006E334E" w:rsidRDefault="006E334E">
      <w:r>
        <w:br w:type="page"/>
      </w:r>
    </w:p>
    <w:p w14:paraId="46FE8A6D" w14:textId="77777777" w:rsidR="0067111C" w:rsidRDefault="0067111C" w:rsidP="00B5234E">
      <w:pPr>
        <w:spacing w:before="720" w:after="240"/>
        <w:jc w:val="center"/>
        <w:rPr>
          <w:b/>
          <w:sz w:val="32"/>
          <w:szCs w:val="32"/>
        </w:rPr>
      </w:pPr>
    </w:p>
    <w:p w14:paraId="2E116572" w14:textId="77777777" w:rsidR="00B5234E" w:rsidRPr="00ED6FBA" w:rsidRDefault="00B5234E" w:rsidP="00B5234E">
      <w:pPr>
        <w:spacing w:before="720" w:after="240"/>
        <w:jc w:val="center"/>
        <w:rPr>
          <w:b/>
          <w:sz w:val="32"/>
          <w:szCs w:val="32"/>
        </w:rPr>
      </w:pPr>
      <w:r w:rsidRPr="00ED6FBA">
        <w:rPr>
          <w:b/>
          <w:sz w:val="32"/>
          <w:szCs w:val="32"/>
        </w:rPr>
        <w:t>ACKNOWLEDGEMENTS</w:t>
      </w:r>
    </w:p>
    <w:p w14:paraId="6C6D84D4" w14:textId="77777777" w:rsidR="0067111C" w:rsidRDefault="0067111C" w:rsidP="0067111C">
      <w:pPr>
        <w:jc w:val="both"/>
        <w:rPr>
          <w:sz w:val="22"/>
          <w:szCs w:val="22"/>
        </w:rPr>
      </w:pPr>
    </w:p>
    <w:p w14:paraId="408D9E9E" w14:textId="77777777" w:rsidR="0067111C" w:rsidRDefault="0067111C" w:rsidP="0067111C">
      <w:pPr>
        <w:jc w:val="both"/>
        <w:rPr>
          <w:sz w:val="22"/>
          <w:szCs w:val="22"/>
        </w:rPr>
      </w:pPr>
    </w:p>
    <w:p w14:paraId="140AF8EE" w14:textId="69586794" w:rsidR="0067111C" w:rsidRPr="004356FE" w:rsidRDefault="0067111C" w:rsidP="00F071D3">
      <w:pPr>
        <w:pStyle w:val="Default"/>
        <w:jc w:val="both"/>
        <w:rPr>
          <w:sz w:val="22"/>
          <w:szCs w:val="22"/>
        </w:rPr>
      </w:pPr>
      <w:r w:rsidRPr="004356FE">
        <w:rPr>
          <w:sz w:val="22"/>
          <w:szCs w:val="22"/>
        </w:rPr>
        <w:t xml:space="preserve">This note was prepared </w:t>
      </w:r>
      <w:r>
        <w:rPr>
          <w:sz w:val="22"/>
          <w:szCs w:val="22"/>
        </w:rPr>
        <w:t xml:space="preserve">by a </w:t>
      </w:r>
      <w:proofErr w:type="spellStart"/>
      <w:r w:rsidRPr="004356FE">
        <w:rPr>
          <w:sz w:val="22"/>
          <w:szCs w:val="22"/>
        </w:rPr>
        <w:t>Sarosh</w:t>
      </w:r>
      <w:proofErr w:type="spellEnd"/>
      <w:r w:rsidRPr="004356FE">
        <w:rPr>
          <w:sz w:val="22"/>
          <w:szCs w:val="22"/>
        </w:rPr>
        <w:t xml:space="preserve"> </w:t>
      </w:r>
      <w:proofErr w:type="spellStart"/>
      <w:r w:rsidRPr="004356FE">
        <w:rPr>
          <w:sz w:val="22"/>
          <w:szCs w:val="22"/>
        </w:rPr>
        <w:t>Sattar</w:t>
      </w:r>
      <w:proofErr w:type="spellEnd"/>
      <w:r>
        <w:rPr>
          <w:sz w:val="22"/>
          <w:szCs w:val="22"/>
        </w:rPr>
        <w:t xml:space="preserve"> (team leader), Mira </w:t>
      </w:r>
      <w:proofErr w:type="spellStart"/>
      <w:r>
        <w:rPr>
          <w:sz w:val="22"/>
          <w:szCs w:val="22"/>
        </w:rPr>
        <w:t>Bierbaum</w:t>
      </w:r>
      <w:proofErr w:type="spellEnd"/>
      <w:r w:rsidR="00F071D3">
        <w:rPr>
          <w:sz w:val="22"/>
          <w:szCs w:val="22"/>
        </w:rPr>
        <w:t>,</w:t>
      </w:r>
      <w:r>
        <w:rPr>
          <w:sz w:val="22"/>
          <w:szCs w:val="22"/>
        </w:rPr>
        <w:t xml:space="preserve"> </w:t>
      </w:r>
      <w:proofErr w:type="spellStart"/>
      <w:r w:rsidR="00F071D3" w:rsidRPr="00F071D3">
        <w:rPr>
          <w:sz w:val="22"/>
          <w:szCs w:val="22"/>
        </w:rPr>
        <w:t>Sarvinoz</w:t>
      </w:r>
      <w:proofErr w:type="spellEnd"/>
      <w:r w:rsidR="00F071D3" w:rsidRPr="00F071D3">
        <w:rPr>
          <w:sz w:val="22"/>
          <w:szCs w:val="22"/>
        </w:rPr>
        <w:t xml:space="preserve"> </w:t>
      </w:r>
      <w:proofErr w:type="spellStart"/>
      <w:r w:rsidR="00F071D3" w:rsidRPr="00F071D3">
        <w:rPr>
          <w:sz w:val="22"/>
          <w:szCs w:val="22"/>
        </w:rPr>
        <w:t>Barfieva</w:t>
      </w:r>
      <w:proofErr w:type="spellEnd"/>
      <w:r w:rsidR="00F071D3">
        <w:rPr>
          <w:sz w:val="22"/>
          <w:szCs w:val="22"/>
        </w:rPr>
        <w:t xml:space="preserve">, </w:t>
      </w:r>
      <w:proofErr w:type="spellStart"/>
      <w:r>
        <w:rPr>
          <w:sz w:val="22"/>
          <w:szCs w:val="22"/>
        </w:rPr>
        <w:t>Julianna</w:t>
      </w:r>
      <w:proofErr w:type="spellEnd"/>
      <w:r>
        <w:rPr>
          <w:sz w:val="22"/>
          <w:szCs w:val="22"/>
        </w:rPr>
        <w:t xml:space="preserve"> Flanagan</w:t>
      </w:r>
      <w:r w:rsidR="00F071D3">
        <w:rPr>
          <w:sz w:val="22"/>
          <w:szCs w:val="22"/>
        </w:rPr>
        <w:t xml:space="preserve">, </w:t>
      </w:r>
      <w:proofErr w:type="spellStart"/>
      <w:r w:rsidR="00F071D3">
        <w:rPr>
          <w:sz w:val="22"/>
          <w:szCs w:val="22"/>
        </w:rPr>
        <w:t>Sadaf</w:t>
      </w:r>
      <w:proofErr w:type="spellEnd"/>
      <w:r w:rsidR="00F071D3">
        <w:rPr>
          <w:sz w:val="22"/>
          <w:szCs w:val="22"/>
        </w:rPr>
        <w:t xml:space="preserve"> </w:t>
      </w:r>
      <w:proofErr w:type="spellStart"/>
      <w:r w:rsidR="00F071D3">
        <w:rPr>
          <w:sz w:val="22"/>
          <w:szCs w:val="22"/>
        </w:rPr>
        <w:t>Lakhani</w:t>
      </w:r>
      <w:proofErr w:type="spellEnd"/>
      <w:r w:rsidR="00F071D3">
        <w:rPr>
          <w:sz w:val="22"/>
          <w:szCs w:val="22"/>
        </w:rPr>
        <w:t xml:space="preserve">, and Rob </w:t>
      </w:r>
      <w:proofErr w:type="spellStart"/>
      <w:r w:rsidR="00F071D3">
        <w:rPr>
          <w:sz w:val="22"/>
          <w:szCs w:val="22"/>
        </w:rPr>
        <w:t>Swinkels</w:t>
      </w:r>
      <w:proofErr w:type="spellEnd"/>
      <w:r>
        <w:rPr>
          <w:sz w:val="22"/>
          <w:szCs w:val="22"/>
        </w:rPr>
        <w:t xml:space="preserve">. </w:t>
      </w:r>
      <w:r w:rsidRPr="004356FE">
        <w:rPr>
          <w:sz w:val="22"/>
          <w:szCs w:val="22"/>
        </w:rPr>
        <w:t xml:space="preserve">The report benefited from the comments provided by </w:t>
      </w:r>
      <w:r>
        <w:rPr>
          <w:sz w:val="22"/>
          <w:szCs w:val="22"/>
        </w:rPr>
        <w:t>Nina Bhatt</w:t>
      </w:r>
      <w:r w:rsidR="00CC7DC9">
        <w:rPr>
          <w:sz w:val="22"/>
          <w:szCs w:val="22"/>
        </w:rPr>
        <w:t xml:space="preserve"> (peer reviewer)</w:t>
      </w:r>
      <w:r w:rsidR="0036244D">
        <w:rPr>
          <w:sz w:val="22"/>
          <w:szCs w:val="22"/>
        </w:rPr>
        <w:t xml:space="preserve">, Marsha Olive (country manager), and </w:t>
      </w:r>
      <w:proofErr w:type="spellStart"/>
      <w:r w:rsidR="0036244D">
        <w:rPr>
          <w:sz w:val="22"/>
          <w:szCs w:val="22"/>
        </w:rPr>
        <w:t>Saroj</w:t>
      </w:r>
      <w:proofErr w:type="spellEnd"/>
      <w:r w:rsidR="0036244D">
        <w:rPr>
          <w:sz w:val="22"/>
          <w:szCs w:val="22"/>
        </w:rPr>
        <w:t xml:space="preserve"> Kumar </w:t>
      </w:r>
      <w:proofErr w:type="spellStart"/>
      <w:r w:rsidR="0036244D">
        <w:rPr>
          <w:sz w:val="22"/>
          <w:szCs w:val="22"/>
        </w:rPr>
        <w:t>Jha</w:t>
      </w:r>
      <w:proofErr w:type="spellEnd"/>
      <w:r w:rsidR="0036244D">
        <w:rPr>
          <w:sz w:val="22"/>
          <w:szCs w:val="22"/>
        </w:rPr>
        <w:t xml:space="preserve"> (country director)</w:t>
      </w:r>
      <w:r w:rsidRPr="004356FE">
        <w:rPr>
          <w:sz w:val="22"/>
          <w:szCs w:val="22"/>
        </w:rPr>
        <w:t xml:space="preserve">. Administrative support was provided by Helena </w:t>
      </w:r>
      <w:proofErr w:type="spellStart"/>
      <w:r w:rsidRPr="004356FE">
        <w:rPr>
          <w:sz w:val="22"/>
          <w:szCs w:val="22"/>
        </w:rPr>
        <w:t>Makarenko</w:t>
      </w:r>
      <w:proofErr w:type="spellEnd"/>
      <w:r w:rsidRPr="004356FE">
        <w:rPr>
          <w:sz w:val="22"/>
          <w:szCs w:val="22"/>
        </w:rPr>
        <w:t>.</w:t>
      </w:r>
    </w:p>
    <w:p w14:paraId="03FC7AA9" w14:textId="77777777" w:rsidR="00B5234E" w:rsidRPr="00645EDA" w:rsidRDefault="00F071D3" w:rsidP="00B5234E">
      <w:r>
        <w:t xml:space="preserve"> </w:t>
      </w:r>
    </w:p>
    <w:p w14:paraId="07FA61B7" w14:textId="77777777" w:rsidR="006E334E" w:rsidRDefault="006E334E" w:rsidP="006E334E"/>
    <w:p w14:paraId="2B83656D" w14:textId="77777777" w:rsidR="006E334E" w:rsidRDefault="006E334E">
      <w:r>
        <w:br w:type="page"/>
      </w:r>
    </w:p>
    <w:p w14:paraId="6AD6C60F" w14:textId="77777777" w:rsidR="00B5234E" w:rsidRPr="00ED6FBA" w:rsidRDefault="00B5234E" w:rsidP="00B5234E">
      <w:pPr>
        <w:ind w:firstLine="720"/>
        <w:jc w:val="center"/>
        <w:rPr>
          <w:sz w:val="32"/>
          <w:szCs w:val="32"/>
        </w:rPr>
      </w:pPr>
      <w:r w:rsidRPr="00ED6FBA">
        <w:rPr>
          <w:b/>
          <w:sz w:val="32"/>
          <w:szCs w:val="32"/>
        </w:rPr>
        <w:lastRenderedPageBreak/>
        <w:t>CONTENTS</w:t>
      </w:r>
    </w:p>
    <w:p w14:paraId="4C7927E2" w14:textId="77777777" w:rsidR="00B5234E" w:rsidRDefault="00B5234E" w:rsidP="002A6065">
      <w:pPr>
        <w:rPr>
          <w:sz w:val="22"/>
          <w:szCs w:val="22"/>
        </w:rPr>
      </w:pPr>
    </w:p>
    <w:p w14:paraId="5EFBDB72" w14:textId="77777777" w:rsidR="00433DDE" w:rsidRDefault="00E12159">
      <w:pPr>
        <w:pStyle w:val="TOC1"/>
        <w:rPr>
          <w:rFonts w:asciiTheme="minorHAnsi" w:eastAsiaTheme="minorEastAsia" w:hAnsiTheme="minorHAnsi" w:cstheme="minorBidi"/>
          <w:noProof/>
          <w:lang w:eastAsia="ja-JP"/>
        </w:rPr>
      </w:pPr>
      <w:r>
        <w:rPr>
          <w:sz w:val="22"/>
          <w:szCs w:val="22"/>
        </w:rPr>
        <w:fldChar w:fldCharType="begin"/>
      </w:r>
      <w:r w:rsidR="00DA289E">
        <w:rPr>
          <w:sz w:val="22"/>
          <w:szCs w:val="22"/>
        </w:rPr>
        <w:instrText xml:space="preserve"> </w:instrText>
      </w:r>
      <w:r w:rsidR="009F7A22">
        <w:rPr>
          <w:sz w:val="22"/>
          <w:szCs w:val="22"/>
        </w:rPr>
        <w:instrText>TOC</w:instrText>
      </w:r>
      <w:r w:rsidR="00DA289E">
        <w:rPr>
          <w:sz w:val="22"/>
          <w:szCs w:val="22"/>
        </w:rPr>
        <w:instrText xml:space="preserve"> \o "1-1" \t "Überschrift 2,2" </w:instrText>
      </w:r>
      <w:r>
        <w:rPr>
          <w:sz w:val="22"/>
          <w:szCs w:val="22"/>
        </w:rPr>
        <w:fldChar w:fldCharType="separate"/>
      </w:r>
      <w:r w:rsidR="00433DDE">
        <w:rPr>
          <w:noProof/>
        </w:rPr>
        <w:t>EXECUTIVE SUMMARY</w:t>
      </w:r>
      <w:r w:rsidR="00433DDE">
        <w:rPr>
          <w:noProof/>
        </w:rPr>
        <w:tab/>
      </w:r>
      <w:r>
        <w:rPr>
          <w:noProof/>
        </w:rPr>
        <w:fldChar w:fldCharType="begin"/>
      </w:r>
      <w:r w:rsidR="00433DDE">
        <w:rPr>
          <w:noProof/>
        </w:rPr>
        <w:instrText xml:space="preserve"> PAGEREF _Toc226957240 \h </w:instrText>
      </w:r>
      <w:r>
        <w:rPr>
          <w:noProof/>
        </w:rPr>
      </w:r>
      <w:r>
        <w:rPr>
          <w:noProof/>
        </w:rPr>
        <w:fldChar w:fldCharType="separate"/>
      </w:r>
      <w:r w:rsidR="00183FFF">
        <w:rPr>
          <w:noProof/>
        </w:rPr>
        <w:t>1</w:t>
      </w:r>
      <w:r>
        <w:rPr>
          <w:noProof/>
        </w:rPr>
        <w:fldChar w:fldCharType="end"/>
      </w:r>
    </w:p>
    <w:p w14:paraId="7F1E9627" w14:textId="77777777" w:rsidR="00433DDE" w:rsidRDefault="00433DDE">
      <w:pPr>
        <w:pStyle w:val="TOC1"/>
        <w:tabs>
          <w:tab w:val="left" w:pos="420"/>
        </w:tabs>
        <w:rPr>
          <w:rFonts w:asciiTheme="minorHAnsi" w:eastAsiaTheme="minorEastAsia" w:hAnsiTheme="minorHAnsi" w:cstheme="minorBidi"/>
          <w:noProof/>
          <w:lang w:eastAsia="ja-JP"/>
        </w:rPr>
      </w:pPr>
      <w:r>
        <w:rPr>
          <w:noProof/>
        </w:rPr>
        <w:t>1.</w:t>
      </w:r>
      <w:r>
        <w:rPr>
          <w:rFonts w:asciiTheme="minorHAnsi" w:eastAsiaTheme="minorEastAsia" w:hAnsiTheme="minorHAnsi" w:cstheme="minorBidi"/>
          <w:noProof/>
          <w:lang w:eastAsia="ja-JP"/>
        </w:rPr>
        <w:tab/>
      </w:r>
      <w:r>
        <w:rPr>
          <w:noProof/>
        </w:rPr>
        <w:t>Introduction</w:t>
      </w:r>
      <w:r>
        <w:rPr>
          <w:noProof/>
        </w:rPr>
        <w:tab/>
      </w:r>
      <w:r w:rsidR="00E12159">
        <w:rPr>
          <w:noProof/>
        </w:rPr>
        <w:fldChar w:fldCharType="begin"/>
      </w:r>
      <w:r>
        <w:rPr>
          <w:noProof/>
        </w:rPr>
        <w:instrText xml:space="preserve"> PAGEREF _Toc226957241 \h </w:instrText>
      </w:r>
      <w:r w:rsidR="00E12159">
        <w:rPr>
          <w:noProof/>
        </w:rPr>
      </w:r>
      <w:r w:rsidR="00E12159">
        <w:rPr>
          <w:noProof/>
        </w:rPr>
        <w:fldChar w:fldCharType="separate"/>
      </w:r>
      <w:r w:rsidR="00183FFF">
        <w:rPr>
          <w:noProof/>
        </w:rPr>
        <w:t>8</w:t>
      </w:r>
      <w:r w:rsidR="00E12159">
        <w:rPr>
          <w:noProof/>
        </w:rPr>
        <w:fldChar w:fldCharType="end"/>
      </w:r>
    </w:p>
    <w:p w14:paraId="53734C08" w14:textId="77777777" w:rsidR="00433DDE" w:rsidRDefault="00433DDE">
      <w:pPr>
        <w:pStyle w:val="TOC1"/>
        <w:tabs>
          <w:tab w:val="left" w:pos="42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Agency</w:t>
      </w:r>
      <w:r>
        <w:rPr>
          <w:noProof/>
        </w:rPr>
        <w:tab/>
      </w:r>
      <w:r w:rsidR="00E12159">
        <w:rPr>
          <w:noProof/>
        </w:rPr>
        <w:fldChar w:fldCharType="begin"/>
      </w:r>
      <w:r>
        <w:rPr>
          <w:noProof/>
        </w:rPr>
        <w:instrText xml:space="preserve"> PAGEREF _Toc226957242 \h </w:instrText>
      </w:r>
      <w:r w:rsidR="00E12159">
        <w:rPr>
          <w:noProof/>
        </w:rPr>
      </w:r>
      <w:r w:rsidR="00E12159">
        <w:rPr>
          <w:noProof/>
        </w:rPr>
        <w:fldChar w:fldCharType="separate"/>
      </w:r>
      <w:r w:rsidR="00183FFF">
        <w:rPr>
          <w:noProof/>
        </w:rPr>
        <w:t>13</w:t>
      </w:r>
      <w:r w:rsidR="00E12159">
        <w:rPr>
          <w:noProof/>
        </w:rPr>
        <w:fldChar w:fldCharType="end"/>
      </w:r>
    </w:p>
    <w:p w14:paraId="09389E1C" w14:textId="77777777" w:rsidR="00433DDE" w:rsidRDefault="00433DDE">
      <w:pPr>
        <w:pStyle w:val="TOC2"/>
        <w:tabs>
          <w:tab w:val="left" w:pos="761"/>
        </w:tabs>
        <w:rPr>
          <w:rFonts w:asciiTheme="minorHAnsi" w:eastAsiaTheme="minorEastAsia" w:hAnsiTheme="minorHAnsi" w:cstheme="minorBidi"/>
          <w:smallCaps w:val="0"/>
          <w:noProof/>
          <w:lang w:eastAsia="ja-JP"/>
        </w:rPr>
      </w:pPr>
      <w:r>
        <w:rPr>
          <w:noProof/>
        </w:rPr>
        <w:t>A.</w:t>
      </w:r>
      <w:r>
        <w:rPr>
          <w:rFonts w:asciiTheme="minorHAnsi" w:eastAsiaTheme="minorEastAsia" w:hAnsiTheme="minorHAnsi" w:cstheme="minorBidi"/>
          <w:smallCaps w:val="0"/>
          <w:noProof/>
          <w:lang w:eastAsia="ja-JP"/>
        </w:rPr>
        <w:tab/>
      </w:r>
      <w:r>
        <w:rPr>
          <w:noProof/>
        </w:rPr>
        <w:t>Subjective Wellbeing</w:t>
      </w:r>
      <w:r>
        <w:rPr>
          <w:noProof/>
        </w:rPr>
        <w:tab/>
      </w:r>
      <w:r w:rsidR="00E12159">
        <w:rPr>
          <w:noProof/>
        </w:rPr>
        <w:fldChar w:fldCharType="begin"/>
      </w:r>
      <w:r>
        <w:rPr>
          <w:noProof/>
        </w:rPr>
        <w:instrText xml:space="preserve"> PAGEREF _Toc226957243 \h </w:instrText>
      </w:r>
      <w:r w:rsidR="00E12159">
        <w:rPr>
          <w:noProof/>
        </w:rPr>
      </w:r>
      <w:r w:rsidR="00E12159">
        <w:rPr>
          <w:noProof/>
        </w:rPr>
        <w:fldChar w:fldCharType="separate"/>
      </w:r>
      <w:r w:rsidR="00183FFF">
        <w:rPr>
          <w:noProof/>
        </w:rPr>
        <w:t>13</w:t>
      </w:r>
      <w:r w:rsidR="00E12159">
        <w:rPr>
          <w:noProof/>
        </w:rPr>
        <w:fldChar w:fldCharType="end"/>
      </w:r>
    </w:p>
    <w:p w14:paraId="5C164B6C" w14:textId="77777777" w:rsidR="00433DDE" w:rsidRDefault="00433DDE">
      <w:pPr>
        <w:pStyle w:val="TOC2"/>
        <w:tabs>
          <w:tab w:val="left" w:pos="748"/>
        </w:tabs>
        <w:rPr>
          <w:rFonts w:asciiTheme="minorHAnsi" w:eastAsiaTheme="minorEastAsia" w:hAnsiTheme="minorHAnsi" w:cstheme="minorBidi"/>
          <w:smallCaps w:val="0"/>
          <w:noProof/>
          <w:lang w:eastAsia="ja-JP"/>
        </w:rPr>
      </w:pPr>
      <w:r>
        <w:rPr>
          <w:noProof/>
        </w:rPr>
        <w:t>B.</w:t>
      </w:r>
      <w:r>
        <w:rPr>
          <w:rFonts w:asciiTheme="minorHAnsi" w:eastAsiaTheme="minorEastAsia" w:hAnsiTheme="minorHAnsi" w:cstheme="minorBidi"/>
          <w:smallCaps w:val="0"/>
          <w:noProof/>
          <w:lang w:eastAsia="ja-JP"/>
        </w:rPr>
        <w:tab/>
      </w:r>
      <w:r>
        <w:rPr>
          <w:noProof/>
        </w:rPr>
        <w:t>General Legal and Institutional Framework</w:t>
      </w:r>
      <w:r>
        <w:rPr>
          <w:noProof/>
        </w:rPr>
        <w:tab/>
      </w:r>
      <w:r w:rsidR="00E12159">
        <w:rPr>
          <w:noProof/>
        </w:rPr>
        <w:fldChar w:fldCharType="begin"/>
      </w:r>
      <w:r>
        <w:rPr>
          <w:noProof/>
        </w:rPr>
        <w:instrText xml:space="preserve"> PAGEREF _Toc226957244 \h </w:instrText>
      </w:r>
      <w:r w:rsidR="00E12159">
        <w:rPr>
          <w:noProof/>
        </w:rPr>
      </w:r>
      <w:r w:rsidR="00E12159">
        <w:rPr>
          <w:noProof/>
        </w:rPr>
        <w:fldChar w:fldCharType="separate"/>
      </w:r>
      <w:r w:rsidR="00183FFF">
        <w:rPr>
          <w:noProof/>
        </w:rPr>
        <w:t>14</w:t>
      </w:r>
      <w:r w:rsidR="00E12159">
        <w:rPr>
          <w:noProof/>
        </w:rPr>
        <w:fldChar w:fldCharType="end"/>
      </w:r>
    </w:p>
    <w:p w14:paraId="5E58515D" w14:textId="77777777" w:rsidR="00433DDE" w:rsidRDefault="00433DDE">
      <w:pPr>
        <w:pStyle w:val="TOC2"/>
        <w:tabs>
          <w:tab w:val="left" w:pos="748"/>
        </w:tabs>
        <w:rPr>
          <w:rFonts w:asciiTheme="minorHAnsi" w:eastAsiaTheme="minorEastAsia" w:hAnsiTheme="minorHAnsi" w:cstheme="minorBidi"/>
          <w:smallCaps w:val="0"/>
          <w:noProof/>
          <w:lang w:eastAsia="ja-JP"/>
        </w:rPr>
      </w:pPr>
      <w:r>
        <w:rPr>
          <w:noProof/>
        </w:rPr>
        <w:t>C.</w:t>
      </w:r>
      <w:r>
        <w:rPr>
          <w:rFonts w:asciiTheme="minorHAnsi" w:eastAsiaTheme="minorEastAsia" w:hAnsiTheme="minorHAnsi" w:cstheme="minorBidi"/>
          <w:smallCaps w:val="0"/>
          <w:noProof/>
          <w:lang w:eastAsia="ja-JP"/>
        </w:rPr>
        <w:tab/>
      </w:r>
      <w:r>
        <w:rPr>
          <w:noProof/>
        </w:rPr>
        <w:t>Voice and Representation</w:t>
      </w:r>
      <w:r>
        <w:rPr>
          <w:noProof/>
        </w:rPr>
        <w:tab/>
      </w:r>
      <w:r w:rsidR="00E12159">
        <w:rPr>
          <w:noProof/>
        </w:rPr>
        <w:fldChar w:fldCharType="begin"/>
      </w:r>
      <w:r>
        <w:rPr>
          <w:noProof/>
        </w:rPr>
        <w:instrText xml:space="preserve"> PAGEREF _Toc226957245 \h </w:instrText>
      </w:r>
      <w:r w:rsidR="00E12159">
        <w:rPr>
          <w:noProof/>
        </w:rPr>
      </w:r>
      <w:r w:rsidR="00E12159">
        <w:rPr>
          <w:noProof/>
        </w:rPr>
        <w:fldChar w:fldCharType="separate"/>
      </w:r>
      <w:r w:rsidR="00183FFF">
        <w:rPr>
          <w:noProof/>
        </w:rPr>
        <w:t>16</w:t>
      </w:r>
      <w:r w:rsidR="00E12159">
        <w:rPr>
          <w:noProof/>
        </w:rPr>
        <w:fldChar w:fldCharType="end"/>
      </w:r>
    </w:p>
    <w:p w14:paraId="7D364289" w14:textId="77777777" w:rsidR="00433DDE" w:rsidRDefault="00433DDE">
      <w:pPr>
        <w:pStyle w:val="TOC1"/>
        <w:tabs>
          <w:tab w:val="left" w:pos="42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Human Capital</w:t>
      </w:r>
      <w:r>
        <w:rPr>
          <w:noProof/>
        </w:rPr>
        <w:tab/>
      </w:r>
      <w:r w:rsidR="00E12159">
        <w:rPr>
          <w:noProof/>
        </w:rPr>
        <w:fldChar w:fldCharType="begin"/>
      </w:r>
      <w:r>
        <w:rPr>
          <w:noProof/>
        </w:rPr>
        <w:instrText xml:space="preserve"> PAGEREF _Toc226957246 \h </w:instrText>
      </w:r>
      <w:r w:rsidR="00E12159">
        <w:rPr>
          <w:noProof/>
        </w:rPr>
      </w:r>
      <w:r w:rsidR="00E12159">
        <w:rPr>
          <w:noProof/>
        </w:rPr>
        <w:fldChar w:fldCharType="separate"/>
      </w:r>
      <w:r w:rsidR="00183FFF">
        <w:rPr>
          <w:noProof/>
        </w:rPr>
        <w:t>19</w:t>
      </w:r>
      <w:r w:rsidR="00E12159">
        <w:rPr>
          <w:noProof/>
        </w:rPr>
        <w:fldChar w:fldCharType="end"/>
      </w:r>
    </w:p>
    <w:p w14:paraId="25A3753C" w14:textId="77777777" w:rsidR="00433DDE" w:rsidRDefault="00433DDE">
      <w:pPr>
        <w:pStyle w:val="TOC2"/>
        <w:tabs>
          <w:tab w:val="left" w:pos="761"/>
        </w:tabs>
        <w:rPr>
          <w:rFonts w:asciiTheme="minorHAnsi" w:eastAsiaTheme="minorEastAsia" w:hAnsiTheme="minorHAnsi" w:cstheme="minorBidi"/>
          <w:smallCaps w:val="0"/>
          <w:noProof/>
          <w:lang w:eastAsia="ja-JP"/>
        </w:rPr>
      </w:pPr>
      <w:r>
        <w:rPr>
          <w:noProof/>
        </w:rPr>
        <w:t>A.</w:t>
      </w:r>
      <w:r>
        <w:rPr>
          <w:rFonts w:asciiTheme="minorHAnsi" w:eastAsiaTheme="minorEastAsia" w:hAnsiTheme="minorHAnsi" w:cstheme="minorBidi"/>
          <w:smallCaps w:val="0"/>
          <w:noProof/>
          <w:lang w:eastAsia="ja-JP"/>
        </w:rPr>
        <w:tab/>
      </w:r>
      <w:r>
        <w:rPr>
          <w:noProof/>
        </w:rPr>
        <w:t>Education</w:t>
      </w:r>
      <w:r>
        <w:rPr>
          <w:noProof/>
        </w:rPr>
        <w:tab/>
      </w:r>
      <w:r w:rsidR="00E12159">
        <w:rPr>
          <w:noProof/>
        </w:rPr>
        <w:fldChar w:fldCharType="begin"/>
      </w:r>
      <w:r>
        <w:rPr>
          <w:noProof/>
        </w:rPr>
        <w:instrText xml:space="preserve"> PAGEREF _Toc226957247 \h </w:instrText>
      </w:r>
      <w:r w:rsidR="00E12159">
        <w:rPr>
          <w:noProof/>
        </w:rPr>
      </w:r>
      <w:r w:rsidR="00E12159">
        <w:rPr>
          <w:noProof/>
        </w:rPr>
        <w:fldChar w:fldCharType="separate"/>
      </w:r>
      <w:r w:rsidR="00183FFF">
        <w:rPr>
          <w:noProof/>
        </w:rPr>
        <w:t>19</w:t>
      </w:r>
      <w:r w:rsidR="00E12159">
        <w:rPr>
          <w:noProof/>
        </w:rPr>
        <w:fldChar w:fldCharType="end"/>
      </w:r>
    </w:p>
    <w:p w14:paraId="0AD55531" w14:textId="77777777" w:rsidR="00433DDE" w:rsidRDefault="00433DDE">
      <w:pPr>
        <w:pStyle w:val="TOC2"/>
        <w:tabs>
          <w:tab w:val="left" w:pos="748"/>
        </w:tabs>
        <w:rPr>
          <w:rFonts w:asciiTheme="minorHAnsi" w:eastAsiaTheme="minorEastAsia" w:hAnsiTheme="minorHAnsi" w:cstheme="minorBidi"/>
          <w:smallCaps w:val="0"/>
          <w:noProof/>
          <w:lang w:eastAsia="ja-JP"/>
        </w:rPr>
      </w:pPr>
      <w:r>
        <w:rPr>
          <w:noProof/>
        </w:rPr>
        <w:t>B.</w:t>
      </w:r>
      <w:r>
        <w:rPr>
          <w:rFonts w:asciiTheme="minorHAnsi" w:eastAsiaTheme="minorEastAsia" w:hAnsiTheme="minorHAnsi" w:cstheme="minorBidi"/>
          <w:smallCaps w:val="0"/>
          <w:noProof/>
          <w:lang w:eastAsia="ja-JP"/>
        </w:rPr>
        <w:tab/>
      </w:r>
      <w:r>
        <w:rPr>
          <w:noProof/>
        </w:rPr>
        <w:t>Demography</w:t>
      </w:r>
      <w:r>
        <w:rPr>
          <w:noProof/>
        </w:rPr>
        <w:tab/>
      </w:r>
      <w:r w:rsidR="00E12159">
        <w:rPr>
          <w:noProof/>
        </w:rPr>
        <w:fldChar w:fldCharType="begin"/>
      </w:r>
      <w:r>
        <w:rPr>
          <w:noProof/>
        </w:rPr>
        <w:instrText xml:space="preserve"> PAGEREF _Toc226957248 \h </w:instrText>
      </w:r>
      <w:r w:rsidR="00E12159">
        <w:rPr>
          <w:noProof/>
        </w:rPr>
      </w:r>
      <w:r w:rsidR="00E12159">
        <w:rPr>
          <w:noProof/>
        </w:rPr>
        <w:fldChar w:fldCharType="separate"/>
      </w:r>
      <w:r w:rsidR="00183FFF">
        <w:rPr>
          <w:noProof/>
        </w:rPr>
        <w:t>25</w:t>
      </w:r>
      <w:r w:rsidR="00E12159">
        <w:rPr>
          <w:noProof/>
        </w:rPr>
        <w:fldChar w:fldCharType="end"/>
      </w:r>
    </w:p>
    <w:p w14:paraId="3531FCD6" w14:textId="77777777" w:rsidR="00433DDE" w:rsidRDefault="00433DDE">
      <w:pPr>
        <w:pStyle w:val="TOC2"/>
        <w:tabs>
          <w:tab w:val="left" w:pos="748"/>
        </w:tabs>
        <w:rPr>
          <w:rFonts w:asciiTheme="minorHAnsi" w:eastAsiaTheme="minorEastAsia" w:hAnsiTheme="minorHAnsi" w:cstheme="minorBidi"/>
          <w:smallCaps w:val="0"/>
          <w:noProof/>
          <w:lang w:eastAsia="ja-JP"/>
        </w:rPr>
      </w:pPr>
      <w:r>
        <w:rPr>
          <w:noProof/>
        </w:rPr>
        <w:t>C.</w:t>
      </w:r>
      <w:r>
        <w:rPr>
          <w:rFonts w:asciiTheme="minorHAnsi" w:eastAsiaTheme="minorEastAsia" w:hAnsiTheme="minorHAnsi" w:cstheme="minorBidi"/>
          <w:smallCaps w:val="0"/>
          <w:noProof/>
          <w:lang w:eastAsia="ja-JP"/>
        </w:rPr>
        <w:tab/>
      </w:r>
      <w:r>
        <w:rPr>
          <w:noProof/>
        </w:rPr>
        <w:t>Health</w:t>
      </w:r>
      <w:r>
        <w:rPr>
          <w:noProof/>
        </w:rPr>
        <w:tab/>
      </w:r>
      <w:r w:rsidR="00E12159">
        <w:rPr>
          <w:noProof/>
        </w:rPr>
        <w:fldChar w:fldCharType="begin"/>
      </w:r>
      <w:r>
        <w:rPr>
          <w:noProof/>
        </w:rPr>
        <w:instrText xml:space="preserve"> PAGEREF _Toc226957249 \h </w:instrText>
      </w:r>
      <w:r w:rsidR="00E12159">
        <w:rPr>
          <w:noProof/>
        </w:rPr>
      </w:r>
      <w:r w:rsidR="00E12159">
        <w:rPr>
          <w:noProof/>
        </w:rPr>
        <w:fldChar w:fldCharType="separate"/>
      </w:r>
      <w:r w:rsidR="00183FFF">
        <w:rPr>
          <w:noProof/>
        </w:rPr>
        <w:t>27</w:t>
      </w:r>
      <w:r w:rsidR="00E12159">
        <w:rPr>
          <w:noProof/>
        </w:rPr>
        <w:fldChar w:fldCharType="end"/>
      </w:r>
    </w:p>
    <w:p w14:paraId="59BD74E2" w14:textId="77777777" w:rsidR="00433DDE" w:rsidRDefault="00433DDE">
      <w:pPr>
        <w:pStyle w:val="TOC1"/>
        <w:tabs>
          <w:tab w:val="left" w:pos="42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Labour Market</w:t>
      </w:r>
      <w:r>
        <w:rPr>
          <w:noProof/>
        </w:rPr>
        <w:tab/>
      </w:r>
      <w:r w:rsidR="00E12159">
        <w:rPr>
          <w:noProof/>
        </w:rPr>
        <w:fldChar w:fldCharType="begin"/>
      </w:r>
      <w:r>
        <w:rPr>
          <w:noProof/>
        </w:rPr>
        <w:instrText xml:space="preserve"> PAGEREF _Toc226957250 \h </w:instrText>
      </w:r>
      <w:r w:rsidR="00E12159">
        <w:rPr>
          <w:noProof/>
        </w:rPr>
      </w:r>
      <w:r w:rsidR="00E12159">
        <w:rPr>
          <w:noProof/>
        </w:rPr>
        <w:fldChar w:fldCharType="separate"/>
      </w:r>
      <w:r w:rsidR="00183FFF">
        <w:rPr>
          <w:noProof/>
        </w:rPr>
        <w:t>35</w:t>
      </w:r>
      <w:r w:rsidR="00E12159">
        <w:rPr>
          <w:noProof/>
        </w:rPr>
        <w:fldChar w:fldCharType="end"/>
      </w:r>
    </w:p>
    <w:p w14:paraId="5439E575" w14:textId="77777777" w:rsidR="00433DDE" w:rsidRDefault="00433DDE">
      <w:pPr>
        <w:pStyle w:val="TOC2"/>
        <w:tabs>
          <w:tab w:val="left" w:pos="761"/>
        </w:tabs>
        <w:rPr>
          <w:rFonts w:asciiTheme="minorHAnsi" w:eastAsiaTheme="minorEastAsia" w:hAnsiTheme="minorHAnsi" w:cstheme="minorBidi"/>
          <w:smallCaps w:val="0"/>
          <w:noProof/>
          <w:lang w:eastAsia="ja-JP"/>
        </w:rPr>
      </w:pPr>
      <w:r>
        <w:rPr>
          <w:noProof/>
        </w:rPr>
        <w:t>A.</w:t>
      </w:r>
      <w:r>
        <w:rPr>
          <w:rFonts w:asciiTheme="minorHAnsi" w:eastAsiaTheme="minorEastAsia" w:hAnsiTheme="minorHAnsi" w:cstheme="minorBidi"/>
          <w:smallCaps w:val="0"/>
          <w:noProof/>
          <w:lang w:eastAsia="ja-JP"/>
        </w:rPr>
        <w:tab/>
      </w:r>
      <w:r>
        <w:rPr>
          <w:noProof/>
        </w:rPr>
        <w:t>Economic Activity and Employment</w:t>
      </w:r>
      <w:r>
        <w:rPr>
          <w:noProof/>
        </w:rPr>
        <w:tab/>
      </w:r>
      <w:r w:rsidR="00E12159">
        <w:rPr>
          <w:noProof/>
        </w:rPr>
        <w:fldChar w:fldCharType="begin"/>
      </w:r>
      <w:r>
        <w:rPr>
          <w:noProof/>
        </w:rPr>
        <w:instrText xml:space="preserve"> PAGEREF _Toc226957251 \h </w:instrText>
      </w:r>
      <w:r w:rsidR="00E12159">
        <w:rPr>
          <w:noProof/>
        </w:rPr>
      </w:r>
      <w:r w:rsidR="00E12159">
        <w:rPr>
          <w:noProof/>
        </w:rPr>
        <w:fldChar w:fldCharType="separate"/>
      </w:r>
      <w:r w:rsidR="00183FFF">
        <w:rPr>
          <w:noProof/>
        </w:rPr>
        <w:t>35</w:t>
      </w:r>
      <w:r w:rsidR="00E12159">
        <w:rPr>
          <w:noProof/>
        </w:rPr>
        <w:fldChar w:fldCharType="end"/>
      </w:r>
    </w:p>
    <w:p w14:paraId="4C248DCC" w14:textId="77777777" w:rsidR="00433DDE" w:rsidRDefault="00433DDE">
      <w:pPr>
        <w:pStyle w:val="TOC2"/>
        <w:tabs>
          <w:tab w:val="left" w:pos="748"/>
        </w:tabs>
        <w:rPr>
          <w:rFonts w:asciiTheme="minorHAnsi" w:eastAsiaTheme="minorEastAsia" w:hAnsiTheme="minorHAnsi" w:cstheme="minorBidi"/>
          <w:smallCaps w:val="0"/>
          <w:noProof/>
          <w:lang w:eastAsia="ja-JP"/>
        </w:rPr>
      </w:pPr>
      <w:r>
        <w:rPr>
          <w:noProof/>
        </w:rPr>
        <w:t>B.</w:t>
      </w:r>
      <w:r>
        <w:rPr>
          <w:rFonts w:asciiTheme="minorHAnsi" w:eastAsiaTheme="minorEastAsia" w:hAnsiTheme="minorHAnsi" w:cstheme="minorBidi"/>
          <w:smallCaps w:val="0"/>
          <w:noProof/>
          <w:lang w:eastAsia="ja-JP"/>
        </w:rPr>
        <w:tab/>
      </w:r>
      <w:r>
        <w:rPr>
          <w:noProof/>
        </w:rPr>
        <w:t>Gender Disparities in Earnings</w:t>
      </w:r>
      <w:r>
        <w:rPr>
          <w:noProof/>
        </w:rPr>
        <w:tab/>
      </w:r>
      <w:r w:rsidR="00E12159">
        <w:rPr>
          <w:noProof/>
        </w:rPr>
        <w:fldChar w:fldCharType="begin"/>
      </w:r>
      <w:r>
        <w:rPr>
          <w:noProof/>
        </w:rPr>
        <w:instrText xml:space="preserve"> PAGEREF _Toc226957252 \h </w:instrText>
      </w:r>
      <w:r w:rsidR="00E12159">
        <w:rPr>
          <w:noProof/>
        </w:rPr>
      </w:r>
      <w:r w:rsidR="00E12159">
        <w:rPr>
          <w:noProof/>
        </w:rPr>
        <w:fldChar w:fldCharType="separate"/>
      </w:r>
      <w:r w:rsidR="00183FFF">
        <w:rPr>
          <w:noProof/>
        </w:rPr>
        <w:t>40</w:t>
      </w:r>
      <w:r w:rsidR="00E12159">
        <w:rPr>
          <w:noProof/>
        </w:rPr>
        <w:fldChar w:fldCharType="end"/>
      </w:r>
    </w:p>
    <w:p w14:paraId="3160B236" w14:textId="77777777" w:rsidR="00433DDE" w:rsidRDefault="00433DDE">
      <w:pPr>
        <w:pStyle w:val="TOC2"/>
        <w:tabs>
          <w:tab w:val="left" w:pos="748"/>
        </w:tabs>
        <w:rPr>
          <w:rFonts w:asciiTheme="minorHAnsi" w:eastAsiaTheme="minorEastAsia" w:hAnsiTheme="minorHAnsi" w:cstheme="minorBidi"/>
          <w:smallCaps w:val="0"/>
          <w:noProof/>
          <w:lang w:eastAsia="ja-JP"/>
        </w:rPr>
      </w:pPr>
      <w:r>
        <w:rPr>
          <w:noProof/>
        </w:rPr>
        <w:t>C.</w:t>
      </w:r>
      <w:r>
        <w:rPr>
          <w:rFonts w:asciiTheme="minorHAnsi" w:eastAsiaTheme="minorEastAsia" w:hAnsiTheme="minorHAnsi" w:cstheme="minorBidi"/>
          <w:smallCaps w:val="0"/>
          <w:noProof/>
          <w:lang w:eastAsia="ja-JP"/>
        </w:rPr>
        <w:tab/>
      </w:r>
      <w:r>
        <w:rPr>
          <w:noProof/>
        </w:rPr>
        <w:t>Informality and Migration</w:t>
      </w:r>
      <w:r>
        <w:rPr>
          <w:noProof/>
        </w:rPr>
        <w:tab/>
      </w:r>
      <w:r w:rsidR="00E12159">
        <w:rPr>
          <w:noProof/>
        </w:rPr>
        <w:fldChar w:fldCharType="begin"/>
      </w:r>
      <w:r>
        <w:rPr>
          <w:noProof/>
        </w:rPr>
        <w:instrText xml:space="preserve"> PAGEREF _Toc226957253 \h </w:instrText>
      </w:r>
      <w:r w:rsidR="00E12159">
        <w:rPr>
          <w:noProof/>
        </w:rPr>
      </w:r>
      <w:r w:rsidR="00E12159">
        <w:rPr>
          <w:noProof/>
        </w:rPr>
        <w:fldChar w:fldCharType="separate"/>
      </w:r>
      <w:r w:rsidR="00183FFF">
        <w:rPr>
          <w:noProof/>
        </w:rPr>
        <w:t>41</w:t>
      </w:r>
      <w:r w:rsidR="00E12159">
        <w:rPr>
          <w:noProof/>
        </w:rPr>
        <w:fldChar w:fldCharType="end"/>
      </w:r>
    </w:p>
    <w:p w14:paraId="65A1990E" w14:textId="77777777" w:rsidR="00433DDE" w:rsidRDefault="00433DDE">
      <w:pPr>
        <w:pStyle w:val="TOC1"/>
        <w:tabs>
          <w:tab w:val="left" w:pos="42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Entrepreneurship</w:t>
      </w:r>
      <w:r>
        <w:rPr>
          <w:noProof/>
        </w:rPr>
        <w:tab/>
      </w:r>
      <w:r w:rsidR="00E12159">
        <w:rPr>
          <w:noProof/>
        </w:rPr>
        <w:fldChar w:fldCharType="begin"/>
      </w:r>
      <w:r>
        <w:rPr>
          <w:noProof/>
        </w:rPr>
        <w:instrText xml:space="preserve"> PAGEREF _Toc226957254 \h </w:instrText>
      </w:r>
      <w:r w:rsidR="00E12159">
        <w:rPr>
          <w:noProof/>
        </w:rPr>
      </w:r>
      <w:r w:rsidR="00E12159">
        <w:rPr>
          <w:noProof/>
        </w:rPr>
        <w:fldChar w:fldCharType="separate"/>
      </w:r>
      <w:r w:rsidR="00183FFF">
        <w:rPr>
          <w:noProof/>
        </w:rPr>
        <w:t>44</w:t>
      </w:r>
      <w:r w:rsidR="00E12159">
        <w:rPr>
          <w:noProof/>
        </w:rPr>
        <w:fldChar w:fldCharType="end"/>
      </w:r>
    </w:p>
    <w:p w14:paraId="0379AD51" w14:textId="77777777" w:rsidR="00433DDE" w:rsidRDefault="00433DDE">
      <w:pPr>
        <w:pStyle w:val="TOC2"/>
        <w:tabs>
          <w:tab w:val="left" w:pos="761"/>
        </w:tabs>
        <w:rPr>
          <w:rFonts w:asciiTheme="minorHAnsi" w:eastAsiaTheme="minorEastAsia" w:hAnsiTheme="minorHAnsi" w:cstheme="minorBidi"/>
          <w:smallCaps w:val="0"/>
          <w:noProof/>
          <w:lang w:eastAsia="ja-JP"/>
        </w:rPr>
      </w:pPr>
      <w:r>
        <w:rPr>
          <w:noProof/>
        </w:rPr>
        <w:t>A.</w:t>
      </w:r>
      <w:r>
        <w:rPr>
          <w:rFonts w:asciiTheme="minorHAnsi" w:eastAsiaTheme="minorEastAsia" w:hAnsiTheme="minorHAnsi" w:cstheme="minorBidi"/>
          <w:smallCaps w:val="0"/>
          <w:noProof/>
          <w:lang w:eastAsia="ja-JP"/>
        </w:rPr>
        <w:tab/>
      </w:r>
      <w:r>
        <w:rPr>
          <w:noProof/>
        </w:rPr>
        <w:t>Female and Male Involvement in Entrepreneurship</w:t>
      </w:r>
      <w:r>
        <w:rPr>
          <w:noProof/>
        </w:rPr>
        <w:tab/>
      </w:r>
      <w:r w:rsidR="00E12159">
        <w:rPr>
          <w:noProof/>
        </w:rPr>
        <w:fldChar w:fldCharType="begin"/>
      </w:r>
      <w:r>
        <w:rPr>
          <w:noProof/>
        </w:rPr>
        <w:instrText xml:space="preserve"> PAGEREF _Toc226957255 \h </w:instrText>
      </w:r>
      <w:r w:rsidR="00E12159">
        <w:rPr>
          <w:noProof/>
        </w:rPr>
      </w:r>
      <w:r w:rsidR="00E12159">
        <w:rPr>
          <w:noProof/>
        </w:rPr>
        <w:fldChar w:fldCharType="separate"/>
      </w:r>
      <w:r w:rsidR="00183FFF">
        <w:rPr>
          <w:noProof/>
        </w:rPr>
        <w:t>44</w:t>
      </w:r>
      <w:r w:rsidR="00E12159">
        <w:rPr>
          <w:noProof/>
        </w:rPr>
        <w:fldChar w:fldCharType="end"/>
      </w:r>
    </w:p>
    <w:p w14:paraId="6DFAC03C" w14:textId="77777777" w:rsidR="00433DDE" w:rsidRDefault="00433DDE">
      <w:pPr>
        <w:pStyle w:val="TOC2"/>
        <w:tabs>
          <w:tab w:val="left" w:pos="748"/>
        </w:tabs>
        <w:rPr>
          <w:rFonts w:asciiTheme="minorHAnsi" w:eastAsiaTheme="minorEastAsia" w:hAnsiTheme="minorHAnsi" w:cstheme="minorBidi"/>
          <w:smallCaps w:val="0"/>
          <w:noProof/>
          <w:lang w:eastAsia="ja-JP"/>
        </w:rPr>
      </w:pPr>
      <w:r>
        <w:rPr>
          <w:noProof/>
        </w:rPr>
        <w:t>B.</w:t>
      </w:r>
      <w:r>
        <w:rPr>
          <w:rFonts w:asciiTheme="minorHAnsi" w:eastAsiaTheme="minorEastAsia" w:hAnsiTheme="minorHAnsi" w:cstheme="minorBidi"/>
          <w:smallCaps w:val="0"/>
          <w:noProof/>
          <w:lang w:eastAsia="ja-JP"/>
        </w:rPr>
        <w:tab/>
      </w:r>
      <w:r>
        <w:rPr>
          <w:noProof/>
        </w:rPr>
        <w:t>Constraints on Women’s Entrepreneurship</w:t>
      </w:r>
      <w:r>
        <w:rPr>
          <w:noProof/>
        </w:rPr>
        <w:tab/>
      </w:r>
      <w:r w:rsidR="00E12159">
        <w:rPr>
          <w:noProof/>
        </w:rPr>
        <w:fldChar w:fldCharType="begin"/>
      </w:r>
      <w:r>
        <w:rPr>
          <w:noProof/>
        </w:rPr>
        <w:instrText xml:space="preserve"> PAGEREF _Toc226957256 \h </w:instrText>
      </w:r>
      <w:r w:rsidR="00E12159">
        <w:rPr>
          <w:noProof/>
        </w:rPr>
      </w:r>
      <w:r w:rsidR="00E12159">
        <w:rPr>
          <w:noProof/>
        </w:rPr>
        <w:fldChar w:fldCharType="separate"/>
      </w:r>
      <w:r w:rsidR="00183FFF">
        <w:rPr>
          <w:noProof/>
        </w:rPr>
        <w:t>48</w:t>
      </w:r>
      <w:r w:rsidR="00E12159">
        <w:rPr>
          <w:noProof/>
        </w:rPr>
        <w:fldChar w:fldCharType="end"/>
      </w:r>
    </w:p>
    <w:p w14:paraId="47ADA666" w14:textId="77777777" w:rsidR="00433DDE" w:rsidRDefault="00433DDE">
      <w:pPr>
        <w:pStyle w:val="TOC1"/>
        <w:tabs>
          <w:tab w:val="left" w:pos="42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Conclusions and Policy Recommendations</w:t>
      </w:r>
      <w:r>
        <w:rPr>
          <w:noProof/>
        </w:rPr>
        <w:tab/>
      </w:r>
      <w:r w:rsidR="00E12159">
        <w:rPr>
          <w:noProof/>
        </w:rPr>
        <w:fldChar w:fldCharType="begin"/>
      </w:r>
      <w:r>
        <w:rPr>
          <w:noProof/>
        </w:rPr>
        <w:instrText xml:space="preserve"> PAGEREF _Toc226957257 \h </w:instrText>
      </w:r>
      <w:r w:rsidR="00E12159">
        <w:rPr>
          <w:noProof/>
        </w:rPr>
      </w:r>
      <w:r w:rsidR="00E12159">
        <w:rPr>
          <w:noProof/>
        </w:rPr>
        <w:fldChar w:fldCharType="separate"/>
      </w:r>
      <w:r w:rsidR="00183FFF">
        <w:rPr>
          <w:noProof/>
        </w:rPr>
        <w:t>52</w:t>
      </w:r>
      <w:r w:rsidR="00E12159">
        <w:rPr>
          <w:noProof/>
        </w:rPr>
        <w:fldChar w:fldCharType="end"/>
      </w:r>
    </w:p>
    <w:p w14:paraId="6BD56068" w14:textId="77777777" w:rsidR="00433DDE" w:rsidRDefault="00433DDE">
      <w:pPr>
        <w:pStyle w:val="TOC1"/>
        <w:rPr>
          <w:rFonts w:asciiTheme="minorHAnsi" w:eastAsiaTheme="minorEastAsia" w:hAnsiTheme="minorHAnsi" w:cstheme="minorBidi"/>
          <w:noProof/>
          <w:lang w:eastAsia="ja-JP"/>
        </w:rPr>
      </w:pPr>
      <w:r w:rsidRPr="002018D5">
        <w:rPr>
          <w:bCs/>
          <w:noProof/>
        </w:rPr>
        <w:t>APPENDIX</w:t>
      </w:r>
      <w:r>
        <w:rPr>
          <w:noProof/>
        </w:rPr>
        <w:tab/>
      </w:r>
      <w:r w:rsidR="00E12159">
        <w:rPr>
          <w:noProof/>
        </w:rPr>
        <w:fldChar w:fldCharType="begin"/>
      </w:r>
      <w:r>
        <w:rPr>
          <w:noProof/>
        </w:rPr>
        <w:instrText xml:space="preserve"> PAGEREF _Toc226957258 \h </w:instrText>
      </w:r>
      <w:r w:rsidR="00E12159">
        <w:rPr>
          <w:noProof/>
        </w:rPr>
      </w:r>
      <w:r w:rsidR="00E12159">
        <w:rPr>
          <w:noProof/>
        </w:rPr>
        <w:fldChar w:fldCharType="separate"/>
      </w:r>
      <w:r w:rsidR="00183FFF">
        <w:rPr>
          <w:noProof/>
        </w:rPr>
        <w:t>55</w:t>
      </w:r>
      <w:r w:rsidR="00E12159">
        <w:rPr>
          <w:noProof/>
        </w:rPr>
        <w:fldChar w:fldCharType="end"/>
      </w:r>
    </w:p>
    <w:p w14:paraId="73E06F50" w14:textId="77777777" w:rsidR="00433DDE" w:rsidRDefault="00433DDE">
      <w:pPr>
        <w:pStyle w:val="TOC1"/>
        <w:rPr>
          <w:rFonts w:asciiTheme="minorHAnsi" w:eastAsiaTheme="minorEastAsia" w:hAnsiTheme="minorHAnsi" w:cstheme="minorBidi"/>
          <w:noProof/>
          <w:lang w:eastAsia="ja-JP"/>
        </w:rPr>
      </w:pPr>
      <w:r w:rsidRPr="002018D5">
        <w:rPr>
          <w:bCs/>
          <w:noProof/>
        </w:rPr>
        <w:t>REFERENCES</w:t>
      </w:r>
      <w:r>
        <w:rPr>
          <w:noProof/>
        </w:rPr>
        <w:tab/>
      </w:r>
      <w:r w:rsidR="00E12159">
        <w:rPr>
          <w:noProof/>
        </w:rPr>
        <w:fldChar w:fldCharType="begin"/>
      </w:r>
      <w:r>
        <w:rPr>
          <w:noProof/>
        </w:rPr>
        <w:instrText xml:space="preserve"> PAGEREF _Toc226957259 \h </w:instrText>
      </w:r>
      <w:r w:rsidR="00E12159">
        <w:rPr>
          <w:noProof/>
        </w:rPr>
      </w:r>
      <w:r w:rsidR="00E12159">
        <w:rPr>
          <w:noProof/>
        </w:rPr>
        <w:fldChar w:fldCharType="separate"/>
      </w:r>
      <w:r w:rsidR="00183FFF">
        <w:rPr>
          <w:noProof/>
        </w:rPr>
        <w:t>56</w:t>
      </w:r>
      <w:r w:rsidR="00E12159">
        <w:rPr>
          <w:noProof/>
        </w:rPr>
        <w:fldChar w:fldCharType="end"/>
      </w:r>
    </w:p>
    <w:p w14:paraId="041B41E2" w14:textId="77777777" w:rsidR="006E334E" w:rsidRDefault="00E12159" w:rsidP="006E334E">
      <w:pPr>
        <w:ind w:firstLine="720"/>
        <w:rPr>
          <w:sz w:val="22"/>
          <w:szCs w:val="22"/>
        </w:rPr>
      </w:pPr>
      <w:r>
        <w:rPr>
          <w:sz w:val="22"/>
          <w:szCs w:val="22"/>
        </w:rPr>
        <w:fldChar w:fldCharType="end"/>
      </w:r>
    </w:p>
    <w:p w14:paraId="24BB2B48" w14:textId="77777777" w:rsidR="001B1563" w:rsidRDefault="001B1563">
      <w:pPr>
        <w:rPr>
          <w:sz w:val="22"/>
          <w:szCs w:val="22"/>
        </w:rPr>
      </w:pPr>
      <w:r>
        <w:rPr>
          <w:sz w:val="22"/>
          <w:szCs w:val="22"/>
        </w:rPr>
        <w:br w:type="page"/>
      </w:r>
    </w:p>
    <w:p w14:paraId="3B783B21" w14:textId="77777777" w:rsidR="001B1563" w:rsidRDefault="001B1563" w:rsidP="001B1563">
      <w:pPr>
        <w:ind w:firstLine="720"/>
        <w:jc w:val="center"/>
        <w:rPr>
          <w:b/>
          <w:sz w:val="32"/>
          <w:szCs w:val="32"/>
        </w:rPr>
      </w:pPr>
      <w:r w:rsidRPr="001B1563">
        <w:rPr>
          <w:b/>
          <w:sz w:val="32"/>
          <w:szCs w:val="32"/>
        </w:rPr>
        <w:lastRenderedPageBreak/>
        <w:t>Tables</w:t>
      </w:r>
    </w:p>
    <w:p w14:paraId="0E812FE4" w14:textId="77777777" w:rsidR="001B1563" w:rsidRPr="00410BB0" w:rsidRDefault="001B1563" w:rsidP="00410BB0">
      <w:pPr>
        <w:pStyle w:val="TableofFigures"/>
        <w:tabs>
          <w:tab w:val="left" w:pos="1276"/>
          <w:tab w:val="right" w:leader="dot" w:pos="8630"/>
        </w:tabs>
        <w:spacing w:line="276" w:lineRule="auto"/>
        <w:rPr>
          <w:noProof/>
        </w:rPr>
      </w:pPr>
    </w:p>
    <w:p w14:paraId="41D97F2C" w14:textId="751CE89F" w:rsidR="006A1532" w:rsidRPr="00697C7E" w:rsidRDefault="00E12159" w:rsidP="00697C7E">
      <w:pPr>
        <w:pStyle w:val="TableofFigures"/>
        <w:tabs>
          <w:tab w:val="left" w:pos="1276"/>
          <w:tab w:val="right" w:leader="dot" w:pos="8636"/>
        </w:tabs>
        <w:spacing w:before="60" w:after="60"/>
        <w:rPr>
          <w:rFonts w:asciiTheme="minorHAnsi" w:eastAsiaTheme="minorEastAsia" w:hAnsiTheme="minorHAnsi" w:cstheme="minorBidi"/>
          <w:noProof/>
          <w:lang w:eastAsia="ja-JP"/>
        </w:rPr>
      </w:pPr>
      <w:r w:rsidRPr="00697C7E">
        <w:rPr>
          <w:sz w:val="32"/>
          <w:szCs w:val="32"/>
        </w:rPr>
        <w:fldChar w:fldCharType="begin"/>
      </w:r>
      <w:r w:rsidR="001B1563" w:rsidRPr="00697C7E">
        <w:rPr>
          <w:sz w:val="32"/>
          <w:szCs w:val="32"/>
        </w:rPr>
        <w:instrText xml:space="preserve"> TOC \c "Table" </w:instrText>
      </w:r>
      <w:r w:rsidRPr="00697C7E">
        <w:rPr>
          <w:sz w:val="32"/>
          <w:szCs w:val="32"/>
        </w:rPr>
        <w:fldChar w:fldCharType="separate"/>
      </w:r>
      <w:r w:rsidR="006A1532" w:rsidRPr="00697C7E">
        <w:rPr>
          <w:noProof/>
        </w:rPr>
        <w:t xml:space="preserve">Table 1. </w:t>
      </w:r>
      <w:r w:rsidR="00697C7E">
        <w:rPr>
          <w:noProof/>
        </w:rPr>
        <w:tab/>
      </w:r>
      <w:r w:rsidR="006A1532" w:rsidRPr="00697C7E">
        <w:rPr>
          <w:noProof/>
        </w:rPr>
        <w:t>Life expectancy and mortality rates, 2000-2010</w:t>
      </w:r>
      <w:r w:rsidR="006A1532" w:rsidRPr="00697C7E">
        <w:rPr>
          <w:noProof/>
        </w:rPr>
        <w:tab/>
      </w:r>
      <w:r w:rsidR="006A1532" w:rsidRPr="00697C7E">
        <w:rPr>
          <w:noProof/>
        </w:rPr>
        <w:fldChar w:fldCharType="begin"/>
      </w:r>
      <w:r w:rsidR="006A1532" w:rsidRPr="00697C7E">
        <w:rPr>
          <w:noProof/>
        </w:rPr>
        <w:instrText xml:space="preserve"> PAGEREF _Toc232694737 \h </w:instrText>
      </w:r>
      <w:r w:rsidR="006A1532" w:rsidRPr="00697C7E">
        <w:rPr>
          <w:noProof/>
        </w:rPr>
      </w:r>
      <w:r w:rsidR="006A1532" w:rsidRPr="00697C7E">
        <w:rPr>
          <w:noProof/>
        </w:rPr>
        <w:fldChar w:fldCharType="separate"/>
      </w:r>
      <w:r w:rsidR="006A1532" w:rsidRPr="00697C7E">
        <w:rPr>
          <w:noProof/>
        </w:rPr>
        <w:t>29</w:t>
      </w:r>
      <w:r w:rsidR="006A1532" w:rsidRPr="00697C7E">
        <w:rPr>
          <w:noProof/>
        </w:rPr>
        <w:fldChar w:fldCharType="end"/>
      </w:r>
    </w:p>
    <w:p w14:paraId="4FF08FBA" w14:textId="71150017" w:rsidR="006A1532" w:rsidRPr="00697C7E" w:rsidRDefault="006A1532" w:rsidP="00697C7E">
      <w:pPr>
        <w:pStyle w:val="TableofFigures"/>
        <w:tabs>
          <w:tab w:val="left" w:pos="1276"/>
          <w:tab w:val="right" w:leader="dot" w:pos="8636"/>
        </w:tabs>
        <w:spacing w:before="60" w:after="60"/>
        <w:rPr>
          <w:rFonts w:asciiTheme="minorHAnsi" w:eastAsiaTheme="minorEastAsia" w:hAnsiTheme="minorHAnsi" w:cstheme="minorBidi"/>
          <w:noProof/>
          <w:lang w:eastAsia="ja-JP"/>
        </w:rPr>
      </w:pPr>
      <w:r w:rsidRPr="00697C7E">
        <w:rPr>
          <w:noProof/>
        </w:rPr>
        <w:t xml:space="preserve">Table 2. </w:t>
      </w:r>
      <w:r w:rsidR="00697C7E">
        <w:rPr>
          <w:noProof/>
        </w:rPr>
        <w:tab/>
      </w:r>
      <w:r w:rsidRPr="00697C7E">
        <w:rPr>
          <w:noProof/>
        </w:rPr>
        <w:t>Employment by economic sector, occupation, and gender (%), 2004/2009</w:t>
      </w:r>
      <w:r w:rsidRPr="00697C7E">
        <w:rPr>
          <w:noProof/>
        </w:rPr>
        <w:tab/>
      </w:r>
      <w:r w:rsidRPr="00697C7E">
        <w:rPr>
          <w:noProof/>
        </w:rPr>
        <w:fldChar w:fldCharType="begin"/>
      </w:r>
      <w:r w:rsidRPr="00697C7E">
        <w:rPr>
          <w:noProof/>
        </w:rPr>
        <w:instrText xml:space="preserve"> PAGEREF _Toc232694738 \h </w:instrText>
      </w:r>
      <w:r w:rsidRPr="00697C7E">
        <w:rPr>
          <w:noProof/>
        </w:rPr>
      </w:r>
      <w:r w:rsidRPr="00697C7E">
        <w:rPr>
          <w:noProof/>
        </w:rPr>
        <w:fldChar w:fldCharType="separate"/>
      </w:r>
      <w:r w:rsidRPr="00697C7E">
        <w:rPr>
          <w:noProof/>
        </w:rPr>
        <w:t>38</w:t>
      </w:r>
      <w:r w:rsidRPr="00697C7E">
        <w:rPr>
          <w:noProof/>
        </w:rPr>
        <w:fldChar w:fldCharType="end"/>
      </w:r>
    </w:p>
    <w:p w14:paraId="1FDF4424" w14:textId="77777777" w:rsidR="001B1563" w:rsidRDefault="00E12159" w:rsidP="00697C7E">
      <w:pPr>
        <w:tabs>
          <w:tab w:val="left" w:pos="1276"/>
          <w:tab w:val="left" w:pos="1418"/>
        </w:tabs>
        <w:spacing w:before="60" w:after="60" w:line="23" w:lineRule="atLeast"/>
        <w:ind w:firstLine="720"/>
        <w:jc w:val="center"/>
        <w:rPr>
          <w:sz w:val="32"/>
          <w:szCs w:val="32"/>
        </w:rPr>
      </w:pPr>
      <w:r w:rsidRPr="00697C7E">
        <w:rPr>
          <w:sz w:val="32"/>
          <w:szCs w:val="32"/>
        </w:rPr>
        <w:fldChar w:fldCharType="end"/>
      </w:r>
    </w:p>
    <w:p w14:paraId="5345CDE7" w14:textId="77777777" w:rsidR="00A14F62" w:rsidRPr="001B1563" w:rsidRDefault="00A14F62" w:rsidP="00A14F62">
      <w:pPr>
        <w:tabs>
          <w:tab w:val="left" w:pos="993"/>
        </w:tabs>
        <w:ind w:firstLine="720"/>
        <w:jc w:val="center"/>
        <w:rPr>
          <w:b/>
          <w:sz w:val="32"/>
          <w:szCs w:val="32"/>
        </w:rPr>
      </w:pPr>
    </w:p>
    <w:p w14:paraId="37F8F2EE" w14:textId="77777777" w:rsidR="001B1563" w:rsidRDefault="001B1563" w:rsidP="00A14F62">
      <w:pPr>
        <w:tabs>
          <w:tab w:val="left" w:pos="993"/>
        </w:tabs>
        <w:ind w:firstLine="720"/>
        <w:jc w:val="center"/>
        <w:rPr>
          <w:b/>
          <w:sz w:val="32"/>
          <w:szCs w:val="32"/>
        </w:rPr>
      </w:pPr>
      <w:r w:rsidRPr="001B1563">
        <w:rPr>
          <w:b/>
          <w:sz w:val="32"/>
          <w:szCs w:val="32"/>
        </w:rPr>
        <w:t>Figures</w:t>
      </w:r>
    </w:p>
    <w:p w14:paraId="648C7065" w14:textId="77777777" w:rsidR="001B1563" w:rsidRPr="0048201F" w:rsidRDefault="001B1563" w:rsidP="00A14F62">
      <w:pPr>
        <w:tabs>
          <w:tab w:val="left" w:pos="993"/>
        </w:tabs>
        <w:ind w:firstLine="720"/>
        <w:jc w:val="center"/>
        <w:rPr>
          <w:b/>
        </w:rPr>
      </w:pPr>
    </w:p>
    <w:p w14:paraId="6D462E12" w14:textId="1CA62B0D" w:rsidR="006A1532" w:rsidRPr="00697C7E" w:rsidRDefault="00E12159" w:rsidP="00697C7E">
      <w:pPr>
        <w:pStyle w:val="TableofFigures"/>
        <w:tabs>
          <w:tab w:val="left" w:pos="1276"/>
          <w:tab w:val="right" w:leader="dot" w:pos="8636"/>
        </w:tabs>
        <w:spacing w:before="60" w:after="60"/>
        <w:ind w:left="1276" w:hanging="1276"/>
        <w:rPr>
          <w:rFonts w:asciiTheme="minorHAnsi" w:eastAsiaTheme="minorEastAsia" w:hAnsiTheme="minorHAnsi" w:cstheme="minorBidi"/>
          <w:noProof/>
          <w:lang w:eastAsia="ja-JP"/>
        </w:rPr>
      </w:pPr>
      <w:r w:rsidRPr="00697C7E">
        <w:rPr>
          <w:noProof/>
        </w:rPr>
        <w:fldChar w:fldCharType="begin"/>
      </w:r>
      <w:r w:rsidR="001B1563" w:rsidRPr="00697C7E">
        <w:rPr>
          <w:noProof/>
        </w:rPr>
        <w:instrText xml:space="preserve"> TOC \c "Figure" </w:instrText>
      </w:r>
      <w:r w:rsidRPr="00697C7E">
        <w:rPr>
          <w:noProof/>
        </w:rPr>
        <w:fldChar w:fldCharType="separate"/>
      </w:r>
      <w:r w:rsidR="006A1532" w:rsidRPr="00697C7E">
        <w:rPr>
          <w:noProof/>
        </w:rPr>
        <w:t xml:space="preserve">Figure 1. </w:t>
      </w:r>
      <w:r w:rsidR="00697C7E">
        <w:rPr>
          <w:noProof/>
        </w:rPr>
        <w:tab/>
      </w:r>
      <w:r w:rsidR="006A1532" w:rsidRPr="00697C7E">
        <w:rPr>
          <w:noProof/>
        </w:rPr>
        <w:t>Gross enrollment rate in tertiary education (%), by total and gender, and ratio of female to male tertiary enrollment (%), 2000-2011</w:t>
      </w:r>
      <w:r w:rsidR="006A1532" w:rsidRPr="00697C7E">
        <w:rPr>
          <w:noProof/>
        </w:rPr>
        <w:tab/>
      </w:r>
      <w:r w:rsidR="006A1532" w:rsidRPr="00697C7E">
        <w:rPr>
          <w:noProof/>
        </w:rPr>
        <w:fldChar w:fldCharType="begin"/>
      </w:r>
      <w:r w:rsidR="006A1532" w:rsidRPr="00697C7E">
        <w:rPr>
          <w:noProof/>
        </w:rPr>
        <w:instrText xml:space="preserve"> PAGEREF _Toc232694739 \h </w:instrText>
      </w:r>
      <w:r w:rsidR="006A1532" w:rsidRPr="00697C7E">
        <w:rPr>
          <w:noProof/>
        </w:rPr>
      </w:r>
      <w:r w:rsidR="006A1532" w:rsidRPr="00697C7E">
        <w:rPr>
          <w:noProof/>
        </w:rPr>
        <w:fldChar w:fldCharType="separate"/>
      </w:r>
      <w:r w:rsidR="00697C7E">
        <w:rPr>
          <w:noProof/>
        </w:rPr>
        <w:t>2</w:t>
      </w:r>
      <w:r w:rsidR="006A1532" w:rsidRPr="00697C7E">
        <w:rPr>
          <w:noProof/>
        </w:rPr>
        <w:fldChar w:fldCharType="end"/>
      </w:r>
    </w:p>
    <w:p w14:paraId="3862642C" w14:textId="2DCE542F"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lang w:val="de-DE" w:eastAsia="de-DE"/>
        </w:rPr>
        <w:t xml:space="preserve">Figure 2. </w:t>
      </w:r>
      <w:r w:rsidR="00697C7E">
        <w:rPr>
          <w:noProof/>
          <w:lang w:val="de-DE" w:eastAsia="de-DE"/>
        </w:rPr>
        <w:tab/>
      </w:r>
      <w:r w:rsidRPr="00697C7E">
        <w:rPr>
          <w:noProof/>
          <w:lang w:val="de-DE" w:eastAsia="de-DE"/>
        </w:rPr>
        <w:t>Population by age groups and sex (absolute numbers), 2010 and 2050</w:t>
      </w:r>
      <w:r w:rsidRPr="00697C7E">
        <w:rPr>
          <w:noProof/>
        </w:rPr>
        <w:tab/>
      </w:r>
      <w:r w:rsidRPr="00697C7E">
        <w:rPr>
          <w:noProof/>
        </w:rPr>
        <w:fldChar w:fldCharType="begin"/>
      </w:r>
      <w:r w:rsidRPr="00697C7E">
        <w:rPr>
          <w:noProof/>
        </w:rPr>
        <w:instrText xml:space="preserve"> PAGEREF _Toc232694740 \h </w:instrText>
      </w:r>
      <w:r w:rsidRPr="00697C7E">
        <w:rPr>
          <w:noProof/>
        </w:rPr>
      </w:r>
      <w:r w:rsidRPr="00697C7E">
        <w:rPr>
          <w:noProof/>
        </w:rPr>
        <w:fldChar w:fldCharType="separate"/>
      </w:r>
      <w:r w:rsidR="00697C7E">
        <w:rPr>
          <w:noProof/>
        </w:rPr>
        <w:t>4</w:t>
      </w:r>
      <w:r w:rsidRPr="00697C7E">
        <w:rPr>
          <w:noProof/>
        </w:rPr>
        <w:fldChar w:fldCharType="end"/>
      </w:r>
    </w:p>
    <w:p w14:paraId="31A9BABC" w14:textId="5F806D55" w:rsidR="006A1532" w:rsidRPr="00697C7E" w:rsidRDefault="006A1532" w:rsidP="00697C7E">
      <w:pPr>
        <w:pStyle w:val="TableofFigures"/>
        <w:tabs>
          <w:tab w:val="left" w:pos="1276"/>
          <w:tab w:val="right" w:leader="dot" w:pos="8636"/>
        </w:tabs>
        <w:spacing w:before="60" w:after="60"/>
        <w:ind w:left="1276" w:hanging="1276"/>
        <w:rPr>
          <w:rFonts w:asciiTheme="minorHAnsi" w:eastAsiaTheme="minorEastAsia" w:hAnsiTheme="minorHAnsi" w:cstheme="minorBidi"/>
          <w:noProof/>
          <w:lang w:eastAsia="ja-JP"/>
        </w:rPr>
      </w:pPr>
      <w:r w:rsidRPr="00697C7E">
        <w:rPr>
          <w:noProof/>
        </w:rPr>
        <w:t xml:space="preserve">Figure 3. </w:t>
      </w:r>
      <w:r w:rsidR="00697C7E">
        <w:rPr>
          <w:noProof/>
        </w:rPr>
        <w:tab/>
      </w:r>
      <w:r w:rsidRPr="00697C7E">
        <w:rPr>
          <w:noProof/>
        </w:rPr>
        <w:t>Percent of firms with female top manager and female participation in ownership (%), by characteristics of firm, 2008</w:t>
      </w:r>
      <w:r w:rsidRPr="00697C7E">
        <w:rPr>
          <w:noProof/>
        </w:rPr>
        <w:tab/>
      </w:r>
      <w:r w:rsidRPr="00697C7E">
        <w:rPr>
          <w:noProof/>
        </w:rPr>
        <w:fldChar w:fldCharType="begin"/>
      </w:r>
      <w:r w:rsidRPr="00697C7E">
        <w:rPr>
          <w:noProof/>
        </w:rPr>
        <w:instrText xml:space="preserve"> PAGEREF _Toc232694741 \h </w:instrText>
      </w:r>
      <w:r w:rsidRPr="00697C7E">
        <w:rPr>
          <w:noProof/>
        </w:rPr>
      </w:r>
      <w:r w:rsidRPr="00697C7E">
        <w:rPr>
          <w:noProof/>
        </w:rPr>
        <w:fldChar w:fldCharType="separate"/>
      </w:r>
      <w:r w:rsidR="00697C7E">
        <w:rPr>
          <w:noProof/>
        </w:rPr>
        <w:t>6</w:t>
      </w:r>
      <w:r w:rsidRPr="00697C7E">
        <w:rPr>
          <w:noProof/>
        </w:rPr>
        <w:fldChar w:fldCharType="end"/>
      </w:r>
    </w:p>
    <w:p w14:paraId="576D9477" w14:textId="5CEF430C"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4. </w:t>
      </w:r>
      <w:r w:rsidR="00697C7E">
        <w:rPr>
          <w:noProof/>
        </w:rPr>
        <w:tab/>
      </w:r>
      <w:r w:rsidRPr="00697C7E">
        <w:rPr>
          <w:noProof/>
        </w:rPr>
        <w:t>Measures of life satisfaction (%), by gender, 2006 and 2010</w:t>
      </w:r>
      <w:r w:rsidRPr="00697C7E">
        <w:rPr>
          <w:noProof/>
        </w:rPr>
        <w:tab/>
      </w:r>
      <w:r w:rsidRPr="00697C7E">
        <w:rPr>
          <w:noProof/>
        </w:rPr>
        <w:fldChar w:fldCharType="begin"/>
      </w:r>
      <w:r w:rsidRPr="00697C7E">
        <w:rPr>
          <w:noProof/>
        </w:rPr>
        <w:instrText xml:space="preserve"> PAGEREF _Toc232694742 \h </w:instrText>
      </w:r>
      <w:r w:rsidRPr="00697C7E">
        <w:rPr>
          <w:noProof/>
        </w:rPr>
      </w:r>
      <w:r w:rsidRPr="00697C7E">
        <w:rPr>
          <w:noProof/>
        </w:rPr>
        <w:fldChar w:fldCharType="separate"/>
      </w:r>
      <w:r w:rsidR="00697C7E">
        <w:rPr>
          <w:noProof/>
        </w:rPr>
        <w:t>14</w:t>
      </w:r>
      <w:r w:rsidRPr="00697C7E">
        <w:rPr>
          <w:noProof/>
        </w:rPr>
        <w:fldChar w:fldCharType="end"/>
      </w:r>
    </w:p>
    <w:p w14:paraId="21E56EBA" w14:textId="61EC1626"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5. </w:t>
      </w:r>
      <w:r w:rsidR="00697C7E">
        <w:rPr>
          <w:noProof/>
        </w:rPr>
        <w:tab/>
      </w:r>
      <w:r w:rsidRPr="00697C7E">
        <w:rPr>
          <w:noProof/>
        </w:rPr>
        <w:t>Public expenditure on education as percent of GDP, 1993-2010</w:t>
      </w:r>
      <w:r w:rsidRPr="00697C7E">
        <w:rPr>
          <w:noProof/>
        </w:rPr>
        <w:tab/>
      </w:r>
      <w:r w:rsidRPr="00697C7E">
        <w:rPr>
          <w:noProof/>
        </w:rPr>
        <w:fldChar w:fldCharType="begin"/>
      </w:r>
      <w:r w:rsidRPr="00697C7E">
        <w:rPr>
          <w:noProof/>
        </w:rPr>
        <w:instrText xml:space="preserve"> PAGEREF _Toc232694743 \h </w:instrText>
      </w:r>
      <w:r w:rsidRPr="00697C7E">
        <w:rPr>
          <w:noProof/>
        </w:rPr>
      </w:r>
      <w:r w:rsidRPr="00697C7E">
        <w:rPr>
          <w:noProof/>
        </w:rPr>
        <w:fldChar w:fldCharType="separate"/>
      </w:r>
      <w:r w:rsidR="00697C7E">
        <w:rPr>
          <w:noProof/>
        </w:rPr>
        <w:t>20</w:t>
      </w:r>
      <w:r w:rsidRPr="00697C7E">
        <w:rPr>
          <w:noProof/>
        </w:rPr>
        <w:fldChar w:fldCharType="end"/>
      </w:r>
    </w:p>
    <w:p w14:paraId="79D592B5" w14:textId="391A9422" w:rsidR="006A1532" w:rsidRPr="00697C7E" w:rsidRDefault="006A1532" w:rsidP="00697C7E">
      <w:pPr>
        <w:pStyle w:val="TableofFigures"/>
        <w:tabs>
          <w:tab w:val="left" w:pos="1276"/>
          <w:tab w:val="right" w:leader="dot" w:pos="8636"/>
        </w:tabs>
        <w:spacing w:before="60" w:after="60"/>
        <w:ind w:left="1276" w:hanging="1276"/>
        <w:rPr>
          <w:rFonts w:asciiTheme="minorHAnsi" w:eastAsiaTheme="minorEastAsia" w:hAnsiTheme="minorHAnsi" w:cstheme="minorBidi"/>
          <w:noProof/>
          <w:lang w:eastAsia="ja-JP"/>
        </w:rPr>
      </w:pPr>
      <w:r w:rsidRPr="00697C7E">
        <w:rPr>
          <w:noProof/>
        </w:rPr>
        <w:t xml:space="preserve">Figure 6. </w:t>
      </w:r>
      <w:r w:rsidR="00697C7E">
        <w:rPr>
          <w:noProof/>
        </w:rPr>
        <w:tab/>
      </w:r>
      <w:r w:rsidRPr="00697C7E">
        <w:rPr>
          <w:noProof/>
        </w:rPr>
        <w:t>Gross enrollment rate in primary education (%), by total and gender, and ratio of female to male primary enrollment (%), 2000-2011</w:t>
      </w:r>
      <w:r w:rsidRPr="00697C7E">
        <w:rPr>
          <w:noProof/>
        </w:rPr>
        <w:tab/>
      </w:r>
      <w:r w:rsidRPr="00697C7E">
        <w:rPr>
          <w:noProof/>
        </w:rPr>
        <w:fldChar w:fldCharType="begin"/>
      </w:r>
      <w:r w:rsidRPr="00697C7E">
        <w:rPr>
          <w:noProof/>
        </w:rPr>
        <w:instrText xml:space="preserve"> PAGEREF _Toc232694744 \h </w:instrText>
      </w:r>
      <w:r w:rsidRPr="00697C7E">
        <w:rPr>
          <w:noProof/>
        </w:rPr>
      </w:r>
      <w:r w:rsidRPr="00697C7E">
        <w:rPr>
          <w:noProof/>
        </w:rPr>
        <w:fldChar w:fldCharType="separate"/>
      </w:r>
      <w:r w:rsidR="00697C7E">
        <w:rPr>
          <w:noProof/>
        </w:rPr>
        <w:t>21</w:t>
      </w:r>
      <w:r w:rsidRPr="00697C7E">
        <w:rPr>
          <w:noProof/>
        </w:rPr>
        <w:fldChar w:fldCharType="end"/>
      </w:r>
    </w:p>
    <w:p w14:paraId="116A325A" w14:textId="4BB1BE82" w:rsidR="006A1532" w:rsidRPr="00697C7E" w:rsidRDefault="006A1532" w:rsidP="00697C7E">
      <w:pPr>
        <w:pStyle w:val="TableofFigures"/>
        <w:tabs>
          <w:tab w:val="left" w:pos="1276"/>
          <w:tab w:val="right" w:leader="dot" w:pos="8636"/>
        </w:tabs>
        <w:spacing w:before="60" w:after="60"/>
        <w:ind w:left="1276" w:hanging="1276"/>
        <w:rPr>
          <w:rFonts w:asciiTheme="minorHAnsi" w:eastAsiaTheme="minorEastAsia" w:hAnsiTheme="minorHAnsi" w:cstheme="minorBidi"/>
          <w:noProof/>
          <w:lang w:eastAsia="ja-JP"/>
        </w:rPr>
      </w:pPr>
      <w:r w:rsidRPr="00697C7E">
        <w:rPr>
          <w:noProof/>
        </w:rPr>
        <w:t xml:space="preserve">Figure 7. </w:t>
      </w:r>
      <w:r w:rsidR="00697C7E">
        <w:rPr>
          <w:noProof/>
        </w:rPr>
        <w:tab/>
      </w:r>
      <w:r w:rsidRPr="00697C7E">
        <w:rPr>
          <w:noProof/>
        </w:rPr>
        <w:t>Gross enrollment rate in secondary education (%), by total and gender, and ratio female to male secondary enrollment (%), 2000-2011</w:t>
      </w:r>
      <w:r w:rsidRPr="00697C7E">
        <w:rPr>
          <w:noProof/>
        </w:rPr>
        <w:tab/>
      </w:r>
      <w:r w:rsidRPr="00697C7E">
        <w:rPr>
          <w:noProof/>
        </w:rPr>
        <w:fldChar w:fldCharType="begin"/>
      </w:r>
      <w:r w:rsidRPr="00697C7E">
        <w:rPr>
          <w:noProof/>
        </w:rPr>
        <w:instrText xml:space="preserve"> PAGEREF _Toc232694745 \h </w:instrText>
      </w:r>
      <w:r w:rsidRPr="00697C7E">
        <w:rPr>
          <w:noProof/>
        </w:rPr>
      </w:r>
      <w:r w:rsidRPr="00697C7E">
        <w:rPr>
          <w:noProof/>
        </w:rPr>
        <w:fldChar w:fldCharType="separate"/>
      </w:r>
      <w:r w:rsidR="00697C7E">
        <w:rPr>
          <w:noProof/>
        </w:rPr>
        <w:t>22</w:t>
      </w:r>
      <w:r w:rsidRPr="00697C7E">
        <w:rPr>
          <w:noProof/>
        </w:rPr>
        <w:fldChar w:fldCharType="end"/>
      </w:r>
    </w:p>
    <w:p w14:paraId="321A5F44" w14:textId="7CE6591D" w:rsidR="006A1532" w:rsidRPr="00697C7E" w:rsidRDefault="006A1532" w:rsidP="00697C7E">
      <w:pPr>
        <w:pStyle w:val="TableofFigures"/>
        <w:tabs>
          <w:tab w:val="left" w:pos="1276"/>
          <w:tab w:val="right" w:leader="dot" w:pos="8636"/>
        </w:tabs>
        <w:spacing w:before="60" w:after="60"/>
        <w:ind w:left="1276" w:hanging="1276"/>
        <w:rPr>
          <w:rFonts w:asciiTheme="minorHAnsi" w:eastAsiaTheme="minorEastAsia" w:hAnsiTheme="minorHAnsi" w:cstheme="minorBidi"/>
          <w:noProof/>
          <w:lang w:eastAsia="ja-JP"/>
        </w:rPr>
      </w:pPr>
      <w:r w:rsidRPr="00697C7E">
        <w:rPr>
          <w:noProof/>
        </w:rPr>
        <w:t xml:space="preserve">Figure 8. </w:t>
      </w:r>
      <w:r w:rsidR="00697C7E">
        <w:rPr>
          <w:noProof/>
        </w:rPr>
        <w:tab/>
      </w:r>
      <w:r w:rsidRPr="00697C7E">
        <w:rPr>
          <w:noProof/>
        </w:rPr>
        <w:t>Gross enrollment rate in tertiary education (%), by total and gender, and ratio of female to male tertiary enrollment (%), 2000-2011</w:t>
      </w:r>
      <w:r w:rsidRPr="00697C7E">
        <w:rPr>
          <w:noProof/>
        </w:rPr>
        <w:tab/>
      </w:r>
      <w:r w:rsidRPr="00697C7E">
        <w:rPr>
          <w:noProof/>
        </w:rPr>
        <w:fldChar w:fldCharType="begin"/>
      </w:r>
      <w:r w:rsidRPr="00697C7E">
        <w:rPr>
          <w:noProof/>
        </w:rPr>
        <w:instrText xml:space="preserve"> PAGEREF _Toc232694746 \h </w:instrText>
      </w:r>
      <w:r w:rsidRPr="00697C7E">
        <w:rPr>
          <w:noProof/>
        </w:rPr>
      </w:r>
      <w:r w:rsidRPr="00697C7E">
        <w:rPr>
          <w:noProof/>
        </w:rPr>
        <w:fldChar w:fldCharType="separate"/>
      </w:r>
      <w:r w:rsidR="00697C7E">
        <w:rPr>
          <w:noProof/>
        </w:rPr>
        <w:t>24</w:t>
      </w:r>
      <w:r w:rsidRPr="00697C7E">
        <w:rPr>
          <w:noProof/>
        </w:rPr>
        <w:fldChar w:fldCharType="end"/>
      </w:r>
    </w:p>
    <w:p w14:paraId="38C592DD" w14:textId="2BF5B036"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9. </w:t>
      </w:r>
      <w:r w:rsidR="00697C7E">
        <w:rPr>
          <w:noProof/>
        </w:rPr>
        <w:tab/>
      </w:r>
      <w:r w:rsidRPr="00697C7E">
        <w:rPr>
          <w:noProof/>
        </w:rPr>
        <w:t>Fields of study in tertiary education (%), by gender, 2011</w:t>
      </w:r>
      <w:r w:rsidRPr="00697C7E">
        <w:rPr>
          <w:noProof/>
        </w:rPr>
        <w:tab/>
      </w:r>
      <w:r w:rsidRPr="00697C7E">
        <w:rPr>
          <w:noProof/>
        </w:rPr>
        <w:fldChar w:fldCharType="begin"/>
      </w:r>
      <w:r w:rsidRPr="00697C7E">
        <w:rPr>
          <w:noProof/>
        </w:rPr>
        <w:instrText xml:space="preserve"> PAGEREF _Toc232694747 \h </w:instrText>
      </w:r>
      <w:r w:rsidRPr="00697C7E">
        <w:rPr>
          <w:noProof/>
        </w:rPr>
      </w:r>
      <w:r w:rsidRPr="00697C7E">
        <w:rPr>
          <w:noProof/>
        </w:rPr>
        <w:fldChar w:fldCharType="separate"/>
      </w:r>
      <w:r w:rsidR="00697C7E">
        <w:rPr>
          <w:noProof/>
        </w:rPr>
        <w:t>25</w:t>
      </w:r>
      <w:r w:rsidRPr="00697C7E">
        <w:rPr>
          <w:noProof/>
        </w:rPr>
        <w:fldChar w:fldCharType="end"/>
      </w:r>
    </w:p>
    <w:p w14:paraId="0E9FF5FD" w14:textId="0B75D911"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lang w:val="de-DE" w:eastAsia="de-DE"/>
        </w:rPr>
        <w:t xml:space="preserve">Figure 10. </w:t>
      </w:r>
      <w:r w:rsidR="00697C7E">
        <w:rPr>
          <w:noProof/>
          <w:lang w:val="de-DE" w:eastAsia="de-DE"/>
        </w:rPr>
        <w:tab/>
      </w:r>
      <w:r w:rsidRPr="00697C7E">
        <w:rPr>
          <w:noProof/>
          <w:lang w:val="de-DE" w:eastAsia="de-DE"/>
        </w:rPr>
        <w:t>Population by age groups and sex (absolute numbers), 2010 and 2050</w:t>
      </w:r>
      <w:r w:rsidRPr="00697C7E">
        <w:rPr>
          <w:noProof/>
        </w:rPr>
        <w:tab/>
      </w:r>
      <w:r w:rsidRPr="00697C7E">
        <w:rPr>
          <w:noProof/>
        </w:rPr>
        <w:fldChar w:fldCharType="begin"/>
      </w:r>
      <w:r w:rsidRPr="00697C7E">
        <w:rPr>
          <w:noProof/>
        </w:rPr>
        <w:instrText xml:space="preserve"> PAGEREF _Toc232694748 \h </w:instrText>
      </w:r>
      <w:r w:rsidRPr="00697C7E">
        <w:rPr>
          <w:noProof/>
        </w:rPr>
      </w:r>
      <w:r w:rsidRPr="00697C7E">
        <w:rPr>
          <w:noProof/>
        </w:rPr>
        <w:fldChar w:fldCharType="separate"/>
      </w:r>
      <w:r w:rsidR="00697C7E">
        <w:rPr>
          <w:noProof/>
        </w:rPr>
        <w:t>26</w:t>
      </w:r>
      <w:r w:rsidRPr="00697C7E">
        <w:rPr>
          <w:noProof/>
        </w:rPr>
        <w:fldChar w:fldCharType="end"/>
      </w:r>
    </w:p>
    <w:p w14:paraId="29ACAC40" w14:textId="431525A9"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lang w:val="de-DE" w:eastAsia="de-DE"/>
        </w:rPr>
        <w:t xml:space="preserve">Figure 11. </w:t>
      </w:r>
      <w:r w:rsidR="00697C7E">
        <w:rPr>
          <w:noProof/>
          <w:lang w:val="de-DE" w:eastAsia="de-DE"/>
        </w:rPr>
        <w:tab/>
      </w:r>
      <w:r w:rsidRPr="00697C7E">
        <w:rPr>
          <w:noProof/>
          <w:lang w:val="de-DE" w:eastAsia="de-DE"/>
        </w:rPr>
        <w:t>Population by age groups (% of total population), 2010-2050</w:t>
      </w:r>
      <w:r w:rsidRPr="00697C7E">
        <w:rPr>
          <w:noProof/>
        </w:rPr>
        <w:tab/>
      </w:r>
      <w:r w:rsidRPr="00697C7E">
        <w:rPr>
          <w:noProof/>
        </w:rPr>
        <w:fldChar w:fldCharType="begin"/>
      </w:r>
      <w:r w:rsidRPr="00697C7E">
        <w:rPr>
          <w:noProof/>
        </w:rPr>
        <w:instrText xml:space="preserve"> PAGEREF _Toc232694749 \h </w:instrText>
      </w:r>
      <w:r w:rsidRPr="00697C7E">
        <w:rPr>
          <w:noProof/>
        </w:rPr>
      </w:r>
      <w:r w:rsidRPr="00697C7E">
        <w:rPr>
          <w:noProof/>
        </w:rPr>
        <w:fldChar w:fldCharType="separate"/>
      </w:r>
      <w:r w:rsidR="00697C7E">
        <w:rPr>
          <w:noProof/>
        </w:rPr>
        <w:t>26</w:t>
      </w:r>
      <w:r w:rsidRPr="00697C7E">
        <w:rPr>
          <w:noProof/>
        </w:rPr>
        <w:fldChar w:fldCharType="end"/>
      </w:r>
    </w:p>
    <w:p w14:paraId="6058D5B6" w14:textId="1D529EFC"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12. </w:t>
      </w:r>
      <w:r w:rsidR="00697C7E">
        <w:rPr>
          <w:noProof/>
        </w:rPr>
        <w:tab/>
      </w:r>
      <w:r w:rsidRPr="00697C7E">
        <w:rPr>
          <w:noProof/>
        </w:rPr>
        <w:t>Women's advantage in life expectancy (in years), 1950-2050</w:t>
      </w:r>
      <w:r w:rsidRPr="00697C7E">
        <w:rPr>
          <w:noProof/>
        </w:rPr>
        <w:tab/>
      </w:r>
      <w:r w:rsidRPr="00697C7E">
        <w:rPr>
          <w:noProof/>
        </w:rPr>
        <w:fldChar w:fldCharType="begin"/>
      </w:r>
      <w:r w:rsidRPr="00697C7E">
        <w:rPr>
          <w:noProof/>
        </w:rPr>
        <w:instrText xml:space="preserve"> PAGEREF _Toc232694750 \h </w:instrText>
      </w:r>
      <w:r w:rsidRPr="00697C7E">
        <w:rPr>
          <w:noProof/>
        </w:rPr>
      </w:r>
      <w:r w:rsidRPr="00697C7E">
        <w:rPr>
          <w:noProof/>
        </w:rPr>
        <w:fldChar w:fldCharType="separate"/>
      </w:r>
      <w:r w:rsidR="00697C7E">
        <w:rPr>
          <w:noProof/>
        </w:rPr>
        <w:t>28</w:t>
      </w:r>
      <w:r w:rsidRPr="00697C7E">
        <w:rPr>
          <w:noProof/>
        </w:rPr>
        <w:fldChar w:fldCharType="end"/>
      </w:r>
    </w:p>
    <w:p w14:paraId="4B0B8560" w14:textId="05A9F42E"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13. </w:t>
      </w:r>
      <w:r w:rsidR="00697C7E">
        <w:rPr>
          <w:noProof/>
        </w:rPr>
        <w:tab/>
      </w:r>
      <w:r w:rsidRPr="00697C7E">
        <w:rPr>
          <w:noProof/>
        </w:rPr>
        <w:t>Total fertility rates (births per women) in Tajikistan</w:t>
      </w:r>
      <w:r w:rsidRPr="00697C7E">
        <w:rPr>
          <w:noProof/>
        </w:rPr>
        <w:tab/>
      </w:r>
      <w:r w:rsidRPr="00697C7E">
        <w:rPr>
          <w:noProof/>
        </w:rPr>
        <w:fldChar w:fldCharType="begin"/>
      </w:r>
      <w:r w:rsidRPr="00697C7E">
        <w:rPr>
          <w:noProof/>
        </w:rPr>
        <w:instrText xml:space="preserve"> PAGEREF _Toc232694751 \h </w:instrText>
      </w:r>
      <w:r w:rsidRPr="00697C7E">
        <w:rPr>
          <w:noProof/>
        </w:rPr>
      </w:r>
      <w:r w:rsidRPr="00697C7E">
        <w:rPr>
          <w:noProof/>
        </w:rPr>
        <w:fldChar w:fldCharType="separate"/>
      </w:r>
      <w:r w:rsidR="00697C7E">
        <w:rPr>
          <w:noProof/>
        </w:rPr>
        <w:t>31</w:t>
      </w:r>
      <w:r w:rsidRPr="00697C7E">
        <w:rPr>
          <w:noProof/>
        </w:rPr>
        <w:fldChar w:fldCharType="end"/>
      </w:r>
    </w:p>
    <w:p w14:paraId="1408A10C" w14:textId="640938E3"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14. </w:t>
      </w:r>
      <w:r w:rsidR="00697C7E">
        <w:rPr>
          <w:noProof/>
        </w:rPr>
        <w:tab/>
      </w:r>
      <w:r w:rsidRPr="00697C7E">
        <w:rPr>
          <w:noProof/>
        </w:rPr>
        <w:t>Employment status (%), by gender, 2009</w:t>
      </w:r>
      <w:r w:rsidRPr="00697C7E">
        <w:rPr>
          <w:noProof/>
        </w:rPr>
        <w:tab/>
      </w:r>
      <w:r w:rsidRPr="00697C7E">
        <w:rPr>
          <w:noProof/>
        </w:rPr>
        <w:fldChar w:fldCharType="begin"/>
      </w:r>
      <w:r w:rsidRPr="00697C7E">
        <w:rPr>
          <w:noProof/>
        </w:rPr>
        <w:instrText xml:space="preserve"> PAGEREF _Toc232694752 \h </w:instrText>
      </w:r>
      <w:r w:rsidRPr="00697C7E">
        <w:rPr>
          <w:noProof/>
        </w:rPr>
      </w:r>
      <w:r w:rsidRPr="00697C7E">
        <w:rPr>
          <w:noProof/>
        </w:rPr>
        <w:fldChar w:fldCharType="separate"/>
      </w:r>
      <w:r w:rsidR="00697C7E">
        <w:rPr>
          <w:noProof/>
        </w:rPr>
        <w:t>37</w:t>
      </w:r>
      <w:r w:rsidRPr="00697C7E">
        <w:rPr>
          <w:noProof/>
        </w:rPr>
        <w:fldChar w:fldCharType="end"/>
      </w:r>
    </w:p>
    <w:p w14:paraId="2A1715CA" w14:textId="50D854CD"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15. </w:t>
      </w:r>
      <w:r w:rsidR="00697C7E">
        <w:rPr>
          <w:noProof/>
        </w:rPr>
        <w:tab/>
      </w:r>
      <w:r w:rsidRPr="00697C7E">
        <w:rPr>
          <w:noProof/>
        </w:rPr>
        <w:t>Density of new businesses, 2004-2009</w:t>
      </w:r>
      <w:r w:rsidRPr="00697C7E">
        <w:rPr>
          <w:noProof/>
        </w:rPr>
        <w:tab/>
      </w:r>
      <w:r w:rsidRPr="00697C7E">
        <w:rPr>
          <w:noProof/>
        </w:rPr>
        <w:fldChar w:fldCharType="begin"/>
      </w:r>
      <w:r w:rsidRPr="00697C7E">
        <w:rPr>
          <w:noProof/>
        </w:rPr>
        <w:instrText xml:space="preserve"> PAGEREF _Toc232694753 \h </w:instrText>
      </w:r>
      <w:r w:rsidRPr="00697C7E">
        <w:rPr>
          <w:noProof/>
        </w:rPr>
      </w:r>
      <w:r w:rsidRPr="00697C7E">
        <w:rPr>
          <w:noProof/>
        </w:rPr>
        <w:fldChar w:fldCharType="separate"/>
      </w:r>
      <w:r w:rsidR="00697C7E">
        <w:rPr>
          <w:noProof/>
        </w:rPr>
        <w:t>45</w:t>
      </w:r>
      <w:r w:rsidRPr="00697C7E">
        <w:rPr>
          <w:noProof/>
        </w:rPr>
        <w:fldChar w:fldCharType="end"/>
      </w:r>
    </w:p>
    <w:p w14:paraId="52ABA459" w14:textId="163A0B60"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16. </w:t>
      </w:r>
      <w:r w:rsidR="00697C7E">
        <w:rPr>
          <w:noProof/>
        </w:rPr>
        <w:tab/>
      </w:r>
      <w:r w:rsidRPr="00697C7E">
        <w:rPr>
          <w:noProof/>
        </w:rPr>
        <w:t>Attempts and success in starting a business (in %), by gender, 2010</w:t>
      </w:r>
      <w:r w:rsidRPr="00697C7E">
        <w:rPr>
          <w:noProof/>
        </w:rPr>
        <w:tab/>
      </w:r>
      <w:r w:rsidRPr="00697C7E">
        <w:rPr>
          <w:noProof/>
        </w:rPr>
        <w:fldChar w:fldCharType="begin"/>
      </w:r>
      <w:r w:rsidRPr="00697C7E">
        <w:rPr>
          <w:noProof/>
        </w:rPr>
        <w:instrText xml:space="preserve"> PAGEREF _Toc232694754 \h </w:instrText>
      </w:r>
      <w:r w:rsidRPr="00697C7E">
        <w:rPr>
          <w:noProof/>
        </w:rPr>
      </w:r>
      <w:r w:rsidRPr="00697C7E">
        <w:rPr>
          <w:noProof/>
        </w:rPr>
        <w:fldChar w:fldCharType="separate"/>
      </w:r>
      <w:r w:rsidR="00697C7E">
        <w:rPr>
          <w:noProof/>
        </w:rPr>
        <w:t>45</w:t>
      </w:r>
      <w:r w:rsidRPr="00697C7E">
        <w:rPr>
          <w:noProof/>
        </w:rPr>
        <w:fldChar w:fldCharType="end"/>
      </w:r>
    </w:p>
    <w:p w14:paraId="1DCCCC7E" w14:textId="4BD31F9E" w:rsidR="006A1532" w:rsidRPr="00697C7E" w:rsidRDefault="006A1532" w:rsidP="00697C7E">
      <w:pPr>
        <w:pStyle w:val="TableofFigures"/>
        <w:tabs>
          <w:tab w:val="left" w:pos="1276"/>
          <w:tab w:val="right" w:leader="dot" w:pos="8636"/>
        </w:tabs>
        <w:spacing w:before="60" w:after="60"/>
        <w:ind w:left="1276" w:hanging="1276"/>
        <w:rPr>
          <w:rFonts w:asciiTheme="minorHAnsi" w:eastAsiaTheme="minorEastAsia" w:hAnsiTheme="minorHAnsi" w:cstheme="minorBidi"/>
          <w:noProof/>
          <w:lang w:eastAsia="ja-JP"/>
        </w:rPr>
      </w:pPr>
      <w:r w:rsidRPr="00697C7E">
        <w:rPr>
          <w:noProof/>
        </w:rPr>
        <w:t xml:space="preserve">Figure 17. </w:t>
      </w:r>
      <w:r w:rsidR="00697C7E">
        <w:rPr>
          <w:noProof/>
        </w:rPr>
        <w:tab/>
      </w:r>
      <w:r w:rsidRPr="00697C7E">
        <w:rPr>
          <w:noProof/>
        </w:rPr>
        <w:t>Percent of firms with female top manager and female participation in ownership (%), by characteristics of firm, 2008</w:t>
      </w:r>
      <w:r w:rsidRPr="00697C7E">
        <w:rPr>
          <w:noProof/>
        </w:rPr>
        <w:tab/>
      </w:r>
      <w:r w:rsidRPr="00697C7E">
        <w:rPr>
          <w:noProof/>
        </w:rPr>
        <w:fldChar w:fldCharType="begin"/>
      </w:r>
      <w:r w:rsidRPr="00697C7E">
        <w:rPr>
          <w:noProof/>
        </w:rPr>
        <w:instrText xml:space="preserve"> PAGEREF _Toc232694755 \h </w:instrText>
      </w:r>
      <w:r w:rsidRPr="00697C7E">
        <w:rPr>
          <w:noProof/>
        </w:rPr>
      </w:r>
      <w:r w:rsidRPr="00697C7E">
        <w:rPr>
          <w:noProof/>
        </w:rPr>
        <w:fldChar w:fldCharType="separate"/>
      </w:r>
      <w:r w:rsidR="00697C7E">
        <w:rPr>
          <w:noProof/>
        </w:rPr>
        <w:t>47</w:t>
      </w:r>
      <w:r w:rsidRPr="00697C7E">
        <w:rPr>
          <w:noProof/>
        </w:rPr>
        <w:fldChar w:fldCharType="end"/>
      </w:r>
    </w:p>
    <w:p w14:paraId="54CDAF4D" w14:textId="7D70BDA5"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18. </w:t>
      </w:r>
      <w:r w:rsidR="00697C7E">
        <w:rPr>
          <w:noProof/>
        </w:rPr>
        <w:tab/>
      </w:r>
      <w:r w:rsidRPr="00697C7E">
        <w:rPr>
          <w:noProof/>
        </w:rPr>
        <w:t>Purposes of accounts and sources of loans (in %), by gender, 2011</w:t>
      </w:r>
      <w:r w:rsidRPr="00697C7E">
        <w:rPr>
          <w:noProof/>
        </w:rPr>
        <w:tab/>
      </w:r>
      <w:r w:rsidRPr="00697C7E">
        <w:rPr>
          <w:noProof/>
        </w:rPr>
        <w:fldChar w:fldCharType="begin"/>
      </w:r>
      <w:r w:rsidRPr="00697C7E">
        <w:rPr>
          <w:noProof/>
        </w:rPr>
        <w:instrText xml:space="preserve"> PAGEREF _Toc232694756 \h </w:instrText>
      </w:r>
      <w:r w:rsidRPr="00697C7E">
        <w:rPr>
          <w:noProof/>
        </w:rPr>
      </w:r>
      <w:r w:rsidRPr="00697C7E">
        <w:rPr>
          <w:noProof/>
        </w:rPr>
        <w:fldChar w:fldCharType="separate"/>
      </w:r>
      <w:r w:rsidR="00697C7E">
        <w:rPr>
          <w:noProof/>
        </w:rPr>
        <w:t>50</w:t>
      </w:r>
      <w:r w:rsidRPr="00697C7E">
        <w:rPr>
          <w:noProof/>
        </w:rPr>
        <w:fldChar w:fldCharType="end"/>
      </w:r>
    </w:p>
    <w:p w14:paraId="6C1892CE" w14:textId="77777777" w:rsidR="006A1532" w:rsidRPr="00697C7E" w:rsidRDefault="00E12159" w:rsidP="00697C7E">
      <w:pPr>
        <w:pStyle w:val="TableofFigures"/>
        <w:tabs>
          <w:tab w:val="left" w:pos="1276"/>
          <w:tab w:val="right" w:leader="dot" w:pos="8636"/>
        </w:tabs>
        <w:spacing w:before="60" w:after="60" w:line="276" w:lineRule="auto"/>
        <w:ind w:left="482" w:hanging="482"/>
        <w:rPr>
          <w:noProof/>
        </w:rPr>
      </w:pPr>
      <w:r w:rsidRPr="00697C7E">
        <w:rPr>
          <w:noProof/>
        </w:rPr>
        <w:fldChar w:fldCharType="end"/>
      </w:r>
      <w:r w:rsidRPr="00697C7E">
        <w:rPr>
          <w:noProof/>
        </w:rPr>
        <w:fldChar w:fldCharType="begin"/>
      </w:r>
      <w:r w:rsidR="001B1563" w:rsidRPr="00697C7E">
        <w:rPr>
          <w:noProof/>
        </w:rPr>
        <w:instrText xml:space="preserve"> TOC \c "Figure A" </w:instrText>
      </w:r>
      <w:r w:rsidRPr="00697C7E">
        <w:rPr>
          <w:noProof/>
        </w:rPr>
        <w:fldChar w:fldCharType="separate"/>
      </w:r>
    </w:p>
    <w:p w14:paraId="05C4CA3F" w14:textId="69286D8E"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A 1. </w:t>
      </w:r>
      <w:r w:rsidR="00697C7E">
        <w:rPr>
          <w:noProof/>
        </w:rPr>
        <w:tab/>
      </w:r>
      <w:r w:rsidRPr="00697C7E">
        <w:rPr>
          <w:noProof/>
        </w:rPr>
        <w:t>Primary completion rate (%), by total and gender, 2000-2011</w:t>
      </w:r>
      <w:r w:rsidRPr="00697C7E">
        <w:rPr>
          <w:noProof/>
        </w:rPr>
        <w:tab/>
      </w:r>
      <w:r w:rsidRPr="00697C7E">
        <w:rPr>
          <w:noProof/>
        </w:rPr>
        <w:fldChar w:fldCharType="begin"/>
      </w:r>
      <w:r w:rsidRPr="00697C7E">
        <w:rPr>
          <w:noProof/>
        </w:rPr>
        <w:instrText xml:space="preserve"> PAGEREF _Toc232694757 \h </w:instrText>
      </w:r>
      <w:r w:rsidRPr="00697C7E">
        <w:rPr>
          <w:noProof/>
        </w:rPr>
      </w:r>
      <w:r w:rsidRPr="00697C7E">
        <w:rPr>
          <w:noProof/>
        </w:rPr>
        <w:fldChar w:fldCharType="separate"/>
      </w:r>
      <w:r w:rsidRPr="00697C7E">
        <w:rPr>
          <w:noProof/>
        </w:rPr>
        <w:t>58</w:t>
      </w:r>
      <w:r w:rsidRPr="00697C7E">
        <w:rPr>
          <w:noProof/>
        </w:rPr>
        <w:fldChar w:fldCharType="end"/>
      </w:r>
    </w:p>
    <w:p w14:paraId="698F8B75" w14:textId="4EFFE249" w:rsidR="006A1532" w:rsidRPr="00697C7E" w:rsidRDefault="006A1532" w:rsidP="00697C7E">
      <w:pPr>
        <w:pStyle w:val="TableofFigures"/>
        <w:tabs>
          <w:tab w:val="left" w:pos="1276"/>
          <w:tab w:val="right" w:leader="dot" w:pos="8636"/>
        </w:tabs>
        <w:spacing w:before="60" w:after="60"/>
        <w:ind w:left="482" w:hanging="482"/>
        <w:rPr>
          <w:rFonts w:asciiTheme="minorHAnsi" w:eastAsiaTheme="minorEastAsia" w:hAnsiTheme="minorHAnsi" w:cstheme="minorBidi"/>
          <w:noProof/>
          <w:lang w:eastAsia="ja-JP"/>
        </w:rPr>
      </w:pPr>
      <w:r w:rsidRPr="00697C7E">
        <w:rPr>
          <w:noProof/>
        </w:rPr>
        <w:t xml:space="preserve">Figure A 2. </w:t>
      </w:r>
      <w:r w:rsidR="00697C7E">
        <w:rPr>
          <w:noProof/>
        </w:rPr>
        <w:tab/>
      </w:r>
      <w:r w:rsidRPr="00697C7E">
        <w:rPr>
          <w:noProof/>
        </w:rPr>
        <w:t>Progression to secondary education (%), by total and gender, 2000-2010</w:t>
      </w:r>
      <w:r w:rsidRPr="00697C7E">
        <w:rPr>
          <w:noProof/>
        </w:rPr>
        <w:tab/>
      </w:r>
      <w:r w:rsidRPr="00697C7E">
        <w:rPr>
          <w:noProof/>
        </w:rPr>
        <w:fldChar w:fldCharType="begin"/>
      </w:r>
      <w:r w:rsidRPr="00697C7E">
        <w:rPr>
          <w:noProof/>
        </w:rPr>
        <w:instrText xml:space="preserve"> PAGEREF _Toc232694758 \h </w:instrText>
      </w:r>
      <w:r w:rsidRPr="00697C7E">
        <w:rPr>
          <w:noProof/>
        </w:rPr>
      </w:r>
      <w:r w:rsidRPr="00697C7E">
        <w:rPr>
          <w:noProof/>
        </w:rPr>
        <w:fldChar w:fldCharType="separate"/>
      </w:r>
      <w:r w:rsidRPr="00697C7E">
        <w:rPr>
          <w:noProof/>
        </w:rPr>
        <w:t>58</w:t>
      </w:r>
      <w:r w:rsidRPr="00697C7E">
        <w:rPr>
          <w:noProof/>
        </w:rPr>
        <w:fldChar w:fldCharType="end"/>
      </w:r>
    </w:p>
    <w:p w14:paraId="6046260A" w14:textId="77777777" w:rsidR="001B1563" w:rsidRPr="0035436C" w:rsidRDefault="00E12159" w:rsidP="00697C7E">
      <w:pPr>
        <w:pStyle w:val="TableofFigures"/>
        <w:tabs>
          <w:tab w:val="left" w:pos="1276"/>
          <w:tab w:val="right" w:leader="dot" w:pos="8636"/>
        </w:tabs>
        <w:spacing w:before="60" w:after="60" w:line="276" w:lineRule="auto"/>
        <w:ind w:left="482" w:hanging="482"/>
        <w:rPr>
          <w:sz w:val="32"/>
          <w:szCs w:val="32"/>
        </w:rPr>
      </w:pPr>
      <w:r w:rsidRPr="00697C7E">
        <w:rPr>
          <w:noProof/>
        </w:rPr>
        <w:fldChar w:fldCharType="end"/>
      </w:r>
    </w:p>
    <w:p w14:paraId="7E2E443E" w14:textId="77777777" w:rsidR="001B1563" w:rsidRDefault="001B1563">
      <w:pPr>
        <w:rPr>
          <w:sz w:val="22"/>
          <w:szCs w:val="22"/>
        </w:rPr>
      </w:pPr>
    </w:p>
    <w:p w14:paraId="4FFCECF8" w14:textId="77777777" w:rsidR="00B5234E" w:rsidRDefault="00B5234E" w:rsidP="00B5234E">
      <w:pPr>
        <w:ind w:firstLine="720"/>
        <w:rPr>
          <w:sz w:val="22"/>
          <w:szCs w:val="22"/>
        </w:rPr>
      </w:pPr>
    </w:p>
    <w:p w14:paraId="351BB60B" w14:textId="77777777" w:rsidR="001B1563" w:rsidRDefault="001B1563" w:rsidP="00B5234E">
      <w:pPr>
        <w:ind w:firstLine="720"/>
        <w:rPr>
          <w:sz w:val="22"/>
          <w:szCs w:val="22"/>
        </w:rPr>
        <w:sectPr w:rsidR="001B1563" w:rsidSect="003125A2">
          <w:pgSz w:w="12240" w:h="15840" w:code="1"/>
          <w:pgMar w:top="1440" w:right="1797" w:bottom="1440" w:left="1797" w:header="720" w:footer="720" w:gutter="0"/>
          <w:pgNumType w:fmt="lowerRoman" w:start="1"/>
          <w:cols w:space="720"/>
          <w:docGrid w:linePitch="360"/>
        </w:sectPr>
      </w:pPr>
    </w:p>
    <w:p w14:paraId="03239692" w14:textId="77777777" w:rsidR="00B5234E" w:rsidRDefault="00B5234E" w:rsidP="00B5234E">
      <w:pPr>
        <w:pStyle w:val="Heading1a"/>
      </w:pPr>
      <w:bookmarkStart w:id="0" w:name="_Toc226957240"/>
      <w:r>
        <w:lastRenderedPageBreak/>
        <w:t xml:space="preserve">EXECUTIVE </w:t>
      </w:r>
      <w:r w:rsidRPr="000C161F">
        <w:t>SUMMARY</w:t>
      </w:r>
      <w:bookmarkEnd w:id="0"/>
    </w:p>
    <w:p w14:paraId="075418F6" w14:textId="2F138E60" w:rsidR="0056252A" w:rsidRDefault="0056252A" w:rsidP="0056252A">
      <w:pPr>
        <w:numPr>
          <w:ilvl w:val="0"/>
          <w:numId w:val="1"/>
        </w:numPr>
        <w:tabs>
          <w:tab w:val="clear" w:pos="720"/>
        </w:tabs>
        <w:spacing w:after="240"/>
        <w:ind w:left="0" w:firstLine="0"/>
        <w:jc w:val="both"/>
      </w:pPr>
      <w:r w:rsidRPr="000073DC">
        <w:rPr>
          <w:b/>
        </w:rPr>
        <w:t>The aim of this report is to provide a broad overview of the current state of gender equality in Tajikistan.</w:t>
      </w:r>
      <w:r>
        <w:t xml:space="preserve"> While the Europe and Central Asia (ECA) region traditionally surpassed many other regions in terms of gender equality, this advantage has been eroding in recent decades. Particularly in Tajikistan, concerns have been raised that men and women have unequally born the consequences of economic, political, and social transitions after independence in 1991. Shrinking state support for women in their productive and reproductive roles, reduced female participation in political decision-making, and strong resurgence of gender stereotypes and previously banned practices have been noted in this regard </w:t>
      </w:r>
      <w:r>
        <w:fldChar w:fldCharType="begin"/>
      </w:r>
      <w:r>
        <w:instrText xml:space="preserve"> ADDIN EN.CITE &lt;EndNote&gt;&lt;Cite&gt;&lt;Author&gt;Falkingham&lt;/Author&gt;&lt;Year&gt;2000&lt;/Year&gt;&lt;RecNum&gt;17&lt;/RecNum&gt;&lt;Prefix&gt;cf. &lt;/Prefix&gt;&lt;DisplayText&gt;(cf. Falkingham, 2000; UN Human Rights Council, 2009)&lt;/DisplayText&gt;&lt;record&gt;&lt;rec-number&gt;17&lt;/rec-number&gt;&lt;foreign-keys&gt;&lt;key app="EN" db-id="wes5dreptvrsr2eeartvxexxftt2tastxrfs"&gt;17&lt;/key&gt;&lt;/foreign-keys&gt;&lt;ref-type name="Journal Article"&gt;17&lt;/ref-type&gt;&lt;contributors&gt;&lt;authors&gt;&lt;author&gt;Jane Falkingham&lt;/author&gt;&lt;/authors&gt;&lt;/contributors&gt;&lt;titles&gt;&lt;title&gt;Women and gender relations in Tajikistan&lt;/title&gt;&lt;secondary-title&gt;Country Briefing Paper&lt;/secondary-title&gt;&lt;/titles&gt;&lt;periodical&gt;&lt;full-title&gt;Country Briefing Paper&lt;/full-title&gt;&lt;/periodical&gt;&lt;dates&gt;&lt;year&gt;2000&lt;/year&gt;&lt;/dates&gt;&lt;urls&gt;&lt;/urls&gt;&lt;/record&gt;&lt;/Cite&gt;&lt;Cite&gt;&lt;Author&gt;UN Human Rights Council&lt;/Author&gt;&lt;Year&gt;2009&lt;/Year&gt;&lt;RecNum&gt;81&lt;/RecNum&gt;&lt;record&gt;&lt;rec-number&gt;81&lt;/rec-number&gt;&lt;foreign-keys&gt;&lt;key app="EN" db-id="wes5dreptvrsr2eeartvxexxftt2tastxrfs"&gt;81&lt;/key&gt;&lt;/foreign-keys&gt;&lt;ref-type name="Book"&gt;6&lt;/ref-type&gt;&lt;contributors&gt;&lt;authors&gt;&lt;author&gt;UN Human Rights Council&lt;/author&gt;&lt;/authors&gt;&lt;/contributors&gt;&lt;titles&gt;&lt;title&gt;Report of the Special Rapporteur on Violence against women, its Causes and Consequences, Yakin Ertürk: addendum: mission to Tajikistan&lt;/title&gt;&lt;/titles&gt;&lt;dates&gt;&lt;year&gt;2009&lt;/year&gt;&lt;pub-dates&gt;&lt;date&gt;A/HRC/11/6/Add.2&lt;/date&gt;&lt;/pub-dates&gt;&lt;/dates&gt;&lt;pub-location&gt;29 April 2009, A/HRC/11/6/Add.2, available at: http://www.unhcr.org/refworld/docid/4a0bda662.html&lt;/pub-location&gt;&lt;urls&gt;&lt;/urls&gt;&lt;electronic-resource-num&gt;available at: http://www.unhcr.org/refworld/docid/4a0bda662.html&lt;/electronic-resource-num&gt;&lt;/record&gt;&lt;/Cite&gt;&lt;/EndNote&gt;</w:instrText>
      </w:r>
      <w:r>
        <w:fldChar w:fldCharType="separate"/>
      </w:r>
      <w:r>
        <w:rPr>
          <w:noProof/>
        </w:rPr>
        <w:t xml:space="preserve">(cf. </w:t>
      </w:r>
      <w:hyperlink w:anchor="_ENREF_17" w:tooltip="Falkingham, 2000 #17" w:history="1">
        <w:r w:rsidR="006A1532">
          <w:rPr>
            <w:noProof/>
          </w:rPr>
          <w:t>Falkingham, 2000</w:t>
        </w:r>
      </w:hyperlink>
      <w:r>
        <w:rPr>
          <w:noProof/>
        </w:rPr>
        <w:t xml:space="preserve">; </w:t>
      </w:r>
      <w:hyperlink w:anchor="_ENREF_54" w:tooltip="UN Human Rights Council, 2009 #81" w:history="1">
        <w:r w:rsidR="006A1532">
          <w:rPr>
            <w:noProof/>
          </w:rPr>
          <w:t>UN Human Rights Council, 2009</w:t>
        </w:r>
      </w:hyperlink>
      <w:r>
        <w:rPr>
          <w:noProof/>
        </w:rPr>
        <w:t>)</w:t>
      </w:r>
      <w:r>
        <w:fldChar w:fldCharType="end"/>
      </w:r>
      <w:r>
        <w:t xml:space="preserve">. </w:t>
      </w:r>
    </w:p>
    <w:p w14:paraId="404E5881" w14:textId="3E0EB294" w:rsidR="0056252A" w:rsidRPr="005938E4" w:rsidRDefault="0056252A" w:rsidP="0056252A">
      <w:pPr>
        <w:numPr>
          <w:ilvl w:val="0"/>
          <w:numId w:val="1"/>
        </w:numPr>
        <w:tabs>
          <w:tab w:val="clear" w:pos="720"/>
        </w:tabs>
        <w:spacing w:after="240"/>
        <w:ind w:left="0" w:firstLine="0"/>
        <w:jc w:val="both"/>
      </w:pPr>
      <w:r w:rsidRPr="004547C4">
        <w:rPr>
          <w:b/>
        </w:rPr>
        <w:t>The report examines several dimensions of gender equality both quantitatively and qualitatively</w:t>
      </w:r>
      <w:r>
        <w:rPr>
          <w:b/>
        </w:rPr>
        <w:t xml:space="preserve">. </w:t>
      </w:r>
      <w:r w:rsidRPr="005938E4">
        <w:t>First</w:t>
      </w:r>
      <w:r>
        <w:t>ly</w:t>
      </w:r>
      <w:r w:rsidRPr="005938E4">
        <w:t xml:space="preserve">, </w:t>
      </w:r>
      <w:r w:rsidRPr="0089552E">
        <w:rPr>
          <w:i/>
        </w:rPr>
        <w:t>agency</w:t>
      </w:r>
      <w:r w:rsidRPr="005938E4">
        <w:t xml:space="preserve"> </w:t>
      </w:r>
      <w:r>
        <w:t>refers to men’s and women’s</w:t>
      </w:r>
      <w:r w:rsidRPr="005938E4">
        <w:t xml:space="preserve"> ability to make </w:t>
      </w:r>
      <w:r>
        <w:t xml:space="preserve">effective choices to transform endowments and opportunities into desired outcomes. The legal and institutional framework and social norms that may constrain this ability are discussed. Secondly, the report reviews gaps in </w:t>
      </w:r>
      <w:r w:rsidRPr="00CE74EE">
        <w:rPr>
          <w:i/>
        </w:rPr>
        <w:t>human capital</w:t>
      </w:r>
      <w:r>
        <w:t xml:space="preserve"> endowments, particularly health and education. Thirdly, asymmetries in the </w:t>
      </w:r>
      <w:r w:rsidRPr="00CE74EE">
        <w:rPr>
          <w:i/>
        </w:rPr>
        <w:t>labor market</w:t>
      </w:r>
      <w:r>
        <w:t xml:space="preserve"> are examined, including a discussion of gender-specific issues arising from its large informality and large-scale labor migration. Finally, the report turns to female and male involvement in </w:t>
      </w:r>
      <w:r w:rsidRPr="001E6214">
        <w:rPr>
          <w:i/>
        </w:rPr>
        <w:t>entrepreneurship</w:t>
      </w:r>
      <w:r>
        <w:t xml:space="preserve"> as entrepreneurial activities act as an important engine for economic and social development. Overall, it relies on a range of data sources that provide gender-disaggregated statistics and complements them with </w:t>
      </w:r>
      <w:r w:rsidR="0011043C">
        <w:t xml:space="preserve">a desk review of </w:t>
      </w:r>
      <w:r>
        <w:t>results from qualitative studies.</w:t>
      </w:r>
    </w:p>
    <w:p w14:paraId="18A6341C" w14:textId="570719DE" w:rsidR="0056252A" w:rsidRPr="009606E3" w:rsidRDefault="0056252A" w:rsidP="0056252A">
      <w:pPr>
        <w:numPr>
          <w:ilvl w:val="0"/>
          <w:numId w:val="1"/>
        </w:numPr>
        <w:tabs>
          <w:tab w:val="clear" w:pos="720"/>
        </w:tabs>
        <w:spacing w:after="240"/>
        <w:ind w:left="0" w:firstLine="0"/>
        <w:jc w:val="both"/>
      </w:pPr>
      <w:r w:rsidRPr="00380E20">
        <w:rPr>
          <w:b/>
        </w:rPr>
        <w:t xml:space="preserve">Tajikistan has set up a legal framework </w:t>
      </w:r>
      <w:r>
        <w:rPr>
          <w:b/>
        </w:rPr>
        <w:t xml:space="preserve">that enshrines </w:t>
      </w:r>
      <w:r w:rsidRPr="00380E20">
        <w:rPr>
          <w:b/>
        </w:rPr>
        <w:t>principles of e</w:t>
      </w:r>
      <w:r>
        <w:rPr>
          <w:b/>
        </w:rPr>
        <w:t xml:space="preserve">quality and non-discrimination, but better implementation results require continued efforts. </w:t>
      </w:r>
      <w:r w:rsidRPr="009606E3">
        <w:t xml:space="preserve">At the international level, </w:t>
      </w:r>
      <w:r>
        <w:rPr>
          <w:color w:val="000000" w:themeColor="text1"/>
        </w:rPr>
        <w:t xml:space="preserve">Tajikistan ratified the Convention on the Elimination of All Forms of Discrimination Against Women (CEDAW) in 1993, the Convention on the Political Rights of Women, and the UN Covenant on Civil and Political Rights (1999). At the national level, the law ‘On State Guarantees of Equal Rights and Equal Opportunities for Men and Women’ was adopted in 2005. Despite the Government’s commitment, lack of harmonization of laws and regulations and weak institutional mechanisms hamper </w:t>
      </w:r>
      <w:r w:rsidRPr="00FB5EE5">
        <w:rPr>
          <w:i/>
          <w:color w:val="000000" w:themeColor="text1"/>
        </w:rPr>
        <w:t>de facto</w:t>
      </w:r>
      <w:r>
        <w:rPr>
          <w:color w:val="000000" w:themeColor="text1"/>
        </w:rPr>
        <w:t xml:space="preserve"> gender equality. Poor stakeholder coordination and incomplete gender mainstreaming in ministries and departments have been further obstacles </w:t>
      </w:r>
      <w:r>
        <w:rPr>
          <w:color w:val="000000" w:themeColor="text1"/>
        </w:rPr>
        <w:fldChar w:fldCharType="begin"/>
      </w:r>
      <w:r>
        <w:rPr>
          <w:color w:val="000000" w:themeColor="text1"/>
        </w:rPr>
        <w:instrText xml:space="preserve"> ADDIN EN.CITE &lt;EndNote&gt;&lt;Cite&gt;&lt;Author&gt;Mamadazimov&lt;/Author&gt;&lt;Year&gt;2011&lt;/Year&gt;&lt;RecNum&gt;73&lt;/RecNum&gt;&lt;Prefix&gt;cf. &lt;/Prefix&gt;&lt;DisplayText&gt;(cf. Mamadazimov &amp;amp; Kuvatova, 2011; Public Organizations of Tajikistan, 2012)&lt;/DisplayText&gt;&lt;record&gt;&lt;rec-number&gt;73&lt;/rec-number&gt;&lt;foreign-keys&gt;&lt;key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OSCE/ODIHR&lt;/publisher&gt;&lt;urls&gt;&lt;/urls&gt;&lt;/record&gt;&lt;/Cite&gt;&lt;Cite&gt;&lt;Author&gt;Public Organizations of Tajikistan&lt;/Author&gt;&lt;Year&gt;2012&lt;/Year&gt;&lt;RecNum&gt;77&lt;/RecNum&gt;&lt;record&gt;&lt;rec-number&gt;77&lt;/rec-number&gt;&lt;foreign-keys&gt;&lt;key app="EN" db-id="wes5dreptvrsr2eeartvxexxftt2tastxrfs"&gt;77&lt;/key&gt;&lt;/foreign-keys&gt;&lt;ref-type name="Book"&gt;6&lt;/ref-type&gt;&lt;contributors&gt;&lt;authors&gt;&lt;author&gt;Public Organizations of Tajikistan&lt;/author&gt;&lt;/authors&gt;&lt;/contributors&gt;&lt;titles&gt;&lt;title&gt;The Second Shadow Report on the Realization of the Convention on the Elimination of All Forms of Discrimination against Women&lt;/title&gt;&lt;/titles&gt;&lt;dates&gt;&lt;year&gt;2012&lt;/year&gt;&lt;/dates&gt;&lt;pub-location&gt;Dushanbe&lt;/pub-location&gt;&lt;publisher&gt;Public Organizations of Tajikistan&lt;/publisher&gt;&lt;urls&gt;&lt;/urls&gt;&lt;/record&gt;&lt;/Cite&gt;&lt;/EndNote&gt;</w:instrText>
      </w:r>
      <w:r>
        <w:rPr>
          <w:color w:val="000000" w:themeColor="text1"/>
        </w:rPr>
        <w:fldChar w:fldCharType="separate"/>
      </w:r>
      <w:r>
        <w:rPr>
          <w:noProof/>
          <w:color w:val="000000" w:themeColor="text1"/>
        </w:rPr>
        <w:t xml:space="preserve">(cf. </w:t>
      </w:r>
      <w:hyperlink w:anchor="_ENREF_34" w:tooltip="Mamadazimov, 2011 #73" w:history="1">
        <w:r w:rsidR="006A1532">
          <w:rPr>
            <w:noProof/>
            <w:color w:val="000000" w:themeColor="text1"/>
          </w:rPr>
          <w:t>Mamadazimov &amp; Kuvatova, 2011</w:t>
        </w:r>
      </w:hyperlink>
      <w:r>
        <w:rPr>
          <w:noProof/>
          <w:color w:val="000000" w:themeColor="text1"/>
        </w:rPr>
        <w:t xml:space="preserve">; </w:t>
      </w:r>
      <w:hyperlink w:anchor="_ENREF_41" w:tooltip="Public Organizations of Tajikistan, 2012 #77" w:history="1">
        <w:r w:rsidR="006A1532">
          <w:rPr>
            <w:noProof/>
            <w:color w:val="000000" w:themeColor="text1"/>
          </w:rPr>
          <w:t>Public Organizations of Tajikistan, 2012</w:t>
        </w:r>
      </w:hyperlink>
      <w:r>
        <w:rPr>
          <w:noProof/>
          <w:color w:val="000000" w:themeColor="text1"/>
        </w:rPr>
        <w:t>)</w:t>
      </w:r>
      <w:r>
        <w:rPr>
          <w:color w:val="000000" w:themeColor="text1"/>
        </w:rPr>
        <w:fldChar w:fldCharType="end"/>
      </w:r>
      <w:r>
        <w:rPr>
          <w:color w:val="000000" w:themeColor="text1"/>
        </w:rPr>
        <w:t>.</w:t>
      </w:r>
    </w:p>
    <w:p w14:paraId="3B29C5E7" w14:textId="4B468725" w:rsidR="0056252A" w:rsidRPr="00DC2682" w:rsidRDefault="0056252A" w:rsidP="0056252A">
      <w:pPr>
        <w:numPr>
          <w:ilvl w:val="0"/>
          <w:numId w:val="1"/>
        </w:numPr>
        <w:tabs>
          <w:tab w:val="clear" w:pos="720"/>
        </w:tabs>
        <w:spacing w:after="240"/>
        <w:ind w:left="0" w:firstLine="0"/>
        <w:jc w:val="both"/>
        <w:rPr>
          <w:b/>
        </w:rPr>
      </w:pPr>
      <w:r>
        <w:rPr>
          <w:b/>
        </w:rPr>
        <w:t>Prevailing</w:t>
      </w:r>
      <w:r w:rsidRPr="00380E20">
        <w:rPr>
          <w:b/>
        </w:rPr>
        <w:t xml:space="preserve"> social norms</w:t>
      </w:r>
      <w:r>
        <w:rPr>
          <w:b/>
        </w:rPr>
        <w:t xml:space="preserve"> and patriarchal systems of decision-making</w:t>
      </w:r>
      <w:r w:rsidRPr="00380E20">
        <w:rPr>
          <w:b/>
        </w:rPr>
        <w:t xml:space="preserve"> limit women’s ability to make effective </w:t>
      </w:r>
      <w:proofErr w:type="gramStart"/>
      <w:r w:rsidRPr="00380E20">
        <w:rPr>
          <w:b/>
        </w:rPr>
        <w:t>choices</w:t>
      </w:r>
      <w:r>
        <w:rPr>
          <w:b/>
        </w:rPr>
        <w:t>,</w:t>
      </w:r>
      <w:proofErr w:type="gramEnd"/>
      <w:r>
        <w:rPr>
          <w:b/>
        </w:rPr>
        <w:t xml:space="preserve"> be it at home or at work. </w:t>
      </w:r>
      <w:r>
        <w:t xml:space="preserve">At home, a woman’s father in law, her husband or his brothers, or her husband’s mother commonly take decisions. Social norms and stereotypes narrowly define women’s and men’s roles in society, and there is little awareness of women’s rights </w:t>
      </w:r>
      <w:r>
        <w:fldChar w:fldCharType="begin"/>
      </w:r>
      <w:r>
        <w:instrText xml:space="preserve"> ADDIN EN.CITE &lt;EndNote&gt;&lt;Cite&gt;&lt;Author&gt;Kobzar&lt;/Author&gt;&lt;Year&gt;2007&lt;/Year&gt;&lt;RecNum&gt;78&lt;/RecNum&gt;&lt;DisplayText&gt;(Kobzar, 2007)&lt;/DisplayText&gt;&lt;record&gt;&lt;rec-number&gt;78&lt;/rec-number&gt;&lt;foreign-keys&gt;&lt;key app="EN" db-id="wes5dreptvrsr2eeartvxexxftt2tastxrfs"&gt;78&lt;/key&gt;&lt;/foreign-keys&gt;&lt;ref-type name="Book"&gt;6&lt;/ref-type&gt;&lt;contributors&gt;&lt;authors&gt;&lt;author&gt;Elena Kobzar&lt;/author&gt;&lt;/authors&gt;&lt;/contributors&gt;&lt;titles&gt;&lt;title&gt;Gender equality in the agricultural sector&lt;/title&gt;&lt;/titles&gt;&lt;dates&gt;&lt;year&gt;2007&lt;/year&gt;&lt;/dates&gt;&lt;pub-location&gt;Dushanbe&lt;/pub-location&gt;&lt;publisher&gt;United Nations Development Fund for Women&lt;/publisher&gt;&lt;urls&gt;&lt;/urls&gt;&lt;/record&gt;&lt;/Cite&gt;&lt;/EndNote&gt;</w:instrText>
      </w:r>
      <w:r>
        <w:fldChar w:fldCharType="separate"/>
      </w:r>
      <w:r>
        <w:rPr>
          <w:noProof/>
        </w:rPr>
        <w:t>(</w:t>
      </w:r>
      <w:hyperlink w:anchor="_ENREF_32" w:tooltip="Kobzar, 2007 #78" w:history="1">
        <w:r w:rsidR="006A1532">
          <w:rPr>
            <w:noProof/>
          </w:rPr>
          <w:t>Kobzar, 2007</w:t>
        </w:r>
      </w:hyperlink>
      <w:r>
        <w:rPr>
          <w:noProof/>
        </w:rPr>
        <w:t>)</w:t>
      </w:r>
      <w:r>
        <w:fldChar w:fldCharType="end"/>
      </w:r>
      <w:r>
        <w:t>.</w:t>
      </w:r>
      <w:r>
        <w:rPr>
          <w:b/>
        </w:rPr>
        <w:t xml:space="preserve"> </w:t>
      </w:r>
      <w:r>
        <w:t xml:space="preserve">Importantly, reemerging but unofficial traditional marriage practices such as early marriage or polygamous relationships leave women without any legal rights </w:t>
      </w:r>
      <w:r>
        <w:fldChar w:fldCharType="begin"/>
      </w:r>
      <w:r>
        <w:instrText xml:space="preserve"> ADDIN EN.CITE &lt;EndNote&gt;&lt;Cite&gt;&lt;Author&gt;United Nations&lt;/Author&gt;&lt;Year&gt;2009&lt;/Year&gt;&lt;RecNum&gt;63&lt;/RecNum&gt;&lt;DisplayText&gt;(United Nations, 2009)&lt;/DisplayText&gt;&lt;record&gt;&lt;rec-number&gt;63&lt;/rec-number&gt;&lt;foreign-keys&gt;&lt;key app="EN" db-id="wes5dreptvrsr2eeartvxexxftt2tastxrfs"&gt;63&lt;/key&gt;&lt;/foreign-keys&gt;&lt;ref-type name="Journal Article"&gt;17&lt;/ref-type&gt;&lt;contributors&gt;&lt;authors&gt;&lt;author&gt;United Nations&lt;/author&gt;&lt;/authors&gt;&lt;/contributors&gt;&lt;titles&gt;&lt;title&gt;Promotion and Protection of All Human Rights, Civil, Political, Economic, Social and Cultural Rights, Including the Right to Development. Report of the Speical Rapporteur on violence against women, its causes and consequences&lt;/title&gt;&lt;secondary-title&gt;A/HRC/11/6/Add. 2, 29 April 2009&lt;/secondary-title&gt;&lt;/titles&gt;&lt;periodical&gt;&lt;full-title&gt;A/HRC/11/6/Add. 2, 29 April 2009&lt;/full-title&gt;&lt;/periodical&gt;&lt;dates&gt;&lt;year&gt;2009&lt;/year&gt;&lt;/dates&gt;&lt;urls&gt;&lt;/urls&gt;&lt;/record&gt;&lt;/Cite&gt;&lt;/EndNote&gt;</w:instrText>
      </w:r>
      <w:r>
        <w:fldChar w:fldCharType="separate"/>
      </w:r>
      <w:r>
        <w:rPr>
          <w:noProof/>
        </w:rPr>
        <w:t>(</w:t>
      </w:r>
      <w:hyperlink w:anchor="_ENREF_63" w:tooltip="United Nations, 2009 #63" w:history="1">
        <w:r w:rsidR="006A1532">
          <w:rPr>
            <w:noProof/>
          </w:rPr>
          <w:t>United Nations, 2009</w:t>
        </w:r>
      </w:hyperlink>
      <w:r>
        <w:rPr>
          <w:noProof/>
        </w:rPr>
        <w:t>)</w:t>
      </w:r>
      <w:r>
        <w:fldChar w:fldCharType="end"/>
      </w:r>
      <w:r>
        <w:t xml:space="preserve">. </w:t>
      </w:r>
      <w:r>
        <w:lastRenderedPageBreak/>
        <w:t xml:space="preserve">In any case, these factors hamper women’s ability to decide how they want to protect themselves from HIV and make them susceptible to domestic violence. These patterns are also found in the economic sphere, where women are often rather employees at </w:t>
      </w:r>
      <w:r w:rsidRPr="004A4637">
        <w:rPr>
          <w:i/>
        </w:rPr>
        <w:t>dekhan</w:t>
      </w:r>
      <w:r>
        <w:t xml:space="preserve"> farms than shareholder in their own right, with men for instance deciding on the crop selection. They are also reflected in women’s lack of access to local decision-making on water resource management </w:t>
      </w:r>
      <w:r>
        <w:fldChar w:fldCharType="begin"/>
      </w:r>
      <w:r>
        <w:instrText xml:space="preserve"> ADDIN EN.CITE &lt;EndNote&gt;&lt;Cite&gt;&lt;Author&gt;World Bank&lt;/Author&gt;&lt;Year&gt;2009&lt;/Year&gt;&lt;RecNum&gt;79&lt;/RecNum&gt;&lt;DisplayText&gt;(World Bank, 2009a)&lt;/DisplayText&gt;&lt;record&gt;&lt;rec-number&gt;79&lt;/rec-number&gt;&lt;foreign-keys&gt;&lt;key app="EN" db-id="wes5dreptvrsr2eeartvxexxftt2tastxrfs"&gt;79&lt;/key&gt;&lt;/foreign-keys&gt;&lt;ref-type name="Book"&gt;6&lt;/ref-type&gt;&lt;contributors&gt;&lt;authors&gt;&lt;author&gt;World Bank&lt;/author&gt;&lt;/authors&gt;&lt;/contributors&gt;&lt;titles&gt;&lt;title&gt;Agricultural Activities, Water, and Gender in Tajikistan&amp;apos;s Rural Sector: A Social Assessment of Konibodom, Bobojon Ghafurov, and Yovon&lt;/title&gt;&lt;/titles&gt;&lt;dates&gt;&lt;year&gt;2009&lt;/year&gt;&lt;/dates&gt;&lt;pub-location&gt;Washington, DC&lt;/pub-location&gt;&lt;publisher&gt;World Bank&lt;/publisher&gt;&lt;urls&gt;&lt;/urls&gt;&lt;/record&gt;&lt;/Cite&gt;&lt;/EndNote&gt;</w:instrText>
      </w:r>
      <w:r>
        <w:fldChar w:fldCharType="separate"/>
      </w:r>
      <w:r>
        <w:rPr>
          <w:noProof/>
        </w:rPr>
        <w:t>(</w:t>
      </w:r>
      <w:hyperlink w:anchor="_ENREF_75" w:tooltip="World Bank, 2009 #79" w:history="1">
        <w:r w:rsidR="006A1532">
          <w:rPr>
            <w:noProof/>
          </w:rPr>
          <w:t>World Bank, 2009a</w:t>
        </w:r>
      </w:hyperlink>
      <w:r>
        <w:rPr>
          <w:noProof/>
        </w:rPr>
        <w:t>)</w:t>
      </w:r>
      <w:r>
        <w:fldChar w:fldCharType="end"/>
      </w:r>
      <w:r>
        <w:t>.</w:t>
      </w:r>
    </w:p>
    <w:p w14:paraId="4C99FD71" w14:textId="438A13BC" w:rsidR="0056252A" w:rsidRPr="00475EB5" w:rsidRDefault="0056252A" w:rsidP="0056252A">
      <w:pPr>
        <w:numPr>
          <w:ilvl w:val="0"/>
          <w:numId w:val="1"/>
        </w:numPr>
        <w:tabs>
          <w:tab w:val="clear" w:pos="720"/>
        </w:tabs>
        <w:spacing w:after="240"/>
        <w:ind w:left="0" w:firstLine="0"/>
        <w:jc w:val="both"/>
        <w:rPr>
          <w:b/>
        </w:rPr>
      </w:pPr>
      <w:r>
        <w:rPr>
          <w:b/>
        </w:rPr>
        <w:t xml:space="preserve">Representation of women in the political sphere lags behind officially declared goals. </w:t>
      </w:r>
      <w:r>
        <w:t xml:space="preserve">At present, the state goal of 30 percent representation of women in governing bodies of the legislative, judicial and executive apparatus has not been achieved. Female participation declines the higher the state level. In 2012, only one out of 18 government ministers was a woman, and less than every fifth member of the Parliament was female </w:t>
      </w:r>
      <w:r>
        <w:fldChar w:fldCharType="begin"/>
      </w:r>
      <w:r>
        <w:instrText xml:space="preserve"> ADDIN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fldChar w:fldCharType="separate"/>
      </w:r>
      <w:r>
        <w:rPr>
          <w:noProof/>
        </w:rPr>
        <w:t>(</w:t>
      </w:r>
      <w:hyperlink w:anchor="_ENREF_58" w:tooltip="UNECE, 2012 #33" w:history="1">
        <w:r w:rsidR="006A1532">
          <w:rPr>
            <w:noProof/>
          </w:rPr>
          <w:t>UNECE, 2012</w:t>
        </w:r>
      </w:hyperlink>
      <w:r>
        <w:rPr>
          <w:noProof/>
        </w:rPr>
        <w:t>)</w:t>
      </w:r>
      <w:r>
        <w:fldChar w:fldCharType="end"/>
      </w:r>
      <w:r>
        <w:t xml:space="preserve">. Male dominance is also the prevalent pattern regarding senior leadership of political parties, as female participation in governing bodies of political parties ranges from zero to merely 17 percent.  Gender stereotypes, lack of finance, time, and family and media support have been mentioned as factors that lead to self-discrimination among women, explaining their poor political representation </w:t>
      </w:r>
      <w:r>
        <w:fldChar w:fldCharType="begin"/>
      </w:r>
      <w:r>
        <w:instrText xml:space="preserve"> ADDIN EN.CITE &lt;EndNote&gt;&lt;Cite&gt;&lt;Author&gt;Mamadazimov&lt;/Author&gt;&lt;Year&gt;2011&lt;/Year&gt;&lt;RecNum&gt;73&lt;/RecNum&gt;&lt;DisplayText&gt;(Mamadazimov &amp;amp; Kuvatova, 2011; The Coalition of Public Associations, 2009)&lt;/DisplayText&gt;&lt;record&gt;&lt;rec-number&gt;73&lt;/rec-number&gt;&lt;foreign-keys&gt;&lt;key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OSCE/ODIHR&lt;/publisher&gt;&lt;urls&gt;&lt;/urls&gt;&lt;/record&gt;&lt;/Cite&gt;&lt;Cite&gt;&lt;Author&gt;The Coalition of Public Associations&lt;/Author&gt;&lt;Year&gt;2009&lt;/Year&gt;&lt;RecNum&gt;76&lt;/RecNum&gt;&lt;record&gt;&lt;rec-number&gt;76&lt;/rec-number&gt;&lt;foreign-keys&gt;&lt;key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Facto&amp;quot;&lt;/publisher&gt;&lt;urls&gt;&lt;/urls&gt;&lt;/record&gt;&lt;/Cite&gt;&lt;/EndNote&gt;</w:instrText>
      </w:r>
      <w:r>
        <w:fldChar w:fldCharType="separate"/>
      </w:r>
      <w:r>
        <w:rPr>
          <w:noProof/>
        </w:rPr>
        <w:t>(</w:t>
      </w:r>
      <w:hyperlink w:anchor="_ENREF_34" w:tooltip="Mamadazimov, 2011 #73" w:history="1">
        <w:r w:rsidR="006A1532">
          <w:rPr>
            <w:noProof/>
          </w:rPr>
          <w:t>Mamadazimov &amp; Kuvatova, 2011</w:t>
        </w:r>
      </w:hyperlink>
      <w:r>
        <w:rPr>
          <w:noProof/>
        </w:rPr>
        <w:t xml:space="preserve">; </w:t>
      </w:r>
      <w:hyperlink w:anchor="_ENREF_51" w:tooltip="The Coalition of Public Associations, 2009 #76" w:history="1">
        <w:r w:rsidR="006A1532">
          <w:rPr>
            <w:noProof/>
          </w:rPr>
          <w:t>The Coalition of Public Associations, 2009</w:t>
        </w:r>
      </w:hyperlink>
      <w:r>
        <w:rPr>
          <w:noProof/>
        </w:rPr>
        <w:t>)</w:t>
      </w:r>
      <w:r>
        <w:fldChar w:fldCharType="end"/>
      </w:r>
      <w:r>
        <w:t>.</w:t>
      </w:r>
    </w:p>
    <w:p w14:paraId="4A9CBFAD" w14:textId="77777777" w:rsidR="0056252A" w:rsidRPr="00475EB5" w:rsidRDefault="0056252A" w:rsidP="0056252A">
      <w:pPr>
        <w:spacing w:after="60"/>
        <w:jc w:val="center"/>
        <w:rPr>
          <w:b/>
          <w:sz w:val="22"/>
          <w:szCs w:val="22"/>
        </w:rPr>
      </w:pPr>
      <w:bookmarkStart w:id="1" w:name="_Ref230869775"/>
      <w:bookmarkStart w:id="2" w:name="_Toc230870638"/>
      <w:bookmarkStart w:id="3" w:name="_Toc232694739"/>
      <w:proofErr w:type="gramStart"/>
      <w:r w:rsidRPr="00475EB5">
        <w:rPr>
          <w:b/>
          <w:sz w:val="22"/>
          <w:szCs w:val="22"/>
        </w:rPr>
        <w:t xml:space="preserve">Figure </w:t>
      </w:r>
      <w:r w:rsidRPr="00475EB5">
        <w:rPr>
          <w:b/>
          <w:sz w:val="22"/>
          <w:szCs w:val="22"/>
        </w:rPr>
        <w:fldChar w:fldCharType="begin"/>
      </w:r>
      <w:r w:rsidRPr="00475EB5">
        <w:rPr>
          <w:b/>
          <w:sz w:val="22"/>
          <w:szCs w:val="22"/>
        </w:rPr>
        <w:instrText xml:space="preserve"> SEQ Figure \* ARABIC </w:instrText>
      </w:r>
      <w:r w:rsidRPr="00475EB5">
        <w:rPr>
          <w:b/>
          <w:sz w:val="22"/>
          <w:szCs w:val="22"/>
        </w:rPr>
        <w:fldChar w:fldCharType="separate"/>
      </w:r>
      <w:r w:rsidR="00183FFF">
        <w:rPr>
          <w:b/>
          <w:noProof/>
          <w:sz w:val="22"/>
          <w:szCs w:val="22"/>
        </w:rPr>
        <w:t>1</w:t>
      </w:r>
      <w:r w:rsidRPr="00475EB5">
        <w:rPr>
          <w:b/>
          <w:sz w:val="22"/>
          <w:szCs w:val="22"/>
        </w:rPr>
        <w:fldChar w:fldCharType="end"/>
      </w:r>
      <w:bookmarkEnd w:id="1"/>
      <w:r w:rsidRPr="00475EB5">
        <w:rPr>
          <w:b/>
          <w:sz w:val="22"/>
          <w:szCs w:val="22"/>
        </w:rPr>
        <w:t>.</w:t>
      </w:r>
      <w:proofErr w:type="gramEnd"/>
      <w:r w:rsidRPr="00475EB5">
        <w:rPr>
          <w:b/>
          <w:sz w:val="22"/>
          <w:szCs w:val="22"/>
        </w:rPr>
        <w:t xml:space="preserve"> Gross enrollment rate in tertiary education (%), by total and gender, and ratio of female to male tertiary enrollment (%), 2000-2011</w:t>
      </w:r>
      <w:bookmarkEnd w:id="2"/>
      <w:bookmarkEnd w:id="3"/>
    </w:p>
    <w:p w14:paraId="7A7231B3" w14:textId="77777777" w:rsidR="0056252A" w:rsidRPr="00475EB5" w:rsidRDefault="0056252A" w:rsidP="0056252A">
      <w:pPr>
        <w:jc w:val="both"/>
        <w:rPr>
          <w:sz w:val="22"/>
          <w:szCs w:val="22"/>
        </w:rPr>
      </w:pPr>
      <w:r>
        <w:rPr>
          <w:noProof/>
        </w:rPr>
        <w:drawing>
          <wp:inline distT="0" distB="0" distL="0" distR="0" wp14:anchorId="151CE71A" wp14:editId="10DA98AE">
            <wp:extent cx="5486400" cy="2230023"/>
            <wp:effectExtent l="0" t="0" r="25400" b="31115"/>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75EB5">
        <w:rPr>
          <w:i/>
          <w:sz w:val="22"/>
          <w:szCs w:val="22"/>
        </w:rPr>
        <w:t>Notes:</w:t>
      </w:r>
      <w:r w:rsidRPr="00475EB5">
        <w:rPr>
          <w:sz w:val="22"/>
          <w:szCs w:val="22"/>
        </w:rPr>
        <w:t xml:space="preserve"> Gross enrollment rate in tertiary education is the total enrollment in tertiary education, regardless of age, expressed as a percentage of the total population of the five-year age group following on from secondary school leaving. Ratio of female to male tertiary enrollment is calculated by dividing the female value for the indicator by the male value for the indicator. </w:t>
      </w:r>
    </w:p>
    <w:p w14:paraId="09E9A8C6" w14:textId="77777777" w:rsidR="0056252A" w:rsidRDefault="0056252A" w:rsidP="0056252A">
      <w:pPr>
        <w:jc w:val="both"/>
        <w:rPr>
          <w:sz w:val="22"/>
          <w:szCs w:val="22"/>
        </w:rPr>
      </w:pPr>
      <w:r w:rsidRPr="00475EB5">
        <w:rPr>
          <w:i/>
          <w:sz w:val="22"/>
          <w:szCs w:val="22"/>
        </w:rPr>
        <w:t xml:space="preserve">Source: </w:t>
      </w:r>
      <w:r w:rsidRPr="00475EB5">
        <w:rPr>
          <w:sz w:val="22"/>
          <w:szCs w:val="22"/>
        </w:rPr>
        <w:t xml:space="preserve">World Development Indicators Database, World Bank, Washington DC, </w:t>
      </w:r>
      <w:hyperlink r:id="rId13" w:history="1">
        <w:r w:rsidRPr="00475EB5">
          <w:rPr>
            <w:sz w:val="22"/>
            <w:szCs w:val="22"/>
          </w:rPr>
          <w:t>http://data.worldbank.org/data-catalog/world-development-indicators</w:t>
        </w:r>
      </w:hyperlink>
      <w:r w:rsidRPr="00475EB5">
        <w:rPr>
          <w:sz w:val="22"/>
          <w:szCs w:val="22"/>
        </w:rPr>
        <w:t>.</w:t>
      </w:r>
    </w:p>
    <w:p w14:paraId="63FC7A6F" w14:textId="77777777" w:rsidR="0056252A" w:rsidRPr="00475EB5" w:rsidRDefault="0056252A" w:rsidP="0056252A">
      <w:pPr>
        <w:jc w:val="both"/>
        <w:rPr>
          <w:sz w:val="22"/>
          <w:szCs w:val="22"/>
        </w:rPr>
      </w:pPr>
    </w:p>
    <w:p w14:paraId="67F1F19A" w14:textId="7F8A9A3D" w:rsidR="0056252A" w:rsidRPr="00475EB5" w:rsidRDefault="0056252A" w:rsidP="0056252A">
      <w:pPr>
        <w:numPr>
          <w:ilvl w:val="0"/>
          <w:numId w:val="1"/>
        </w:numPr>
        <w:tabs>
          <w:tab w:val="clear" w:pos="720"/>
        </w:tabs>
        <w:spacing w:after="240"/>
        <w:ind w:left="0" w:firstLine="0"/>
        <w:jc w:val="both"/>
        <w:rPr>
          <w:b/>
        </w:rPr>
      </w:pPr>
      <w:r>
        <w:rPr>
          <w:b/>
        </w:rPr>
        <w:t xml:space="preserve">While boys have an advantage over girls at all levels of education, gaps widen substantially during secondary education and are egregious in tertiary education. </w:t>
      </w:r>
      <w:r>
        <w:t>In line with the strong performance</w:t>
      </w:r>
      <w:r w:rsidR="005803D7">
        <w:t xml:space="preserve"> in ECA</w:t>
      </w:r>
      <w:r>
        <w:t xml:space="preserve">, gross primary enrolment rates have been consistently high. This is also reflected by very high literacy rates for men and women alike. But in contrast to the regional trend towards decreasing disparities, the modest gap in favor of boys has been relatively persistent in Tajikistan. Disparities deepen </w:t>
      </w:r>
      <w:r>
        <w:lastRenderedPageBreak/>
        <w:t>substantially during secondary education. Total gross secondary enrolment rates are comparable to the regional average and higher than in low-income countries (LICs) on average. The ratio of female to male secondary enrolment rates, however, is far less favorable in Tajikistan than regionally, and rather on par with LICs. Finally, t</w:t>
      </w:r>
      <w:r w:rsidRPr="002C65E0">
        <w:t>he</w:t>
      </w:r>
      <w:r>
        <w:t xml:space="preserve"> ratio of female to male enrol</w:t>
      </w:r>
      <w:r w:rsidRPr="002C65E0">
        <w:t>ment</w:t>
      </w:r>
      <w:r w:rsidR="005803D7">
        <w:t xml:space="preserve"> in tertiary education</w:t>
      </w:r>
      <w:r w:rsidRPr="002C65E0">
        <w:t xml:space="preserve"> was 41 percent in 2011</w:t>
      </w:r>
      <w:r>
        <w:t xml:space="preserve"> (see </w:t>
      </w:r>
      <w:r>
        <w:fldChar w:fldCharType="begin"/>
      </w:r>
      <w:r>
        <w:instrText xml:space="preserve"> REF _Ref230869775 \h </w:instrText>
      </w:r>
      <w:r>
        <w:fldChar w:fldCharType="separate"/>
      </w:r>
      <w:r w:rsidR="00183FFF" w:rsidRPr="00475EB5">
        <w:rPr>
          <w:b/>
          <w:sz w:val="22"/>
          <w:szCs w:val="22"/>
        </w:rPr>
        <w:t xml:space="preserve">Figure </w:t>
      </w:r>
      <w:r w:rsidR="00183FFF">
        <w:rPr>
          <w:b/>
          <w:noProof/>
          <w:sz w:val="22"/>
          <w:szCs w:val="22"/>
        </w:rPr>
        <w:t>1</w:t>
      </w:r>
      <w:r>
        <w:fldChar w:fldCharType="end"/>
      </w:r>
      <w:r>
        <w:t>)</w:t>
      </w:r>
      <w:r w:rsidRPr="002C65E0">
        <w:t>, b</w:t>
      </w:r>
      <w:r>
        <w:t xml:space="preserve">eing among the lowest worldwide, as compared to 121 percent in ECA countries, and 64 percent in LICs </w:t>
      </w:r>
      <w:r>
        <w:fldChar w:fldCharType="begin"/>
      </w:r>
      <w:r w:rsidR="004459DC">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fldChar w:fldCharType="separate"/>
      </w:r>
      <w:r w:rsidR="004459DC">
        <w:rPr>
          <w:noProof/>
        </w:rPr>
        <w:t>(</w:t>
      </w:r>
      <w:hyperlink w:anchor="_ENREF_84" w:tooltip="World Bank, 2012 #6" w:history="1">
        <w:r w:rsidR="006A1532">
          <w:rPr>
            <w:noProof/>
          </w:rPr>
          <w:t>World Bank, 2012c</w:t>
        </w:r>
      </w:hyperlink>
      <w:r w:rsidR="004459DC">
        <w:rPr>
          <w:noProof/>
        </w:rPr>
        <w:t>)</w:t>
      </w:r>
      <w:r>
        <w:fldChar w:fldCharType="end"/>
      </w:r>
      <w:r>
        <w:t>.</w:t>
      </w:r>
    </w:p>
    <w:p w14:paraId="47CE95C2" w14:textId="31EA6AC4" w:rsidR="0056252A" w:rsidRPr="00475EB5" w:rsidRDefault="0056252A" w:rsidP="0056252A">
      <w:pPr>
        <w:numPr>
          <w:ilvl w:val="0"/>
          <w:numId w:val="1"/>
        </w:numPr>
        <w:tabs>
          <w:tab w:val="clear" w:pos="720"/>
        </w:tabs>
        <w:spacing w:after="240"/>
        <w:ind w:left="0" w:firstLine="0"/>
        <w:jc w:val="both"/>
        <w:rPr>
          <w:b/>
        </w:rPr>
      </w:pPr>
      <w:r>
        <w:rPr>
          <w:b/>
        </w:rPr>
        <w:t xml:space="preserve">Economic and non-economic reasons for gender disparities in the education sector are closely intertwined. </w:t>
      </w:r>
      <w:r w:rsidRPr="006E0B8E">
        <w:t>If</w:t>
      </w:r>
      <w:r>
        <w:t xml:space="preserve"> financial resources are limited, education for boys is frequently prioritized. This is related to the widespread prevalence of gender stereotypes, with boys being future breadwinners and taking care of their parents in old-age, and girls predominantly carrying out domestic responsibilities. Higher education is even considered detrimental for a girl’s “value” in society, as more educated women are believed to face more difficulty in finding a husband </w:t>
      </w:r>
      <w:r>
        <w:fldChar w:fldCharType="begin"/>
      </w:r>
      <w:r>
        <w:instrText xml:space="preserve"> ADDIN EN.CITE &lt;EndNote&gt;&lt;Cite&gt;&lt;Author&gt;Mezentseva&lt;/Author&gt;&lt;Year&gt;2007&lt;/Year&gt;&lt;RecNum&gt;9&lt;/RecNum&gt;&lt;Prefix&gt;cf. &lt;/Prefix&gt;&lt;DisplayText&gt;(cf. Mezentseva, 2007)&lt;/DisplayText&gt;&lt;record&gt;&lt;rec-number&gt;9&lt;/rec-number&gt;&lt;foreign-keys&gt;&lt;key app="EN" db-id="wes5dreptvrsr2eeartvxexxftt2tastxrfs"&gt;9&lt;/key&gt;&lt;/foreign-keys&gt;&lt;ref-type name="Book"&gt;6&lt;/ref-type&gt;&lt;contributors&gt;&lt;authors&gt;&lt;author&gt;Elena Mezentseva&lt;/author&gt;&lt;/authors&gt;&lt;/contributors&gt;&lt;titles&gt;&lt;title&gt;Gender Equality in Education&lt;/title&gt;&lt;/titles&gt;&lt;dates&gt;&lt;year&gt;2007&lt;/year&gt;&lt;/dates&gt;&lt;pub-location&gt;Dushanbe&lt;/pub-location&gt;&lt;publisher&gt;United Nations Development Fund for Women&lt;/publisher&gt;&lt;urls&gt;&lt;/urls&gt;&lt;/record&gt;&lt;/Cite&gt;&lt;/EndNote&gt;</w:instrText>
      </w:r>
      <w:r>
        <w:fldChar w:fldCharType="separate"/>
      </w:r>
      <w:r>
        <w:rPr>
          <w:noProof/>
        </w:rPr>
        <w:t>(</w:t>
      </w:r>
      <w:hyperlink w:anchor="_ENREF_35" w:tooltip="Mezentseva, 2007 #9" w:history="1">
        <w:r w:rsidR="006A1532">
          <w:rPr>
            <w:noProof/>
          </w:rPr>
          <w:t>cf. Mezentseva, 2007</w:t>
        </w:r>
      </w:hyperlink>
      <w:r>
        <w:rPr>
          <w:noProof/>
        </w:rPr>
        <w:t>)</w:t>
      </w:r>
      <w:r>
        <w:fldChar w:fldCharType="end"/>
      </w:r>
      <w:r>
        <w:t>. Overall, low levels of female education bring along adverse effects in virtually all spheres of life, including child and maternal health and knowledge about health risks such as HIV transmission. It sets the stage for continued disparities in the labor market and has negative implications for women’s decision and bargaining power in the social, economic, and political context.</w:t>
      </w:r>
    </w:p>
    <w:p w14:paraId="5B541422" w14:textId="1D239120" w:rsidR="0056252A" w:rsidRDefault="0056252A" w:rsidP="0056252A">
      <w:pPr>
        <w:numPr>
          <w:ilvl w:val="0"/>
          <w:numId w:val="1"/>
        </w:numPr>
        <w:tabs>
          <w:tab w:val="clear" w:pos="720"/>
        </w:tabs>
        <w:spacing w:after="240"/>
        <w:ind w:left="0" w:firstLine="0"/>
        <w:jc w:val="both"/>
        <w:rPr>
          <w:b/>
        </w:rPr>
      </w:pPr>
      <w:r>
        <w:rPr>
          <w:b/>
        </w:rPr>
        <w:t xml:space="preserve">Maternal, infant, and child under-5 mortality rates remain unacceptably high. </w:t>
      </w:r>
      <w:r>
        <w:t xml:space="preserve">The number of women who die during pregnancy or childbirth exceeds the ECA average by more than 100 percent (65 per 100,000 live births in 2010). This high rate has been attributed to insufficient antenatal and delivery care due to lack of material, equipment, and well-educated health professionals. A large share of births still takes place at home, related to poor (health) infrastructure and financial constraints </w:t>
      </w:r>
      <w:r>
        <w:fldChar w:fldCharType="begin"/>
      </w:r>
      <w:r>
        <w:instrText xml:space="preserve"> ADDIN EN.CITE &lt;EndNote&gt;&lt;Cite&gt;&lt;Author&gt;Khodjamurodov&lt;/Author&gt;&lt;Year&gt;2010&lt;/Year&gt;&lt;RecNum&gt;24&lt;/RecNum&gt;&lt;Prefix&gt;cf. &lt;/Prefix&gt;&lt;DisplayText&gt;(cf. Khodjamurodov &amp;amp; Rechel, 2010)&lt;/DisplayText&gt;&lt;record&gt;&lt;rec-number&gt;24&lt;/rec-number&gt;&lt;foreign-keys&gt;&lt;key app="EN" db-id="wes5dreptvrsr2eeartvxexxftt2tastxrfs"&gt;24&lt;/key&gt;&lt;/foreign-keys&gt;&lt;ref-type name="Journal Article"&gt;17&lt;/ref-type&gt;&lt;contributors&gt;&lt;authors&gt;&lt;author&gt;Ghafur Khodjamurodov&lt;/author&gt;&lt;author&gt;Bernd Rechel&lt;/author&gt;&lt;/authors&gt;&lt;/contributors&gt;&lt;titles&gt;&lt;title&gt;Tajikistan Health system review&lt;/title&gt;&lt;secondary-title&gt;Health Systems in Transition&lt;/secondary-title&gt;&lt;/titles&gt;&lt;periodical&gt;&lt;full-title&gt;Health Systems in Transition&lt;/full-title&gt;&lt;/periodical&gt;&lt;pages&gt;1-154&lt;/pages&gt;&lt;volume&gt;12&lt;/volume&gt;&lt;number&gt;2&lt;/number&gt;&lt;dates&gt;&lt;year&gt;2010&lt;/year&gt;&lt;/dates&gt;&lt;urls&gt;&lt;/urls&gt;&lt;/record&gt;&lt;/Cite&gt;&lt;/EndNote&gt;</w:instrText>
      </w:r>
      <w:r>
        <w:fldChar w:fldCharType="separate"/>
      </w:r>
      <w:r>
        <w:rPr>
          <w:noProof/>
        </w:rPr>
        <w:t>(</w:t>
      </w:r>
      <w:hyperlink w:anchor="_ENREF_31" w:tooltip="Khodjamurodov, 2010 #24" w:history="1">
        <w:r w:rsidR="006A1532">
          <w:rPr>
            <w:noProof/>
          </w:rPr>
          <w:t>cf. Khodjamurodov &amp; Rechel, 2010</w:t>
        </w:r>
      </w:hyperlink>
      <w:r>
        <w:rPr>
          <w:noProof/>
        </w:rPr>
        <w:t>)</w:t>
      </w:r>
      <w:r>
        <w:fldChar w:fldCharType="end"/>
      </w:r>
      <w:r>
        <w:t xml:space="preserve">. Despite a declining trend of infant and child under-5 mortality, current outcomes are still far above the regional average. A complex set of direct (e.g. vaccinations, micronutrient deficiencies) and indirect (e.g. household poverty, maternal education) factors have been noted in this respect </w:t>
      </w:r>
      <w:r>
        <w:fldChar w:fldCharType="begin"/>
      </w:r>
      <w:r>
        <w:instrText xml:space="preserve"> ADDIN EN.CITE &lt;EndNote&gt;&lt;Cite&gt;&lt;Author&gt;Bakilana&lt;/Author&gt;&lt;Year&gt;2009&lt;/Year&gt;&lt;RecNum&gt;29&lt;/RecNum&gt;&lt;DisplayText&gt;(Bakilana &amp;amp; Msisha, 2009)&lt;/DisplayText&gt;&lt;record&gt;&lt;rec-number&gt;29&lt;/rec-number&gt;&lt;foreign-keys&gt;&lt;key app="EN" db-id="wes5dreptvrsr2eeartvxexxftt2tastxrfs"&gt;29&lt;/key&gt;&lt;/foreign-keys&gt;&lt;ref-type name="Journal Article"&gt;17&lt;/ref-type&gt;&lt;contributors&gt;&lt;authors&gt;&lt;author&gt;Anne Bakilana&lt;/author&gt;&lt;author&gt;Wezi Msisha&lt;/author&gt;&lt;/authors&gt;&lt;/contributors&gt;&lt;titles&gt;&lt;title&gt;Tajik Child Health: All Hands on Deck&lt;/title&gt;&lt;secondary-title&gt;Europe and Central Asia Knowledge Brief&lt;/secondary-title&gt;&lt;/titles&gt;&lt;periodical&gt;&lt;full-title&gt;Europe and Central Asia Knowledge Brief&lt;/full-title&gt;&lt;/periodical&gt;&lt;volume&gt;11&lt;/volume&gt;&lt;dates&gt;&lt;year&gt;2009&lt;/year&gt;&lt;/dates&gt;&lt;urls&gt;&lt;/urls&gt;&lt;/record&gt;&lt;/Cite&gt;&lt;/EndNote&gt;</w:instrText>
      </w:r>
      <w:r>
        <w:fldChar w:fldCharType="separate"/>
      </w:r>
      <w:r>
        <w:rPr>
          <w:noProof/>
        </w:rPr>
        <w:t>(</w:t>
      </w:r>
      <w:hyperlink w:anchor="_ENREF_6" w:tooltip="Bakilana, 2009 #29" w:history="1">
        <w:r w:rsidR="006A1532">
          <w:rPr>
            <w:noProof/>
          </w:rPr>
          <w:t>Bakilana &amp; Msisha, 2009</w:t>
        </w:r>
      </w:hyperlink>
      <w:r>
        <w:rPr>
          <w:noProof/>
        </w:rPr>
        <w:t>)</w:t>
      </w:r>
      <w:r>
        <w:fldChar w:fldCharType="end"/>
      </w:r>
      <w:r>
        <w:t>. Recognizing this, the Government of Tajikistan has declared child and maternal health key priorities in its first Comprehensive National Health Sector Strategy for 2010-2020.</w:t>
      </w:r>
    </w:p>
    <w:p w14:paraId="43954254" w14:textId="0909D452" w:rsidR="0056252A" w:rsidRPr="00BF77DD" w:rsidRDefault="0056252A" w:rsidP="0056252A">
      <w:pPr>
        <w:numPr>
          <w:ilvl w:val="0"/>
          <w:numId w:val="1"/>
        </w:numPr>
        <w:tabs>
          <w:tab w:val="clear" w:pos="720"/>
        </w:tabs>
        <w:spacing w:after="240"/>
        <w:ind w:left="0" w:firstLine="0"/>
        <w:jc w:val="both"/>
        <w:rPr>
          <w:b/>
        </w:rPr>
      </w:pPr>
      <w:r>
        <w:rPr>
          <w:b/>
        </w:rPr>
        <w:t xml:space="preserve">Rising HIV prevalence among women and women’s risk of being exposed to domestic violence are serious health issues. </w:t>
      </w:r>
      <w:r>
        <w:t xml:space="preserve">Women represent a rising share among the overall increasing number of new HIV infections. Intravenous drug use remains the main transmission channel, but transmission through sexual intercourse has become more common, especially for women. Both limited agency and low levels of education prevent women and girls from protecting themselves effectively from HIV infection </w:t>
      </w:r>
      <w:r>
        <w:fldChar w:fldCharType="begin"/>
      </w:r>
      <w:r>
        <w:instrText xml:space="preserve"> ADDIN EN.CITE &lt;EndNote&gt;&lt;Cite&gt;&lt;Author&gt;Yuldasheva&lt;/Author&gt;&lt;Year&gt;2011&lt;/Year&gt;&lt;RecNum&gt;59&lt;/RecNum&gt;&lt;Prefix&gt;cf. &lt;/Prefix&gt;&lt;DisplayText&gt;(cf. Yuldasheva, 2011)&lt;/DisplayText&gt;&lt;record&gt;&lt;rec-number&gt;59&lt;/rec-number&gt;&lt;foreign-keys&gt;&lt;key app="EN" db-id="wes5dreptvrsr2eeartvxexxftt2tastxrfs"&gt;59&lt;/key&gt;&lt;/foreign-keys&gt;&lt;ref-type name="Book"&gt;6&lt;/ref-type&gt;&lt;contributors&gt;&lt;authors&gt;&lt;author&gt;Lola Yuldasheva&lt;/author&gt;&lt;/authors&gt;&lt;/contributors&gt;&lt;titles&gt;&lt;title&gt;Gender Assessment of HIV Programming in Tajikistan&lt;/title&gt;&lt;/titles&gt;&lt;dates&gt;&lt;year&gt;2011&lt;/year&gt;&lt;/dates&gt;&lt;pub-location&gt;Dushanbe&lt;/pub-location&gt;&lt;publisher&gt;UN Women&lt;/publisher&gt;&lt;urls&gt;&lt;/urls&gt;&lt;/record&gt;&lt;/Cite&gt;&lt;/EndNote&gt;</w:instrText>
      </w:r>
      <w:r>
        <w:fldChar w:fldCharType="separate"/>
      </w:r>
      <w:r>
        <w:rPr>
          <w:noProof/>
        </w:rPr>
        <w:t>(</w:t>
      </w:r>
      <w:hyperlink w:anchor="_ENREF_85" w:tooltip="Yuldasheva, 2011 #59" w:history="1">
        <w:r w:rsidR="006A1532">
          <w:rPr>
            <w:noProof/>
          </w:rPr>
          <w:t>cf. Yuldasheva, 2011</w:t>
        </w:r>
      </w:hyperlink>
      <w:r>
        <w:rPr>
          <w:noProof/>
        </w:rPr>
        <w:t>)</w:t>
      </w:r>
      <w:r>
        <w:fldChar w:fldCharType="end"/>
      </w:r>
      <w:r>
        <w:t xml:space="preserve">. Furthermore, violence against women and girls is a common phenomenon in Tajikistan. In a 2005 baseline study in </w:t>
      </w:r>
      <w:proofErr w:type="spellStart"/>
      <w:r>
        <w:t>Khatlon</w:t>
      </w:r>
      <w:proofErr w:type="spellEnd"/>
      <w:r>
        <w:t xml:space="preserve"> region, nearly six out of ten women between the ages of 17 to 47 have experienced physical and/or sexual violence by their husband at least once during the lifetime </w:t>
      </w:r>
      <w:r>
        <w:fldChar w:fldCharType="begin"/>
      </w:r>
      <w:r>
        <w:instrText xml:space="preserve"> ADDIN EN.CITE &lt;EndNote&gt;&lt;Cite&gt;&lt;Author&gt;Haarr&lt;/Author&gt;&lt;Year&gt;2005&lt;/Year&gt;&lt;RecNum&gt;60&lt;/RecNum&gt;&lt;DisplayText&gt;(Haarr, 2005)&lt;/DisplayText&gt;&lt;record&gt;&lt;rec-number&gt;60&lt;/rec-number&gt;&lt;foreign-keys&gt;&lt;key app="EN" db-id="wes5dreptvrsr2eeartvxexxftt2tastxrfs"&gt;60&lt;/key&gt;&lt;/foreign-keys&gt;&lt;ref-type name="Book"&gt;6&lt;/ref-type&gt;&lt;contributors&gt;&lt;authors&gt;&lt;author&gt;Robin N. Haarr&lt;/author&gt;&lt;/authors&gt;&lt;/contributors&gt;&lt;titles&gt;&lt;title&gt;Violence Against Women in Marriage: A General Population Study in Khatlon Oblast, Tajikistan&lt;/title&gt;&lt;/titles&gt;&lt;dates&gt;&lt;year&gt;2005&lt;/year&gt;&lt;/dates&gt;&lt;pub-location&gt;Dushanbe&lt;/pub-location&gt;&lt;publisher&gt;NGO Social Development Group&lt;/publisher&gt;&lt;urls&gt;&lt;/urls&gt;&lt;/record&gt;&lt;/Cite&gt;&lt;/EndNote&gt;</w:instrText>
      </w:r>
      <w:r>
        <w:fldChar w:fldCharType="separate"/>
      </w:r>
      <w:r>
        <w:rPr>
          <w:noProof/>
        </w:rPr>
        <w:t>(</w:t>
      </w:r>
      <w:hyperlink w:anchor="_ENREF_21" w:tooltip="Haarr, 2005 #60" w:history="1">
        <w:r w:rsidR="006A1532">
          <w:rPr>
            <w:noProof/>
          </w:rPr>
          <w:t>Haarr, 2005</w:t>
        </w:r>
      </w:hyperlink>
      <w:r>
        <w:rPr>
          <w:noProof/>
        </w:rPr>
        <w:t>)</w:t>
      </w:r>
      <w:r>
        <w:fldChar w:fldCharType="end"/>
      </w:r>
      <w:r>
        <w:t xml:space="preserve">. </w:t>
      </w:r>
    </w:p>
    <w:p w14:paraId="501E7285" w14:textId="76078ED2" w:rsidR="0056252A" w:rsidRPr="00475EB5" w:rsidRDefault="0056252A" w:rsidP="0056252A">
      <w:pPr>
        <w:numPr>
          <w:ilvl w:val="0"/>
          <w:numId w:val="1"/>
        </w:numPr>
        <w:tabs>
          <w:tab w:val="clear" w:pos="720"/>
        </w:tabs>
        <w:spacing w:after="240"/>
        <w:ind w:left="0" w:firstLine="0"/>
        <w:jc w:val="both"/>
        <w:rPr>
          <w:b/>
        </w:rPr>
      </w:pPr>
      <w:r>
        <w:rPr>
          <w:b/>
        </w:rPr>
        <w:t xml:space="preserve">In terms of demographics, Tajikistan is moving towards a window of opportunity phase that opens up chances for greater economic growth. </w:t>
      </w:r>
      <w:r>
        <w:t xml:space="preserve">In contrast to </w:t>
      </w:r>
      <w:r>
        <w:lastRenderedPageBreak/>
        <w:t xml:space="preserve">many other ECA countries, Tajikistan’s population growth will continue unabated for the next decades. The increasing portion of the population that is of prime age opens up opportunities for economic growth, in particular if also women are attracted into productive jobs. Moreover, elderly women will increasingly outnumber elderly men, bringing along important policy implications for pensions and the social protection system in general (see </w:t>
      </w:r>
      <w:r>
        <w:fldChar w:fldCharType="begin"/>
      </w:r>
      <w:r>
        <w:instrText xml:space="preserve"> REF _Ref230870491 \h </w:instrText>
      </w:r>
      <w:r>
        <w:fldChar w:fldCharType="separate"/>
      </w:r>
      <w:r w:rsidR="00183FFF" w:rsidRPr="00475EB5">
        <w:rPr>
          <w:b/>
          <w:noProof/>
          <w:sz w:val="22"/>
          <w:szCs w:val="22"/>
          <w:lang w:val="de-DE" w:eastAsia="de-DE"/>
        </w:rPr>
        <w:t xml:space="preserve">Figure </w:t>
      </w:r>
      <w:r w:rsidR="00183FFF">
        <w:rPr>
          <w:b/>
          <w:noProof/>
          <w:sz w:val="22"/>
          <w:szCs w:val="22"/>
          <w:lang w:val="de-DE" w:eastAsia="de-DE"/>
        </w:rPr>
        <w:t>2</w:t>
      </w:r>
      <w:r>
        <w:fldChar w:fldCharType="end"/>
      </w:r>
      <w:r>
        <w:t xml:space="preserve">) </w:t>
      </w:r>
      <w:r>
        <w:fldChar w:fldCharType="begin"/>
      </w:r>
      <w:r>
        <w:instrText xml:space="preserve"> ADDIN EN.CITE &lt;EndNote&gt;&lt;Cite&gt;&lt;Author&gt;Sattar&lt;/Author&gt;&lt;Year&gt;2012&lt;/Year&gt;&lt;RecNum&gt;3&lt;/RecNum&gt;&lt;DisplayText&gt;(Sattar, 2012; United Nations, 2011b)&lt;/DisplayText&gt;&lt;record&gt;&lt;rec-number&gt;3&lt;/rec-number&gt;&lt;foreign-keys&gt;&lt;key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Bank&lt;/publisher&gt;&lt;urls&gt;&lt;/urls&gt;&lt;/record&gt;&lt;/Cite&gt;&lt;Cite&gt;&lt;Author&gt;United Nations&lt;/Author&gt;&lt;Year&gt;2011&lt;/Year&gt;&lt;RecNum&gt;20&lt;/RecNum&gt;&lt;record&gt;&lt;rec-number&gt;20&lt;/rec-number&gt;&lt;foreign-keys&gt;&lt;key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fldChar w:fldCharType="separate"/>
      </w:r>
      <w:r>
        <w:rPr>
          <w:noProof/>
        </w:rPr>
        <w:t>(</w:t>
      </w:r>
      <w:hyperlink w:anchor="_ENREF_45" w:tooltip="Sattar, 2012 #3" w:history="1">
        <w:r w:rsidR="006A1532">
          <w:rPr>
            <w:noProof/>
          </w:rPr>
          <w:t>Sattar, 2012</w:t>
        </w:r>
      </w:hyperlink>
      <w:r>
        <w:rPr>
          <w:noProof/>
        </w:rPr>
        <w:t xml:space="preserve">; </w:t>
      </w:r>
      <w:hyperlink w:anchor="_ENREF_65" w:tooltip="United Nations, 2011 #20" w:history="1">
        <w:r w:rsidR="006A1532">
          <w:rPr>
            <w:noProof/>
          </w:rPr>
          <w:t>United Nations, 2011b</w:t>
        </w:r>
      </w:hyperlink>
      <w:r>
        <w:rPr>
          <w:noProof/>
        </w:rPr>
        <w:t>)</w:t>
      </w:r>
      <w:r>
        <w:fldChar w:fldCharType="end"/>
      </w:r>
      <w:r>
        <w:t>.</w:t>
      </w:r>
    </w:p>
    <w:p w14:paraId="3B1C48A2" w14:textId="184AC7D0" w:rsidR="0056252A" w:rsidRPr="00475EB5" w:rsidRDefault="0056252A" w:rsidP="0056252A">
      <w:pPr>
        <w:spacing w:after="60"/>
        <w:ind w:left="360"/>
        <w:jc w:val="center"/>
        <w:rPr>
          <w:b/>
        </w:rPr>
      </w:pPr>
      <w:bookmarkStart w:id="4" w:name="_Ref230870491"/>
      <w:bookmarkStart w:id="5" w:name="_Toc230870639"/>
      <w:bookmarkStart w:id="6" w:name="_Toc232694740"/>
      <w:r>
        <w:rPr>
          <w:noProof/>
        </w:rPr>
        <mc:AlternateContent>
          <mc:Choice Requires="wps">
            <w:drawing>
              <wp:anchor distT="0" distB="0" distL="114300" distR="114300" simplePos="0" relativeHeight="251673600" behindDoc="0" locked="0" layoutInCell="1" allowOverlap="1" wp14:anchorId="2D200296" wp14:editId="400FF0E2">
                <wp:simplePos x="0" y="0"/>
                <wp:positionH relativeFrom="column">
                  <wp:posOffset>-114300</wp:posOffset>
                </wp:positionH>
                <wp:positionV relativeFrom="paragraph">
                  <wp:posOffset>228600</wp:posOffset>
                </wp:positionV>
                <wp:extent cx="2971800" cy="2286000"/>
                <wp:effectExtent l="0" t="0" r="0" b="0"/>
                <wp:wrapSquare wrapText="bothSides"/>
                <wp:docPr id="20"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286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548F87" w14:textId="77777777" w:rsidR="00E44497" w:rsidRDefault="00E44497" w:rsidP="0056252A">
                            <w:r>
                              <w:rPr>
                                <w:noProof/>
                              </w:rPr>
                              <w:drawing>
                                <wp:inline distT="0" distB="0" distL="0" distR="0" wp14:anchorId="7F44206E" wp14:editId="739D090E">
                                  <wp:extent cx="2766352" cy="2195830"/>
                                  <wp:effectExtent l="0" t="0" r="2540" b="0"/>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211"/>
                                          <a:stretch/>
                                        </pic:blipFill>
                                        <pic:spPr bwMode="auto">
                                          <a:xfrm>
                                            <a:off x="0" y="0"/>
                                            <a:ext cx="2766352" cy="2195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6" o:spid="_x0000_s1026" type="#_x0000_t202" style="position:absolute;left:0;text-align:left;margin-left:-9pt;margin-top:18pt;width:234pt;height:18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" filled="f" stroked="f">
                <v:path arrowok="t"/>
                <v:textbox>
                  <w:txbxContent>
                    <w:p w14:paraId="12548F87" w14:textId="77777777" w:rsidR="00E44497" w:rsidRDefault="00E44497" w:rsidP="0056252A">
                      <w:r>
                        <w:rPr>
                          <w:noProof/>
                        </w:rPr>
                        <w:drawing>
                          <wp:inline distT="0" distB="0" distL="0" distR="0" wp14:anchorId="7F44206E" wp14:editId="739D090E">
                            <wp:extent cx="2766352" cy="2195830"/>
                            <wp:effectExtent l="0" t="0" r="2540" b="0"/>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211"/>
                                    <a:stretch/>
                                  </pic:blipFill>
                                  <pic:spPr bwMode="auto">
                                    <a:xfrm>
                                      <a:off x="0" y="0"/>
                                      <a:ext cx="2766352" cy="2195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3E98F760" wp14:editId="0D56FF96">
                <wp:simplePos x="0" y="0"/>
                <wp:positionH relativeFrom="column">
                  <wp:posOffset>2743200</wp:posOffset>
                </wp:positionH>
                <wp:positionV relativeFrom="paragraph">
                  <wp:posOffset>256540</wp:posOffset>
                </wp:positionV>
                <wp:extent cx="2971800" cy="2303780"/>
                <wp:effectExtent l="0" t="0" r="0" b="1270"/>
                <wp:wrapTopAndBottom/>
                <wp:docPr id="1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3037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36DC66" w14:textId="77777777" w:rsidR="00E44497" w:rsidRDefault="00E44497" w:rsidP="0056252A">
                            <w:r>
                              <w:rPr>
                                <w:noProof/>
                              </w:rPr>
                              <w:drawing>
                                <wp:inline distT="0" distB="0" distL="0" distR="0" wp14:anchorId="6A7149E8" wp14:editId="172D31CF">
                                  <wp:extent cx="2749156" cy="2179697"/>
                                  <wp:effectExtent l="0" t="0" r="0" b="5080"/>
                                  <wp:docPr id="4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06" b="-1"/>
                                          <a:stretch/>
                                        </pic:blipFill>
                                        <pic:spPr bwMode="auto">
                                          <a:xfrm>
                                            <a:off x="0" y="0"/>
                                            <a:ext cx="2749707" cy="21801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27" type="#_x0000_t202" style="position:absolute;left:0;text-align:left;margin-left:3in;margin-top:20.2pt;width:234pt;height:18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" filled="f" stroked="f">
                <v:path arrowok="t"/>
                <v:textbox>
                  <w:txbxContent>
                    <w:p w14:paraId="5F36DC66" w14:textId="77777777" w:rsidR="00E44497" w:rsidRDefault="00E44497" w:rsidP="0056252A">
                      <w:r>
                        <w:rPr>
                          <w:noProof/>
                        </w:rPr>
                        <w:drawing>
                          <wp:inline distT="0" distB="0" distL="0" distR="0" wp14:anchorId="6A7149E8" wp14:editId="172D31CF">
                            <wp:extent cx="2749156" cy="2179697"/>
                            <wp:effectExtent l="0" t="0" r="0" b="5080"/>
                            <wp:docPr id="4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06" b="-1"/>
                                    <a:stretch/>
                                  </pic:blipFill>
                                  <pic:spPr bwMode="auto">
                                    <a:xfrm>
                                      <a:off x="0" y="0"/>
                                      <a:ext cx="2749707" cy="21801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Pr="00475EB5">
        <w:rPr>
          <w:b/>
          <w:noProof/>
          <w:sz w:val="22"/>
          <w:szCs w:val="22"/>
          <w:lang w:val="de-DE" w:eastAsia="de-DE"/>
        </w:rPr>
        <w:t xml:space="preserve">Figure </w:t>
      </w:r>
      <w:r w:rsidRPr="00475EB5">
        <w:rPr>
          <w:b/>
          <w:noProof/>
          <w:sz w:val="22"/>
          <w:szCs w:val="22"/>
          <w:lang w:val="de-DE" w:eastAsia="de-DE"/>
        </w:rPr>
        <w:fldChar w:fldCharType="begin"/>
      </w:r>
      <w:r w:rsidRPr="00475EB5">
        <w:rPr>
          <w:b/>
          <w:noProof/>
          <w:sz w:val="22"/>
          <w:szCs w:val="22"/>
          <w:lang w:val="de-DE" w:eastAsia="de-DE"/>
        </w:rPr>
        <w:instrText xml:space="preserve"> SEQ Figure \* ARABIC </w:instrText>
      </w:r>
      <w:r w:rsidRPr="00475EB5">
        <w:rPr>
          <w:b/>
          <w:noProof/>
          <w:sz w:val="22"/>
          <w:szCs w:val="22"/>
          <w:lang w:val="de-DE" w:eastAsia="de-DE"/>
        </w:rPr>
        <w:fldChar w:fldCharType="separate"/>
      </w:r>
      <w:r w:rsidR="00183FFF">
        <w:rPr>
          <w:b/>
          <w:noProof/>
          <w:sz w:val="22"/>
          <w:szCs w:val="22"/>
          <w:lang w:val="de-DE" w:eastAsia="de-DE"/>
        </w:rPr>
        <w:t>2</w:t>
      </w:r>
      <w:r w:rsidRPr="00475EB5">
        <w:rPr>
          <w:b/>
          <w:noProof/>
          <w:sz w:val="22"/>
          <w:szCs w:val="22"/>
          <w:lang w:val="de-DE" w:eastAsia="de-DE"/>
        </w:rPr>
        <w:fldChar w:fldCharType="end"/>
      </w:r>
      <w:bookmarkEnd w:id="4"/>
      <w:r w:rsidRPr="00475EB5">
        <w:rPr>
          <w:b/>
          <w:noProof/>
          <w:sz w:val="22"/>
          <w:szCs w:val="22"/>
          <w:lang w:val="de-DE" w:eastAsia="de-DE"/>
        </w:rPr>
        <w:t xml:space="preserve">. Population </w:t>
      </w:r>
      <w:r w:rsidR="00883334">
        <w:rPr>
          <w:b/>
          <w:noProof/>
          <w:sz w:val="22"/>
          <w:szCs w:val="22"/>
          <w:lang w:val="de-DE" w:eastAsia="de-DE"/>
        </w:rPr>
        <w:t>by age groups and sex (absolute numbers)</w:t>
      </w:r>
      <w:r w:rsidRPr="00475EB5">
        <w:rPr>
          <w:b/>
          <w:noProof/>
          <w:sz w:val="22"/>
          <w:szCs w:val="22"/>
          <w:lang w:val="de-DE" w:eastAsia="de-DE"/>
        </w:rPr>
        <w:t>, 2010 and 2050</w:t>
      </w:r>
      <w:bookmarkEnd w:id="5"/>
      <w:bookmarkEnd w:id="6"/>
    </w:p>
    <w:p w14:paraId="471B5368" w14:textId="7360B4EE" w:rsidR="0056252A" w:rsidRPr="00475EB5" w:rsidRDefault="0056252A" w:rsidP="0056252A">
      <w:pPr>
        <w:jc w:val="both"/>
        <w:rPr>
          <w:i/>
          <w:sz w:val="22"/>
          <w:szCs w:val="22"/>
        </w:rPr>
      </w:pPr>
      <w:r w:rsidRPr="00475EB5">
        <w:rPr>
          <w:i/>
          <w:sz w:val="22"/>
          <w:szCs w:val="22"/>
        </w:rPr>
        <w:t xml:space="preserve">Notes: </w:t>
      </w:r>
      <w:r w:rsidRPr="00475EB5">
        <w:rPr>
          <w:sz w:val="22"/>
          <w:szCs w:val="22"/>
        </w:rPr>
        <w:t xml:space="preserve">Data are in thousands. </w:t>
      </w:r>
      <w:r w:rsidR="00EE5586">
        <w:rPr>
          <w:sz w:val="22"/>
          <w:szCs w:val="22"/>
        </w:rPr>
        <w:t xml:space="preserve">Total population is estimated to amount to 6,879 thousands in 2010 and 10,745 thousands in 2050. </w:t>
      </w:r>
      <w:r w:rsidRPr="00475EB5">
        <w:rPr>
          <w:sz w:val="22"/>
          <w:szCs w:val="22"/>
        </w:rPr>
        <w:t>The dotted lines indicate the excess male or female population in certain age groups. Projections are based on a medium-fertility variant. Men are indicated in blue; women are indicated in brown.</w:t>
      </w:r>
    </w:p>
    <w:p w14:paraId="7E5B8D7A" w14:textId="5B227634" w:rsidR="0056252A" w:rsidRPr="00475EB5" w:rsidRDefault="0056252A" w:rsidP="0056252A">
      <w:pPr>
        <w:rPr>
          <w:sz w:val="22"/>
          <w:szCs w:val="22"/>
        </w:rPr>
      </w:pPr>
      <w:r w:rsidRPr="00475EB5">
        <w:rPr>
          <w:i/>
          <w:sz w:val="22"/>
          <w:szCs w:val="22"/>
        </w:rPr>
        <w:t xml:space="preserve">Source: </w:t>
      </w:r>
      <w:r w:rsidRPr="00475EB5">
        <w:rPr>
          <w:sz w:val="22"/>
          <w:szCs w:val="22"/>
        </w:rPr>
        <w:fldChar w:fldCharType="begin"/>
      </w:r>
      <w:r w:rsidR="006A1532">
        <w:rPr>
          <w:sz w:val="22"/>
          <w:szCs w:val="22"/>
        </w:rPr>
        <w:instrText xml:space="preserve"> ADDIN EN.CITE &lt;EndNote&gt;&lt;Cite AuthorYear="1"&gt;&lt;Author&gt;United Nations&lt;/Author&gt;&lt;Year&gt;2011&lt;/Year&gt;&lt;RecNum&gt;20&lt;/RecNum&gt;&lt;Pages&gt;869`, 871&lt;/Pages&gt;&lt;DisplayText&gt;United Nations (2011b, pp. 869, 871)&lt;/DisplayText&gt;&lt;record&gt;&lt;rec-number&gt;20&lt;/rec-number&gt;&lt;foreign-keys&gt;&lt;key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Pr="00475EB5">
        <w:rPr>
          <w:sz w:val="22"/>
          <w:szCs w:val="22"/>
        </w:rPr>
        <w:fldChar w:fldCharType="separate"/>
      </w:r>
      <w:hyperlink w:anchor="_ENREF_65" w:tooltip="United Nations, 2011 #20" w:history="1">
        <w:r w:rsidR="006A1532">
          <w:rPr>
            <w:noProof/>
            <w:sz w:val="22"/>
            <w:szCs w:val="22"/>
          </w:rPr>
          <w:t>United Nations (2011b, pp. 869, 871</w:t>
        </w:r>
      </w:hyperlink>
      <w:r w:rsidR="006A1532">
        <w:rPr>
          <w:noProof/>
          <w:sz w:val="22"/>
          <w:szCs w:val="22"/>
        </w:rPr>
        <w:t>)</w:t>
      </w:r>
      <w:r w:rsidRPr="00475EB5">
        <w:rPr>
          <w:sz w:val="22"/>
          <w:szCs w:val="22"/>
        </w:rPr>
        <w:fldChar w:fldCharType="end"/>
      </w:r>
      <w:r w:rsidRPr="00475EB5">
        <w:rPr>
          <w:sz w:val="22"/>
          <w:szCs w:val="22"/>
        </w:rPr>
        <w:t>.</w:t>
      </w:r>
    </w:p>
    <w:p w14:paraId="194F7337" w14:textId="77777777" w:rsidR="0056252A" w:rsidRPr="00475EB5" w:rsidRDefault="0056252A" w:rsidP="0056252A">
      <w:pPr>
        <w:pStyle w:val="ListParagraph"/>
        <w:rPr>
          <w:sz w:val="22"/>
          <w:szCs w:val="22"/>
        </w:rPr>
      </w:pPr>
    </w:p>
    <w:p w14:paraId="1803BC0E" w14:textId="7F1AEC81" w:rsidR="0056252A" w:rsidRPr="005932C3" w:rsidRDefault="0056252A" w:rsidP="0056252A">
      <w:pPr>
        <w:numPr>
          <w:ilvl w:val="0"/>
          <w:numId w:val="1"/>
        </w:numPr>
        <w:tabs>
          <w:tab w:val="clear" w:pos="720"/>
        </w:tabs>
        <w:spacing w:after="240"/>
        <w:ind w:left="0" w:firstLine="0"/>
        <w:jc w:val="both"/>
        <w:rPr>
          <w:b/>
        </w:rPr>
      </w:pPr>
      <w:r>
        <w:rPr>
          <w:b/>
        </w:rPr>
        <w:t xml:space="preserve">The labor market is characterized by a gap in men and women’s economic activity and gender segregation regarding economic sectors and occupations </w:t>
      </w:r>
      <w:r w:rsidRPr="00F30842">
        <w:fldChar w:fldCharType="begin"/>
      </w:r>
      <w:r w:rsidR="006A1532">
        <w:instrText xml:space="preserve"> ADDIN EN.CITE &lt;EndNote&gt;&lt;Cite&gt;&lt;Author&gt;UNECE&lt;/Author&gt;&lt;Year&gt;2012&lt;/Year&gt;&lt;RecNum&gt;33&lt;/RecNum&gt;&lt;Prefix&gt;cf. &lt;/Prefix&gt;&lt;DisplayText&gt;(cf. UNECE, 2012; World Bank, 2009c, 2012c)&lt;/DisplayText&gt;&lt;record&gt;&lt;rec-number&gt;33&lt;/rec-number&gt;&lt;foreign-keys&gt;&lt;key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Europe&lt;/publisher&gt;&lt;urls&gt;&lt;/urls&gt;&lt;/record&gt;&lt;/Cite&gt;&lt;Cite&gt;&lt;Author&gt;World Bank&lt;/Author&gt;&lt;Year&gt;2009&lt;/Year&gt;&lt;RecNum&gt;35&lt;/RecNum&gt;&lt;record&gt;&lt;rec-number&gt;35&lt;/rec-number&gt;&lt;foreign-keys&gt;&lt;key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Bank&lt;/publisher&gt;&lt;urls&gt;&lt;/urls&gt;&lt;/record&gt;&lt;/Cite&gt;&lt;Cite&gt;&lt;Author&gt;World Bank&lt;/Author&gt;&lt;Year&gt;2012&lt;/Year&gt;&lt;RecNum&gt;6&lt;/RecNum&gt;&lt;record&gt;&lt;rec-number&gt;6&lt;/rec-number&gt;&lt;foreign-keys&gt;&lt;key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Pr="00F30842">
        <w:fldChar w:fldCharType="separate"/>
      </w:r>
      <w:r w:rsidR="004459DC">
        <w:rPr>
          <w:noProof/>
        </w:rPr>
        <w:t xml:space="preserve">(cf. </w:t>
      </w:r>
      <w:hyperlink w:anchor="_ENREF_58" w:tooltip="UNECE, 2012 #33" w:history="1">
        <w:r w:rsidR="006A1532">
          <w:rPr>
            <w:noProof/>
          </w:rPr>
          <w:t>UNECE, 2012</w:t>
        </w:r>
      </w:hyperlink>
      <w:r w:rsidR="004459DC">
        <w:rPr>
          <w:noProof/>
        </w:rPr>
        <w:t xml:space="preserve">; </w:t>
      </w:r>
      <w:hyperlink w:anchor="_ENREF_77" w:tooltip="World Bank, 2009 #35" w:history="1">
        <w:r w:rsidR="006A1532">
          <w:rPr>
            <w:noProof/>
          </w:rPr>
          <w:t>World Bank, 2009c</w:t>
        </w:r>
      </w:hyperlink>
      <w:r w:rsidR="004459DC">
        <w:rPr>
          <w:noProof/>
        </w:rPr>
        <w:t xml:space="preserve">, </w:t>
      </w:r>
      <w:hyperlink w:anchor="_ENREF_84" w:tooltip="World Bank, 2012 #6" w:history="1">
        <w:r w:rsidR="006A1532">
          <w:rPr>
            <w:noProof/>
          </w:rPr>
          <w:t>2012c</w:t>
        </w:r>
      </w:hyperlink>
      <w:r w:rsidR="004459DC">
        <w:rPr>
          <w:noProof/>
        </w:rPr>
        <w:t>)</w:t>
      </w:r>
      <w:r w:rsidRPr="00F30842">
        <w:fldChar w:fldCharType="end"/>
      </w:r>
      <w:r w:rsidRPr="00F30842">
        <w:t xml:space="preserve">. </w:t>
      </w:r>
      <w:r>
        <w:t xml:space="preserve">Women have consistently constituted 45 percent of Tajikistan’s total labor force for the last two decades. The gender gap in labor force participation rates amounts to 18 percentage points in favor of men and is comparable to the regional average. More than two thirds of the economically inactive part of the population is female, with domestic responsibilities being the main reason for women’s absence from the labor market. Women are dominantly present in the agricultural sector and elementary occupations, that is, in low-productivity, low-paid activities with little decision-making power. </w:t>
      </w:r>
    </w:p>
    <w:p w14:paraId="23ADDE4E" w14:textId="57A08164" w:rsidR="005932C3" w:rsidRPr="005932C3" w:rsidRDefault="005932C3" w:rsidP="005932C3">
      <w:pPr>
        <w:numPr>
          <w:ilvl w:val="0"/>
          <w:numId w:val="1"/>
        </w:numPr>
        <w:tabs>
          <w:tab w:val="clear" w:pos="720"/>
        </w:tabs>
        <w:spacing w:after="240"/>
        <w:ind w:left="0" w:firstLine="0"/>
        <w:jc w:val="both"/>
        <w:rPr>
          <w:bCs/>
        </w:rPr>
      </w:pPr>
      <w:r w:rsidRPr="00991993">
        <w:rPr>
          <w:b/>
          <w:color w:val="000000" w:themeColor="text1"/>
        </w:rPr>
        <w:t xml:space="preserve">Occupational </w:t>
      </w:r>
      <w:r w:rsidRPr="00450916">
        <w:rPr>
          <w:b/>
          <w:bCs/>
          <w:color w:val="000000" w:themeColor="text1"/>
        </w:rPr>
        <w:t>segregation</w:t>
      </w:r>
      <w:r w:rsidRPr="00991993">
        <w:rPr>
          <w:b/>
          <w:color w:val="000000" w:themeColor="text1"/>
        </w:rPr>
        <w:t xml:space="preserve"> </w:t>
      </w:r>
      <w:r>
        <w:rPr>
          <w:b/>
          <w:color w:val="000000" w:themeColor="text1"/>
        </w:rPr>
        <w:t xml:space="preserve">in terms of gender originates in educational choices </w:t>
      </w:r>
      <w:r w:rsidRPr="005932C3">
        <w:rPr>
          <w:b/>
        </w:rPr>
        <w:t>before</w:t>
      </w:r>
      <w:r>
        <w:rPr>
          <w:b/>
          <w:color w:val="000000" w:themeColor="text1"/>
        </w:rPr>
        <w:t xml:space="preserve"> e</w:t>
      </w:r>
      <w:r w:rsidRPr="00991993">
        <w:rPr>
          <w:b/>
          <w:color w:val="000000" w:themeColor="text1"/>
        </w:rPr>
        <w:t>ntry into the labor market.</w:t>
      </w:r>
      <w:r w:rsidRPr="00991993">
        <w:rPr>
          <w:color w:val="000000" w:themeColor="text1"/>
        </w:rPr>
        <w:t xml:space="preserve"> </w:t>
      </w:r>
      <w:r>
        <w:t>Female concentration in elementary occupations corresponds to gender disparities in secondary and tertiary education</w:t>
      </w:r>
      <w:r w:rsidR="00697C7E">
        <w:t xml:space="preserve"> </w:t>
      </w:r>
      <w:r w:rsidR="003B6AED">
        <w:t>and</w:t>
      </w:r>
      <w:r w:rsidR="00697C7E">
        <w:t xml:space="preserve"> the fact that men and women tend </w:t>
      </w:r>
      <w:r w:rsidR="008F2BB7">
        <w:t>to choose different fields of studies</w:t>
      </w:r>
      <w:r w:rsidR="003B6AED">
        <w:t>. Furthermore, g</w:t>
      </w:r>
      <w:r w:rsidR="00D97DD9">
        <w:rPr>
          <w:color w:val="000000" w:themeColor="text1"/>
        </w:rPr>
        <w:t xml:space="preserve">ender stereotypes that assign men the role of the decision-maker, while women are expected to take care of the household, play a crucial rule. </w:t>
      </w:r>
      <w:r w:rsidR="003B6AED">
        <w:rPr>
          <w:color w:val="000000" w:themeColor="text1"/>
        </w:rPr>
        <w:t>These factors</w:t>
      </w:r>
      <w:r w:rsidR="00697C7E">
        <w:rPr>
          <w:color w:val="000000" w:themeColor="text1"/>
        </w:rPr>
        <w:t xml:space="preserve"> finally</w:t>
      </w:r>
      <w:r w:rsidR="003B6AED">
        <w:rPr>
          <w:color w:val="000000" w:themeColor="text1"/>
        </w:rPr>
        <w:t xml:space="preserve"> result</w:t>
      </w:r>
      <w:r w:rsidR="00D97DD9">
        <w:rPr>
          <w:color w:val="000000" w:themeColor="text1"/>
        </w:rPr>
        <w:t xml:space="preserve"> in a vicious cycle, as </w:t>
      </w:r>
      <w:r w:rsidRPr="00BC4808">
        <w:rPr>
          <w:color w:val="000000" w:themeColor="text1"/>
        </w:rPr>
        <w:t>the concentration of women in low-paid jobs and lower positions reinforces households’ decision not to invest heavily in girls’ education</w:t>
      </w:r>
      <w:r w:rsidR="0036244D">
        <w:rPr>
          <w:color w:val="000000" w:themeColor="text1"/>
        </w:rPr>
        <w:t>.</w:t>
      </w:r>
    </w:p>
    <w:p w14:paraId="62522BF7" w14:textId="0C7DC2A4" w:rsidR="0056252A" w:rsidRDefault="0056252A" w:rsidP="0056252A">
      <w:pPr>
        <w:numPr>
          <w:ilvl w:val="0"/>
          <w:numId w:val="1"/>
        </w:numPr>
        <w:tabs>
          <w:tab w:val="clear" w:pos="720"/>
        </w:tabs>
        <w:spacing w:after="240"/>
        <w:ind w:left="0" w:firstLine="0"/>
        <w:jc w:val="both"/>
        <w:rPr>
          <w:b/>
        </w:rPr>
      </w:pPr>
      <w:r>
        <w:rPr>
          <w:b/>
        </w:rPr>
        <w:lastRenderedPageBreak/>
        <w:t xml:space="preserve">Most of the disparities in monthly earnings – that are considerably lower for women than for men – cannot be explained by observable characteristics. </w:t>
      </w:r>
      <w:r w:rsidRPr="00292AA2">
        <w:t>A study based on UNDP’s 2009 Social Exclusion Survey</w:t>
      </w:r>
      <w:r>
        <w:t xml:space="preserve"> finds an earnings gap of 18 percent in favor of men</w:t>
      </w:r>
      <w:r w:rsidRPr="00292AA2">
        <w:t xml:space="preserve"> </w:t>
      </w:r>
      <w:r w:rsidRPr="00292AA2">
        <w:fldChar w:fldCharType="begin"/>
      </w:r>
      <w:r w:rsidRPr="00292AA2">
        <w:instrText xml:space="preserve"> ADDIN EN.CITE &lt;EndNote&gt;&lt;Cite&gt;&lt;Author&gt;Blunch&lt;/Author&gt;&lt;Year&gt;2010&lt;/Year&gt;&lt;RecNum&gt;37&lt;/RecNum&gt;&lt;DisplayText&gt;(Blunch, 2010)&lt;/DisplayText&gt;&lt;record&gt;&lt;rec-number&gt;37&lt;/rec-number&gt;&lt;foreign-keys&gt;&lt;key app="EN" db-id="wes5dreptvrsr2eeartvxexxftt2tastxrfs"&gt;37&lt;/key&gt;&lt;/foreign-keys&gt;&lt;ref-type name="Journal Article"&gt;17&lt;/ref-type&gt;&lt;contributors&gt;&lt;authors&gt;&lt;author&gt;Niels-Hugo Blunch&lt;/author&gt;&lt;/authors&gt;&lt;/contributors&gt;&lt;titles&gt;&lt;title&gt;The Gender Earnings Gap Revisited: A Comparative Study for Serbia and Five Countries in Eastern Europe and Central Asia&lt;/title&gt;&lt;secondary-title&gt;Background paper commissioned by the World Bank&amp;apos;s Poverty Reduction and Economic Management Unit, Europe and Central Asia Region Department&lt;/secondary-title&gt;&lt;/titles&gt;&lt;periodical&gt;&lt;full-title&gt;Background paper commissioned by the World Bank&amp;apos;s Poverty Reduction and Economic Management Unit, Europe and Central Asia Region Department&lt;/full-title&gt;&lt;/periodical&gt;&lt;dates&gt;&lt;year&gt;2010&lt;/year&gt;&lt;/dates&gt;&lt;urls&gt;&lt;/urls&gt;&lt;/record&gt;&lt;/Cite&gt;&lt;/EndNote&gt;</w:instrText>
      </w:r>
      <w:r w:rsidRPr="00292AA2">
        <w:fldChar w:fldCharType="separate"/>
      </w:r>
      <w:r w:rsidRPr="00292AA2">
        <w:rPr>
          <w:noProof/>
        </w:rPr>
        <w:t>(</w:t>
      </w:r>
      <w:hyperlink w:anchor="_ENREF_8" w:tooltip="Blunch, 2010 #37" w:history="1">
        <w:r w:rsidR="006A1532" w:rsidRPr="00292AA2">
          <w:rPr>
            <w:noProof/>
          </w:rPr>
          <w:t>Blunch, 2010</w:t>
        </w:r>
      </w:hyperlink>
      <w:r w:rsidRPr="00292AA2">
        <w:rPr>
          <w:noProof/>
        </w:rPr>
        <w:t>)</w:t>
      </w:r>
      <w:r w:rsidRPr="00292AA2">
        <w:fldChar w:fldCharType="end"/>
      </w:r>
      <w:r>
        <w:t xml:space="preserve">. Observable characteristics such as education, experience, or sector of employment only account for three to four percentage points, whereas the remaining gap remains unexplained. Despite laws mandating equal pay for equal work, these empirical findings indicate the presence of gender-related earnings discrimination. </w:t>
      </w:r>
    </w:p>
    <w:p w14:paraId="056D9C7E" w14:textId="7E2DBF86" w:rsidR="0056252A" w:rsidRDefault="0056252A" w:rsidP="0056252A">
      <w:pPr>
        <w:numPr>
          <w:ilvl w:val="0"/>
          <w:numId w:val="1"/>
        </w:numPr>
        <w:tabs>
          <w:tab w:val="clear" w:pos="720"/>
        </w:tabs>
        <w:spacing w:after="240"/>
        <w:ind w:left="0" w:firstLine="0"/>
        <w:jc w:val="both"/>
        <w:rPr>
          <w:b/>
        </w:rPr>
      </w:pPr>
      <w:r>
        <w:rPr>
          <w:b/>
        </w:rPr>
        <w:t xml:space="preserve">Women are disproportionately present in the informal sector. </w:t>
      </w:r>
      <w:r>
        <w:t xml:space="preserve">Tajikistan’s informal sector has reached considerable scale, though any measurement is obviously problematic. According to the 2007 </w:t>
      </w:r>
      <w:r w:rsidRPr="00B34B38">
        <w:t>Tajikistan Living Standard</w:t>
      </w:r>
      <w:r>
        <w:t>s</w:t>
      </w:r>
      <w:r w:rsidRPr="00B34B38">
        <w:t xml:space="preserve"> Survey</w:t>
      </w:r>
      <w:r>
        <w:t xml:space="preserve"> (TLSS), every third employee works in the informal sector </w:t>
      </w:r>
      <w:r>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fldChar w:fldCharType="separate"/>
      </w:r>
      <w:r>
        <w:rPr>
          <w:noProof/>
        </w:rPr>
        <w:t>(</w:t>
      </w:r>
      <w:hyperlink w:anchor="_ENREF_77" w:tooltip="World Bank, 2009 #35" w:history="1">
        <w:r w:rsidR="006A1532">
          <w:rPr>
            <w:noProof/>
          </w:rPr>
          <w:t>World Bank, 2009c</w:t>
        </w:r>
      </w:hyperlink>
      <w:r>
        <w:rPr>
          <w:noProof/>
        </w:rPr>
        <w:t>)</w:t>
      </w:r>
      <w:r>
        <w:fldChar w:fldCharType="end"/>
      </w:r>
      <w:r>
        <w:t>. Informal sector employment prevails in the agricultural sector and is associated with being female and less well educated. Lower salary levels, the absence of social security coverage, and limited opportunities for skill development make informal sector employment precarious in many respects and add to women’s economic dependence and economic insecurity.</w:t>
      </w:r>
    </w:p>
    <w:p w14:paraId="5919479E" w14:textId="4390C30E" w:rsidR="0056252A" w:rsidRPr="00E508CE" w:rsidRDefault="0056252A" w:rsidP="0056252A">
      <w:pPr>
        <w:numPr>
          <w:ilvl w:val="0"/>
          <w:numId w:val="1"/>
        </w:numPr>
        <w:tabs>
          <w:tab w:val="clear" w:pos="720"/>
        </w:tabs>
        <w:spacing w:after="240"/>
        <w:ind w:left="0" w:firstLine="0"/>
        <w:jc w:val="both"/>
        <w:rPr>
          <w:b/>
        </w:rPr>
      </w:pPr>
      <w:r>
        <w:rPr>
          <w:b/>
        </w:rPr>
        <w:t xml:space="preserve">External labor migration is mainly a male phenomenon, but affects the economic and social wellbeing of women and men alike in ambivalent ways. </w:t>
      </w:r>
      <w:r>
        <w:t xml:space="preserve">Successes in poverty reduction have been widely attributed to remittances, and households with at least one migrant are less at risk of being poor </w:t>
      </w:r>
      <w:r>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fldChar w:fldCharType="separate"/>
      </w:r>
      <w:r>
        <w:rPr>
          <w:noProof/>
        </w:rPr>
        <w:t>(</w:t>
      </w:r>
      <w:hyperlink w:anchor="_ENREF_77" w:tooltip="World Bank, 2009 #35" w:history="1">
        <w:r w:rsidR="006A1532">
          <w:rPr>
            <w:noProof/>
          </w:rPr>
          <w:t>World Bank, 2009c</w:t>
        </w:r>
      </w:hyperlink>
      <w:r>
        <w:rPr>
          <w:noProof/>
        </w:rPr>
        <w:t>)</w:t>
      </w:r>
      <w:r>
        <w:fldChar w:fldCharType="end"/>
      </w:r>
      <w:r>
        <w:t xml:space="preserve">. Wives, however, frequently </w:t>
      </w:r>
      <w:r w:rsidR="004E0D60">
        <w:t xml:space="preserve">do </w:t>
      </w:r>
      <w:r>
        <w:t xml:space="preserve">not receive their husbands’ remittances that are sent to parents or elderly relatives, and women need to manage additional responsibilities in the household. Rough estimates furthermore indicate that one third of migrants’ wives have been economically abandoned, resulting in a condition of severe economic and social precariousness </w:t>
      </w:r>
      <w:r>
        <w:fldChar w:fldCharType="begin"/>
      </w:r>
      <w:r>
        <w:instrText xml:space="preserve"> ADDIN EN.CITE &lt;EndNote&gt;&lt;Cite&gt;&lt;Author&gt;IOM&lt;/Author&gt;&lt;Year&gt;2009&lt;/Year&gt;&lt;RecNum&gt;53&lt;/RecNum&gt;&lt;DisplayText&gt;(IOM, 2009; OSCE, 2012)&lt;/DisplayText&gt;&lt;record&gt;&lt;rec-number&gt;53&lt;/rec-number&gt;&lt;foreign-keys&gt;&lt;key app="EN" db-id="wes5dreptvrsr2eeartvxexxftt2tastxrfs"&gt;53&lt;/key&gt;&lt;/foreign-keys&gt;&lt;ref-type name="Book"&gt;6&lt;/ref-type&gt;&lt;contributors&gt;&lt;authors&gt;&lt;author&gt;IOM&lt;/author&gt;&lt;/authors&gt;&lt;/contributors&gt;&lt;titles&gt;&lt;title&gt;Abandoned Wives of Tajik Labor Migrants. IOM Study on the socio-economic characteristics of abandoned wives of Tajik labor migrants and their survival capabilities&lt;/title&gt;&lt;/titles&gt;&lt;dates&gt;&lt;year&gt;2009&lt;/year&gt;&lt;/dates&gt;&lt;pub-location&gt;Dushanbe&lt;/pub-location&gt;&lt;publisher&gt;International Organization for Migration&lt;/publisher&gt;&lt;urls&gt;&lt;/urls&gt;&lt;/record&gt;&lt;/Cite&gt;&lt;Cite&gt;&lt;Author&gt;OSCE&lt;/Author&gt;&lt;Year&gt;2012&lt;/Year&gt;&lt;RecNum&gt;52&lt;/RecNum&gt;&lt;record&gt;&lt;rec-number&gt;52&lt;/rec-number&gt;&lt;foreign-keys&gt;&lt;key app="EN" db-id="wes5dreptvrsr2eeartvxexxftt2tastxrfs"&gt;52&lt;/key&gt;&lt;/foreign-keys&gt;&lt;ref-type name="Book"&gt;6&lt;/ref-type&gt;&lt;contributors&gt;&lt;authors&gt;&lt;author&gt;OSCE&lt;/author&gt;&lt;/authors&gt;&lt;/contributors&gt;&lt;titles&gt;&lt;title&gt;Social and Economic Inclusion of Women From Migrant Households in Tajikistan&lt;/title&gt;&lt;/titles&gt;&lt;dates&gt;&lt;year&gt;2012&lt;/year&gt;&lt;/dates&gt;&lt;pub-location&gt;Warsaw&lt;/pub-location&gt;&lt;publisher&gt;Office for Democratic Institutions and Human Rights&lt;/publisher&gt;&lt;urls&gt;&lt;/urls&gt;&lt;/record&gt;&lt;/Cite&gt;&lt;/EndNote&gt;</w:instrText>
      </w:r>
      <w:r>
        <w:fldChar w:fldCharType="separate"/>
      </w:r>
      <w:r>
        <w:rPr>
          <w:noProof/>
        </w:rPr>
        <w:t>(</w:t>
      </w:r>
      <w:hyperlink w:anchor="_ENREF_29" w:tooltip="IOM, 2009 #53" w:history="1">
        <w:r w:rsidR="006A1532">
          <w:rPr>
            <w:noProof/>
          </w:rPr>
          <w:t>IOM, 2009</w:t>
        </w:r>
      </w:hyperlink>
      <w:r>
        <w:rPr>
          <w:noProof/>
        </w:rPr>
        <w:t xml:space="preserve">; </w:t>
      </w:r>
      <w:hyperlink w:anchor="_ENREF_40" w:tooltip="OSCE, 2012 #52" w:history="1">
        <w:r w:rsidR="006A1532">
          <w:rPr>
            <w:noProof/>
          </w:rPr>
          <w:t>OSCE, 2012</w:t>
        </w:r>
      </w:hyperlink>
      <w:r>
        <w:rPr>
          <w:noProof/>
        </w:rPr>
        <w:t>)</w:t>
      </w:r>
      <w:r>
        <w:fldChar w:fldCharType="end"/>
      </w:r>
      <w:r>
        <w:t xml:space="preserve">. Finally, violations of migrants’ rights, deteriorated health status, and higher risk of communicable diseases affect the wellbeing of mostly male labor migrants </w:t>
      </w:r>
      <w:r>
        <w:fldChar w:fldCharType="begin"/>
      </w:r>
      <w:r>
        <w:instrText xml:space="preserve"> ADDIN EN.CITE &lt;EndNote&gt;&lt;Cite&gt;&lt;Author&gt;Somach&lt;/Author&gt;&lt;Year&gt;2010&lt;/Year&gt;&lt;RecNum&gt;15&lt;/RecNum&gt;&lt;DisplayText&gt;(Somach &amp;amp; Rubin, 2010; UNDP, 2010)&lt;/DisplayText&gt;&lt;record&gt;&lt;rec-number&gt;15&lt;/rec-number&gt;&lt;foreign-keys&gt;&lt;key app="EN" db-id="wes5dreptvrsr2eeartvxexxftt2tastxrfs"&gt;15&lt;/key&gt;&lt;/foreign-keys&gt;&lt;ref-type name="Book"&gt;6&lt;/ref-type&gt;&lt;contributors&gt;&lt;authors&gt;&lt;author&gt;Susan Somach&lt;/author&gt;&lt;author&gt;Deborah Rubin&lt;/author&gt;&lt;/authors&gt;&lt;/contributors&gt;&lt;titles&gt;&lt;title&gt;Gender Assessment USAID/Central Asian Republic&lt;/title&gt;&lt;/titles&gt;&lt;dates&gt;&lt;year&gt;2010&lt;/year&gt;&lt;/dates&gt;&lt;publisher&gt;United States Agency for International Development Mission in the Central Asian Republics&lt;/publisher&gt;&lt;urls&gt;&lt;/urls&gt;&lt;/record&gt;&lt;/Cite&gt;&lt;Cite&gt;&lt;Author&gt;UNDP&lt;/Author&gt;&lt;Year&gt;2010&lt;/Year&gt;&lt;RecNum&gt;39&lt;/RecNum&gt;&lt;record&gt;&lt;rec-number&gt;39&lt;/rec-number&gt;&lt;foreign-keys&gt;&lt;key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fldChar w:fldCharType="separate"/>
      </w:r>
      <w:r>
        <w:rPr>
          <w:noProof/>
        </w:rPr>
        <w:t>(</w:t>
      </w:r>
      <w:hyperlink w:anchor="_ENREF_49" w:tooltip="Somach, 2010 #15" w:history="1">
        <w:r w:rsidR="006A1532">
          <w:rPr>
            <w:noProof/>
          </w:rPr>
          <w:t>Somach &amp; Rubin, 2010</w:t>
        </w:r>
      </w:hyperlink>
      <w:r>
        <w:rPr>
          <w:noProof/>
        </w:rPr>
        <w:t xml:space="preserve">; </w:t>
      </w:r>
      <w:hyperlink w:anchor="_ENREF_56" w:tooltip="UNDP, 2010 #39" w:history="1">
        <w:r w:rsidR="006A1532">
          <w:rPr>
            <w:noProof/>
          </w:rPr>
          <w:t>UNDP, 2010</w:t>
        </w:r>
      </w:hyperlink>
      <w:r>
        <w:rPr>
          <w:noProof/>
        </w:rPr>
        <w:t>)</w:t>
      </w:r>
      <w:r>
        <w:fldChar w:fldCharType="end"/>
      </w:r>
      <w:r>
        <w:t>.</w:t>
      </w:r>
    </w:p>
    <w:p w14:paraId="4789B1B3" w14:textId="08730602" w:rsidR="00E508CE" w:rsidRPr="00E508CE" w:rsidRDefault="00E508CE" w:rsidP="0056252A">
      <w:pPr>
        <w:numPr>
          <w:ilvl w:val="0"/>
          <w:numId w:val="1"/>
        </w:numPr>
        <w:tabs>
          <w:tab w:val="clear" w:pos="720"/>
        </w:tabs>
        <w:spacing w:after="240"/>
        <w:ind w:left="0" w:firstLine="0"/>
        <w:jc w:val="both"/>
        <w:rPr>
          <w:b/>
        </w:rPr>
      </w:pPr>
      <w:r w:rsidRPr="00A54C76">
        <w:rPr>
          <w:b/>
        </w:rPr>
        <w:t xml:space="preserve">Entrepreneurial activities among women are the exception rather than the rule. </w:t>
      </w:r>
      <w:r>
        <w:t xml:space="preserve">More men than women attempted to start a business in 2010, though women are not less likely to succeed in case they do so (Life in Transition Survey II). According to the IFC (International Finance Corporation) SME Survey, women constitute more than one third of individual entrepreneurs, but are less frequently involved in the management of </w:t>
      </w:r>
      <w:r w:rsidRPr="00F53F40">
        <w:rPr>
          <w:i/>
        </w:rPr>
        <w:t xml:space="preserve">dekhan </w:t>
      </w:r>
      <w:r>
        <w:t xml:space="preserve">farms and small and medium enterprises. The 2008 Business Environment and Enterprise Performance Survey finds that on average less than twelve percent of top managers in the private non-agricultural sector are female, but their share is higher in the retail sector and in businesses located in Dushanbe (see </w:t>
      </w:r>
      <w:r>
        <w:fldChar w:fldCharType="begin"/>
      </w:r>
      <w:r>
        <w:instrText xml:space="preserve"> REF _Ref230869600 \h </w:instrText>
      </w:r>
      <w:r>
        <w:fldChar w:fldCharType="separate"/>
      </w:r>
      <w:r w:rsidRPr="00475EB5">
        <w:rPr>
          <w:b/>
          <w:sz w:val="22"/>
          <w:szCs w:val="22"/>
        </w:rPr>
        <w:t xml:space="preserve">Figure </w:t>
      </w:r>
      <w:r>
        <w:rPr>
          <w:b/>
          <w:noProof/>
          <w:sz w:val="22"/>
          <w:szCs w:val="22"/>
        </w:rPr>
        <w:t>3</w:t>
      </w:r>
      <w:r>
        <w:fldChar w:fldCharType="end"/>
      </w:r>
      <w:r>
        <w:t>). While women participate in the ownership of one third of the surveyed firms, shares are remarkably higher in large firms and firms in the retail sector.</w:t>
      </w:r>
    </w:p>
    <w:p w14:paraId="2EA1C236" w14:textId="47B11643" w:rsidR="00E508CE" w:rsidRDefault="00E508CE" w:rsidP="00E508CE">
      <w:pPr>
        <w:numPr>
          <w:ilvl w:val="0"/>
          <w:numId w:val="1"/>
        </w:numPr>
        <w:tabs>
          <w:tab w:val="clear" w:pos="720"/>
        </w:tabs>
        <w:spacing w:after="240"/>
        <w:ind w:left="0" w:firstLine="0"/>
        <w:jc w:val="both"/>
      </w:pPr>
      <w:r>
        <w:rPr>
          <w:b/>
        </w:rPr>
        <w:t>Limited a</w:t>
      </w:r>
      <w:r w:rsidRPr="00A54C76">
        <w:rPr>
          <w:b/>
        </w:rPr>
        <w:t>cces</w:t>
      </w:r>
      <w:r>
        <w:rPr>
          <w:b/>
        </w:rPr>
        <w:t xml:space="preserve">s to land, finance, and networks </w:t>
      </w:r>
      <w:r w:rsidRPr="00A54C76">
        <w:rPr>
          <w:b/>
        </w:rPr>
        <w:t xml:space="preserve">represent constraints </w:t>
      </w:r>
      <w:r>
        <w:rPr>
          <w:b/>
        </w:rPr>
        <w:t>to</w:t>
      </w:r>
      <w:r w:rsidRPr="00A54C76">
        <w:rPr>
          <w:b/>
        </w:rPr>
        <w:t xml:space="preserve"> female entrepreneurship</w:t>
      </w:r>
      <w:r>
        <w:rPr>
          <w:b/>
        </w:rPr>
        <w:t xml:space="preserve"> </w:t>
      </w:r>
      <w:r>
        <w:fldChar w:fldCharType="begin"/>
      </w:r>
      <w:r>
        <w:instrText xml:space="preserve"> ADDIN EN.CITE &lt;EndNote&gt;&lt;Cite&gt;&lt;Author&gt;Giovarelli&lt;/Author&gt;&lt;Year&gt;2008&lt;/Year&gt;&lt;RecNum&gt;66&lt;/RecNum&gt;&lt;Prefix&gt;cf. &lt;/Prefix&gt;&lt;DisplayText&gt;(cf. Giovarelli &amp;amp; Undeland, 2008; Mirzoeva, 2009)&lt;/DisplayText&gt;&lt;record&gt;&lt;rec-number&gt;66&lt;/rec-number&gt;&lt;foreign-keys&gt;&lt;key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Cite&gt;&lt;Author&gt;Mirzoeva&lt;/Author&gt;&lt;Year&gt;2009&lt;/Year&gt;&lt;RecNum&gt;68&lt;/RecNum&gt;&lt;record&gt;&lt;rec-number&gt;68&lt;/rec-number&gt;&lt;foreign-keys&gt;&lt;key app="EN" db-id="wes5dreptvrsr2eeartvxexxftt2tastxrfs"&gt;68&lt;/key&gt;&lt;/foreign-keys&gt;&lt;ref-type name="Journal Article"&gt;17&lt;/ref-type&gt;&lt;contributors&gt;&lt;authors&gt;&lt;author&gt;Viloyat Mirzoeva&lt;/author&gt;&lt;/authors&gt;&lt;/contributors&gt;&lt;titles&gt;&lt;title&gt;Gender Issues in Land Reform in Tajikistan&lt;/title&gt;&lt;secondary-title&gt;Economics and Rural Development&lt;/secondary-title&gt;&lt;/titles&gt;&lt;periodical&gt;&lt;full-title&gt;Economics and Rural Development&lt;/full-title&gt;&lt;/periodical&gt;&lt;pages&gt;23-29&lt;/pages&gt;&lt;volume&gt;5&lt;/volume&gt;&lt;number&gt;2&lt;/number&gt;&lt;dates&gt;&lt;year&gt;2009&lt;/year&gt;&lt;/dates&gt;&lt;urls&gt;&lt;/urls&gt;&lt;/record&gt;&lt;/Cite&gt;&lt;/EndNote&gt;</w:instrText>
      </w:r>
      <w:r>
        <w:fldChar w:fldCharType="separate"/>
      </w:r>
      <w:r>
        <w:rPr>
          <w:noProof/>
        </w:rPr>
        <w:t xml:space="preserve">(cf. </w:t>
      </w:r>
      <w:hyperlink w:anchor="_ENREF_19" w:tooltip="Giovarelli, 2008 #66" w:history="1">
        <w:r>
          <w:rPr>
            <w:noProof/>
          </w:rPr>
          <w:t>Giovarelli &amp; Undeland, 2008</w:t>
        </w:r>
      </w:hyperlink>
      <w:r>
        <w:rPr>
          <w:noProof/>
        </w:rPr>
        <w:t xml:space="preserve">; </w:t>
      </w:r>
      <w:hyperlink w:anchor="_ENREF_36" w:tooltip="Mirzoeva, 2009 #68" w:history="1">
        <w:r>
          <w:rPr>
            <w:noProof/>
          </w:rPr>
          <w:t>Mirzoeva, 2009</w:t>
        </w:r>
      </w:hyperlink>
      <w:r>
        <w:rPr>
          <w:noProof/>
        </w:rPr>
        <w:t>)</w:t>
      </w:r>
      <w:r>
        <w:fldChar w:fldCharType="end"/>
      </w:r>
      <w:r>
        <w:t xml:space="preserve">. By law, Tajikistan strives to provide equal access to economic resources for men and women. Studies nevertheless suggest that women’s access to land is </w:t>
      </w:r>
      <w:r w:rsidRPr="00606468">
        <w:rPr>
          <w:i/>
        </w:rPr>
        <w:t>de facto</w:t>
      </w:r>
      <w:r>
        <w:t xml:space="preserve"> constrained by customary norms that existing legislation does not take into account. Financial inclusion is very limited in Tajikistan in general, but women face specific difficulty accessing </w:t>
      </w:r>
      <w:r>
        <w:lastRenderedPageBreak/>
        <w:t>finance due to lack of collaterals, education, and knowledge, and gender stereotypes. In addition, access to information and networks is extremely limited for Tajik women. For instance, women are less likely to be informed about land restructuring and their rights, and to receive invitations to business workshops. Finally, the 2008 Business Environment and Enterprise Performance Survey indicates that enterprises run by female top managers seem to face more hurdles in terms of regulation, taxes, and corruption.</w:t>
      </w:r>
    </w:p>
    <w:p w14:paraId="39DD5AEE" w14:textId="77777777" w:rsidR="0056252A" w:rsidRPr="00475EB5" w:rsidRDefault="0056252A" w:rsidP="0056252A">
      <w:pPr>
        <w:spacing w:after="60"/>
        <w:jc w:val="center"/>
        <w:rPr>
          <w:b/>
          <w:sz w:val="22"/>
          <w:szCs w:val="22"/>
        </w:rPr>
      </w:pPr>
      <w:bookmarkStart w:id="7" w:name="_Ref230869600"/>
      <w:bookmarkStart w:id="8" w:name="_Toc230870640"/>
      <w:bookmarkStart w:id="9" w:name="_Toc232694741"/>
      <w:proofErr w:type="gramStart"/>
      <w:r w:rsidRPr="00475EB5">
        <w:rPr>
          <w:b/>
          <w:sz w:val="22"/>
          <w:szCs w:val="22"/>
        </w:rPr>
        <w:t xml:space="preserve">Figure </w:t>
      </w:r>
      <w:r w:rsidRPr="00475EB5">
        <w:rPr>
          <w:b/>
          <w:sz w:val="22"/>
          <w:szCs w:val="22"/>
        </w:rPr>
        <w:fldChar w:fldCharType="begin"/>
      </w:r>
      <w:r w:rsidRPr="00475EB5">
        <w:rPr>
          <w:b/>
          <w:sz w:val="22"/>
          <w:szCs w:val="22"/>
        </w:rPr>
        <w:instrText xml:space="preserve"> SEQ Figure \* ARABIC </w:instrText>
      </w:r>
      <w:r w:rsidRPr="00475EB5">
        <w:rPr>
          <w:b/>
          <w:sz w:val="22"/>
          <w:szCs w:val="22"/>
        </w:rPr>
        <w:fldChar w:fldCharType="separate"/>
      </w:r>
      <w:r w:rsidR="00183FFF">
        <w:rPr>
          <w:b/>
          <w:noProof/>
          <w:sz w:val="22"/>
          <w:szCs w:val="22"/>
        </w:rPr>
        <w:t>3</w:t>
      </w:r>
      <w:r w:rsidRPr="00475EB5">
        <w:rPr>
          <w:b/>
          <w:sz w:val="22"/>
          <w:szCs w:val="22"/>
        </w:rPr>
        <w:fldChar w:fldCharType="end"/>
      </w:r>
      <w:bookmarkEnd w:id="7"/>
      <w:r w:rsidRPr="00475EB5">
        <w:rPr>
          <w:b/>
          <w:sz w:val="22"/>
          <w:szCs w:val="22"/>
        </w:rPr>
        <w:t>.</w:t>
      </w:r>
      <w:proofErr w:type="gramEnd"/>
      <w:r w:rsidRPr="00475EB5">
        <w:rPr>
          <w:b/>
          <w:sz w:val="22"/>
          <w:szCs w:val="22"/>
        </w:rPr>
        <w:t xml:space="preserve"> Percent of firms with female top manager and female participation in ownership (%), by characteristics of firm, 2008</w:t>
      </w:r>
      <w:bookmarkEnd w:id="8"/>
      <w:bookmarkEnd w:id="9"/>
    </w:p>
    <w:p w14:paraId="7BF630D4" w14:textId="77777777" w:rsidR="0056252A" w:rsidRDefault="0056252A" w:rsidP="0056252A">
      <w:pPr>
        <w:pStyle w:val="MainParawithChapter"/>
        <w:numPr>
          <w:ilvl w:val="0"/>
          <w:numId w:val="0"/>
        </w:numPr>
        <w:spacing w:after="0"/>
        <w:ind w:left="720" w:hanging="720"/>
        <w:jc w:val="both"/>
        <w:outlineLvl w:val="9"/>
        <w:rPr>
          <w:b/>
        </w:rPr>
      </w:pPr>
      <w:r>
        <w:rPr>
          <w:noProof/>
        </w:rPr>
        <w:drawing>
          <wp:inline distT="0" distB="0" distL="0" distR="0" wp14:anchorId="5D97CB92" wp14:editId="23699514">
            <wp:extent cx="5486400" cy="2518215"/>
            <wp:effectExtent l="0" t="0" r="25400" b="22225"/>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BC2316" w14:textId="77777777" w:rsidR="0056252A" w:rsidRDefault="0056252A" w:rsidP="0056252A">
      <w:pPr>
        <w:pStyle w:val="MainParawithChapter"/>
        <w:numPr>
          <w:ilvl w:val="0"/>
          <w:numId w:val="0"/>
        </w:numPr>
        <w:spacing w:after="0"/>
        <w:jc w:val="both"/>
        <w:outlineLvl w:val="9"/>
        <w:rPr>
          <w:sz w:val="22"/>
          <w:szCs w:val="22"/>
        </w:rPr>
      </w:pPr>
      <w:r>
        <w:rPr>
          <w:i/>
          <w:sz w:val="22"/>
          <w:szCs w:val="22"/>
        </w:rPr>
        <w:t xml:space="preserve">Notes: </w:t>
      </w:r>
      <w:r>
        <w:rPr>
          <w:sz w:val="22"/>
          <w:szCs w:val="22"/>
        </w:rPr>
        <w:t xml:space="preserve">RRP = Region of Republican Subordination. Exporters refer to firms whose direct exports are ten percent or more of sales. Foreign ownership applies to firms where ten percent or more of ownership is foreign.  </w:t>
      </w:r>
    </w:p>
    <w:p w14:paraId="029AD664" w14:textId="77777777" w:rsidR="0056252A" w:rsidRPr="00475EB5" w:rsidRDefault="0056252A" w:rsidP="0056252A">
      <w:pPr>
        <w:pStyle w:val="MainParawithChapter"/>
        <w:numPr>
          <w:ilvl w:val="0"/>
          <w:numId w:val="0"/>
        </w:numPr>
        <w:ind w:left="720" w:hanging="720"/>
        <w:jc w:val="both"/>
        <w:outlineLvl w:val="9"/>
        <w:rPr>
          <w:sz w:val="22"/>
          <w:szCs w:val="22"/>
        </w:rPr>
      </w:pPr>
      <w:r w:rsidRPr="00B00903">
        <w:rPr>
          <w:i/>
          <w:sz w:val="22"/>
          <w:szCs w:val="22"/>
        </w:rPr>
        <w:t>Source:</w:t>
      </w:r>
      <w:r>
        <w:rPr>
          <w:sz w:val="22"/>
          <w:szCs w:val="22"/>
        </w:rPr>
        <w:t xml:space="preserve"> Enterprise Surveys, World Bank, Washington, DC, </w:t>
      </w:r>
      <w:hyperlink r:id="rId17" w:history="1">
        <w:r w:rsidRPr="00C06A58">
          <w:rPr>
            <w:rStyle w:val="Hyperlink"/>
            <w:sz w:val="22"/>
            <w:szCs w:val="22"/>
          </w:rPr>
          <w:t>http://www.enterprisesurveys.org/</w:t>
        </w:r>
      </w:hyperlink>
      <w:r>
        <w:rPr>
          <w:sz w:val="22"/>
          <w:szCs w:val="22"/>
        </w:rPr>
        <w:t>.</w:t>
      </w:r>
    </w:p>
    <w:p w14:paraId="43A61951" w14:textId="28F99199" w:rsidR="0056252A" w:rsidRPr="00746C1A" w:rsidRDefault="0056252A" w:rsidP="0056252A">
      <w:pPr>
        <w:numPr>
          <w:ilvl w:val="0"/>
          <w:numId w:val="1"/>
        </w:numPr>
        <w:tabs>
          <w:tab w:val="clear" w:pos="720"/>
        </w:tabs>
        <w:spacing w:after="240"/>
        <w:ind w:left="0" w:firstLine="0"/>
        <w:jc w:val="both"/>
        <w:rPr>
          <w:b/>
        </w:rPr>
      </w:pPr>
      <w:r w:rsidRPr="00746C1A">
        <w:rPr>
          <w:b/>
        </w:rPr>
        <w:t xml:space="preserve">A range of policy measures </w:t>
      </w:r>
      <w:r w:rsidR="009D4B4C">
        <w:rPr>
          <w:b/>
        </w:rPr>
        <w:t>is</w:t>
      </w:r>
      <w:r w:rsidR="00183A2D">
        <w:rPr>
          <w:b/>
        </w:rPr>
        <w:t xml:space="preserve"> proposed for </w:t>
      </w:r>
      <w:r w:rsidRPr="00746C1A">
        <w:rPr>
          <w:b/>
        </w:rPr>
        <w:t>discussion among policy-makers, civil society actors, and d</w:t>
      </w:r>
      <w:r w:rsidR="00183A2D">
        <w:rPr>
          <w:b/>
        </w:rPr>
        <w:t>evelopment partners.</w:t>
      </w:r>
    </w:p>
    <w:p w14:paraId="56260E2E" w14:textId="5DDA909E" w:rsidR="0056252A" w:rsidRDefault="0056252A" w:rsidP="00183FFF">
      <w:pPr>
        <w:pStyle w:val="Sub-Para1underXY"/>
        <w:ind w:left="1077" w:hanging="357"/>
        <w:jc w:val="both"/>
      </w:pPr>
      <w:r>
        <w:rPr>
          <w:b/>
        </w:rPr>
        <w:t xml:space="preserve">In order to </w:t>
      </w:r>
      <w:r w:rsidR="00183A2D">
        <w:rPr>
          <w:b/>
        </w:rPr>
        <w:t>u</w:t>
      </w:r>
      <w:r>
        <w:rPr>
          <w:b/>
        </w:rPr>
        <w:t>n</w:t>
      </w:r>
      <w:r w:rsidR="00183A2D">
        <w:rPr>
          <w:b/>
        </w:rPr>
        <w:t>lock</w:t>
      </w:r>
      <w:r>
        <w:rPr>
          <w:b/>
        </w:rPr>
        <w:t xml:space="preserve"> the full potential of the existing legal framework, a</w:t>
      </w:r>
      <w:r w:rsidRPr="00746C1A">
        <w:rPr>
          <w:b/>
        </w:rPr>
        <w:t xml:space="preserve"> critical review of implementation, monitoring and evaluation, and coordination mechanisms may be valuable</w:t>
      </w:r>
      <w:r>
        <w:t>. Harmonization of laws and regulations, strengthened cooperation among stakeholders, and constant gender analyses of draft laws are some potential fields of action.</w:t>
      </w:r>
      <w:r w:rsidR="00183A2D">
        <w:t xml:space="preserve">  At the same time, implementation and enforcement require closer monitoring.</w:t>
      </w:r>
    </w:p>
    <w:p w14:paraId="4EE4C0FC" w14:textId="4603BE42" w:rsidR="00CD57DB" w:rsidRDefault="00CD57DB" w:rsidP="00CD57DB">
      <w:pPr>
        <w:pStyle w:val="Sub-Para1underXY"/>
        <w:ind w:left="1077" w:hanging="357"/>
        <w:jc w:val="both"/>
      </w:pPr>
      <w:r>
        <w:rPr>
          <w:b/>
        </w:rPr>
        <w:t>Increasing female enrolment in secondary and tert</w:t>
      </w:r>
      <w:r w:rsidR="001D4506">
        <w:rPr>
          <w:b/>
        </w:rPr>
        <w:t xml:space="preserve">iary education should be a </w:t>
      </w:r>
      <w:r>
        <w:rPr>
          <w:b/>
        </w:rPr>
        <w:t xml:space="preserve">policy </w:t>
      </w:r>
      <w:r w:rsidR="00183A2D">
        <w:rPr>
          <w:b/>
        </w:rPr>
        <w:t>priority.</w:t>
      </w:r>
      <w:r>
        <w:t xml:space="preserve"> Financial incentives to reduce costs of education proved to be successful in other </w:t>
      </w:r>
      <w:r w:rsidR="001C0B76">
        <w:t>countries</w:t>
      </w:r>
      <w:r>
        <w:t>, such as scholarships or stipends for disadvantaged pupils</w:t>
      </w:r>
      <w:r w:rsidR="001C0B76">
        <w:t xml:space="preserve"> o</w:t>
      </w:r>
      <w:r>
        <w:t>r conditional cash transfers targeted to girls from underprivileged rural hous</w:t>
      </w:r>
      <w:r w:rsidR="001C0B76">
        <w:t>eholds</w:t>
      </w:r>
      <w:r>
        <w:t xml:space="preserve"> </w:t>
      </w:r>
      <w:r>
        <w:fldChar w:fldCharType="begin"/>
      </w:r>
      <w:r>
        <w:instrText xml:space="preserve"> ADDIN EN.CITE &lt;EndNote&gt;&lt;Cite&gt;&lt;Author&gt;Bank&lt;/Author&gt;&lt;Year&gt;2011&lt;/Year&gt;&lt;RecNum&gt;87&lt;/RecNum&gt;&lt;DisplayText&gt;(Alam, Baez, &amp;amp; Carpio, 2011; World Bank, 2011a)&lt;/DisplayText&gt;&lt;record&gt;&lt;rec-number&gt;87&lt;/rec-number&gt;&lt;foreign-keys&gt;&lt;key app="EN" db-id="wes5dreptvrsr2eeartvxexxftt2tastxrfs"&gt;87&lt;/key&gt;&lt;/foreign-keys&gt;&lt;ref-type name="Book"&gt;6&lt;/ref-type&gt;&lt;contributors&gt;&lt;authors&gt;&lt;author&gt;World Bank&lt;/author&gt;&lt;/authors&gt;&lt;/contributors&gt;&lt;titles&gt;&lt;title&gt;Getting to Equal. Promoting Gender Equality through Human Development&lt;/title&gt;&lt;/titles&gt;&lt;dates&gt;&lt;year&gt;2011&lt;/year&gt;&lt;/dates&gt;&lt;pub-location&gt;Washington, DC&lt;/pub-location&gt;&lt;publisher&gt;World Bank&lt;/publisher&gt;&lt;urls&gt;&lt;/urls&gt;&lt;/record&gt;&lt;/Cite&gt;&lt;Cite&gt;&lt;Author&gt;Alam&lt;/Author&gt;&lt;Year&gt;2011&lt;/Year&gt;&lt;RecNum&gt;88&lt;/RecNum&gt;&lt;record&gt;&lt;rec-number&gt;88&lt;/rec-number&gt;&lt;foreign-keys&gt;&lt;key app="EN" db-id="wes5dreptvrsr2eeartvxexxftt2tastxrfs"&gt;88&lt;/key&gt;&lt;/foreign-keys&gt;&lt;ref-type name="Journal Article"&gt;17&lt;/ref-type&gt;&lt;contributors&gt;&lt;authors&gt;&lt;author&gt;Andaleeb Alam&lt;/author&gt;&lt;author&gt;Javier E. Baez&lt;/author&gt;&lt;author&gt;Ximena V. Del Carpio&lt;/author&gt;&lt;/authors&gt;&lt;/contributors&gt;&lt;titles&gt;&lt;title&gt;Does Cash for School Influence Women&amp;apos;s Behavior in the Longer Term? Evidence from Pakistan&lt;/title&gt;&lt;secondary-title&gt;World Bank Policy Research Working Paper 5669&lt;/secondary-title&gt;&lt;/titles&gt;&lt;periodical&gt;&lt;full-title&gt;World Bank Policy Research Working Paper 5669&lt;/full-title&gt;&lt;/periodical&gt;&lt;dates&gt;&lt;year&gt;2011&lt;/year&gt;&lt;/dates&gt;&lt;urls&gt;&lt;/urls&gt;&lt;/record&gt;&lt;/Cite&gt;&lt;/EndNote&gt;</w:instrText>
      </w:r>
      <w:r>
        <w:fldChar w:fldCharType="separate"/>
      </w:r>
      <w:r>
        <w:rPr>
          <w:noProof/>
        </w:rPr>
        <w:t>(</w:t>
      </w:r>
      <w:hyperlink w:anchor="_ENREF_4" w:tooltip="Alam, 2011 #88" w:history="1">
        <w:r w:rsidR="006A1532">
          <w:rPr>
            <w:noProof/>
          </w:rPr>
          <w:t>Alam, Baez, &amp; Carpio, 2011</w:t>
        </w:r>
      </w:hyperlink>
      <w:r>
        <w:rPr>
          <w:noProof/>
        </w:rPr>
        <w:t xml:space="preserve">; </w:t>
      </w:r>
      <w:hyperlink w:anchor="_ENREF_78" w:tooltip="World Bank, 2011 #87" w:history="1">
        <w:r w:rsidR="006A1532">
          <w:rPr>
            <w:noProof/>
          </w:rPr>
          <w:t>World Bank, 2011a</w:t>
        </w:r>
      </w:hyperlink>
      <w:r>
        <w:rPr>
          <w:noProof/>
        </w:rPr>
        <w:t>)</w:t>
      </w:r>
      <w:r>
        <w:fldChar w:fldCharType="end"/>
      </w:r>
      <w:r w:rsidR="001C0B76">
        <w:t>. P</w:t>
      </w:r>
      <w:r>
        <w:t xml:space="preserve">olicy measures could </w:t>
      </w:r>
      <w:r w:rsidR="00E1550F">
        <w:t xml:space="preserve">further </w:t>
      </w:r>
      <w:r>
        <w:t xml:space="preserve">include (1) </w:t>
      </w:r>
      <w:r w:rsidR="00A25223">
        <w:t xml:space="preserve">a government led </w:t>
      </w:r>
      <w:r>
        <w:t>promotion</w:t>
      </w:r>
      <w:r w:rsidR="00A25223">
        <w:t>al campaign</w:t>
      </w:r>
      <w:r>
        <w:t xml:space="preserve"> of the value of education for boys and girls alike to increase parental support, (2) the stricter containment of ille</w:t>
      </w:r>
      <w:r w:rsidR="00E1550F">
        <w:t xml:space="preserve">gal early </w:t>
      </w:r>
      <w:r w:rsidR="00E1550F">
        <w:lastRenderedPageBreak/>
        <w:t>marriages, and (3) a</w:t>
      </w:r>
      <w:r w:rsidR="00A25223">
        <w:t xml:space="preserve"> (time bound) program that takes deliberate action to increase the inclusion of female students in</w:t>
      </w:r>
      <w:r>
        <w:t xml:space="preserve"> institutions of higher education. </w:t>
      </w:r>
    </w:p>
    <w:p w14:paraId="38CC6C5F" w14:textId="18F952CB" w:rsidR="00CD57DB" w:rsidRPr="008B3859" w:rsidRDefault="00CD57DB" w:rsidP="00CD57DB">
      <w:pPr>
        <w:pStyle w:val="Sub-Para1underXY"/>
        <w:ind w:left="1077" w:hanging="357"/>
        <w:jc w:val="both"/>
        <w:rPr>
          <w:b/>
        </w:rPr>
      </w:pPr>
      <w:r w:rsidRPr="00286CE3">
        <w:rPr>
          <w:b/>
        </w:rPr>
        <w:t xml:space="preserve">Young women’s </w:t>
      </w:r>
      <w:r w:rsidRPr="00416E7A">
        <w:rPr>
          <w:b/>
        </w:rPr>
        <w:t xml:space="preserve">transition from school to productive employment </w:t>
      </w:r>
      <w:r>
        <w:rPr>
          <w:b/>
        </w:rPr>
        <w:t xml:space="preserve">in demand-driven fields </w:t>
      </w:r>
      <w:r w:rsidRPr="00416E7A">
        <w:rPr>
          <w:b/>
        </w:rPr>
        <w:t xml:space="preserve">needs to be supported. </w:t>
      </w:r>
      <w:r>
        <w:t xml:space="preserve">Training programs for young women should aim to develop skills that address the needs of high value-added activities. </w:t>
      </w:r>
      <w:r w:rsidR="001C0B76">
        <w:t>P</w:t>
      </w:r>
      <w:r w:rsidR="00E1550F">
        <w:t>ossible p</w:t>
      </w:r>
      <w:r>
        <w:t>olicy measures could include</w:t>
      </w:r>
      <w:r w:rsidR="001C0B76">
        <w:t xml:space="preserve"> </w:t>
      </w:r>
      <w:r w:rsidR="001C0B76">
        <w:fldChar w:fldCharType="begin"/>
      </w:r>
      <w:r w:rsidR="001C0B76">
        <w:instrText xml:space="preserve"> ADDIN EN.CITE &lt;EndNote&gt;&lt;Cite&gt;&lt;Author&gt;World Bank&lt;/Author&gt;&lt;Year&gt;2012&lt;/Year&gt;&lt;RecNum&gt;89&lt;/RecNum&gt;&lt;Prefix&gt;cf. &lt;/Prefix&gt;&lt;DisplayText&gt;(cf. World Bank, 2012a)&lt;/DisplayText&gt;&lt;record&gt;&lt;rec-number&gt;89&lt;/rec-number&gt;&lt;foreign-keys&gt;&lt;key app="EN" db-id="wes5dreptvrsr2eeartvxexxftt2tastxrfs"&gt;89&lt;/key&gt;&lt;/foreign-keys&gt;&lt;ref-type name="Journal Article"&gt;17&lt;/ref-type&gt;&lt;contributors&gt;&lt;authors&gt;&lt;author&gt;World Bank&lt;/author&gt;&lt;/authors&gt;&lt;/contributors&gt;&lt;titles&gt;&lt;title&gt;Adolescent Girls Initiative: How to Make Youth Employment Programs &amp;quot;Girl-Friendly&amp;quot;&lt;/title&gt;&lt;secondary-title&gt;Learning from Practice Series&lt;/secondary-title&gt;&lt;/titles&gt;&lt;periodical&gt;&lt;full-title&gt;Learning from Practice Series&lt;/full-title&gt;&lt;/periodical&gt;&lt;pages&gt;available at http://siteresources.worldbank.org/EXTGENDER/Resources/1317219_AGI_LearningFromPracticeSeries.pdf&lt;/pages&gt;&lt;dates&gt;&lt;year&gt;2012&lt;/year&gt;&lt;/dates&gt;&lt;urls&gt;&lt;/urls&gt;&lt;/record&gt;&lt;/Cite&gt;&lt;/EndNote&gt;</w:instrText>
      </w:r>
      <w:r w:rsidR="001C0B76">
        <w:fldChar w:fldCharType="separate"/>
      </w:r>
      <w:r w:rsidR="001C0B76">
        <w:rPr>
          <w:noProof/>
        </w:rPr>
        <w:t>(</w:t>
      </w:r>
      <w:hyperlink w:anchor="_ENREF_82" w:tooltip="World Bank, 2012 #89" w:history="1">
        <w:r w:rsidR="006A1532">
          <w:rPr>
            <w:noProof/>
          </w:rPr>
          <w:t>cf. World Bank, 2012a</w:t>
        </w:r>
      </w:hyperlink>
      <w:r w:rsidR="001C0B76">
        <w:rPr>
          <w:noProof/>
        </w:rPr>
        <w:t>)</w:t>
      </w:r>
      <w:r w:rsidR="001C0B76">
        <w:fldChar w:fldCharType="end"/>
      </w:r>
      <w:r>
        <w:t xml:space="preserve"> (1) a labor market assessment to identify opportunities and constraints for (female) job seekers, (2) </w:t>
      </w:r>
      <w:r w:rsidR="00A25223">
        <w:t xml:space="preserve">government campaign or outreach that encourages women job seekers and employers to consider </w:t>
      </w:r>
      <w:r>
        <w:t>jobs beyond traditional areas of female employment</w:t>
      </w:r>
      <w:r w:rsidR="00A25223">
        <w:t xml:space="preserve">, and </w:t>
      </w:r>
      <w:r w:rsidR="00E508CE">
        <w:t xml:space="preserve">(3) </w:t>
      </w:r>
      <w:r w:rsidR="0036244D">
        <w:t xml:space="preserve">programs such as </w:t>
      </w:r>
      <w:r w:rsidR="00E508CE">
        <w:t>the IFC Education for Employment program in Tajikistan</w:t>
      </w:r>
      <w:r>
        <w:t>.</w:t>
      </w:r>
    </w:p>
    <w:p w14:paraId="156656C6" w14:textId="3CB10829" w:rsidR="00CD57DB" w:rsidRPr="002727BF" w:rsidRDefault="00CD57DB" w:rsidP="00CD57DB">
      <w:pPr>
        <w:pStyle w:val="Sub-Para1underXY"/>
        <w:ind w:left="1077" w:hanging="357"/>
        <w:jc w:val="both"/>
        <w:rPr>
          <w:b/>
        </w:rPr>
      </w:pPr>
      <w:r>
        <w:rPr>
          <w:b/>
        </w:rPr>
        <w:t>Promising p</w:t>
      </w:r>
      <w:r w:rsidRPr="002727BF">
        <w:rPr>
          <w:b/>
        </w:rPr>
        <w:t>rojects that integrate gender activities into wider business development activities</w:t>
      </w:r>
      <w:r>
        <w:rPr>
          <w:b/>
        </w:rPr>
        <w:t xml:space="preserve"> sh</w:t>
      </w:r>
      <w:r w:rsidRPr="002727BF">
        <w:rPr>
          <w:b/>
        </w:rPr>
        <w:t>ould be</w:t>
      </w:r>
      <w:r>
        <w:rPr>
          <w:b/>
        </w:rPr>
        <w:t xml:space="preserve"> identified and</w:t>
      </w:r>
      <w:r w:rsidRPr="002727BF">
        <w:rPr>
          <w:b/>
        </w:rPr>
        <w:t xml:space="preserve"> </w:t>
      </w:r>
      <w:r>
        <w:rPr>
          <w:b/>
        </w:rPr>
        <w:t>extended</w:t>
      </w:r>
      <w:r w:rsidRPr="002727BF">
        <w:rPr>
          <w:b/>
        </w:rPr>
        <w:t>.</w:t>
      </w:r>
      <w:r>
        <w:rPr>
          <w:b/>
        </w:rPr>
        <w:t xml:space="preserve"> </w:t>
      </w:r>
      <w:r>
        <w:t xml:space="preserve">Lessons learnt from an IFC project </w:t>
      </w:r>
      <w:r>
        <w:fldChar w:fldCharType="begin"/>
      </w:r>
      <w:r>
        <w:instrText xml:space="preserve"> ADDIN EN.CITE &lt;EndNote&gt;&lt;Cite&gt;&lt;Author&gt;IFC&lt;/Author&gt;&lt;Year&gt;2009&lt;/Year&gt;&lt;RecNum&gt;49&lt;/RecNum&gt;&lt;DisplayText&gt;(IFC, 2009b)&lt;/DisplayText&gt;&lt;record&gt;&lt;rec-number&gt;49&lt;/rec-number&gt;&lt;foreign-keys&gt;&lt;key app="EN" db-id="wes5dreptvrsr2eeartvxexxftt2tastxrfs"&gt;49&lt;/key&gt;&lt;/foreign-keys&gt;&lt;ref-type name="Journal Article"&gt;17&lt;/ref-type&gt;&lt;contributors&gt;&lt;authors&gt;&lt;author&gt;IFC&lt;/author&gt;&lt;/authors&gt;&lt;/contributors&gt;&lt;titles&gt;&lt;title&gt;Running a Business in Tajikistan&lt;/title&gt;&lt;secondary-title&gt;Enterprise Surveys Country Note Series&lt;/secondary-title&gt;&lt;/titles&gt;&lt;periodical&gt;&lt;full-title&gt;Enterprise Surveys Country Note Series&lt;/full-title&gt;&lt;/periodical&gt;&lt;volume&gt;No. 4&lt;/volume&gt;&lt;dates&gt;&lt;year&gt;2009&lt;/year&gt;&lt;/dates&gt;&lt;urls&gt;&lt;/urls&gt;&lt;/record&gt;&lt;/Cite&gt;&lt;/EndNote&gt;</w:instrText>
      </w:r>
      <w:r>
        <w:fldChar w:fldCharType="separate"/>
      </w:r>
      <w:r>
        <w:rPr>
          <w:noProof/>
        </w:rPr>
        <w:t>(</w:t>
      </w:r>
      <w:hyperlink w:anchor="_ENREF_24" w:tooltip="IFC, 2009 #49" w:history="1">
        <w:r w:rsidR="006A1532">
          <w:rPr>
            <w:noProof/>
          </w:rPr>
          <w:t>IFC, 2009b</w:t>
        </w:r>
      </w:hyperlink>
      <w:r>
        <w:rPr>
          <w:noProof/>
        </w:rPr>
        <w:t>)</w:t>
      </w:r>
      <w:r>
        <w:fldChar w:fldCharType="end"/>
      </w:r>
      <w:r>
        <w:t xml:space="preserve"> have shown that relatively simple measures that improved the working conditions of female workers at cotton farms also raised the farms’ productivity. The government may wish to further study similar experience and use these results to promote better working conditions for female workers, particularly in the cotton sector. </w:t>
      </w:r>
    </w:p>
    <w:p w14:paraId="121BB0BD" w14:textId="2DA321A5" w:rsidR="00CD57DB" w:rsidRPr="002727BF" w:rsidRDefault="00CD57DB" w:rsidP="00CD57DB">
      <w:pPr>
        <w:pStyle w:val="Sub-Para1underXY"/>
        <w:ind w:left="1077" w:hanging="357"/>
        <w:jc w:val="both"/>
        <w:rPr>
          <w:b/>
        </w:rPr>
      </w:pPr>
      <w:r w:rsidRPr="00E1550F">
        <w:rPr>
          <w:b/>
        </w:rPr>
        <w:t>The government may wish to identify which micro</w:t>
      </w:r>
      <w:r w:rsidR="001C0B76" w:rsidRPr="00E1550F">
        <w:rPr>
          <w:b/>
        </w:rPr>
        <w:t>-</w:t>
      </w:r>
      <w:r w:rsidRPr="00E1550F">
        <w:rPr>
          <w:b/>
        </w:rPr>
        <w:t>finance products and related activities are particular</w:t>
      </w:r>
      <w:r w:rsidR="00A25223">
        <w:rPr>
          <w:b/>
        </w:rPr>
        <w:t>ly</w:t>
      </w:r>
      <w:r w:rsidRPr="00E1550F">
        <w:rPr>
          <w:b/>
        </w:rPr>
        <w:t xml:space="preserve"> useful in reaching (rural) women</w:t>
      </w:r>
      <w:r>
        <w:t xml:space="preserve"> (e.g.</w:t>
      </w:r>
      <w:r w:rsidR="00A25223">
        <w:t>,</w:t>
      </w:r>
      <w:r>
        <w:t xml:space="preserve"> joint liability schemes, female intermediaries and mentoring sessions, sensitization campaigns, trainings in business development and financial literacy, publicly awarding successful female entrepreneurs</w:t>
      </w:r>
      <w:r w:rsidR="0005622D">
        <w:t>, more female staff</w:t>
      </w:r>
      <w:r>
        <w:t xml:space="preserve">). </w:t>
      </w:r>
    </w:p>
    <w:p w14:paraId="4B580F16" w14:textId="0C74432A" w:rsidR="00CD57DB" w:rsidRDefault="00CD57DB" w:rsidP="00CD57DB">
      <w:pPr>
        <w:pStyle w:val="Sub-Para1underXY"/>
        <w:ind w:left="1077" w:hanging="357"/>
        <w:jc w:val="both"/>
      </w:pPr>
      <w:r w:rsidRPr="005071EC">
        <w:rPr>
          <w:b/>
        </w:rPr>
        <w:t>Mechanisms that protect</w:t>
      </w:r>
      <w:r>
        <w:rPr>
          <w:b/>
        </w:rPr>
        <w:t xml:space="preserve"> abandoned </w:t>
      </w:r>
      <w:r w:rsidRPr="005071EC">
        <w:rPr>
          <w:b/>
        </w:rPr>
        <w:t xml:space="preserve">migrants’ wives and their families </w:t>
      </w:r>
      <w:r>
        <w:rPr>
          <w:b/>
        </w:rPr>
        <w:t>need to be strengthened</w:t>
      </w:r>
      <w:r>
        <w:t>. Next to providing soc</w:t>
      </w:r>
      <w:r w:rsidR="001C0B76">
        <w:t>ial assistance</w:t>
      </w:r>
      <w:r>
        <w:t>, attention should be paid to the issue of alimonies and obstacles tha</w:t>
      </w:r>
      <w:r w:rsidR="001C0B76">
        <w:t xml:space="preserve">t hinder enforcement of </w:t>
      </w:r>
      <w:r>
        <w:t>payments. This could include (1) assuring that all marriages are legally registered, (2) assuring that migrants emigrate legally and can be tracked down, and (3) pr</w:t>
      </w:r>
      <w:r w:rsidR="001C0B76">
        <w:t>oviding legal advice</w:t>
      </w:r>
      <w:r>
        <w:t xml:space="preserve"> to abandoned women.</w:t>
      </w:r>
    </w:p>
    <w:p w14:paraId="4684C9EC" w14:textId="2FE9EE65" w:rsidR="00A25223" w:rsidRDefault="00A25223" w:rsidP="00CD57DB">
      <w:pPr>
        <w:pStyle w:val="Sub-Para1underXY"/>
        <w:ind w:left="1077" w:hanging="357"/>
        <w:jc w:val="both"/>
      </w:pPr>
      <w:r w:rsidRPr="0080027D">
        <w:rPr>
          <w:b/>
        </w:rPr>
        <w:t>Next to legislation, there are a variety of other means through which gender discrimination can be addressed.</w:t>
      </w:r>
      <w:r>
        <w:t xml:space="preserve"> Particularly, mass media can contribute to changing gender stereotypes</w:t>
      </w:r>
      <w:r w:rsidR="00183A2D">
        <w:t xml:space="preserve"> by reporting on success stories </w:t>
      </w:r>
      <w:r w:rsidR="00E540BA">
        <w:t xml:space="preserve">in non-traditional areas </w:t>
      </w:r>
      <w:r w:rsidR="00183A2D">
        <w:t>that involve women and girls</w:t>
      </w:r>
      <w:r>
        <w:t>. Further means include gender studies in secondary and higher education, trainings for journalists and public servants in order to raise gender awareness in their professional lives, the encouragement of knowledge exchange among women, and the promotion of gender diversity in the civil service.</w:t>
      </w:r>
    </w:p>
    <w:p w14:paraId="39061611" w14:textId="77777777" w:rsidR="001C0B76" w:rsidRDefault="001C0B76">
      <w:pPr>
        <w:rPr>
          <w:rFonts w:cs="Arial"/>
          <w:b/>
          <w:bCs/>
          <w:caps/>
          <w:kern w:val="32"/>
          <w:sz w:val="32"/>
          <w:szCs w:val="32"/>
        </w:rPr>
      </w:pPr>
      <w:bookmarkStart w:id="10" w:name="_Toc226957241"/>
      <w:r>
        <w:br w:type="page"/>
      </w:r>
    </w:p>
    <w:p w14:paraId="06CA8BAC" w14:textId="2D733D5E" w:rsidR="009408A5" w:rsidRDefault="009408A5" w:rsidP="000902B4">
      <w:pPr>
        <w:pStyle w:val="Heading1"/>
      </w:pPr>
      <w:r>
        <w:lastRenderedPageBreak/>
        <w:t>Introduction</w:t>
      </w:r>
      <w:bookmarkEnd w:id="10"/>
    </w:p>
    <w:p w14:paraId="235D0ADF" w14:textId="0037D1E9" w:rsidR="006562AF" w:rsidRDefault="006562AF" w:rsidP="00B2298F">
      <w:pPr>
        <w:pStyle w:val="MainParawithChapter"/>
        <w:ind w:left="0" w:firstLine="0"/>
        <w:jc w:val="both"/>
        <w:outlineLvl w:val="9"/>
      </w:pPr>
      <w:r w:rsidRPr="00933C1C">
        <w:rPr>
          <w:b/>
        </w:rPr>
        <w:t xml:space="preserve">Gender equality </w:t>
      </w:r>
      <w:r w:rsidR="00787B23">
        <w:rPr>
          <w:b/>
        </w:rPr>
        <w:t>is</w:t>
      </w:r>
      <w:r w:rsidRPr="00933C1C">
        <w:rPr>
          <w:b/>
        </w:rPr>
        <w:t xml:space="preserve"> a core development objective – both as a right in itself, and </w:t>
      </w:r>
      <w:r w:rsidR="00933C1C" w:rsidRPr="00933C1C">
        <w:rPr>
          <w:b/>
        </w:rPr>
        <w:t>as an instrument for development.</w:t>
      </w:r>
      <w:r w:rsidR="00933C1C">
        <w:t xml:space="preserve"> This is the main message of the World Development Report 2012 </w:t>
      </w:r>
      <w:r w:rsidR="00E12159">
        <w:fldChar w:fldCharType="begin"/>
      </w:r>
      <w:r w:rsidR="005538C3">
        <w:instrText xml:space="preserve"> ADDIN EN.CITE &lt;EndNote&gt;&lt;Cite&gt;&lt;Author&gt;World Bank&lt;/Author&gt;&lt;Year&gt;2011&lt;/Year&gt;&lt;RecNum&gt;7&lt;/RecNum&gt;&lt;DisplayText&gt;(World Bank, 2011d)&lt;/DisplayText&gt;&lt;record&gt;&lt;rec-number&gt;7&lt;/rec-number&gt;&lt;foreign-keys&gt;&lt;key app="EN" db-id="wes5dreptvrsr2eeartvxexxftt2tastxrfs"&gt;7&lt;/key&gt;&lt;/foreign-keys&gt;&lt;ref-type name="Book"&gt;6&lt;/ref-type&gt;&lt;contributors&gt;&lt;authors&gt;&lt;author&gt;World Bank&lt;/author&gt;&lt;/authors&gt;&lt;/contributors&gt;&lt;titles&gt;&lt;title&gt;World Development Report 2012. Gender Equality and Development&lt;/title&gt;&lt;/titles&gt;&lt;dates&gt;&lt;year&gt;2011&lt;/year&gt;&lt;/dates&gt;&lt;pub-location&gt;Washington, DC&lt;/pub-location&gt;&lt;publisher&gt;World Bank&lt;/publisher&gt;&lt;urls&gt;&lt;/urls&gt;&lt;/record&gt;&lt;/Cite&gt;&lt;/EndNote&gt;</w:instrText>
      </w:r>
      <w:r w:rsidR="00E12159">
        <w:fldChar w:fldCharType="separate"/>
      </w:r>
      <w:r w:rsidR="005538C3">
        <w:rPr>
          <w:noProof/>
        </w:rPr>
        <w:t>(</w:t>
      </w:r>
      <w:hyperlink w:anchor="_ENREF_81" w:tooltip="World Bank, 2011 #7" w:history="1">
        <w:r w:rsidR="006A1532">
          <w:rPr>
            <w:noProof/>
          </w:rPr>
          <w:t>World Bank, 2011d</w:t>
        </w:r>
      </w:hyperlink>
      <w:r w:rsidR="005538C3">
        <w:rPr>
          <w:noProof/>
        </w:rPr>
        <w:t>)</w:t>
      </w:r>
      <w:r w:rsidR="00E12159">
        <w:fldChar w:fldCharType="end"/>
      </w:r>
      <w:r w:rsidR="0099608D">
        <w:t xml:space="preserve">. The intrinsic value of gender equality is </w:t>
      </w:r>
      <w:r w:rsidR="00F44F5A">
        <w:t xml:space="preserve">grounded in the notion that development is a process </w:t>
      </w:r>
      <w:r w:rsidR="0056230C">
        <w:t xml:space="preserve">of expanding freedoms equally for all people </w:t>
      </w:r>
      <w:r w:rsidR="00E12159">
        <w:fldChar w:fldCharType="begin"/>
      </w:r>
      <w:r w:rsidR="006A1532">
        <w:instrText xml:space="preserve"> ADDIN EN.CITE &lt;EndNote&gt;&lt;Cite&gt;&lt;Author&gt;Sen&lt;/Author&gt;&lt;Year&gt;1999&lt;/Year&gt;&lt;RecNum&gt;74&lt;/RecNum&gt;&lt;DisplayText&gt;(Sen, 1999)&lt;/DisplayText&gt;&lt;record&gt;&lt;rec-number&gt;74&lt;/rec-number&gt;&lt;foreign-keys&gt;&lt;key app="EN" db-id="rdez9wrf79az9aewdawxf0ekvs05w0dxfsz0"&gt;74&lt;/key&gt;&lt;/foreign-keys&gt;&lt;ref-type name="Book"&gt;6&lt;/ref-type&gt;&lt;contributors&gt;&lt;authors&gt;&lt;author&gt;Sen, Amartya&lt;/author&gt;&lt;/authors&gt;&lt;/contributors&gt;&lt;titles&gt;&lt;title&gt;Development as Freedom&lt;/title&gt;&lt;/titles&gt;&lt;dates&gt;&lt;year&gt;1999&lt;/year&gt;&lt;/dates&gt;&lt;pub-location&gt;New York&lt;/pub-location&gt;&lt;publisher&gt;Knopf&lt;/publisher&gt;&lt;urls&gt;&lt;/urls&gt;&lt;/record&gt;&lt;/Cite&gt;&lt;/EndNote&gt;</w:instrText>
      </w:r>
      <w:r w:rsidR="00E12159">
        <w:fldChar w:fldCharType="separate"/>
      </w:r>
      <w:r w:rsidR="00C667B9">
        <w:rPr>
          <w:noProof/>
        </w:rPr>
        <w:t>(</w:t>
      </w:r>
      <w:hyperlink w:anchor="_ENREF_46" w:tooltip="Sen, 1999 #74" w:history="1">
        <w:r w:rsidR="006A1532">
          <w:rPr>
            <w:noProof/>
          </w:rPr>
          <w:t>Sen, 1999</w:t>
        </w:r>
      </w:hyperlink>
      <w:r w:rsidR="00C667B9">
        <w:rPr>
          <w:noProof/>
        </w:rPr>
        <w:t>)</w:t>
      </w:r>
      <w:r w:rsidR="00E12159">
        <w:fldChar w:fldCharType="end"/>
      </w:r>
      <w:r w:rsidR="00791951">
        <w:t xml:space="preserve">. Its instrumental value emerges from its potential to enhance productivity, to promote better development outcomes for the next generations, and to </w:t>
      </w:r>
      <w:r w:rsidR="00BF7C64">
        <w:t>achieve</w:t>
      </w:r>
      <w:r w:rsidR="00791951">
        <w:t xml:space="preserve"> more representative decision-making</w:t>
      </w:r>
      <w:r w:rsidR="00BF7C64">
        <w:t xml:space="preserve">. Both objectives </w:t>
      </w:r>
      <w:r w:rsidR="00D70E14">
        <w:t>obligate</w:t>
      </w:r>
      <w:r w:rsidR="00BF7C64">
        <w:t xml:space="preserve"> the reduction of existing gender disparities and the considerati</w:t>
      </w:r>
      <w:r w:rsidR="00AB1551">
        <w:t xml:space="preserve">on of gender equality in policy </w:t>
      </w:r>
      <w:r w:rsidR="00BF7C64">
        <w:t xml:space="preserve">making and programming </w:t>
      </w:r>
      <w:r w:rsidR="00E12159">
        <w:fldChar w:fldCharType="begin"/>
      </w:r>
      <w:r w:rsidR="005538C3">
        <w:instrText xml:space="preserve"> ADDIN EN.CITE &lt;EndNote&gt;&lt;Cite&gt;&lt;Author&gt;World Bank&lt;/Author&gt;&lt;Year&gt;2011&lt;/Year&gt;&lt;RecNum&gt;7&lt;/RecNum&gt;&lt;DisplayText&gt;(World Bank, 2011d)&lt;/DisplayText&gt;&lt;record&gt;&lt;rec-number&gt;7&lt;/rec-number&gt;&lt;foreign-keys&gt;&lt;key app="EN" db-id="wes5dreptvrsr2eeartvxexxftt2tastxrfs"&gt;7&lt;/key&gt;&lt;/foreign-keys&gt;&lt;ref-type name="Book"&gt;6&lt;/ref-type&gt;&lt;contributors&gt;&lt;authors&gt;&lt;author&gt;World Bank&lt;/author&gt;&lt;/authors&gt;&lt;/contributors&gt;&lt;titles&gt;&lt;title&gt;World Development Report 2012. Gender Equality and Development&lt;/title&gt;&lt;/titles&gt;&lt;dates&gt;&lt;year&gt;2011&lt;/year&gt;&lt;/dates&gt;&lt;pub-location&gt;Washington, DC&lt;/pub-location&gt;&lt;publisher&gt;World Bank&lt;/publisher&gt;&lt;urls&gt;&lt;/urls&gt;&lt;/record&gt;&lt;/Cite&gt;&lt;/EndNote&gt;</w:instrText>
      </w:r>
      <w:r w:rsidR="00E12159">
        <w:fldChar w:fldCharType="separate"/>
      </w:r>
      <w:r w:rsidR="005538C3">
        <w:rPr>
          <w:noProof/>
        </w:rPr>
        <w:t>(</w:t>
      </w:r>
      <w:hyperlink w:anchor="_ENREF_81" w:tooltip="World Bank, 2011 #7" w:history="1">
        <w:r w:rsidR="006A1532">
          <w:rPr>
            <w:noProof/>
          </w:rPr>
          <w:t>World Bank, 2011d</w:t>
        </w:r>
      </w:hyperlink>
      <w:r w:rsidR="005538C3">
        <w:rPr>
          <w:noProof/>
        </w:rPr>
        <w:t>)</w:t>
      </w:r>
      <w:r w:rsidR="00E12159">
        <w:fldChar w:fldCharType="end"/>
      </w:r>
      <w:r w:rsidR="00BF7C64">
        <w:t>.</w:t>
      </w:r>
      <w:r w:rsidR="00D70E14">
        <w:t xml:space="preserve"> </w:t>
      </w:r>
    </w:p>
    <w:p w14:paraId="4376C821" w14:textId="3B8A32D1" w:rsidR="00D93AAA" w:rsidRDefault="00767334" w:rsidP="00B2298F">
      <w:pPr>
        <w:pStyle w:val="MainParawithChapter"/>
        <w:ind w:left="0" w:firstLine="0"/>
        <w:jc w:val="both"/>
        <w:outlineLvl w:val="9"/>
      </w:pPr>
      <w:r w:rsidRPr="00422126">
        <w:rPr>
          <w:b/>
        </w:rPr>
        <w:t xml:space="preserve">The </w:t>
      </w:r>
      <w:r w:rsidR="00AB1551">
        <w:rPr>
          <w:b/>
        </w:rPr>
        <w:t xml:space="preserve">traditional lead of the </w:t>
      </w:r>
      <w:r w:rsidR="00AA7D96">
        <w:rPr>
          <w:b/>
        </w:rPr>
        <w:t>European and Central Asia</w:t>
      </w:r>
      <w:r w:rsidR="005D01A5">
        <w:rPr>
          <w:b/>
        </w:rPr>
        <w:t xml:space="preserve"> (ECA)</w:t>
      </w:r>
      <w:r w:rsidRPr="00422126">
        <w:rPr>
          <w:b/>
        </w:rPr>
        <w:t xml:space="preserve"> </w:t>
      </w:r>
      <w:r w:rsidR="00AB1551">
        <w:rPr>
          <w:b/>
        </w:rPr>
        <w:t xml:space="preserve">region </w:t>
      </w:r>
      <w:r w:rsidRPr="00422126">
        <w:rPr>
          <w:b/>
        </w:rPr>
        <w:t>over other regions in the world in terms of gen</w:t>
      </w:r>
      <w:r w:rsidR="00AB1551">
        <w:rPr>
          <w:b/>
        </w:rPr>
        <w:t>der equality</w:t>
      </w:r>
      <w:r w:rsidR="007E002A">
        <w:rPr>
          <w:b/>
        </w:rPr>
        <w:t xml:space="preserve"> has been eroding</w:t>
      </w:r>
      <w:r w:rsidRPr="00422126">
        <w:rPr>
          <w:b/>
        </w:rPr>
        <w:t xml:space="preserve">. </w:t>
      </w:r>
      <w:r w:rsidR="00D93AAA" w:rsidRPr="00D93AAA">
        <w:t xml:space="preserve">The </w:t>
      </w:r>
      <w:r w:rsidR="00862AD3">
        <w:t>World Bank r</w:t>
      </w:r>
      <w:r w:rsidR="00D93AAA">
        <w:t xml:space="preserve">eport “Opportunities for Men and Women in Emerging Europe and Central Asia” </w:t>
      </w:r>
      <w:r w:rsidR="00E12159">
        <w:fldChar w:fldCharType="begin"/>
      </w:r>
      <w:r w:rsidR="00D93AAA">
        <w:instrText xml:space="preserve"> </w:instrText>
      </w:r>
      <w:r w:rsidR="009F7A22">
        <w:instrText>ADDIN</w:instrText>
      </w:r>
      <w:r w:rsidR="00D93AAA">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fldChar w:fldCharType="separate"/>
      </w:r>
      <w:r w:rsidR="00D93AAA">
        <w:rPr>
          <w:noProof/>
        </w:rPr>
        <w:t>(</w:t>
      </w:r>
      <w:hyperlink w:anchor="_ENREF_45" w:tooltip="Sattar, 2012 #3" w:history="1">
        <w:r w:rsidR="006A1532">
          <w:rPr>
            <w:noProof/>
          </w:rPr>
          <w:t>Sattar, 2012</w:t>
        </w:r>
      </w:hyperlink>
      <w:r w:rsidR="00D93AAA">
        <w:rPr>
          <w:noProof/>
        </w:rPr>
        <w:t>)</w:t>
      </w:r>
      <w:r w:rsidR="00E12159">
        <w:fldChar w:fldCharType="end"/>
      </w:r>
      <w:r w:rsidR="00D93AAA">
        <w:t xml:space="preserve"> </w:t>
      </w:r>
      <w:r w:rsidR="005D01A5">
        <w:t xml:space="preserve">analyses </w:t>
      </w:r>
      <w:r w:rsidR="00862AD3">
        <w:t>human capital endowments and e</w:t>
      </w:r>
      <w:r w:rsidR="005D01A5">
        <w:t xml:space="preserve">conomic opportunities in the ECA region through a gender lens. </w:t>
      </w:r>
      <w:r w:rsidR="009417D1">
        <w:t>While</w:t>
      </w:r>
      <w:r w:rsidR="00905E23">
        <w:t xml:space="preserve"> considerable</w:t>
      </w:r>
      <w:r w:rsidR="009417D1">
        <w:t xml:space="preserve"> </w:t>
      </w:r>
      <w:r w:rsidR="00905E23">
        <w:t xml:space="preserve">investments in both men and women during Soviet times yielded an impressive stock of human capital on which to build during the </w:t>
      </w:r>
      <w:r w:rsidR="00A33D3E">
        <w:t xml:space="preserve">region’s economic </w:t>
      </w:r>
      <w:r w:rsidR="00905E23">
        <w:t>trans</w:t>
      </w:r>
      <w:r w:rsidR="00A33D3E">
        <w:t>formation</w:t>
      </w:r>
      <w:r w:rsidR="007E002A">
        <w:t>, other parts of the world</w:t>
      </w:r>
      <w:r w:rsidR="00905E23">
        <w:t xml:space="preserve"> have been catching up </w:t>
      </w:r>
      <w:r w:rsidR="00044DC9">
        <w:t>in this regard. I</w:t>
      </w:r>
      <w:r w:rsidR="00E15BD6">
        <w:t xml:space="preserve">n the light of </w:t>
      </w:r>
      <w:r w:rsidR="00044DC9">
        <w:t xml:space="preserve">future </w:t>
      </w:r>
      <w:r w:rsidR="00E15BD6">
        <w:t>dramatic demog</w:t>
      </w:r>
      <w:r w:rsidR="00044DC9">
        <w:t>raphic changes, policy making in ECA</w:t>
      </w:r>
      <w:r w:rsidR="00E15BD6">
        <w:t xml:space="preserve"> countries needs to be concerned about how to take advantage of so far underexploited opportunities</w:t>
      </w:r>
      <w:r w:rsidR="00044DC9">
        <w:t>, for instance encouraging better-educated</w:t>
      </w:r>
      <w:r w:rsidR="00E15BD6">
        <w:t xml:space="preserve"> women to participate in the labor market.</w:t>
      </w:r>
    </w:p>
    <w:p w14:paraId="3EE87FE4" w14:textId="1B50CA93" w:rsidR="00285438" w:rsidRDefault="00285438" w:rsidP="00B2298F">
      <w:pPr>
        <w:pStyle w:val="MainParawithChapter"/>
        <w:ind w:left="0" w:firstLine="0"/>
        <w:jc w:val="both"/>
        <w:outlineLvl w:val="9"/>
      </w:pPr>
      <w:r>
        <w:rPr>
          <w:b/>
        </w:rPr>
        <w:t>In Tajikistan, the political and economic transitions after independence have not gone smoothly.</w:t>
      </w:r>
      <w:r w:rsidRPr="00285438">
        <w:t xml:space="preserve"> </w:t>
      </w:r>
      <w:r>
        <w:t xml:space="preserve">Tajikistan became independent from the Soviet Union in 1991. In the following years, it was ridden by a civil war and social unrest that lasted until 1997, </w:t>
      </w:r>
      <w:r w:rsidR="00422126">
        <w:t xml:space="preserve">finally </w:t>
      </w:r>
      <w:r>
        <w:t xml:space="preserve">leaving it with serious human losses and a </w:t>
      </w:r>
      <w:r w:rsidR="00044DC9">
        <w:t xml:space="preserve">devastated </w:t>
      </w:r>
      <w:r>
        <w:t>infrastructure</w:t>
      </w:r>
      <w:r w:rsidR="00E540BA">
        <w:t xml:space="preserve"> and education system</w:t>
      </w:r>
      <w:r>
        <w:t xml:space="preserve">. Politically, the country had to struggle to build up state legitimization. Economically, the transition from a command to a market economy was aggravated by the fact that Tajikistan had already been one of the poorest countries in the region before the fall of the Soviet Union. </w:t>
      </w:r>
      <w:r w:rsidR="00F718BE">
        <w:t xml:space="preserve">Economic recovery after 2000 was again hampered by the 2008/09 </w:t>
      </w:r>
      <w:r>
        <w:t>f</w:t>
      </w:r>
      <w:r w:rsidR="007E002A">
        <w:t>inancial and economic crisis, but regained momentum more recently.</w:t>
      </w:r>
    </w:p>
    <w:p w14:paraId="787F28DD" w14:textId="5FC4BCB2" w:rsidR="005555C6" w:rsidRDefault="00B20AFB" w:rsidP="00375A50">
      <w:pPr>
        <w:pStyle w:val="MainParawithChapter"/>
        <w:ind w:left="0" w:firstLine="0"/>
        <w:jc w:val="both"/>
        <w:outlineLvl w:val="9"/>
      </w:pPr>
      <w:r w:rsidRPr="008C4B12">
        <w:rPr>
          <w:b/>
        </w:rPr>
        <w:t>C</w:t>
      </w:r>
      <w:r w:rsidR="002A6DA4" w:rsidRPr="008C4B12">
        <w:rPr>
          <w:b/>
        </w:rPr>
        <w:t xml:space="preserve">oncerns have been raised </w:t>
      </w:r>
      <w:r w:rsidR="00011ECA" w:rsidRPr="008C4B12">
        <w:rPr>
          <w:b/>
        </w:rPr>
        <w:t xml:space="preserve">that </w:t>
      </w:r>
      <w:r w:rsidR="00D66FE8" w:rsidRPr="008C4B12">
        <w:rPr>
          <w:b/>
        </w:rPr>
        <w:t>the</w:t>
      </w:r>
      <w:r w:rsidR="00DE3144" w:rsidRPr="008C4B12">
        <w:rPr>
          <w:b/>
        </w:rPr>
        <w:t xml:space="preserve"> consequences of the transition process</w:t>
      </w:r>
      <w:r w:rsidR="00F718BE" w:rsidRPr="008C4B12">
        <w:rPr>
          <w:b/>
        </w:rPr>
        <w:t xml:space="preserve"> and accompanying societal changes</w:t>
      </w:r>
      <w:r w:rsidR="00767334" w:rsidRPr="008C4B12">
        <w:rPr>
          <w:b/>
        </w:rPr>
        <w:t xml:space="preserve"> </w:t>
      </w:r>
      <w:r w:rsidR="00DE3144" w:rsidRPr="008C4B12">
        <w:rPr>
          <w:b/>
        </w:rPr>
        <w:t>have</w:t>
      </w:r>
      <w:r w:rsidR="005555C6" w:rsidRPr="008C4B12">
        <w:rPr>
          <w:b/>
        </w:rPr>
        <w:t xml:space="preserve"> been unequally shared between men and women</w:t>
      </w:r>
      <w:r w:rsidR="00767334" w:rsidRPr="008C4B12">
        <w:rPr>
          <w:b/>
        </w:rPr>
        <w:t>.</w:t>
      </w:r>
      <w:r w:rsidR="006E186E">
        <w:t xml:space="preserve"> </w:t>
      </w:r>
      <w:r w:rsidR="009A3383">
        <w:t xml:space="preserve">Upon independence, many women became unemployed as economic liberalization disproportionately affected industries with large shares of female workers such as textiles, manufacturing, and agriculture. </w:t>
      </w:r>
      <w:r w:rsidR="008C4B12">
        <w:t>State support</w:t>
      </w:r>
      <w:r w:rsidR="002B57E6">
        <w:t xml:space="preserve"> for women in their pr</w:t>
      </w:r>
      <w:r w:rsidR="00011542">
        <w:t>oductive and reproductive roles</w:t>
      </w:r>
      <w:r w:rsidR="002B57E6">
        <w:t xml:space="preserve"> </w:t>
      </w:r>
      <w:r w:rsidR="00011542">
        <w:t>(</w:t>
      </w:r>
      <w:r w:rsidR="002B57E6">
        <w:t>that is, h</w:t>
      </w:r>
      <w:r w:rsidR="008C4B12">
        <w:t>ealth services, universal child allowances, and childcare</w:t>
      </w:r>
      <w:r w:rsidR="00011542">
        <w:t>)</w:t>
      </w:r>
      <w:r w:rsidR="002B57E6">
        <w:t xml:space="preserve"> eroded. The a</w:t>
      </w:r>
      <w:r w:rsidR="008C4B12">
        <w:t xml:space="preserve">bolishment of </w:t>
      </w:r>
      <w:r w:rsidR="00614CC1">
        <w:t xml:space="preserve">compulsory </w:t>
      </w:r>
      <w:r w:rsidR="00A33D3E">
        <w:t>quotas</w:t>
      </w:r>
      <w:r w:rsidR="00614CC1">
        <w:t xml:space="preserve"> for female representation in the parliament and government positions</w:t>
      </w:r>
      <w:r w:rsidR="002B57E6">
        <w:t xml:space="preserve"> </w:t>
      </w:r>
      <w:r w:rsidR="00A33D3E">
        <w:t xml:space="preserve">furthermore </w:t>
      </w:r>
      <w:r w:rsidR="008C4B12">
        <w:t xml:space="preserve">reduced women’s participation in political decision-making. </w:t>
      </w:r>
      <w:r w:rsidR="00F811F4">
        <w:t>Additionally, t</w:t>
      </w:r>
      <w:r w:rsidR="0009615B" w:rsidRPr="00375A50">
        <w:t>he strong resurgence of traditional gender stereotypes and previously banned practices</w:t>
      </w:r>
      <w:r w:rsidR="00767334" w:rsidRPr="00375A50">
        <w:t xml:space="preserve"> </w:t>
      </w:r>
      <w:r w:rsidR="00F811F4">
        <w:t>such as polygamous</w:t>
      </w:r>
      <w:r w:rsidR="00D66FE8">
        <w:t xml:space="preserve"> or early marriage have</w:t>
      </w:r>
      <w:r w:rsidR="00767334" w:rsidRPr="00375A50">
        <w:t xml:space="preserve"> </w:t>
      </w:r>
      <w:r w:rsidR="00F811F4">
        <w:t>emerged as factors that constrain</w:t>
      </w:r>
      <w:r w:rsidR="00767334" w:rsidRPr="00375A50">
        <w:t xml:space="preserve"> women’s opport</w:t>
      </w:r>
      <w:r w:rsidR="00011542">
        <w:t>unities</w:t>
      </w:r>
      <w:r w:rsidR="00011ECA">
        <w:t xml:space="preserve">, including </w:t>
      </w:r>
      <w:r w:rsidR="00011542">
        <w:t xml:space="preserve">in </w:t>
      </w:r>
      <w:r w:rsidR="00011ECA">
        <w:t>education and health, participation in the labor market,</w:t>
      </w:r>
      <w:r w:rsidR="00DE3144">
        <w:t xml:space="preserve"> and entrepreneurial activities </w:t>
      </w:r>
      <w:r w:rsidR="00E12159">
        <w:fldChar w:fldCharType="begin"/>
      </w:r>
      <w:r w:rsidR="00322C3A">
        <w:instrText xml:space="preserve"> ADDIN EN.CITE &lt;EndNote&gt;&lt;Cite&gt;&lt;Author&gt;Falkingham&lt;/Author&gt;&lt;Year&gt;2000&lt;/Year&gt;&lt;RecNum&gt;17&lt;/RecNum&gt;&lt;DisplayText&gt;(Falkingham, 2000; UN Human Rights Council, 2009)&lt;/DisplayText&gt;&lt;record&gt;&lt;rec-number&gt;17&lt;/rec-number&gt;&lt;foreign-keys&gt;&lt;key app="EN" db-id="wes5dreptvrsr2eeartvxexxftt2tastxrfs"&gt;17&lt;/key&gt;&lt;/foreign-keys&gt;&lt;ref-type name="Journal Article"&gt;17&lt;/ref-type&gt;&lt;contributors&gt;&lt;authors&gt;&lt;author&gt;Jane Falkingham&lt;/author&gt;&lt;/authors&gt;&lt;/contributors&gt;&lt;titles&gt;&lt;title&gt;Women and gender relations in Tajikistan&lt;/title&gt;&lt;secondary-title&gt;Country Briefing Paper&lt;/secondary-title&gt;&lt;/titles&gt;&lt;periodical&gt;&lt;full-title&gt;Country Briefing Paper&lt;/full-title&gt;&lt;/periodical&gt;&lt;dates&gt;&lt;year&gt;2000&lt;/year&gt;&lt;/dates&gt;&lt;urls&gt;&lt;/urls&gt;&lt;/record&gt;&lt;/Cite&gt;&lt;Cite&gt;&lt;Author&gt;UN Human Rights Council&lt;/Author&gt;&lt;Year&gt;2009&lt;/Year&gt;&lt;RecNum&gt;81&lt;/RecNum&gt;&lt;record&gt;&lt;rec-number&gt;81&lt;/rec-number&gt;&lt;foreign-keys&gt;&lt;key app="EN" db-id="wes5dreptvrsr2eeartvxexxftt2tastxrfs"&gt;81&lt;/key&gt;&lt;/foreign-keys&gt;&lt;ref-type name="Book"&gt;6&lt;/ref-type&gt;&lt;contributors&gt;&lt;authors&gt;&lt;author&gt;UN Human Rights Council&lt;/author&gt;&lt;/authors&gt;&lt;/contributors&gt;&lt;titles&gt;&lt;title&gt;Report of the Special Rapporteur on Violence against women, its Causes and Consequences, Yakin Ertürk: addendum: mission to Tajikistan&lt;/title&gt;&lt;/titles&gt;&lt;dates&gt;&lt;year&gt;2009&lt;/year&gt;&lt;pub-dates&gt;&lt;date&gt;A/HRC/11/6/Add.2&lt;/date&gt;&lt;/pub-dates&gt;&lt;/dates&gt;&lt;pub-location&gt;29 April 2009, A/HRC/11/6/Add.2, available at: http://www.unhcr.org/refworld/docid/4a0bda662.html&lt;/pub-location&gt;&lt;urls&gt;&lt;/urls&gt;&lt;electronic-resource-num&gt;available at: http://www.unhcr.org/refworld/docid/4a0bda662.html&lt;/electronic-resource-num&gt;&lt;/record&gt;&lt;/Cite&gt;&lt;/EndNote&gt;</w:instrText>
      </w:r>
      <w:r w:rsidR="00E12159">
        <w:fldChar w:fldCharType="separate"/>
      </w:r>
      <w:r w:rsidR="002B57E6">
        <w:rPr>
          <w:noProof/>
        </w:rPr>
        <w:t>(</w:t>
      </w:r>
      <w:hyperlink w:anchor="_ENREF_17" w:tooltip="Falkingham, 2000 #17" w:history="1">
        <w:r w:rsidR="006A1532">
          <w:rPr>
            <w:noProof/>
          </w:rPr>
          <w:t>Falkingham, 2000</w:t>
        </w:r>
      </w:hyperlink>
      <w:r w:rsidR="002B57E6">
        <w:rPr>
          <w:noProof/>
        </w:rPr>
        <w:t xml:space="preserve">; </w:t>
      </w:r>
      <w:hyperlink w:anchor="_ENREF_54" w:tooltip="UN Human Rights Council, 2009 #81" w:history="1">
        <w:r w:rsidR="006A1532">
          <w:rPr>
            <w:noProof/>
          </w:rPr>
          <w:t>UN Human Rights Council, 2009</w:t>
        </w:r>
      </w:hyperlink>
      <w:r w:rsidR="002B57E6">
        <w:rPr>
          <w:noProof/>
        </w:rPr>
        <w:t>)</w:t>
      </w:r>
      <w:r w:rsidR="00E12159">
        <w:fldChar w:fldCharType="end"/>
      </w:r>
      <w:r w:rsidR="002B57E6">
        <w:t>.</w:t>
      </w:r>
    </w:p>
    <w:p w14:paraId="3FC4364F" w14:textId="793C40FF" w:rsidR="00887D70" w:rsidRDefault="00DC30E1" w:rsidP="00375A50">
      <w:pPr>
        <w:pStyle w:val="MainParawithChapter"/>
        <w:ind w:left="0" w:firstLine="0"/>
        <w:jc w:val="both"/>
        <w:outlineLvl w:val="9"/>
      </w:pPr>
      <w:r>
        <w:rPr>
          <w:b/>
        </w:rPr>
        <w:lastRenderedPageBreak/>
        <w:t>B</w:t>
      </w:r>
      <w:r w:rsidR="00D63D29">
        <w:rPr>
          <w:b/>
        </w:rPr>
        <w:t>o</w:t>
      </w:r>
      <w:r w:rsidR="00887D70" w:rsidRPr="00D63D29">
        <w:rPr>
          <w:b/>
        </w:rPr>
        <w:t xml:space="preserve">th the </w:t>
      </w:r>
      <w:r w:rsidR="00D63D29">
        <w:rPr>
          <w:b/>
        </w:rPr>
        <w:t xml:space="preserve">recent </w:t>
      </w:r>
      <w:r w:rsidR="00887D70" w:rsidRPr="00D63D29">
        <w:rPr>
          <w:b/>
        </w:rPr>
        <w:t>Soviet legacy and traditional Tajik v</w:t>
      </w:r>
      <w:r w:rsidR="00D63D29" w:rsidRPr="00D63D29">
        <w:rPr>
          <w:b/>
        </w:rPr>
        <w:t xml:space="preserve">alues influence </w:t>
      </w:r>
      <w:r>
        <w:rPr>
          <w:b/>
        </w:rPr>
        <w:t>women’s present status</w:t>
      </w:r>
      <w:r w:rsidR="00D63D29" w:rsidRPr="00D63D29">
        <w:rPr>
          <w:b/>
        </w:rPr>
        <w:t xml:space="preserve">. </w:t>
      </w:r>
      <w:r w:rsidR="00D63D29">
        <w:t xml:space="preserve">In the pre-Soviet era, women were usually excluded from public life and </w:t>
      </w:r>
      <w:r w:rsidR="00A25438">
        <w:t>mostly illiterate.</w:t>
      </w:r>
      <w:r w:rsidR="00D63D29">
        <w:t xml:space="preserve"> </w:t>
      </w:r>
      <w:r w:rsidR="001B37EB">
        <w:t>Religious</w:t>
      </w:r>
      <w:r w:rsidR="00006575">
        <w:t xml:space="preserve"> practices mixed with traditional customs</w:t>
      </w:r>
      <w:r w:rsidR="002919EA">
        <w:t xml:space="preserve"> </w:t>
      </w:r>
      <w:r w:rsidR="00964508">
        <w:t>influenced</w:t>
      </w:r>
      <w:r w:rsidR="002919EA">
        <w:t xml:space="preserve"> the society</w:t>
      </w:r>
      <w:r w:rsidR="00006575">
        <w:t xml:space="preserve">. Marriages were usually arranged and the age difference between the young bride and her husband </w:t>
      </w:r>
      <w:r w:rsidR="002919EA">
        <w:t xml:space="preserve">was </w:t>
      </w:r>
      <w:r w:rsidR="00006575">
        <w:t>often considerable. Upon marriage, a woman</w:t>
      </w:r>
      <w:r w:rsidR="00B02E63">
        <w:t xml:space="preserve"> belonged to her</w:t>
      </w:r>
      <w:r w:rsidR="00006575">
        <w:t xml:space="preserve"> husband’s family, where her status was initially low and </w:t>
      </w:r>
      <w:r w:rsidR="00AE6EFA">
        <w:t>grew</w:t>
      </w:r>
      <w:r w:rsidR="00006575">
        <w:t xml:space="preserve"> through childbearing</w:t>
      </w:r>
      <w:r w:rsidR="00905623">
        <w:t>. The Soviet era brought about important changes. The process of secularization banned polygamous relationships and early marriages by law, encouraged women to discard their</w:t>
      </w:r>
      <w:r w:rsidR="00B02E63">
        <w:t xml:space="preserve"> veil, </w:t>
      </w:r>
      <w:r w:rsidR="00905623">
        <w:t>promoted education for men and women alike</w:t>
      </w:r>
      <w:r w:rsidR="00B02E63">
        <w:t xml:space="preserve">, and ensured women’s participation in the political life by quota systems. </w:t>
      </w:r>
      <w:r w:rsidR="009832BD">
        <w:t>While women’s participation in public life changed dramatically, traditional gender roles persisted in the private sphere, and the strong focus on women</w:t>
      </w:r>
      <w:r w:rsidR="00A25438">
        <w:t>’s reproductive role</w:t>
      </w:r>
      <w:r w:rsidR="009832BD">
        <w:t xml:space="preserve"> was even reinforced</w:t>
      </w:r>
      <w:r>
        <w:t xml:space="preserve">. </w:t>
      </w:r>
      <w:r w:rsidR="0004783A">
        <w:t xml:space="preserve"> </w:t>
      </w:r>
      <w:r w:rsidR="0004783A">
        <w:fldChar w:fldCharType="begin"/>
      </w:r>
      <w:r w:rsidR="00252F97">
        <w:instrText xml:space="preserve"> ADDIN EN.CITE &lt;EndNote&gt;&lt;Cite&gt;&lt;Author&gt;Falkingham&lt;/Author&gt;&lt;Year&gt;2000&lt;/Year&gt;&lt;RecNum&gt;17&lt;/RecNum&gt;&lt;DisplayText&gt;(Akiner, 1997; Falkingham, 2000)&lt;/DisplayText&gt;&lt;record&gt;&lt;rec-number&gt;17&lt;/rec-number&gt;&lt;foreign-keys&gt;&lt;key app="EN" db-id="wes5dreptvrsr2eeartvxexxftt2tastxrfs"&gt;17&lt;/key&gt;&lt;/foreign-keys&gt;&lt;ref-type name="Journal Article"&gt;17&lt;/ref-type&gt;&lt;contributors&gt;&lt;authors&gt;&lt;author&gt;Jane Falkingham&lt;/author&gt;&lt;/authors&gt;&lt;/contributors&gt;&lt;titles&gt;&lt;title&gt;Women and gender relations in Tajikistan&lt;/title&gt;&lt;secondary-title&gt;Country Briefing Paper&lt;/secondary-title&gt;&lt;/titles&gt;&lt;periodical&gt;&lt;full-title&gt;Country Briefing Paper&lt;/full-title&gt;&lt;/periodical&gt;&lt;dates&gt;&lt;year&gt;2000&lt;/year&gt;&lt;/dates&gt;&lt;urls&gt;&lt;/urls&gt;&lt;/record&gt;&lt;/Cite&gt;&lt;Cite&gt;&lt;Author&gt;Akiner&lt;/Author&gt;&lt;Year&gt;1997&lt;/Year&gt;&lt;RecNum&gt;85&lt;/RecNum&gt;&lt;record&gt;&lt;rec-number&gt;85&lt;/rec-number&gt;&lt;foreign-keys&gt;&lt;key app="EN" db-id="wes5dreptvrsr2eeartvxexxftt2tastxrfs"&gt;85&lt;/key&gt;&lt;/foreign-keys&gt;&lt;ref-type name="Book Section"&gt;5&lt;/ref-type&gt;&lt;contributors&gt;&lt;authors&gt;&lt;author&gt;Shirin Akiner&lt;/author&gt;&lt;/authors&gt;&lt;secondary-authors&gt;&lt;author&gt;Mary Buckley&lt;/author&gt;&lt;/secondary-authors&gt;&lt;/contributors&gt;&lt;titles&gt;&lt;title&gt;Between Tradition and Modernity: The Dilemma Facing Contemporary Central Asian Women&lt;/title&gt;&lt;secondary-title&gt;Post-Soviet Women: From the Baltic to Central Asia&lt;/secondary-title&gt;&lt;/titles&gt;&lt;pages&gt;261-304&lt;/pages&gt;&lt;dates&gt;&lt;year&gt;1997&lt;/year&gt;&lt;/dates&gt;&lt;pub-location&gt;Cambridge&lt;/pub-location&gt;&lt;publisher&gt;Cambridge University Press&lt;/publisher&gt;&lt;urls&gt;&lt;/urls&gt;&lt;/record&gt;&lt;/Cite&gt;&lt;/EndNote&gt;</w:instrText>
      </w:r>
      <w:r w:rsidR="0004783A">
        <w:fldChar w:fldCharType="separate"/>
      </w:r>
      <w:r w:rsidR="00252F97">
        <w:rPr>
          <w:noProof/>
        </w:rPr>
        <w:t>(</w:t>
      </w:r>
      <w:hyperlink w:anchor="_ENREF_3" w:tooltip="Akiner, 1997 #85" w:history="1">
        <w:r w:rsidR="006A1532">
          <w:rPr>
            <w:noProof/>
          </w:rPr>
          <w:t>Akiner, 1997</w:t>
        </w:r>
      </w:hyperlink>
      <w:r w:rsidR="00252F97">
        <w:rPr>
          <w:noProof/>
        </w:rPr>
        <w:t xml:space="preserve">; </w:t>
      </w:r>
      <w:hyperlink w:anchor="_ENREF_17" w:tooltip="Falkingham, 2000 #17" w:history="1">
        <w:r w:rsidR="006A1532">
          <w:rPr>
            <w:noProof/>
          </w:rPr>
          <w:t>Falkingham, 2000</w:t>
        </w:r>
      </w:hyperlink>
      <w:r w:rsidR="00252F97">
        <w:rPr>
          <w:noProof/>
        </w:rPr>
        <w:t>)</w:t>
      </w:r>
      <w:r w:rsidR="0004783A">
        <w:fldChar w:fldCharType="end"/>
      </w:r>
      <w:r w:rsidR="009832BD">
        <w:t xml:space="preserve">. </w:t>
      </w:r>
      <w:r w:rsidR="00252F97">
        <w:t>Women’s changing status after transition and the current state of gender equality need to be understood against this background.</w:t>
      </w:r>
    </w:p>
    <w:p w14:paraId="414F9AB9" w14:textId="5D536F9B" w:rsidR="00FE7103" w:rsidRDefault="002B57E6" w:rsidP="00B2298F">
      <w:pPr>
        <w:pStyle w:val="MainParawithChapter"/>
        <w:ind w:left="0" w:firstLine="0"/>
        <w:jc w:val="both"/>
        <w:outlineLvl w:val="9"/>
      </w:pPr>
      <w:r>
        <w:rPr>
          <w:b/>
        </w:rPr>
        <w:t>This report</w:t>
      </w:r>
      <w:r w:rsidR="00F718BE">
        <w:rPr>
          <w:b/>
        </w:rPr>
        <w:t xml:space="preserve"> </w:t>
      </w:r>
      <w:r w:rsidR="00B20AFB">
        <w:rPr>
          <w:b/>
        </w:rPr>
        <w:t xml:space="preserve">aims to </w:t>
      </w:r>
      <w:r w:rsidR="00967A80">
        <w:rPr>
          <w:b/>
        </w:rPr>
        <w:t>provide a broad overview of the current state of</w:t>
      </w:r>
      <w:r w:rsidR="00375A50">
        <w:rPr>
          <w:b/>
        </w:rPr>
        <w:t xml:space="preserve"> gender equality in Tajikistan. </w:t>
      </w:r>
      <w:r w:rsidR="00DE3144">
        <w:t>For this purpose, it</w:t>
      </w:r>
      <w:r w:rsidR="00201D9E">
        <w:t xml:space="preserve"> relies on a wide range of data sources that provide gender-disaggregated statistics. The Life in Transition Survey</w:t>
      </w:r>
      <w:r w:rsidR="004C2C56">
        <w:t>s</w:t>
      </w:r>
      <w:r w:rsidR="00A33D3E">
        <w:t xml:space="preserve"> (</w:t>
      </w:r>
      <w:proofErr w:type="spellStart"/>
      <w:r w:rsidR="00A33D3E">
        <w:t>LiTS</w:t>
      </w:r>
      <w:proofErr w:type="spellEnd"/>
      <w:r w:rsidR="00A33D3E">
        <w:t>)</w:t>
      </w:r>
      <w:r w:rsidR="004C2C56">
        <w:t xml:space="preserve"> I and II</w:t>
      </w:r>
      <w:r w:rsidR="00201D9E">
        <w:t xml:space="preserve"> (</w:t>
      </w:r>
      <w:r w:rsidR="004C2C56">
        <w:t xml:space="preserve">2006 and 2010) were </w:t>
      </w:r>
      <w:r w:rsidR="00201D9E">
        <w:t xml:space="preserve">used to measure life satisfaction among </w:t>
      </w:r>
      <w:r w:rsidR="00665AF5">
        <w:t xml:space="preserve">men and </w:t>
      </w:r>
      <w:r w:rsidR="00F718BE">
        <w:t xml:space="preserve">women. </w:t>
      </w:r>
      <w:r w:rsidR="001D0B8B">
        <w:t>E</w:t>
      </w:r>
      <w:r w:rsidR="00BF1BE2">
        <w:t xml:space="preserve">ducation, </w:t>
      </w:r>
      <w:r w:rsidR="004C2C56">
        <w:t xml:space="preserve">health </w:t>
      </w:r>
      <w:r w:rsidR="00BF1BE2">
        <w:t xml:space="preserve">and labor market </w:t>
      </w:r>
      <w:r w:rsidR="004C2C56">
        <w:t>indicators for Tajikistan and the ECA region are</w:t>
      </w:r>
      <w:r w:rsidR="001D0B8B">
        <w:t xml:space="preserve"> mainly</w:t>
      </w:r>
      <w:r w:rsidR="004C2C56">
        <w:t xml:space="preserve"> taken from the World Development Indicators</w:t>
      </w:r>
      <w:r w:rsidR="00AE6EFA">
        <w:t xml:space="preserve"> (WDI)</w:t>
      </w:r>
      <w:r w:rsidR="004C2C56">
        <w:t xml:space="preserve"> </w:t>
      </w:r>
      <w:r w:rsidR="00AE6EFA">
        <w:t xml:space="preserve">database </w:t>
      </w:r>
      <w:r w:rsidR="00BF1BE2">
        <w:t>and complemented with information provided in databases of the UN population section, UNESCO, and UNECE</w:t>
      </w:r>
      <w:r w:rsidR="004C2C56">
        <w:t xml:space="preserve">. </w:t>
      </w:r>
      <w:r w:rsidR="00BF1BE2">
        <w:t xml:space="preserve">The </w:t>
      </w:r>
      <w:proofErr w:type="spellStart"/>
      <w:r w:rsidR="00A33D3E">
        <w:t>LiTS</w:t>
      </w:r>
      <w:proofErr w:type="spellEnd"/>
      <w:r w:rsidR="00A33D3E">
        <w:t xml:space="preserve"> II, the </w:t>
      </w:r>
      <w:r w:rsidR="0093765C">
        <w:t xml:space="preserve">2008 </w:t>
      </w:r>
      <w:r w:rsidR="00BF1BE2">
        <w:t xml:space="preserve">Business and Enterprise Surveys </w:t>
      </w:r>
      <w:r w:rsidR="00366228">
        <w:t xml:space="preserve">(BEEPS) </w:t>
      </w:r>
      <w:r w:rsidR="00BF1BE2">
        <w:t xml:space="preserve">and the IFC SME Survey were predominantly used to analyze </w:t>
      </w:r>
      <w:r w:rsidR="006E3419">
        <w:t>entrepreneurial activities of men and women</w:t>
      </w:r>
      <w:r w:rsidR="003A34EA">
        <w:t xml:space="preserve"> in Tajikistan</w:t>
      </w:r>
      <w:r w:rsidR="00BF1BE2">
        <w:t>.</w:t>
      </w:r>
      <w:r w:rsidR="006E3419">
        <w:t xml:space="preserve"> </w:t>
      </w:r>
    </w:p>
    <w:p w14:paraId="43CD142D" w14:textId="159161E3" w:rsidR="00FC7961" w:rsidRDefault="00DE3144" w:rsidP="00B2298F">
      <w:pPr>
        <w:pStyle w:val="MainParawithChapter"/>
        <w:ind w:left="0" w:firstLine="0"/>
        <w:jc w:val="both"/>
        <w:outlineLvl w:val="9"/>
      </w:pPr>
      <w:r w:rsidRPr="00390C16">
        <w:rPr>
          <w:b/>
        </w:rPr>
        <w:t>Quantitative analyses are</w:t>
      </w:r>
      <w:r w:rsidR="006E3419" w:rsidRPr="00390C16">
        <w:rPr>
          <w:b/>
        </w:rPr>
        <w:t xml:space="preserve"> </w:t>
      </w:r>
      <w:r w:rsidR="00A33D3E" w:rsidRPr="00390C16">
        <w:rPr>
          <w:b/>
        </w:rPr>
        <w:t>supplemented</w:t>
      </w:r>
      <w:r w:rsidR="006E3419" w:rsidRPr="00390C16">
        <w:rPr>
          <w:b/>
        </w:rPr>
        <w:t xml:space="preserve"> by</w:t>
      </w:r>
      <w:r w:rsidRPr="00390C16">
        <w:rPr>
          <w:b/>
        </w:rPr>
        <w:t xml:space="preserve"> </w:t>
      </w:r>
      <w:r w:rsidR="00250155">
        <w:rPr>
          <w:b/>
        </w:rPr>
        <w:t>a desk review of</w:t>
      </w:r>
      <w:r w:rsidR="00BF1BE2" w:rsidRPr="00390C16">
        <w:rPr>
          <w:b/>
        </w:rPr>
        <w:t xml:space="preserve"> </w:t>
      </w:r>
      <w:r w:rsidRPr="00390C16">
        <w:rPr>
          <w:b/>
        </w:rPr>
        <w:t>qualitative stud</w:t>
      </w:r>
      <w:r w:rsidR="00CF628B">
        <w:rPr>
          <w:b/>
        </w:rPr>
        <w:t>y results</w:t>
      </w:r>
      <w:r w:rsidRPr="00390C16">
        <w:rPr>
          <w:b/>
        </w:rPr>
        <w:t xml:space="preserve"> in order t</w:t>
      </w:r>
      <w:r w:rsidR="00BF1BE2" w:rsidRPr="00390C16">
        <w:rPr>
          <w:b/>
        </w:rPr>
        <w:t xml:space="preserve">o explore explanations of </w:t>
      </w:r>
      <w:r w:rsidRPr="00390C16">
        <w:rPr>
          <w:b/>
        </w:rPr>
        <w:t>measured outcomes</w:t>
      </w:r>
      <w:r w:rsidR="006E3419" w:rsidRPr="00390C16">
        <w:rPr>
          <w:b/>
        </w:rPr>
        <w:t>.</w:t>
      </w:r>
      <w:r w:rsidR="00FE7103">
        <w:rPr>
          <w:b/>
        </w:rPr>
        <w:t xml:space="preserve"> </w:t>
      </w:r>
      <w:r w:rsidR="00250155" w:rsidRPr="00390C16">
        <w:t xml:space="preserve">Quantitative analysis is valuable as it </w:t>
      </w:r>
      <w:r w:rsidR="00390C16" w:rsidRPr="00390C16">
        <w:t>provides some idea of the degree of differences in outcomes</w:t>
      </w:r>
      <w:r w:rsidR="007573D5">
        <w:t xml:space="preserve"> and facilitates regional comparisons</w:t>
      </w:r>
      <w:r w:rsidR="00390C16">
        <w:t>,</w:t>
      </w:r>
      <w:r w:rsidR="00390C16" w:rsidRPr="00390C16">
        <w:t xml:space="preserve"> </w:t>
      </w:r>
      <w:r w:rsidR="00390C16">
        <w:t xml:space="preserve">but suffers from the drawback that it </w:t>
      </w:r>
      <w:r w:rsidR="00A535C2">
        <w:t>may fail</w:t>
      </w:r>
      <w:r w:rsidR="00390C16">
        <w:t xml:space="preserve"> to explain measured outcomes </w:t>
      </w:r>
      <w:r w:rsidR="00390C16" w:rsidRPr="00390C16">
        <w:fldChar w:fldCharType="begin"/>
      </w:r>
      <w:r w:rsidR="00390C16" w:rsidRPr="00390C16">
        <w:instrText xml:space="preserve"> ADDIN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390C16" w:rsidRPr="00390C16">
        <w:fldChar w:fldCharType="separate"/>
      </w:r>
      <w:r w:rsidR="00390C16" w:rsidRPr="00390C16">
        <w:rPr>
          <w:noProof/>
        </w:rPr>
        <w:t>(</w:t>
      </w:r>
      <w:hyperlink w:anchor="_ENREF_45" w:tooltip="Sattar, 2012 #3" w:history="1">
        <w:r w:rsidR="006A1532" w:rsidRPr="00390C16">
          <w:rPr>
            <w:noProof/>
          </w:rPr>
          <w:t>Sattar, 2012</w:t>
        </w:r>
      </w:hyperlink>
      <w:r w:rsidR="00390C16" w:rsidRPr="00390C16">
        <w:rPr>
          <w:noProof/>
        </w:rPr>
        <w:t>)</w:t>
      </w:r>
      <w:r w:rsidR="00390C16" w:rsidRPr="00390C16">
        <w:fldChar w:fldCharType="end"/>
      </w:r>
      <w:r w:rsidR="00390C16">
        <w:t>.</w:t>
      </w:r>
      <w:r w:rsidR="00733683">
        <w:t xml:space="preserve"> This issue is especially pertinent to the important topic of agency</w:t>
      </w:r>
      <w:r w:rsidR="007573D5">
        <w:t>, i.e. men’s and women’s ability to make effective choices</w:t>
      </w:r>
      <w:r w:rsidR="00733683">
        <w:t>.</w:t>
      </w:r>
      <w:r w:rsidR="00F05A4E">
        <w:t xml:space="preserve"> </w:t>
      </w:r>
      <w:r w:rsidR="00FC7961">
        <w:t xml:space="preserve">Qualitative tools used in reviewed studies include focus group discussions </w:t>
      </w:r>
      <w:r w:rsidR="00FC7961">
        <w:fldChar w:fldCharType="begin"/>
      </w:r>
      <w:r w:rsidR="00485988">
        <w:instrText xml:space="preserve"> ADDIN EN.CITE &lt;EndNote&gt;&lt;Cite&gt;&lt;Author&gt;UNICEF&lt;/Author&gt;&lt;Year&gt;2012&lt;/Year&gt;&lt;RecNum&gt;2&lt;/RecNum&gt;&lt;DisplayText&gt;(cf. Haarr, 2005; UNICEF, 2012b; World Bank, 2009a)&lt;/DisplayText&gt;&lt;record&gt;&lt;rec-number&gt;2&lt;/rec-number&gt;&lt;foreign-keys&gt;&lt;key app="EN" db-id="wes5dreptvrsr2eeartvxexxftt2tastxrfs"&gt;2&lt;/key&gt;&lt;/foreign-keys&gt;&lt;ref-type name="Book"&gt;6&lt;/ref-type&gt;&lt;contributors&gt;&lt;authors&gt;&lt;author&gt;UNICEF&lt;/author&gt;&lt;/authors&gt;&lt;/contributors&gt;&lt;titles&gt;&lt;title&gt;Youth Perspectives of Education Quality in Tajikistan: A case study of education quality for youth in the CEECIS region&lt;/title&gt;&lt;/titles&gt;&lt;dates&gt;&lt;year&gt;2012&lt;/year&gt;&lt;/dates&gt;&lt;pub-location&gt;Dushanbe&lt;/pub-location&gt;&lt;publisher&gt;United Nations Childrens&amp;apos; Fund&lt;/publisher&gt;&lt;urls&gt;&lt;/urls&gt;&lt;/record&gt;&lt;/Cite&gt;&lt;Cite&gt;&lt;Author&gt;World Bank&lt;/Author&gt;&lt;Year&gt;2009&lt;/Year&gt;&lt;RecNum&gt;79&lt;/RecNum&gt;&lt;record&gt;&lt;rec-number&gt;79&lt;/rec-number&gt;&lt;foreign-keys&gt;&lt;key app="EN" db-id="wes5dreptvrsr2eeartvxexxftt2tastxrfs"&gt;79&lt;/key&gt;&lt;/foreign-keys&gt;&lt;ref-type name="Book"&gt;6&lt;/ref-type&gt;&lt;contributors&gt;&lt;authors&gt;&lt;author&gt;World Bank&lt;/author&gt;&lt;/authors&gt;&lt;/contributors&gt;&lt;titles&gt;&lt;title&gt;Agricultural Activities, Water, and Gender in Tajikistan&amp;apos;s Rural Sector: A Social Assessment of Konibodom, Bobojon Ghafurov, and Yovon&lt;/title&gt;&lt;/titles&gt;&lt;dates&gt;&lt;year&gt;2009&lt;/year&gt;&lt;/dates&gt;&lt;pub-location&gt;Washington, DC&lt;/pub-location&gt;&lt;publisher&gt;World Bank&lt;/publisher&gt;&lt;urls&gt;&lt;/urls&gt;&lt;/record&gt;&lt;/Cite&gt;&lt;Cite&gt;&lt;Author&gt;Haarr&lt;/Author&gt;&lt;Year&gt;2005&lt;/Year&gt;&lt;RecNum&gt;60&lt;/RecNum&gt;&lt;Prefix&gt;cf. &lt;/Prefix&gt;&lt;record&gt;&lt;rec-number&gt;60&lt;/rec-number&gt;&lt;foreign-keys&gt;&lt;key app="EN" db-id="wes5dreptvrsr2eeartvxexxftt2tastxrfs"&gt;60&lt;/key&gt;&lt;/foreign-keys&gt;&lt;ref-type name="Book"&gt;6&lt;/ref-type&gt;&lt;contributors&gt;&lt;authors&gt;&lt;author&gt;Robin N. Haarr&lt;/author&gt;&lt;/authors&gt;&lt;/contributors&gt;&lt;titles&gt;&lt;title&gt;Violence Against Women in Marriage: A General Population Study in Khatlon Oblast, Tajikistan&lt;/title&gt;&lt;/titles&gt;&lt;dates&gt;&lt;year&gt;2005&lt;/year&gt;&lt;/dates&gt;&lt;pub-location&gt;Dushanbe&lt;/pub-location&gt;&lt;publisher&gt;NGO Social Development Group&lt;/publisher&gt;&lt;urls&gt;&lt;/urls&gt;&lt;/record&gt;&lt;/Cite&gt;&lt;/EndNote&gt;</w:instrText>
      </w:r>
      <w:r w:rsidR="00FC7961">
        <w:fldChar w:fldCharType="separate"/>
      </w:r>
      <w:r w:rsidR="00485988">
        <w:rPr>
          <w:noProof/>
        </w:rPr>
        <w:t>(</w:t>
      </w:r>
      <w:hyperlink w:anchor="_ENREF_21" w:tooltip="Haarr, 2005 #60" w:history="1">
        <w:r w:rsidR="006A1532">
          <w:rPr>
            <w:noProof/>
          </w:rPr>
          <w:t>cf. Haarr, 2005</w:t>
        </w:r>
      </w:hyperlink>
      <w:r w:rsidR="00485988">
        <w:rPr>
          <w:noProof/>
        </w:rPr>
        <w:t xml:space="preserve">; </w:t>
      </w:r>
      <w:hyperlink w:anchor="_ENREF_62" w:tooltip="UNICEF, 2012 #2" w:history="1">
        <w:r w:rsidR="006A1532">
          <w:rPr>
            <w:noProof/>
          </w:rPr>
          <w:t>UNICEF, 2012b</w:t>
        </w:r>
      </w:hyperlink>
      <w:r w:rsidR="00485988">
        <w:rPr>
          <w:noProof/>
        </w:rPr>
        <w:t xml:space="preserve">; </w:t>
      </w:r>
      <w:hyperlink w:anchor="_ENREF_75" w:tooltip="World Bank, 2009 #79" w:history="1">
        <w:r w:rsidR="006A1532">
          <w:rPr>
            <w:noProof/>
          </w:rPr>
          <w:t>World Bank, 2009a</w:t>
        </w:r>
      </w:hyperlink>
      <w:r w:rsidR="00485988">
        <w:rPr>
          <w:noProof/>
        </w:rPr>
        <w:t>)</w:t>
      </w:r>
      <w:r w:rsidR="00FC7961">
        <w:fldChar w:fldCharType="end"/>
      </w:r>
      <w:r w:rsidR="00BB1F1B">
        <w:t>, interviews with</w:t>
      </w:r>
      <w:r w:rsidR="003A34EA">
        <w:t xml:space="preserve"> rural</w:t>
      </w:r>
      <w:r w:rsidR="00FC7961">
        <w:t xml:space="preserve"> women </w:t>
      </w:r>
      <w:r w:rsidR="00FC7961">
        <w:fldChar w:fldCharType="begin"/>
      </w:r>
      <w:r w:rsidR="00BB1F1B">
        <w:instrText xml:space="preserve"> ADDIN EN.CITE &lt;EndNote&gt;&lt;Cite&gt;&lt;Author&gt;Shahriari&lt;/Author&gt;&lt;Year&gt;2009&lt;/Year&gt;&lt;RecNum&gt;69&lt;/RecNum&gt;&lt;DisplayText&gt;(Kanji, 2002; Shahriari, Danzer, Giovarelli, &amp;amp; Undeland, 2009)&lt;/DisplayText&gt;&lt;record&gt;&lt;rec-number&gt;69&lt;/rec-number&gt;&lt;foreign-keys&gt;&lt;key app="EN" db-id="wes5dreptvrsr2eeartvxexxftt2tastxrfs"&gt;69&lt;/key&gt;&lt;/foreign-keys&gt;&lt;ref-type name="Journal Article"&gt;17&lt;/ref-type&gt;&lt;contributors&gt;&lt;authors&gt;&lt;author&gt;Helen Shahriari&lt;/author&gt;&lt;author&gt;Alexander M. Danzer&lt;/author&gt;&lt;author&gt;Renee Giovarelli&lt;/author&gt;&lt;author&gt;Asyl Undeland&lt;/author&gt;&lt;/authors&gt;&lt;/contributors&gt;&lt;titles&gt;&lt;title&gt;Improving Women&amp;apos;s Access to Land and Financial Resources in Tajikistan&lt;/title&gt;&lt;/titles&gt;&lt;dates&gt;&lt;year&gt;2009&lt;/year&gt;&lt;/dates&gt;&lt;urls&gt;&lt;/urls&gt;&lt;/record&gt;&lt;/Cite&gt;&lt;Cite&gt;&lt;Author&gt;Kanji&lt;/Author&gt;&lt;Year&gt;2002&lt;/Year&gt;&lt;RecNum&gt;86&lt;/RecNum&gt;&lt;record&gt;&lt;rec-number&gt;86&lt;/rec-number&gt;&lt;foreign-keys&gt;&lt;key app="EN" db-id="wes5dreptvrsr2eeartvxexxftt2tastxrfs"&gt;86&lt;/key&gt;&lt;/foreign-keys&gt;&lt;ref-type name="Journal Article"&gt;17&lt;/ref-type&gt;&lt;contributors&gt;&lt;authors&gt;&lt;author&gt;Nazneen Kanji&lt;/author&gt;&lt;/authors&gt;&lt;/contributors&gt;&lt;titles&gt;&lt;title&gt;Trading and trade-offs: Women&amp;apos;s livelihoods in Gorno-Badkhshan, Tajikistan&lt;/title&gt;&lt;secondary-title&gt;Development in Practice&lt;/secondary-title&gt;&lt;/titles&gt;&lt;periodical&gt;&lt;full-title&gt;Development in Practice&lt;/full-title&gt;&lt;/periodical&gt;&lt;pages&gt;138-152&lt;/pages&gt;&lt;volume&gt;12&lt;/volume&gt;&lt;number&gt;2&lt;/number&gt;&lt;dates&gt;&lt;year&gt;2002&lt;/year&gt;&lt;/dates&gt;&lt;urls&gt;&lt;/urls&gt;&lt;/record&gt;&lt;/Cite&gt;&lt;/EndNote&gt;</w:instrText>
      </w:r>
      <w:r w:rsidR="00FC7961">
        <w:fldChar w:fldCharType="separate"/>
      </w:r>
      <w:r w:rsidR="00BB1F1B">
        <w:rPr>
          <w:noProof/>
        </w:rPr>
        <w:t>(</w:t>
      </w:r>
      <w:hyperlink w:anchor="_ENREF_30" w:tooltip="Kanji, 2002 #86" w:history="1">
        <w:r w:rsidR="006A1532">
          <w:rPr>
            <w:noProof/>
          </w:rPr>
          <w:t>Kanji, 2002</w:t>
        </w:r>
      </w:hyperlink>
      <w:r w:rsidR="00BB1F1B">
        <w:rPr>
          <w:noProof/>
        </w:rPr>
        <w:t xml:space="preserve">; </w:t>
      </w:r>
      <w:hyperlink w:anchor="_ENREF_47" w:tooltip="Shahriari, 2009 #69" w:history="1">
        <w:r w:rsidR="006A1532">
          <w:rPr>
            <w:noProof/>
          </w:rPr>
          <w:t>Shahriari, Danzer, Giovarelli, &amp; Undeland, 2009</w:t>
        </w:r>
      </w:hyperlink>
      <w:r w:rsidR="00BB1F1B">
        <w:rPr>
          <w:noProof/>
        </w:rPr>
        <w:t>)</w:t>
      </w:r>
      <w:r w:rsidR="00FC7961">
        <w:fldChar w:fldCharType="end"/>
      </w:r>
      <w:r w:rsidR="00FC7961">
        <w:t>,</w:t>
      </w:r>
      <w:r w:rsidR="00F05A4E">
        <w:t xml:space="preserve"> </w:t>
      </w:r>
      <w:r w:rsidR="00B23C22">
        <w:t xml:space="preserve">an analytical study </w:t>
      </w:r>
      <w:r w:rsidR="00733683">
        <w:t xml:space="preserve">of </w:t>
      </w:r>
      <w:r w:rsidR="00B23C22">
        <w:t xml:space="preserve">party regulations and legislation </w:t>
      </w:r>
      <w:r w:rsidR="00B23C22">
        <w:fldChar w:fldCharType="begin"/>
      </w:r>
      <w:r w:rsidR="00B23C22">
        <w:instrText xml:space="preserve"> ADDIN EN.CITE &lt;EndNote&gt;&lt;Cite&gt;&lt;Author&gt;Mamadazimov&lt;/Author&gt;&lt;Year&gt;2011&lt;/Year&gt;&lt;RecNum&gt;73&lt;/RecNum&gt;&lt;DisplayText&gt;(Mamadazimov &amp;amp; Kuvatova, 2011)&lt;/DisplayText&gt;&lt;record&gt;&lt;rec-number&gt;73&lt;/rec-number&gt;&lt;foreign-keys&gt;&lt;key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OSCE/ODIHR&lt;/publisher&gt;&lt;urls&gt;&lt;/urls&gt;&lt;/record&gt;&lt;/Cite&gt;&lt;/EndNote&gt;</w:instrText>
      </w:r>
      <w:r w:rsidR="00B23C22">
        <w:fldChar w:fldCharType="separate"/>
      </w:r>
      <w:r w:rsidR="00B23C22">
        <w:rPr>
          <w:noProof/>
        </w:rPr>
        <w:t>(</w:t>
      </w:r>
      <w:hyperlink w:anchor="_ENREF_34" w:tooltip="Mamadazimov, 2011 #73" w:history="1">
        <w:r w:rsidR="006A1532">
          <w:rPr>
            <w:noProof/>
          </w:rPr>
          <w:t>Mamadazimov &amp; Kuvatova, 2011</w:t>
        </w:r>
      </w:hyperlink>
      <w:r w:rsidR="00B23C22">
        <w:rPr>
          <w:noProof/>
        </w:rPr>
        <w:t>)</w:t>
      </w:r>
      <w:r w:rsidR="00B23C22">
        <w:fldChar w:fldCharType="end"/>
      </w:r>
      <w:r w:rsidR="00B23C22">
        <w:t>,</w:t>
      </w:r>
      <w:r w:rsidR="00F05A4E">
        <w:t xml:space="preserve"> </w:t>
      </w:r>
      <w:r w:rsidR="00FC7961">
        <w:t xml:space="preserve"> </w:t>
      </w:r>
      <w:r w:rsidR="00DB1262">
        <w:t>or</w:t>
      </w:r>
      <w:r w:rsidR="00F05A4E">
        <w:t xml:space="preserve"> results form public monitoring and evaluation by non-governmental organizations </w:t>
      </w:r>
      <w:r w:rsidR="00F05A4E">
        <w:fldChar w:fldCharType="begin"/>
      </w:r>
      <w:r w:rsidR="00F05A4E">
        <w:instrText xml:space="preserve"> ADDIN EN.CITE &lt;EndNote&gt;&lt;Cite&gt;&lt;Author&gt;Public Organizations of Tajikistan&lt;/Author&gt;&lt;Year&gt;2012&lt;/Year&gt;&lt;RecNum&gt;77&lt;/RecNum&gt;&lt;DisplayText&gt;(Public Organizations of Tajikistan, 2012)&lt;/DisplayText&gt;&lt;record&gt;&lt;rec-number&gt;77&lt;/rec-number&gt;&lt;foreign-keys&gt;&lt;key app="EN" db-id="wes5dreptvrsr2eeartvxexxftt2tastxrfs"&gt;77&lt;/key&gt;&lt;/foreign-keys&gt;&lt;ref-type name="Book"&gt;6&lt;/ref-type&gt;&lt;contributors&gt;&lt;authors&gt;&lt;author&gt;Public Organizations of Tajikistan&lt;/author&gt;&lt;/authors&gt;&lt;/contributors&gt;&lt;titles&gt;&lt;title&gt;The Second Shadow Report on the Realization of the Convention on the Elimination of All Forms of Discrimination against Women&lt;/title&gt;&lt;/titles&gt;&lt;dates&gt;&lt;year&gt;2012&lt;/year&gt;&lt;/dates&gt;&lt;pub-location&gt;Dushanbe&lt;/pub-location&gt;&lt;publisher&gt;Public Organizations of Tajikistan&lt;/publisher&gt;&lt;urls&gt;&lt;/urls&gt;&lt;/record&gt;&lt;/Cite&gt;&lt;/EndNote&gt;</w:instrText>
      </w:r>
      <w:r w:rsidR="00F05A4E">
        <w:fldChar w:fldCharType="separate"/>
      </w:r>
      <w:r w:rsidR="00F05A4E">
        <w:rPr>
          <w:noProof/>
        </w:rPr>
        <w:t>(</w:t>
      </w:r>
      <w:hyperlink w:anchor="_ENREF_41" w:tooltip="Public Organizations of Tajikistan, 2012 #77" w:history="1">
        <w:r w:rsidR="006A1532">
          <w:rPr>
            <w:noProof/>
          </w:rPr>
          <w:t>Public Organizations of Tajikistan, 2012</w:t>
        </w:r>
      </w:hyperlink>
      <w:r w:rsidR="00F05A4E">
        <w:rPr>
          <w:noProof/>
        </w:rPr>
        <w:t>)</w:t>
      </w:r>
      <w:r w:rsidR="00F05A4E">
        <w:fldChar w:fldCharType="end"/>
      </w:r>
      <w:r w:rsidR="00DB1262">
        <w:t>.</w:t>
      </w:r>
    </w:p>
    <w:p w14:paraId="72625CEC" w14:textId="3C6B5875" w:rsidR="00284F1F" w:rsidRDefault="00F718BE" w:rsidP="009408A5">
      <w:pPr>
        <w:pStyle w:val="MainParawithChapter"/>
        <w:ind w:left="0" w:firstLine="0"/>
        <w:jc w:val="both"/>
        <w:outlineLvl w:val="9"/>
      </w:pPr>
      <w:r w:rsidRPr="00F45AF3">
        <w:rPr>
          <w:b/>
        </w:rPr>
        <w:t xml:space="preserve">The paper is </w:t>
      </w:r>
      <w:r w:rsidR="00D960C4">
        <w:rPr>
          <w:b/>
        </w:rPr>
        <w:t>structured along the following lines</w:t>
      </w:r>
      <w:r w:rsidRPr="00F45AF3">
        <w:rPr>
          <w:b/>
        </w:rPr>
        <w:t>.</w:t>
      </w:r>
      <w:r>
        <w:t xml:space="preserve"> </w:t>
      </w:r>
      <w:r w:rsidR="00201D9E">
        <w:t xml:space="preserve"> </w:t>
      </w:r>
      <w:r w:rsidR="002C01D3">
        <w:t xml:space="preserve">The first section introduces the idea of  ‘agency’ that will remain </w:t>
      </w:r>
      <w:r w:rsidR="0049317C">
        <w:t>an important</w:t>
      </w:r>
      <w:r w:rsidR="002C01D3">
        <w:t xml:space="preserve"> issue throughout the report. This is followed by a</w:t>
      </w:r>
      <w:r w:rsidR="00422126">
        <w:t>n</w:t>
      </w:r>
      <w:r w:rsidR="002C01D3">
        <w:t xml:space="preserve"> analysis of disparities in human capital endowment, including health and education. </w:t>
      </w:r>
      <w:r w:rsidR="006E3419">
        <w:t xml:space="preserve">Gender gaps in the Tajik labor market </w:t>
      </w:r>
      <w:r w:rsidR="00422126">
        <w:t xml:space="preserve">and entrepreneurial activities of men and women </w:t>
      </w:r>
      <w:r w:rsidR="006E3419">
        <w:t>are discussed in the fourth</w:t>
      </w:r>
      <w:r w:rsidR="00422126">
        <w:t xml:space="preserve"> and fifth</w:t>
      </w:r>
      <w:r w:rsidR="006E3419">
        <w:t xml:space="preserve"> section. The</w:t>
      </w:r>
      <w:r w:rsidR="00422126">
        <w:t xml:space="preserve"> f</w:t>
      </w:r>
      <w:r w:rsidR="00F61575">
        <w:t xml:space="preserve">inal section concludes with </w:t>
      </w:r>
      <w:r w:rsidR="0049317C">
        <w:t xml:space="preserve">some </w:t>
      </w:r>
      <w:r w:rsidR="00422126">
        <w:t xml:space="preserve">policy recommendations that might be beneficial for </w:t>
      </w:r>
      <w:r w:rsidR="0049317C">
        <w:t>discussions among policy-makers, civil society actors, and d</w:t>
      </w:r>
      <w:r w:rsidR="00E540BA">
        <w:t>evelopment partners.</w:t>
      </w:r>
    </w:p>
    <w:p w14:paraId="4293C7FD" w14:textId="77777777" w:rsidR="006562AF" w:rsidRPr="00023EBC" w:rsidRDefault="000C52F7" w:rsidP="009408A5">
      <w:pPr>
        <w:pStyle w:val="MainParawithChapter"/>
        <w:ind w:left="0" w:firstLine="0"/>
        <w:jc w:val="both"/>
        <w:outlineLvl w:val="9"/>
      </w:pPr>
      <w:r>
        <w:rPr>
          <w:b/>
        </w:rPr>
        <w:lastRenderedPageBreak/>
        <w:t>Some of the k</w:t>
      </w:r>
      <w:r w:rsidR="006562AF">
        <w:rPr>
          <w:b/>
        </w:rPr>
        <w:t>ey findings</w:t>
      </w:r>
      <w:r w:rsidR="00023EBC">
        <w:rPr>
          <w:b/>
        </w:rPr>
        <w:t xml:space="preserve"> of the report</w:t>
      </w:r>
      <w:r>
        <w:rPr>
          <w:b/>
        </w:rPr>
        <w:t xml:space="preserve"> are as follows</w:t>
      </w:r>
      <w:r w:rsidR="00E137FD">
        <w:rPr>
          <w:b/>
        </w:rPr>
        <w:t>:</w:t>
      </w:r>
    </w:p>
    <w:p w14:paraId="3A6C114C" w14:textId="77777777" w:rsidR="00423CAC" w:rsidRPr="00792D92" w:rsidRDefault="00423CAC" w:rsidP="00183FFF">
      <w:pPr>
        <w:pStyle w:val="Sub-Para1underXY"/>
        <w:ind w:left="1077" w:hanging="357"/>
        <w:jc w:val="both"/>
        <w:rPr>
          <w:b/>
        </w:rPr>
      </w:pPr>
      <w:r w:rsidRPr="00792D92">
        <w:rPr>
          <w:b/>
        </w:rPr>
        <w:t xml:space="preserve">Women’s agency in Tajikistan is constrained by </w:t>
      </w:r>
      <w:r>
        <w:rPr>
          <w:b/>
        </w:rPr>
        <w:t xml:space="preserve">weak </w:t>
      </w:r>
      <w:r w:rsidRPr="00792D92">
        <w:rPr>
          <w:b/>
        </w:rPr>
        <w:t>implementation of gender policies and patriarc</w:t>
      </w:r>
      <w:r>
        <w:rPr>
          <w:b/>
        </w:rPr>
        <w:t xml:space="preserve">hal systems of decision-making. </w:t>
      </w:r>
      <w:r>
        <w:t xml:space="preserve">Gender equality has been </w:t>
      </w:r>
      <w:r w:rsidRPr="00F2438F">
        <w:rPr>
          <w:i/>
        </w:rPr>
        <w:t>de jure</w:t>
      </w:r>
      <w:r>
        <w:t xml:space="preserve"> enshrined in Tajikistan’s legal system, but the achievement of </w:t>
      </w:r>
      <w:r w:rsidRPr="00F2438F">
        <w:rPr>
          <w:i/>
        </w:rPr>
        <w:t>de facto</w:t>
      </w:r>
      <w:r>
        <w:t xml:space="preserve"> equality of men and women is still a process under way that has been hampered by poor implementation and coordination mechanisms and limited monitoring and evaluation. Men dominate decision-making processes in virtually all spheres and women’s voices are frequently excluded, be it at home, at work, or in politics. </w:t>
      </w:r>
    </w:p>
    <w:p w14:paraId="5EE06906" w14:textId="3E71F756" w:rsidR="00423CAC" w:rsidRDefault="00423CAC" w:rsidP="00183FFF">
      <w:pPr>
        <w:pStyle w:val="Sub-Para1underXY"/>
        <w:ind w:left="1077" w:hanging="357"/>
        <w:jc w:val="both"/>
      </w:pPr>
      <w:r w:rsidRPr="00F2438F">
        <w:rPr>
          <w:b/>
        </w:rPr>
        <w:t xml:space="preserve">Gender disparities in favor of boys exist at all levels of education, but </w:t>
      </w:r>
      <w:r w:rsidR="00094725">
        <w:rPr>
          <w:b/>
        </w:rPr>
        <w:t xml:space="preserve">begin </w:t>
      </w:r>
      <w:r w:rsidR="00094725" w:rsidRPr="00183FFF">
        <w:rPr>
          <w:b/>
        </w:rPr>
        <w:t xml:space="preserve">to </w:t>
      </w:r>
      <w:r w:rsidR="00094725">
        <w:rPr>
          <w:b/>
        </w:rPr>
        <w:t>widen</w:t>
      </w:r>
      <w:r w:rsidRPr="00F2438F">
        <w:rPr>
          <w:b/>
        </w:rPr>
        <w:t xml:space="preserve"> </w:t>
      </w:r>
      <w:r>
        <w:rPr>
          <w:b/>
        </w:rPr>
        <w:t xml:space="preserve">during </w:t>
      </w:r>
      <w:r w:rsidRPr="00F2438F">
        <w:rPr>
          <w:b/>
        </w:rPr>
        <w:t xml:space="preserve">secondary </w:t>
      </w:r>
      <w:r w:rsidR="00AE6EFA">
        <w:rPr>
          <w:b/>
        </w:rPr>
        <w:t xml:space="preserve">school </w:t>
      </w:r>
      <w:r w:rsidRPr="00F2438F">
        <w:rPr>
          <w:b/>
        </w:rPr>
        <w:t>and</w:t>
      </w:r>
      <w:r>
        <w:rPr>
          <w:b/>
        </w:rPr>
        <w:t xml:space="preserve"> are </w:t>
      </w:r>
      <w:r w:rsidR="00094725">
        <w:rPr>
          <w:b/>
        </w:rPr>
        <w:t>especially</w:t>
      </w:r>
      <w:r>
        <w:rPr>
          <w:b/>
        </w:rPr>
        <w:t xml:space="preserve"> pronounced </w:t>
      </w:r>
      <w:r w:rsidR="00AE6EFA">
        <w:rPr>
          <w:b/>
        </w:rPr>
        <w:t>at the</w:t>
      </w:r>
      <w:r w:rsidRPr="00F2438F">
        <w:rPr>
          <w:b/>
        </w:rPr>
        <w:t xml:space="preserve"> tertiary </w:t>
      </w:r>
      <w:r w:rsidR="00AE6EFA">
        <w:rPr>
          <w:b/>
        </w:rPr>
        <w:t>level</w:t>
      </w:r>
      <w:r>
        <w:rPr>
          <w:b/>
        </w:rPr>
        <w:t xml:space="preserve">. </w:t>
      </w:r>
      <w:r>
        <w:t xml:space="preserve">In regional comparison, gender gaps are already substantial for secondary education, but the ratio of female to male tertiary enrollment is among the lowest worldwide. Studies suggest that financial constraints, expected returns to education, and traditional gender stereotypes that </w:t>
      </w:r>
      <w:r w:rsidR="0049317C">
        <w:t>narrowly define the</w:t>
      </w:r>
      <w:r>
        <w:t xml:space="preserve"> role of women and girls in so</w:t>
      </w:r>
      <w:r w:rsidR="0049317C">
        <w:t>ciety</w:t>
      </w:r>
      <w:r>
        <w:t xml:space="preserve"> are important factors that prevent </w:t>
      </w:r>
      <w:r w:rsidR="0049317C">
        <w:t>girls from pursuing</w:t>
      </w:r>
      <w:r>
        <w:t xml:space="preserve"> higher education.</w:t>
      </w:r>
    </w:p>
    <w:p w14:paraId="6229F1E8" w14:textId="77777777" w:rsidR="00423CAC" w:rsidRPr="007E37C4" w:rsidRDefault="00423CAC" w:rsidP="00183FFF">
      <w:pPr>
        <w:pStyle w:val="Sub-Para1underXY"/>
        <w:ind w:left="1077" w:hanging="357"/>
        <w:jc w:val="both"/>
        <w:rPr>
          <w:b/>
        </w:rPr>
      </w:pPr>
      <w:r w:rsidRPr="0021573D">
        <w:rPr>
          <w:b/>
        </w:rPr>
        <w:t xml:space="preserve">High child and maternal mortality, rising HIV prevalence among women, </w:t>
      </w:r>
      <w:r w:rsidRPr="00AE6EFA">
        <w:rPr>
          <w:b/>
        </w:rPr>
        <w:t>and</w:t>
      </w:r>
      <w:r w:rsidRPr="0021573D">
        <w:rPr>
          <w:b/>
        </w:rPr>
        <w:t xml:space="preserve"> women’s risk of bei</w:t>
      </w:r>
      <w:r>
        <w:rPr>
          <w:b/>
        </w:rPr>
        <w:t>ng exposed to domestic violence are serious</w:t>
      </w:r>
      <w:r w:rsidRPr="0021573D">
        <w:rPr>
          <w:b/>
        </w:rPr>
        <w:t xml:space="preserve"> health i</w:t>
      </w:r>
      <w:r>
        <w:rPr>
          <w:b/>
        </w:rPr>
        <w:t>ssues.</w:t>
      </w:r>
      <w:r w:rsidRPr="0021573D">
        <w:rPr>
          <w:b/>
        </w:rPr>
        <w:t xml:space="preserve"> </w:t>
      </w:r>
      <w:r>
        <w:t xml:space="preserve">The overall health situation had significantly deteriorated in the aftermath of independence and years of civil war. Life expectancy for both men and women is below the regional average, but more so for men. Due to unacceptably high mortality rates, </w:t>
      </w:r>
      <w:r w:rsidR="007F3A54">
        <w:t>the Republic of Tajikistan has declared child and maternal health a key priority</w:t>
      </w:r>
      <w:r>
        <w:t>. Further concerns arise from the fact that a range of social, cultural and economic realities constrains women and girls from effectively protecting themselves from HIV infection and domestic violence.</w:t>
      </w:r>
    </w:p>
    <w:p w14:paraId="7E322C3E" w14:textId="77777777" w:rsidR="00423CAC" w:rsidRDefault="00423CAC" w:rsidP="00183FFF">
      <w:pPr>
        <w:pStyle w:val="Sub-Para1underXY"/>
        <w:ind w:left="1077" w:hanging="357"/>
        <w:jc w:val="both"/>
      </w:pPr>
      <w:r w:rsidRPr="00002376">
        <w:rPr>
          <w:b/>
        </w:rPr>
        <w:t xml:space="preserve">Tajikistan’s labor market is characterized by gaps </w:t>
      </w:r>
      <w:r>
        <w:rPr>
          <w:b/>
        </w:rPr>
        <w:t xml:space="preserve">in </w:t>
      </w:r>
      <w:r w:rsidRPr="00002376">
        <w:rPr>
          <w:b/>
        </w:rPr>
        <w:t xml:space="preserve">economic activity, gender-based </w:t>
      </w:r>
      <w:proofErr w:type="spellStart"/>
      <w:r w:rsidRPr="00002376">
        <w:rPr>
          <w:b/>
        </w:rPr>
        <w:t>sectoral</w:t>
      </w:r>
      <w:proofErr w:type="spellEnd"/>
      <w:r w:rsidRPr="00002376">
        <w:rPr>
          <w:b/>
        </w:rPr>
        <w:t xml:space="preserve"> and occu</w:t>
      </w:r>
      <w:r>
        <w:rPr>
          <w:b/>
        </w:rPr>
        <w:t xml:space="preserve">pational segregation, and </w:t>
      </w:r>
      <w:r w:rsidRPr="00002376">
        <w:rPr>
          <w:b/>
        </w:rPr>
        <w:t xml:space="preserve">earnings disparities. </w:t>
      </w:r>
      <w:r>
        <w:t>While women constitute 45 percent of the total labor force, two thirds of the economically inactive are female, as they are frequently expected to carry out domestic responsibilities. Women are disproportionately present in the agricultural sector and in low-paid, low productivity works, as well as in the informal sector of the labor market. Moreover, there are indications for gender-related earnings discrimination. Mainly male labo</w:t>
      </w:r>
      <w:r w:rsidR="007F3A54">
        <w:t>r migration impacts</w:t>
      </w:r>
      <w:r>
        <w:t xml:space="preserve"> on the economic and social wellbeing of migrants and their families</w:t>
      </w:r>
      <w:r w:rsidR="007F3A54">
        <w:t xml:space="preserve"> in ambivalent ways</w:t>
      </w:r>
      <w:r>
        <w:t>.</w:t>
      </w:r>
    </w:p>
    <w:p w14:paraId="65D833FE" w14:textId="77777777" w:rsidR="00506DBF" w:rsidRPr="00506DBF" w:rsidRDefault="00423CAC" w:rsidP="00183FFF">
      <w:pPr>
        <w:pStyle w:val="Sub-Para1underXY"/>
        <w:ind w:left="1077" w:hanging="357"/>
        <w:jc w:val="both"/>
        <w:rPr>
          <w:b/>
        </w:rPr>
      </w:pPr>
      <w:r w:rsidRPr="0070560F">
        <w:rPr>
          <w:b/>
        </w:rPr>
        <w:t>Female entrepreneurs are the exception rather than the rule and face constraints in their access to land, finance, and networks.</w:t>
      </w:r>
      <w:r>
        <w:rPr>
          <w:b/>
        </w:rPr>
        <w:t xml:space="preserve"> </w:t>
      </w:r>
      <w:r>
        <w:t xml:space="preserve">Possibly related to different levels of risk aversion, women attempt to start a business less frequently than men, </w:t>
      </w:r>
      <w:r w:rsidR="007F3A54">
        <w:t>although they are</w:t>
      </w:r>
      <w:r>
        <w:t xml:space="preserve"> not less successfu</w:t>
      </w:r>
      <w:r w:rsidR="007F3A54">
        <w:t>l in case they do so. J</w:t>
      </w:r>
      <w:r>
        <w:t xml:space="preserve">ust twelve percent of top managers are women, but this share varies </w:t>
      </w:r>
      <w:r>
        <w:lastRenderedPageBreak/>
        <w:t>according to firm characteristics, with female involvement being higher in the retail sector, in small companies, and in the capital. Female entrepreneurs appear to be constrained in their access to land, finance, and networks, and enterprises run by female top managers more often report hurdles in terms of regulations, taxes, and corruption.</w:t>
      </w:r>
    </w:p>
    <w:p w14:paraId="324F7FA6" w14:textId="77777777" w:rsidR="00284F1F" w:rsidRDefault="00284F1F" w:rsidP="009408A5"/>
    <w:p w14:paraId="2EE0DE1F" w14:textId="77777777" w:rsidR="00284F1F" w:rsidRPr="00A3076E" w:rsidRDefault="00284F1F" w:rsidP="00A3076E">
      <w:pPr>
        <w:sectPr w:rsidR="00284F1F" w:rsidRPr="00A3076E" w:rsidSect="003125A2">
          <w:footerReference w:type="even" r:id="rId18"/>
          <w:footerReference w:type="default" r:id="rId19"/>
          <w:type w:val="oddPage"/>
          <w:pgSz w:w="12240" w:h="15840" w:code="1"/>
          <w:pgMar w:top="1440" w:right="1800" w:bottom="1440" w:left="1800" w:header="720" w:footer="720" w:gutter="0"/>
          <w:pgNumType w:start="1"/>
          <w:cols w:space="720"/>
          <w:docGrid w:linePitch="360"/>
        </w:sectPr>
      </w:pPr>
    </w:p>
    <w:p w14:paraId="78D4E080" w14:textId="77777777" w:rsidR="00DC5033" w:rsidRDefault="00DC5033" w:rsidP="00450916">
      <w:pPr>
        <w:pStyle w:val="Heading1"/>
      </w:pPr>
      <w:bookmarkStart w:id="11" w:name="_Toc226957242"/>
      <w:r>
        <w:lastRenderedPageBreak/>
        <w:t>Agency</w:t>
      </w:r>
      <w:bookmarkEnd w:id="11"/>
    </w:p>
    <w:p w14:paraId="19B587F6" w14:textId="23A40ECC" w:rsidR="00AE1AD4" w:rsidRDefault="00116D8A" w:rsidP="00336BA6">
      <w:pPr>
        <w:pStyle w:val="MainParawithChapter"/>
        <w:ind w:left="0" w:firstLine="0"/>
        <w:jc w:val="both"/>
        <w:outlineLvl w:val="9"/>
        <w:rPr>
          <w:b/>
        </w:rPr>
      </w:pPr>
      <w:r>
        <w:rPr>
          <w:b/>
        </w:rPr>
        <w:t xml:space="preserve">Agency refers to men’s and women’s ability to make effective choices to transform endowments and economic opportunities into desired outcomes. </w:t>
      </w:r>
      <w:r w:rsidR="00C77DAC">
        <w:t>This report starts with a section on agency as reducing gender di</w:t>
      </w:r>
      <w:r w:rsidR="000B3F3B">
        <w:t>sparities in endowments is</w:t>
      </w:r>
      <w:r w:rsidR="00745F52">
        <w:t xml:space="preserve"> not</w:t>
      </w:r>
      <w:r w:rsidR="00E8107D">
        <w:t xml:space="preserve"> sufficient to ensure equal gender</w:t>
      </w:r>
      <w:r w:rsidR="00193E9D">
        <w:t xml:space="preserve"> outcomes if men and women</w:t>
      </w:r>
      <w:r w:rsidR="00E8107D">
        <w:t xml:space="preserve"> cannot </w:t>
      </w:r>
      <w:r w:rsidR="00D4798F">
        <w:t xml:space="preserve">effectively </w:t>
      </w:r>
      <w:r w:rsidR="00E8107D">
        <w:t xml:space="preserve">exercise agency. Agency is defined as “an individual’s (or group’s) ability to make effective choices and to transform those choices into desired outcomes” </w:t>
      </w:r>
      <w:r w:rsidR="00E12159">
        <w:fldChar w:fldCharType="begin"/>
      </w:r>
      <w:r w:rsidR="005538C3">
        <w:instrText xml:space="preserve"> ADDIN EN.CITE &lt;EndNote&gt;&lt;Cite&gt;&lt;Author&gt;World Bank&lt;/Author&gt;&lt;Year&gt;2011&lt;/Year&gt;&lt;RecNum&gt;7&lt;/RecNum&gt;&lt;Pages&gt;150&lt;/Pages&gt;&lt;DisplayText&gt;(World Bank, 2011d, p. 150)&lt;/DisplayText&gt;&lt;record&gt;&lt;rec-number&gt;7&lt;/rec-number&gt;&lt;foreign-keys&gt;&lt;key app="EN" db-id="wes5dreptvrsr2eeartvxexxftt2tastxrfs"&gt;7&lt;/key&gt;&lt;/foreign-keys&gt;&lt;ref-type name="Book"&gt;6&lt;/ref-type&gt;&lt;contributors&gt;&lt;authors&gt;&lt;author&gt;World Bank&lt;/author&gt;&lt;/authors&gt;&lt;/contributors&gt;&lt;titles&gt;&lt;title&gt;World Development Report 2012. Gender Equality and Development&lt;/title&gt;&lt;/titles&gt;&lt;dates&gt;&lt;year&gt;2011&lt;/year&gt;&lt;/dates&gt;&lt;pub-location&gt;Washington, DC&lt;/pub-location&gt;&lt;publisher&gt;World Bank&lt;/publisher&gt;&lt;urls&gt;&lt;/urls&gt;&lt;/record&gt;&lt;/Cite&gt;&lt;/EndNote&gt;</w:instrText>
      </w:r>
      <w:r w:rsidR="00E12159">
        <w:fldChar w:fldCharType="separate"/>
      </w:r>
      <w:r w:rsidR="005538C3">
        <w:rPr>
          <w:noProof/>
        </w:rPr>
        <w:t>(</w:t>
      </w:r>
      <w:hyperlink w:anchor="_ENREF_81" w:tooltip="World Bank, 2011 #7" w:history="1">
        <w:r w:rsidR="006A1532">
          <w:rPr>
            <w:noProof/>
          </w:rPr>
          <w:t>World Bank, 2011d, p. 150</w:t>
        </w:r>
      </w:hyperlink>
      <w:r w:rsidR="005538C3">
        <w:rPr>
          <w:noProof/>
        </w:rPr>
        <w:t>)</w:t>
      </w:r>
      <w:r w:rsidR="00E12159">
        <w:fldChar w:fldCharType="end"/>
      </w:r>
      <w:r w:rsidR="005E0645">
        <w:t xml:space="preserve">. </w:t>
      </w:r>
      <w:r w:rsidR="00455CBB">
        <w:t>Alongside</w:t>
      </w:r>
      <w:r w:rsidR="005E0645">
        <w:t xml:space="preserve"> markets and institutions, </w:t>
      </w:r>
      <w:r w:rsidR="00455CBB">
        <w:t>social norms</w:t>
      </w:r>
      <w:r w:rsidR="00D4798F">
        <w:t xml:space="preserve"> shape women’s agency in Tajikistan. </w:t>
      </w:r>
      <w:r w:rsidR="000B3F3B">
        <w:t xml:space="preserve">After </w:t>
      </w:r>
      <w:r w:rsidR="00585DB5">
        <w:t>a brief</w:t>
      </w:r>
      <w:r w:rsidR="00D4798F">
        <w:t xml:space="preserve"> </w:t>
      </w:r>
      <w:r w:rsidR="00BB7E3B">
        <w:t>overview of men’s an</w:t>
      </w:r>
      <w:r w:rsidR="008C2A4E">
        <w:t>d women’s subjective well</w:t>
      </w:r>
      <w:r w:rsidR="00585DB5">
        <w:t>being</w:t>
      </w:r>
      <w:r w:rsidR="000B3F3B">
        <w:t xml:space="preserve">, this section sets out </w:t>
      </w:r>
      <w:r w:rsidR="00333893">
        <w:t>relevant</w:t>
      </w:r>
      <w:r w:rsidR="00BB7E3B">
        <w:t xml:space="preserve"> general legal and inst</w:t>
      </w:r>
      <w:r w:rsidR="000B3F3B">
        <w:t xml:space="preserve">itutional framework </w:t>
      </w:r>
      <w:r w:rsidR="00585DB5">
        <w:t xml:space="preserve">and </w:t>
      </w:r>
      <w:r w:rsidR="00333893">
        <w:t xml:space="preserve">discusses </w:t>
      </w:r>
      <w:r w:rsidR="00585DB5">
        <w:t>women’s ability to make decisions in the social, economic, and political sphere.</w:t>
      </w:r>
    </w:p>
    <w:p w14:paraId="642DACC6" w14:textId="77777777" w:rsidR="00336BA6" w:rsidRDefault="003E32EB" w:rsidP="00336BA6">
      <w:pPr>
        <w:pStyle w:val="Heading2"/>
      </w:pPr>
      <w:bookmarkStart w:id="12" w:name="_Toc226957243"/>
      <w:r>
        <w:t>Subjective W</w:t>
      </w:r>
      <w:r w:rsidR="00336BA6" w:rsidRPr="00DC5033">
        <w:t>ell</w:t>
      </w:r>
      <w:r w:rsidR="00CB5812">
        <w:t>b</w:t>
      </w:r>
      <w:r w:rsidR="00336BA6" w:rsidRPr="00DC5033">
        <w:t>eing</w:t>
      </w:r>
      <w:bookmarkEnd w:id="12"/>
    </w:p>
    <w:p w14:paraId="474A21EA" w14:textId="4E33D4EE" w:rsidR="004E6B80" w:rsidRPr="00745F52" w:rsidRDefault="00193E9D" w:rsidP="00745F52">
      <w:pPr>
        <w:pStyle w:val="MainParawithChapter"/>
        <w:ind w:left="0" w:firstLine="0"/>
        <w:jc w:val="both"/>
        <w:outlineLvl w:val="9"/>
        <w:rPr>
          <w:rFonts w:cstheme="minorHAnsi"/>
        </w:rPr>
      </w:pPr>
      <w:r>
        <w:rPr>
          <w:rFonts w:cstheme="minorHAnsi"/>
          <w:b/>
        </w:rPr>
        <w:t xml:space="preserve">Life satisfaction among both men and women </w:t>
      </w:r>
      <w:r w:rsidRPr="00745F52">
        <w:rPr>
          <w:rFonts w:cstheme="minorHAnsi"/>
          <w:b/>
        </w:rPr>
        <w:t>is remarkably</w:t>
      </w:r>
      <w:r>
        <w:rPr>
          <w:rFonts w:cstheme="minorHAnsi"/>
          <w:b/>
        </w:rPr>
        <w:t xml:space="preserve"> high in Tajikistan d</w:t>
      </w:r>
      <w:r w:rsidR="00336BA6">
        <w:rPr>
          <w:rFonts w:cstheme="minorHAnsi"/>
          <w:b/>
        </w:rPr>
        <w:t>espite</w:t>
      </w:r>
      <w:r w:rsidR="005E4B59">
        <w:rPr>
          <w:rFonts w:cstheme="minorHAnsi"/>
          <w:b/>
        </w:rPr>
        <w:t xml:space="preserve"> it</w:t>
      </w:r>
      <w:r w:rsidR="00336BA6">
        <w:rPr>
          <w:rFonts w:cstheme="minorHAnsi"/>
          <w:b/>
        </w:rPr>
        <w:t xml:space="preserve"> being</w:t>
      </w:r>
      <w:r w:rsidR="001E6819">
        <w:rPr>
          <w:rFonts w:cstheme="minorHAnsi"/>
          <w:b/>
        </w:rPr>
        <w:t xml:space="preserve"> among the poorest countries</w:t>
      </w:r>
      <w:r w:rsidR="00336BA6">
        <w:rPr>
          <w:rFonts w:cstheme="minorHAnsi"/>
          <w:b/>
        </w:rPr>
        <w:t xml:space="preserve"> in Europe and Central As</w:t>
      </w:r>
      <w:r w:rsidR="005E4B59">
        <w:rPr>
          <w:rFonts w:cstheme="minorHAnsi"/>
          <w:b/>
        </w:rPr>
        <w:t>ia.</w:t>
      </w:r>
      <w:r w:rsidR="00840D85">
        <w:rPr>
          <w:rFonts w:cstheme="minorHAnsi"/>
          <w:b/>
        </w:rPr>
        <w:t xml:space="preserve"> </w:t>
      </w:r>
      <w:r w:rsidR="00840D85" w:rsidRPr="00745F52">
        <w:rPr>
          <w:rFonts w:cstheme="minorHAnsi"/>
        </w:rPr>
        <w:t xml:space="preserve">The Life in Transition Surveys I and II </w:t>
      </w:r>
      <w:r w:rsidR="00E12159" w:rsidRPr="00745F52">
        <w:rPr>
          <w:rFonts w:cstheme="minorHAnsi"/>
        </w:rPr>
        <w:fldChar w:fldCharType="begin"/>
      </w:r>
      <w:r w:rsidR="00840D85" w:rsidRPr="00745F52">
        <w:rPr>
          <w:rFonts w:cstheme="minorHAnsi"/>
        </w:rPr>
        <w:instrText xml:space="preserve"> </w:instrText>
      </w:r>
      <w:r w:rsidR="009F7A22">
        <w:rPr>
          <w:rFonts w:cstheme="minorHAnsi"/>
        </w:rPr>
        <w:instrText>ADDIN</w:instrText>
      </w:r>
      <w:r w:rsidR="00840D85" w:rsidRPr="00745F52">
        <w:rPr>
          <w:rFonts w:cstheme="minorHAnsi"/>
        </w:rPr>
        <w:instrText xml:space="preserve"> EN.CITE &lt;EndNote&gt;&lt;Cite&gt;&lt;Author&gt;EBRD and World Bank&lt;/Author&gt;&lt;Year&gt;2006&lt;/Year&gt;&lt;RecNum&gt;75&lt;/RecNum&gt;&lt;DisplayText&gt;(EBRD and World Bank, 2006, 2011)&lt;/DisplayText&gt;&lt;record&gt;&lt;rec-number&gt;75&lt;/rec-number&gt;&lt;foreign-keys&gt;&lt;key app="EN" db-id="wes5dreptvrsr2eeartvxexxftt2tastxrfs"&gt;75&lt;/key&gt;&lt;/foreign-keys&gt;&lt;ref-type name="Book"&gt;6&lt;/ref-type&gt;&lt;contributors&gt;&lt;authors&gt;&lt;author&gt;EBRD and World Bank&lt;/author&gt;&lt;/authors&gt;&lt;/contributors&gt;&lt;titles&gt;&lt;title&gt;The Life in Transition Survey (LiTS) I&lt;/title&gt;&lt;/titles&gt;&lt;dates&gt;&lt;year&gt;2006&lt;/year&gt;&lt;/dates&gt;&lt;urls&gt;&lt;/urls&gt;&lt;/record&gt;&lt;/Cite&gt;&lt;Cite&gt;&lt;Author&gt;EBRD and World Bank&lt;/Author&gt;&lt;Year&gt;2011&lt;/Year&gt;&lt;RecNum&gt;74&lt;/RecNum&gt;&lt;record&gt;&lt;rec-number&gt;74&lt;/rec-number&gt;&lt;foreign-keys&gt;&lt;key app="EN" db-id="wes5dreptvrsr2eeartvxexxftt2tastxrfs"&gt;74&lt;/key&gt;&lt;/foreign-keys&gt;&lt;ref-type name="Dataset"&gt;59&lt;/ref-type&gt;&lt;contributors&gt;&lt;authors&gt;&lt;author&gt;EBRD and World Bank&lt;/author&gt;&lt;/authors&gt;&lt;/contributors&gt;&lt;titles&gt;&lt;title&gt;The Life in Transition Survey (LiTS) II&lt;/title&gt;&lt;/titles&gt;&lt;dates&gt;&lt;year&gt;2011&lt;/year&gt;&lt;/dates&gt;&lt;urls&gt;&lt;/urls&gt;&lt;/record&gt;&lt;/Cite&gt;&lt;/EndNote&gt;</w:instrText>
      </w:r>
      <w:r w:rsidR="00E12159" w:rsidRPr="00745F52">
        <w:rPr>
          <w:rFonts w:cstheme="minorHAnsi"/>
        </w:rPr>
        <w:fldChar w:fldCharType="separate"/>
      </w:r>
      <w:r w:rsidR="00840D85" w:rsidRPr="00745F52">
        <w:rPr>
          <w:rFonts w:cstheme="minorHAnsi"/>
          <w:noProof/>
        </w:rPr>
        <w:t>(</w:t>
      </w:r>
      <w:hyperlink w:anchor="_ENREF_15" w:tooltip="EBRD and World Bank, 2006 #75" w:history="1">
        <w:r w:rsidR="006A1532" w:rsidRPr="00745F52">
          <w:rPr>
            <w:rFonts w:cstheme="minorHAnsi"/>
            <w:noProof/>
          </w:rPr>
          <w:t>EBRD and World Bank, 2006</w:t>
        </w:r>
      </w:hyperlink>
      <w:r w:rsidR="00840D85" w:rsidRPr="00745F52">
        <w:rPr>
          <w:rFonts w:cstheme="minorHAnsi"/>
          <w:noProof/>
        </w:rPr>
        <w:t xml:space="preserve">, </w:t>
      </w:r>
      <w:hyperlink w:anchor="_ENREF_16" w:tooltip="EBRD and World Bank, 2011 #74" w:history="1">
        <w:r w:rsidR="006A1532" w:rsidRPr="00745F52">
          <w:rPr>
            <w:rFonts w:cstheme="minorHAnsi"/>
            <w:noProof/>
          </w:rPr>
          <w:t>2011</w:t>
        </w:r>
      </w:hyperlink>
      <w:r w:rsidR="00840D85" w:rsidRPr="00745F52">
        <w:rPr>
          <w:rFonts w:cstheme="minorHAnsi"/>
          <w:noProof/>
        </w:rPr>
        <w:t>)</w:t>
      </w:r>
      <w:r w:rsidR="00E12159" w:rsidRPr="00745F52">
        <w:rPr>
          <w:rFonts w:cstheme="minorHAnsi"/>
        </w:rPr>
        <w:fldChar w:fldCharType="end"/>
      </w:r>
      <w:r w:rsidR="00840D85" w:rsidRPr="00745F52">
        <w:rPr>
          <w:rFonts w:cstheme="minorHAnsi"/>
        </w:rPr>
        <w:t xml:space="preserve"> have been designed to provide better insights into the effects of the profound transition process</w:t>
      </w:r>
      <w:r w:rsidR="0010252B" w:rsidRPr="00745F52">
        <w:rPr>
          <w:rFonts w:cstheme="minorHAnsi"/>
        </w:rPr>
        <w:t>es</w:t>
      </w:r>
      <w:r w:rsidR="00840D85" w:rsidRPr="00745F52">
        <w:rPr>
          <w:rFonts w:cstheme="minorHAnsi"/>
        </w:rPr>
        <w:t xml:space="preserve"> on</w:t>
      </w:r>
      <w:r w:rsidR="0010252B" w:rsidRPr="00745F52">
        <w:rPr>
          <w:rFonts w:cstheme="minorHAnsi"/>
        </w:rPr>
        <w:t xml:space="preserve"> different spheres of</w:t>
      </w:r>
      <w:r w:rsidR="00840D85" w:rsidRPr="00745F52">
        <w:rPr>
          <w:rFonts w:cstheme="minorHAnsi"/>
        </w:rPr>
        <w:t xml:space="preserve"> individuals’ lives. </w:t>
      </w:r>
      <w:r w:rsidR="00B03B22">
        <w:rPr>
          <w:rFonts w:cstheme="minorHAnsi"/>
        </w:rPr>
        <w:t xml:space="preserve">Among </w:t>
      </w:r>
      <w:proofErr w:type="gramStart"/>
      <w:r w:rsidR="00361635">
        <w:rPr>
          <w:rFonts w:cstheme="minorHAnsi"/>
        </w:rPr>
        <w:t>both men</w:t>
      </w:r>
      <w:proofErr w:type="gramEnd"/>
      <w:r w:rsidR="00B03B22">
        <w:rPr>
          <w:rFonts w:cstheme="minorHAnsi"/>
        </w:rPr>
        <w:t xml:space="preserve"> and women,</w:t>
      </w:r>
      <w:r w:rsidR="0010252B" w:rsidRPr="00745F52">
        <w:rPr>
          <w:rFonts w:cstheme="minorHAnsi"/>
        </w:rPr>
        <w:t xml:space="preserve"> three out of four Tajiks </w:t>
      </w:r>
      <w:r w:rsidR="00D951D3" w:rsidRPr="00745F52">
        <w:rPr>
          <w:rFonts w:cstheme="minorHAnsi"/>
        </w:rPr>
        <w:t xml:space="preserve">report themselves as </w:t>
      </w:r>
      <w:r w:rsidR="0010252B" w:rsidRPr="00745F52">
        <w:rPr>
          <w:rFonts w:cstheme="minorHAnsi"/>
        </w:rPr>
        <w:t>satis</w:t>
      </w:r>
      <w:r w:rsidR="00D951D3" w:rsidRPr="00745F52">
        <w:rPr>
          <w:rFonts w:cstheme="minorHAnsi"/>
        </w:rPr>
        <w:t>fied with their lives</w:t>
      </w:r>
      <w:r w:rsidR="008759C2" w:rsidRPr="00745F52">
        <w:rPr>
          <w:rFonts w:cstheme="minorHAnsi"/>
        </w:rPr>
        <w:t xml:space="preserve"> in 2010</w:t>
      </w:r>
      <w:r w:rsidR="00705D4E" w:rsidRPr="00745F52">
        <w:rPr>
          <w:rFonts w:cstheme="minorHAnsi"/>
        </w:rPr>
        <w:t xml:space="preserve"> (see</w:t>
      </w:r>
      <w:r w:rsidR="008D0D0F" w:rsidRPr="00745F52">
        <w:rPr>
          <w:rFonts w:cstheme="minorHAnsi"/>
          <w:b/>
        </w:rPr>
        <w:t xml:space="preserve"> </w:t>
      </w:r>
      <w:r w:rsidR="00E12159" w:rsidRPr="00745F52">
        <w:rPr>
          <w:rFonts w:cstheme="minorHAnsi"/>
          <w:b/>
        </w:rPr>
        <w:fldChar w:fldCharType="begin"/>
      </w:r>
      <w:r w:rsidR="008D0D0F" w:rsidRPr="00745F52">
        <w:rPr>
          <w:rFonts w:cstheme="minorHAnsi"/>
          <w:b/>
        </w:rPr>
        <w:instrText xml:space="preserve"> </w:instrText>
      </w:r>
      <w:r w:rsidR="009F7A22">
        <w:rPr>
          <w:rFonts w:cstheme="minorHAnsi"/>
          <w:b/>
        </w:rPr>
        <w:instrText>REF</w:instrText>
      </w:r>
      <w:r w:rsidR="008D0D0F" w:rsidRPr="00745F52">
        <w:rPr>
          <w:rFonts w:cstheme="minorHAnsi"/>
          <w:b/>
        </w:rPr>
        <w:instrText xml:space="preserve"> _Ref226517309 \h </w:instrText>
      </w:r>
      <w:r w:rsidR="00E12159" w:rsidRPr="00745F52">
        <w:rPr>
          <w:rFonts w:cstheme="minorHAnsi"/>
          <w:b/>
        </w:rPr>
      </w:r>
      <w:r w:rsidR="00E12159" w:rsidRPr="00745F52">
        <w:rPr>
          <w:rFonts w:cstheme="minorHAnsi"/>
          <w:b/>
        </w:rPr>
        <w:fldChar w:fldCharType="separate"/>
      </w:r>
      <w:r w:rsidR="00183FFF" w:rsidRPr="008D0D0F">
        <w:rPr>
          <w:b/>
          <w:sz w:val="22"/>
          <w:szCs w:val="22"/>
        </w:rPr>
        <w:t xml:space="preserve">Figure </w:t>
      </w:r>
      <w:r w:rsidR="00183FFF">
        <w:rPr>
          <w:b/>
          <w:noProof/>
          <w:sz w:val="22"/>
          <w:szCs w:val="22"/>
        </w:rPr>
        <w:t>4</w:t>
      </w:r>
      <w:r w:rsidR="00E12159" w:rsidRPr="00745F52">
        <w:rPr>
          <w:rFonts w:cstheme="minorHAnsi"/>
          <w:b/>
        </w:rPr>
        <w:fldChar w:fldCharType="end"/>
      </w:r>
      <w:r w:rsidR="00705D4E" w:rsidRPr="00745F52">
        <w:rPr>
          <w:rFonts w:cstheme="minorHAnsi"/>
        </w:rPr>
        <w:t>)</w:t>
      </w:r>
      <w:r w:rsidR="0010252B" w:rsidRPr="00745F52">
        <w:rPr>
          <w:rFonts w:cstheme="minorHAnsi"/>
        </w:rPr>
        <w:t>.</w:t>
      </w:r>
      <w:r w:rsidR="004E1971" w:rsidRPr="00745F52">
        <w:rPr>
          <w:rFonts w:cstheme="minorHAnsi"/>
        </w:rPr>
        <w:t xml:space="preserve"> </w:t>
      </w:r>
      <w:r w:rsidR="00361635">
        <w:rPr>
          <w:rFonts w:cstheme="minorHAnsi"/>
        </w:rPr>
        <w:t>F</w:t>
      </w:r>
      <w:r w:rsidR="00705D4E" w:rsidRPr="00745F52">
        <w:rPr>
          <w:rFonts w:cstheme="minorHAnsi"/>
        </w:rPr>
        <w:t>irstly</w:t>
      </w:r>
      <w:r w:rsidR="004E1971" w:rsidRPr="00745F52">
        <w:rPr>
          <w:rFonts w:cstheme="minorHAnsi"/>
        </w:rPr>
        <w:t>,</w:t>
      </w:r>
      <w:r w:rsidR="00361635">
        <w:rPr>
          <w:rFonts w:cstheme="minorHAnsi"/>
        </w:rPr>
        <w:t xml:space="preserve"> this</w:t>
      </w:r>
      <w:r w:rsidR="004E1971" w:rsidRPr="00745F52">
        <w:rPr>
          <w:rFonts w:cstheme="minorHAnsi"/>
        </w:rPr>
        <w:t xml:space="preserve"> contrasts to percept</w:t>
      </w:r>
      <w:r w:rsidR="0087208A">
        <w:rPr>
          <w:rFonts w:cstheme="minorHAnsi"/>
        </w:rPr>
        <w:t>ions of well</w:t>
      </w:r>
      <w:r w:rsidR="00705D4E" w:rsidRPr="00745F52">
        <w:rPr>
          <w:rFonts w:cstheme="minorHAnsi"/>
        </w:rPr>
        <w:t>being in 2006, as</w:t>
      </w:r>
      <w:r w:rsidR="004E1971" w:rsidRPr="00745F52">
        <w:rPr>
          <w:rFonts w:cstheme="minorHAnsi"/>
        </w:rPr>
        <w:t xml:space="preserve"> women tended to be slightly less satisfied with life than men</w:t>
      </w:r>
      <w:r w:rsidR="00705D4E" w:rsidRPr="00745F52">
        <w:rPr>
          <w:rFonts w:cstheme="minorHAnsi"/>
        </w:rPr>
        <w:t xml:space="preserve"> some years ago</w:t>
      </w:r>
      <w:r w:rsidR="004E1971" w:rsidRPr="00745F52">
        <w:rPr>
          <w:rFonts w:cstheme="minorHAnsi"/>
        </w:rPr>
        <w:t xml:space="preserve">. </w:t>
      </w:r>
      <w:r w:rsidR="00705D4E" w:rsidRPr="00745F52">
        <w:rPr>
          <w:rFonts w:cstheme="minorHAnsi"/>
        </w:rPr>
        <w:t>Secondly</w:t>
      </w:r>
      <w:r w:rsidR="004E1971" w:rsidRPr="00745F52">
        <w:rPr>
          <w:rFonts w:cstheme="minorHAnsi"/>
        </w:rPr>
        <w:t>, t</w:t>
      </w:r>
      <w:r w:rsidR="0010252B" w:rsidRPr="00745F52">
        <w:rPr>
          <w:rFonts w:cstheme="minorHAnsi"/>
        </w:rPr>
        <w:t xml:space="preserve">his widespread satisfaction </w:t>
      </w:r>
      <w:r w:rsidR="00705D4E" w:rsidRPr="00745F52">
        <w:rPr>
          <w:rFonts w:cstheme="minorHAnsi"/>
        </w:rPr>
        <w:t>differs significantly from the</w:t>
      </w:r>
      <w:r w:rsidR="0010252B" w:rsidRPr="00745F52">
        <w:rPr>
          <w:rFonts w:cstheme="minorHAnsi"/>
        </w:rPr>
        <w:t xml:space="preserve"> average perception of </w:t>
      </w:r>
      <w:r w:rsidR="0065231B">
        <w:rPr>
          <w:rFonts w:cstheme="minorHAnsi"/>
        </w:rPr>
        <w:t>well</w:t>
      </w:r>
      <w:r w:rsidR="00D951D3" w:rsidRPr="00745F52">
        <w:rPr>
          <w:rFonts w:cstheme="minorHAnsi"/>
        </w:rPr>
        <w:t>being</w:t>
      </w:r>
      <w:r w:rsidR="005C7763">
        <w:rPr>
          <w:rFonts w:cstheme="minorHAnsi"/>
        </w:rPr>
        <w:t xml:space="preserve"> in the region</w:t>
      </w:r>
      <w:r w:rsidR="00D951D3" w:rsidRPr="00745F52">
        <w:rPr>
          <w:rFonts w:cstheme="minorHAnsi"/>
        </w:rPr>
        <w:t xml:space="preserve"> (43 percent on average in the transition region</w:t>
      </w:r>
      <w:r w:rsidR="00F8107C">
        <w:rPr>
          <w:rStyle w:val="FootnoteReference"/>
          <w:rFonts w:cstheme="minorHAnsi"/>
        </w:rPr>
        <w:footnoteReference w:id="1"/>
      </w:r>
      <w:r w:rsidR="00D951D3" w:rsidRPr="00745F52">
        <w:rPr>
          <w:rFonts w:cstheme="minorHAnsi"/>
        </w:rPr>
        <w:t xml:space="preserve">), </w:t>
      </w:r>
      <w:r w:rsidR="001E6819" w:rsidRPr="00745F52">
        <w:rPr>
          <w:rFonts w:cstheme="minorHAnsi"/>
        </w:rPr>
        <w:t>al</w:t>
      </w:r>
      <w:r w:rsidR="00D951D3" w:rsidRPr="00745F52">
        <w:rPr>
          <w:rFonts w:cstheme="minorHAnsi"/>
        </w:rPr>
        <w:t>though Tajikistan is</w:t>
      </w:r>
      <w:r w:rsidR="001E6819" w:rsidRPr="00745F52">
        <w:rPr>
          <w:rFonts w:cstheme="minorHAnsi"/>
        </w:rPr>
        <w:t xml:space="preserve"> one of</w:t>
      </w:r>
      <w:r w:rsidR="00D951D3" w:rsidRPr="00745F52">
        <w:rPr>
          <w:rFonts w:cstheme="minorHAnsi"/>
        </w:rPr>
        <w:t xml:space="preserve"> the poorest of the </w:t>
      </w:r>
      <w:r w:rsidR="00744D8D" w:rsidRPr="00745F52">
        <w:rPr>
          <w:rFonts w:cstheme="minorHAnsi"/>
        </w:rPr>
        <w:t>surveyed</w:t>
      </w:r>
      <w:r w:rsidR="00D951D3" w:rsidRPr="00745F52">
        <w:rPr>
          <w:rFonts w:cstheme="minorHAnsi"/>
        </w:rPr>
        <w:t xml:space="preserve"> countries.</w:t>
      </w:r>
      <w:r w:rsidR="008759C2" w:rsidRPr="00745F52">
        <w:rPr>
          <w:rFonts w:cstheme="minorHAnsi"/>
        </w:rPr>
        <w:t xml:space="preserve"> </w:t>
      </w:r>
    </w:p>
    <w:p w14:paraId="0203DCC3" w14:textId="77777777" w:rsidR="001E6819" w:rsidRDefault="00336BA6" w:rsidP="002E526A">
      <w:pPr>
        <w:pStyle w:val="MainParawithChapter"/>
        <w:ind w:left="0" w:firstLine="0"/>
        <w:jc w:val="both"/>
        <w:outlineLvl w:val="9"/>
        <w:rPr>
          <w:rFonts w:cstheme="minorHAnsi"/>
        </w:rPr>
      </w:pPr>
      <w:r w:rsidRPr="001E6819">
        <w:rPr>
          <w:rFonts w:cstheme="minorHAnsi"/>
          <w:b/>
        </w:rPr>
        <w:t xml:space="preserve">Men and women share similar views on </w:t>
      </w:r>
      <w:r w:rsidR="00585DB5">
        <w:rPr>
          <w:rFonts w:cstheme="minorHAnsi"/>
          <w:b/>
        </w:rPr>
        <w:t xml:space="preserve">the </w:t>
      </w:r>
      <w:r w:rsidR="008D0D0F">
        <w:rPr>
          <w:rFonts w:cstheme="minorHAnsi"/>
          <w:b/>
        </w:rPr>
        <w:t xml:space="preserve">evolution of the </w:t>
      </w:r>
      <w:r w:rsidR="005006DA">
        <w:rPr>
          <w:rFonts w:cstheme="minorHAnsi"/>
          <w:b/>
        </w:rPr>
        <w:t>political and economic situation of their country</w:t>
      </w:r>
      <w:r w:rsidRPr="001E6819">
        <w:rPr>
          <w:rFonts w:cstheme="minorHAnsi"/>
          <w:b/>
        </w:rPr>
        <w:t xml:space="preserve"> and show widespread optimism for </w:t>
      </w:r>
      <w:r w:rsidR="000B3F3B">
        <w:rPr>
          <w:rFonts w:cstheme="minorHAnsi"/>
          <w:b/>
        </w:rPr>
        <w:t>the wellbeing of future generations</w:t>
      </w:r>
      <w:r w:rsidRPr="001E6819">
        <w:rPr>
          <w:rFonts w:cstheme="minorHAnsi"/>
          <w:b/>
        </w:rPr>
        <w:t>.</w:t>
      </w:r>
      <w:r w:rsidR="001E6819" w:rsidRPr="001E6819">
        <w:rPr>
          <w:rFonts w:cstheme="minorHAnsi"/>
          <w:b/>
        </w:rPr>
        <w:t xml:space="preserve"> </w:t>
      </w:r>
      <w:r w:rsidR="001E6819" w:rsidRPr="001E6819">
        <w:rPr>
          <w:rFonts w:cstheme="minorHAnsi"/>
        </w:rPr>
        <w:t xml:space="preserve">Men and women agree that the political and economic situation </w:t>
      </w:r>
      <w:r w:rsidR="00086343">
        <w:rPr>
          <w:rFonts w:cstheme="minorHAnsi"/>
        </w:rPr>
        <w:t xml:space="preserve">in Tajikistan </w:t>
      </w:r>
      <w:r w:rsidR="001E6819" w:rsidRPr="001E6819">
        <w:rPr>
          <w:rFonts w:cstheme="minorHAnsi"/>
        </w:rPr>
        <w:t>has been continuously improving, and mor</w:t>
      </w:r>
      <w:r w:rsidR="00EA3D05">
        <w:rPr>
          <w:rFonts w:cstheme="minorHAnsi"/>
        </w:rPr>
        <w:t>e so between 2006 and 2010 than in the period over 1989 to 2006.</w:t>
      </w:r>
      <w:r w:rsidR="00A70887">
        <w:rPr>
          <w:rFonts w:cstheme="minorHAnsi"/>
        </w:rPr>
        <w:t xml:space="preserve"> </w:t>
      </w:r>
      <w:r w:rsidR="008D0D0F">
        <w:rPr>
          <w:rFonts w:cstheme="minorHAnsi"/>
        </w:rPr>
        <w:t>Moreover, wh</w:t>
      </w:r>
      <w:r w:rsidR="005825B0">
        <w:rPr>
          <w:rFonts w:cstheme="minorHAnsi"/>
        </w:rPr>
        <w:t>ile only</w:t>
      </w:r>
      <w:r w:rsidR="0065231B">
        <w:rPr>
          <w:rFonts w:cstheme="minorHAnsi"/>
        </w:rPr>
        <w:t xml:space="preserve"> about</w:t>
      </w:r>
      <w:r w:rsidR="005825B0">
        <w:rPr>
          <w:rFonts w:cstheme="minorHAnsi"/>
        </w:rPr>
        <w:t xml:space="preserve"> 35 percent of the respondents</w:t>
      </w:r>
      <w:r w:rsidR="00EA3D05">
        <w:rPr>
          <w:rFonts w:cstheme="minorHAnsi"/>
        </w:rPr>
        <w:t xml:space="preserve"> in 2006</w:t>
      </w:r>
      <w:r w:rsidR="005825B0">
        <w:rPr>
          <w:rFonts w:cstheme="minorHAnsi"/>
        </w:rPr>
        <w:t xml:space="preserve"> </w:t>
      </w:r>
      <w:r w:rsidR="00EA3D05">
        <w:rPr>
          <w:rFonts w:cstheme="minorHAnsi"/>
        </w:rPr>
        <w:t>considered their household</w:t>
      </w:r>
      <w:r w:rsidR="008D0D0F">
        <w:rPr>
          <w:rFonts w:cstheme="minorHAnsi"/>
        </w:rPr>
        <w:t>’s</w:t>
      </w:r>
      <w:r w:rsidR="0065231B">
        <w:rPr>
          <w:rFonts w:cstheme="minorHAnsi"/>
        </w:rPr>
        <w:t xml:space="preserve"> well</w:t>
      </w:r>
      <w:r w:rsidR="00EA3D05">
        <w:rPr>
          <w:rFonts w:cstheme="minorHAnsi"/>
        </w:rPr>
        <w:t xml:space="preserve">being as </w:t>
      </w:r>
      <w:r w:rsidR="000B3F3B">
        <w:rPr>
          <w:rFonts w:cstheme="minorHAnsi"/>
        </w:rPr>
        <w:t>improved</w:t>
      </w:r>
      <w:r w:rsidR="00EA3D05">
        <w:rPr>
          <w:rFonts w:cstheme="minorHAnsi"/>
        </w:rPr>
        <w:t xml:space="preserve"> compared to 1989, 70 percent agreed with this statement when consider</w:t>
      </w:r>
      <w:r w:rsidR="008D0D0F">
        <w:rPr>
          <w:rFonts w:cstheme="minorHAnsi"/>
        </w:rPr>
        <w:t xml:space="preserve">ing </w:t>
      </w:r>
      <w:r w:rsidR="0065231B">
        <w:rPr>
          <w:rFonts w:cstheme="minorHAnsi"/>
        </w:rPr>
        <w:t>changes in household well</w:t>
      </w:r>
      <w:r w:rsidR="008D0D0F">
        <w:rPr>
          <w:rFonts w:cstheme="minorHAnsi"/>
        </w:rPr>
        <w:t>being between 2006 and 2010.</w:t>
      </w:r>
      <w:r w:rsidR="00EA3D05">
        <w:rPr>
          <w:rFonts w:cstheme="minorHAnsi"/>
        </w:rPr>
        <w:t xml:space="preserve"> </w:t>
      </w:r>
      <w:r w:rsidR="00705D4E">
        <w:rPr>
          <w:rFonts w:cstheme="minorHAnsi"/>
        </w:rPr>
        <w:t xml:space="preserve">Outlooks in the future are positive, as </w:t>
      </w:r>
      <w:r w:rsidR="004D546C">
        <w:rPr>
          <w:rFonts w:cstheme="minorHAnsi"/>
        </w:rPr>
        <w:t xml:space="preserve">both </w:t>
      </w:r>
      <w:r w:rsidR="00705D4E">
        <w:rPr>
          <w:rFonts w:cstheme="minorHAnsi"/>
        </w:rPr>
        <w:t>men and wom</w:t>
      </w:r>
      <w:r w:rsidR="004D546C">
        <w:rPr>
          <w:rFonts w:cstheme="minorHAnsi"/>
        </w:rPr>
        <w:t>en</w:t>
      </w:r>
      <w:r w:rsidR="005006DA">
        <w:rPr>
          <w:rFonts w:cstheme="minorHAnsi"/>
        </w:rPr>
        <w:t xml:space="preserve"> </w:t>
      </w:r>
      <w:r w:rsidR="0065231B">
        <w:rPr>
          <w:rFonts w:cstheme="minorHAnsi"/>
        </w:rPr>
        <w:t xml:space="preserve">alike </w:t>
      </w:r>
      <w:r w:rsidR="005006DA">
        <w:rPr>
          <w:rFonts w:cstheme="minorHAnsi"/>
        </w:rPr>
        <w:t xml:space="preserve">largely </w:t>
      </w:r>
      <w:r w:rsidR="00705D4E">
        <w:rPr>
          <w:rFonts w:cstheme="minorHAnsi"/>
        </w:rPr>
        <w:t>expect that children will have a better life than their present generation.</w:t>
      </w:r>
    </w:p>
    <w:p w14:paraId="3DA998CA" w14:textId="77777777" w:rsidR="00106D3B" w:rsidRDefault="00106D3B" w:rsidP="00AE6EFA">
      <w:pPr>
        <w:pStyle w:val="MainParawithChapter"/>
        <w:numPr>
          <w:ilvl w:val="0"/>
          <w:numId w:val="0"/>
        </w:numPr>
        <w:jc w:val="both"/>
        <w:outlineLvl w:val="9"/>
        <w:rPr>
          <w:rFonts w:cstheme="minorHAnsi"/>
        </w:rPr>
      </w:pPr>
    </w:p>
    <w:p w14:paraId="6938D4A4" w14:textId="36C6CC66" w:rsidR="008D0D0F" w:rsidRPr="008D0D0F" w:rsidRDefault="008D0D0F" w:rsidP="00106D3B">
      <w:pPr>
        <w:spacing w:after="60"/>
        <w:jc w:val="center"/>
        <w:rPr>
          <w:b/>
          <w:sz w:val="22"/>
          <w:szCs w:val="22"/>
        </w:rPr>
      </w:pPr>
      <w:bookmarkStart w:id="13" w:name="_Ref226517309"/>
      <w:bookmarkStart w:id="14" w:name="_Toc232694742"/>
      <w:proofErr w:type="gramStart"/>
      <w:r w:rsidRPr="008D0D0F">
        <w:rPr>
          <w:b/>
          <w:sz w:val="22"/>
          <w:szCs w:val="22"/>
        </w:rPr>
        <w:lastRenderedPageBreak/>
        <w:t xml:space="preserve">Figure </w:t>
      </w:r>
      <w:r w:rsidR="00E12159" w:rsidRPr="008D0D0F">
        <w:rPr>
          <w:b/>
          <w:sz w:val="22"/>
          <w:szCs w:val="22"/>
        </w:rPr>
        <w:fldChar w:fldCharType="begin"/>
      </w:r>
      <w:r w:rsidRPr="008D0D0F">
        <w:rPr>
          <w:b/>
          <w:sz w:val="22"/>
          <w:szCs w:val="22"/>
        </w:rPr>
        <w:instrText xml:space="preserve"> </w:instrText>
      </w:r>
      <w:r w:rsidR="009F7A22">
        <w:rPr>
          <w:b/>
          <w:sz w:val="22"/>
          <w:szCs w:val="22"/>
        </w:rPr>
        <w:instrText>SEQ</w:instrText>
      </w:r>
      <w:r w:rsidRPr="008D0D0F">
        <w:rPr>
          <w:b/>
          <w:sz w:val="22"/>
          <w:szCs w:val="22"/>
        </w:rPr>
        <w:instrText xml:space="preserve"> Figure \* ARABIC </w:instrText>
      </w:r>
      <w:r w:rsidR="00E12159" w:rsidRPr="008D0D0F">
        <w:rPr>
          <w:b/>
          <w:sz w:val="22"/>
          <w:szCs w:val="22"/>
        </w:rPr>
        <w:fldChar w:fldCharType="separate"/>
      </w:r>
      <w:r w:rsidR="00183FFF">
        <w:rPr>
          <w:b/>
          <w:noProof/>
          <w:sz w:val="22"/>
          <w:szCs w:val="22"/>
        </w:rPr>
        <w:t>4</w:t>
      </w:r>
      <w:r w:rsidR="00E12159" w:rsidRPr="008D0D0F">
        <w:rPr>
          <w:b/>
          <w:sz w:val="22"/>
          <w:szCs w:val="22"/>
        </w:rPr>
        <w:fldChar w:fldCharType="end"/>
      </w:r>
      <w:bookmarkEnd w:id="13"/>
      <w:r>
        <w:rPr>
          <w:b/>
          <w:sz w:val="22"/>
          <w:szCs w:val="22"/>
        </w:rPr>
        <w:t>.</w:t>
      </w:r>
      <w:proofErr w:type="gramEnd"/>
      <w:r>
        <w:rPr>
          <w:b/>
          <w:sz w:val="22"/>
          <w:szCs w:val="22"/>
        </w:rPr>
        <w:t xml:space="preserve"> Measures of life satisfaction (%), by gender, 2006 and 2010</w:t>
      </w:r>
      <w:bookmarkEnd w:id="14"/>
      <w:r w:rsidR="0087208A">
        <w:rPr>
          <w:b/>
          <w:sz w:val="22"/>
          <w:szCs w:val="22"/>
        </w:rPr>
        <w:t xml:space="preserve"> </w:t>
      </w:r>
    </w:p>
    <w:p w14:paraId="44429370" w14:textId="77777777" w:rsidR="00336BA6" w:rsidRPr="001E6819" w:rsidRDefault="00723225" w:rsidP="00BB7E3B">
      <w:pPr>
        <w:pStyle w:val="Caption"/>
        <w:spacing w:after="60"/>
        <w:jc w:val="center"/>
        <w:rPr>
          <w:rFonts w:cstheme="minorHAnsi"/>
          <w:b w:val="0"/>
        </w:rPr>
      </w:pPr>
      <w:r>
        <w:rPr>
          <w:noProof/>
          <w:lang w:eastAsia="en-US"/>
        </w:rPr>
        <w:drawing>
          <wp:inline distT="0" distB="0" distL="0" distR="0" wp14:anchorId="2488EF78" wp14:editId="345781D9">
            <wp:extent cx="5486400" cy="2448000"/>
            <wp:effectExtent l="0" t="0" r="25400" b="15875"/>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1F03D5" w14:textId="77777777" w:rsidR="00336BA6" w:rsidRPr="006C2225" w:rsidRDefault="00336BA6" w:rsidP="00336BA6">
      <w:pPr>
        <w:jc w:val="both"/>
        <w:rPr>
          <w:sz w:val="22"/>
          <w:szCs w:val="22"/>
        </w:rPr>
      </w:pPr>
      <w:r>
        <w:rPr>
          <w:i/>
          <w:sz w:val="22"/>
          <w:szCs w:val="22"/>
        </w:rPr>
        <w:t xml:space="preserve">Notes: </w:t>
      </w:r>
      <w:r>
        <w:rPr>
          <w:sz w:val="22"/>
          <w:szCs w:val="22"/>
        </w:rPr>
        <w:t xml:space="preserve">Percentage of </w:t>
      </w:r>
      <w:r w:rsidRPr="006C2225">
        <w:rPr>
          <w:sz w:val="22"/>
          <w:szCs w:val="22"/>
        </w:rPr>
        <w:t xml:space="preserve">people includes respondents who strongly agree or agree with the respective statement. "Do not know" answers are excluded for the calculation of shares. Data is weighted. </w:t>
      </w:r>
    </w:p>
    <w:p w14:paraId="45E2DB8B" w14:textId="0AF10A0A" w:rsidR="00336BA6" w:rsidRDefault="00336BA6" w:rsidP="00336BA6">
      <w:pPr>
        <w:jc w:val="both"/>
        <w:rPr>
          <w:sz w:val="22"/>
          <w:szCs w:val="22"/>
        </w:rPr>
      </w:pPr>
      <w:r w:rsidRPr="006C2225">
        <w:rPr>
          <w:i/>
          <w:sz w:val="22"/>
          <w:szCs w:val="22"/>
        </w:rPr>
        <w:t xml:space="preserve">Source: </w:t>
      </w:r>
      <w:proofErr w:type="spellStart"/>
      <w:r w:rsidRPr="006C2225">
        <w:rPr>
          <w:sz w:val="22"/>
          <w:szCs w:val="22"/>
        </w:rPr>
        <w:t>LiTS</w:t>
      </w:r>
      <w:proofErr w:type="spellEnd"/>
      <w:r w:rsidRPr="006C2225">
        <w:rPr>
          <w:sz w:val="22"/>
          <w:szCs w:val="22"/>
        </w:rPr>
        <w:t xml:space="preserve"> </w:t>
      </w:r>
      <w:r w:rsidR="00723225">
        <w:rPr>
          <w:sz w:val="22"/>
          <w:szCs w:val="22"/>
        </w:rPr>
        <w:t xml:space="preserve">I and </w:t>
      </w:r>
      <w:r w:rsidRPr="006C2225">
        <w:rPr>
          <w:sz w:val="22"/>
          <w:szCs w:val="22"/>
        </w:rPr>
        <w:t xml:space="preserve">II </w:t>
      </w:r>
      <w:r w:rsidR="00E12159" w:rsidRPr="006C2225">
        <w:rPr>
          <w:sz w:val="22"/>
          <w:szCs w:val="22"/>
        </w:rPr>
        <w:fldChar w:fldCharType="begin"/>
      </w:r>
      <w:r w:rsidR="009C4819">
        <w:rPr>
          <w:sz w:val="22"/>
          <w:szCs w:val="22"/>
        </w:rPr>
        <w:instrText xml:space="preserve"> </w:instrText>
      </w:r>
      <w:r w:rsidR="009F7A22">
        <w:rPr>
          <w:sz w:val="22"/>
          <w:szCs w:val="22"/>
        </w:rPr>
        <w:instrText>ADDIN</w:instrText>
      </w:r>
      <w:r w:rsidR="009C4819">
        <w:rPr>
          <w:sz w:val="22"/>
          <w:szCs w:val="22"/>
        </w:rPr>
        <w:instrText xml:space="preserve"> EN.CITE &lt;EndNote&gt;&lt;Cite&gt;&lt;Author&gt;EBRD and World Bank&lt;/Author&gt;&lt;Year&gt;2011&lt;/Year&gt;&lt;RecNum&gt;74&lt;/RecNum&gt;&lt;DisplayText&gt;(EBRD and World Bank, 2006, 2011)&lt;/DisplayText&gt;&lt;record&gt;&lt;rec-number&gt;74&lt;/rec-number&gt;&lt;foreign-keys&gt;&lt;key app="EN" db-id="wes5dreptvrsr2eeartvxexxftt2tastxrfs"&gt;74&lt;/key&gt;&lt;/foreign-keys&gt;&lt;ref-type name="Dataset"&gt;59&lt;/ref-type&gt;&lt;contributors&gt;&lt;authors&gt;&lt;author&gt;EBRD and World Bank&lt;/author&gt;&lt;/authors&gt;&lt;/contributors&gt;&lt;titles&gt;&lt;title&gt;The Life in Transition Survey (LiTS) II&lt;/title&gt;&lt;/titles&gt;&lt;dates&gt;&lt;year&gt;2011&lt;/year&gt;&lt;/dates&gt;&lt;urls&gt;&lt;/urls&gt;&lt;/record&gt;&lt;/Cite&gt;&lt;Cite&gt;&lt;Author&gt;EBRD and World Bank&lt;/Author&gt;&lt;Year&gt;2006&lt;/Year&gt;&lt;RecNum&gt;75&lt;/RecNum&gt;&lt;record&gt;&lt;rec-number&gt;75&lt;/rec-number&gt;&lt;foreign-keys&gt;&lt;key app="EN" db-id="wes5dreptvrsr2eeartvxexxftt2tastxrfs"&gt;75&lt;/key&gt;&lt;/foreign-keys&gt;&lt;ref-type name="Book"&gt;6&lt;/ref-type&gt;&lt;contributors&gt;&lt;authors&gt;&lt;author&gt;EBRD and World Bank&lt;/author&gt;&lt;/authors&gt;&lt;/contributors&gt;&lt;titles&gt;&lt;title&gt;The Life in Transition Survey (LiTS) I&lt;/title&gt;&lt;/titles&gt;&lt;dates&gt;&lt;year&gt;2006&lt;/year&gt;&lt;/dates&gt;&lt;urls&gt;&lt;/urls&gt;&lt;/record&gt;&lt;/Cite&gt;&lt;/EndNote&gt;</w:instrText>
      </w:r>
      <w:r w:rsidR="00E12159" w:rsidRPr="006C2225">
        <w:rPr>
          <w:sz w:val="22"/>
          <w:szCs w:val="22"/>
        </w:rPr>
        <w:fldChar w:fldCharType="separate"/>
      </w:r>
      <w:r w:rsidR="009C4819">
        <w:rPr>
          <w:noProof/>
          <w:sz w:val="22"/>
          <w:szCs w:val="22"/>
        </w:rPr>
        <w:t>(</w:t>
      </w:r>
      <w:hyperlink w:anchor="_ENREF_15" w:tooltip="EBRD and World Bank, 2006 #75" w:history="1">
        <w:r w:rsidR="006A1532">
          <w:rPr>
            <w:noProof/>
            <w:sz w:val="22"/>
            <w:szCs w:val="22"/>
          </w:rPr>
          <w:t>EBRD and World Bank, 2006</w:t>
        </w:r>
      </w:hyperlink>
      <w:r w:rsidR="009C4819">
        <w:rPr>
          <w:noProof/>
          <w:sz w:val="22"/>
          <w:szCs w:val="22"/>
        </w:rPr>
        <w:t xml:space="preserve">, </w:t>
      </w:r>
      <w:hyperlink w:anchor="_ENREF_16" w:tooltip="EBRD and World Bank, 2011 #74" w:history="1">
        <w:r w:rsidR="006A1532">
          <w:rPr>
            <w:noProof/>
            <w:sz w:val="22"/>
            <w:szCs w:val="22"/>
          </w:rPr>
          <w:t>2011</w:t>
        </w:r>
      </w:hyperlink>
      <w:r w:rsidR="009C4819">
        <w:rPr>
          <w:noProof/>
          <w:sz w:val="22"/>
          <w:szCs w:val="22"/>
        </w:rPr>
        <w:t>)</w:t>
      </w:r>
      <w:r w:rsidR="00E12159" w:rsidRPr="006C2225">
        <w:rPr>
          <w:sz w:val="22"/>
          <w:szCs w:val="22"/>
        </w:rPr>
        <w:fldChar w:fldCharType="end"/>
      </w:r>
      <w:r>
        <w:rPr>
          <w:sz w:val="22"/>
          <w:szCs w:val="22"/>
        </w:rPr>
        <w:t>.</w:t>
      </w:r>
    </w:p>
    <w:p w14:paraId="2B0D432E" w14:textId="77777777" w:rsidR="004E6B80" w:rsidRPr="00336BA6" w:rsidRDefault="004E6B80" w:rsidP="00336BA6">
      <w:pPr>
        <w:jc w:val="both"/>
        <w:rPr>
          <w:sz w:val="22"/>
          <w:szCs w:val="22"/>
        </w:rPr>
      </w:pPr>
    </w:p>
    <w:p w14:paraId="36D713D4" w14:textId="77777777" w:rsidR="00336BA6" w:rsidRDefault="00E304A3" w:rsidP="00336BA6">
      <w:pPr>
        <w:pStyle w:val="Heading2"/>
      </w:pPr>
      <w:bookmarkStart w:id="15" w:name="_Toc226957244"/>
      <w:r>
        <w:t>General Legal and Institutional Framework</w:t>
      </w:r>
      <w:bookmarkEnd w:id="15"/>
    </w:p>
    <w:p w14:paraId="742076DE" w14:textId="5ED0DA02" w:rsidR="00B20430" w:rsidRPr="00B20430" w:rsidRDefault="00DE60FC" w:rsidP="00534474">
      <w:pPr>
        <w:pStyle w:val="MainParawithChapter"/>
        <w:tabs>
          <w:tab w:val="clear" w:pos="720"/>
        </w:tabs>
        <w:ind w:left="0" w:firstLine="0"/>
        <w:jc w:val="both"/>
        <w:outlineLvl w:val="9"/>
        <w:rPr>
          <w:b/>
          <w:color w:val="000000" w:themeColor="text1"/>
        </w:rPr>
      </w:pPr>
      <w:r>
        <w:rPr>
          <w:b/>
          <w:color w:val="000000" w:themeColor="text1"/>
        </w:rPr>
        <w:t>Tajikistan has set up a</w:t>
      </w:r>
      <w:r w:rsidR="000C4491">
        <w:rPr>
          <w:b/>
          <w:color w:val="000000" w:themeColor="text1"/>
        </w:rPr>
        <w:t xml:space="preserve"> legal framework</w:t>
      </w:r>
      <w:r>
        <w:rPr>
          <w:b/>
          <w:color w:val="000000" w:themeColor="text1"/>
        </w:rPr>
        <w:t xml:space="preserve"> that enshrines principles of equality and non-discrimin</w:t>
      </w:r>
      <w:r w:rsidR="00086343">
        <w:rPr>
          <w:b/>
          <w:color w:val="000000" w:themeColor="text1"/>
        </w:rPr>
        <w:t>ation.</w:t>
      </w:r>
      <w:r w:rsidR="00C54F04">
        <w:rPr>
          <w:b/>
          <w:color w:val="000000" w:themeColor="text1"/>
        </w:rPr>
        <w:t xml:space="preserve"> </w:t>
      </w:r>
      <w:r>
        <w:rPr>
          <w:color w:val="000000" w:themeColor="text1"/>
        </w:rPr>
        <w:t xml:space="preserve">International obligations arise from the ratification of the Convention on the Elimination of All Forms of Discrimination Against Women (CEDAW) in 1993, the Convention on the Political Rights of Women, and the UN Covenant on </w:t>
      </w:r>
      <w:r w:rsidR="00322C3A">
        <w:rPr>
          <w:color w:val="000000" w:themeColor="text1"/>
        </w:rPr>
        <w:t xml:space="preserve">Civil and </w:t>
      </w:r>
      <w:r w:rsidR="00E70809">
        <w:rPr>
          <w:color w:val="000000" w:themeColor="text1"/>
        </w:rPr>
        <w:t>Political Rights (1999). At</w:t>
      </w:r>
      <w:r w:rsidR="00322C3A">
        <w:rPr>
          <w:color w:val="000000" w:themeColor="text1"/>
        </w:rPr>
        <w:t xml:space="preserve"> the national level, Tajikistan’s Constitution declares the principle of equality of men and women. The 2005 law </w:t>
      </w:r>
      <w:r w:rsidR="00322C3A" w:rsidRPr="007510CB">
        <w:rPr>
          <w:color w:val="000000" w:themeColor="text1"/>
        </w:rPr>
        <w:t>‘On State Guarantees of Equal Rights and Equal O</w:t>
      </w:r>
      <w:r w:rsidR="00086343">
        <w:rPr>
          <w:color w:val="000000" w:themeColor="text1"/>
        </w:rPr>
        <w:t>pportunities for Men and W</w:t>
      </w:r>
      <w:r w:rsidR="00322C3A">
        <w:rPr>
          <w:color w:val="000000" w:themeColor="text1"/>
        </w:rPr>
        <w:t>omen</w:t>
      </w:r>
      <w:r w:rsidR="00E70809">
        <w:rPr>
          <w:color w:val="000000" w:themeColor="text1"/>
        </w:rPr>
        <w:t xml:space="preserve"> in t</w:t>
      </w:r>
      <w:r w:rsidR="00E70809">
        <w:t>he Exercise of Such Rights</w:t>
      </w:r>
      <w:r w:rsidR="00322C3A">
        <w:rPr>
          <w:color w:val="000000" w:themeColor="text1"/>
        </w:rPr>
        <w:t>’</w:t>
      </w:r>
      <w:r w:rsidR="002361B0">
        <w:rPr>
          <w:color w:val="000000" w:themeColor="text1"/>
        </w:rPr>
        <w:t xml:space="preserve"> </w:t>
      </w:r>
      <w:r w:rsidR="00E70809">
        <w:rPr>
          <w:color w:val="000000" w:themeColor="text1"/>
        </w:rPr>
        <w:t xml:space="preserve">(hereafter Law on State Guarantees) </w:t>
      </w:r>
      <w:r w:rsidR="002361B0">
        <w:rPr>
          <w:color w:val="000000" w:themeColor="text1"/>
        </w:rPr>
        <w:t xml:space="preserve">provides a </w:t>
      </w:r>
      <w:r w:rsidR="00322C3A">
        <w:rPr>
          <w:color w:val="000000" w:themeColor="text1"/>
        </w:rPr>
        <w:t>definition of ‘dis</w:t>
      </w:r>
      <w:r w:rsidR="002361B0">
        <w:rPr>
          <w:color w:val="000000" w:themeColor="text1"/>
        </w:rPr>
        <w:t xml:space="preserve">crimination’ </w:t>
      </w:r>
      <w:r w:rsidR="00322C3A">
        <w:rPr>
          <w:color w:val="000000" w:themeColor="text1"/>
        </w:rPr>
        <w:t>that is in line with the Convention’s definition</w:t>
      </w:r>
      <w:r w:rsidR="002361B0">
        <w:rPr>
          <w:color w:val="000000" w:themeColor="text1"/>
        </w:rPr>
        <w:t xml:space="preserve"> and bans discrimination in any sphere of life </w:t>
      </w:r>
      <w:r w:rsidR="00E12159">
        <w:rPr>
          <w:color w:val="000000" w:themeColor="text1"/>
        </w:rPr>
        <w:fldChar w:fldCharType="begin"/>
      </w:r>
      <w:r w:rsidR="00322C3A">
        <w:rPr>
          <w:color w:val="000000" w:themeColor="text1"/>
        </w:rPr>
        <w:instrText xml:space="preserve"> ADDIN EN.CITE &lt;EndNote&gt;&lt;Cite&gt;&lt;Author&gt;Mamadazimov&lt;/Author&gt;&lt;Year&gt;2011&lt;/Year&gt;&lt;RecNum&gt;73&lt;/RecNum&gt;&lt;DisplayText&gt;(Mamadazimov &amp;amp; Kuvatova, 2011; UN Committee on the Elimination of Discrimination Against Women (CEDAW), 2007)&lt;/DisplayText&gt;&lt;record&gt;&lt;rec-number&gt;73&lt;/rec-number&gt;&lt;foreign-keys&gt;&lt;key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OSCE/ODIHR&lt;/publisher&gt;&lt;urls&gt;&lt;/urls&gt;&lt;/record&gt;&lt;/Cite&gt;&lt;Cite&gt;&lt;Author&gt;UN Committee on the Elimination of Discrimination Against Women (CEDAW)&lt;/Author&gt;&lt;Year&gt;2007&lt;/Year&gt;&lt;RecNum&gt;84&lt;/RecNum&gt;&lt;record&gt;&lt;rec-number&gt;84&lt;/rec-number&gt;&lt;foreign-keys&gt;&lt;key app="EN" db-id="wes5dreptvrsr2eeartvxexxftt2tastxrfs"&gt;84&lt;/key&gt;&lt;/foreign-keys&gt;&lt;ref-type name="Book"&gt;6&lt;/ref-type&gt;&lt;contributors&gt;&lt;authors&gt;&lt;author&gt;UN Committee on the Elimination of Discrimination Against Women (CEDAW)&lt;/author&gt;&lt;/authors&gt;&lt;/contributors&gt;&lt;titles&gt;&lt;title&gt;UN Committee on the Elimination of Discrimination against Women: Concluding Comments, Tajikistan&lt;/title&gt;&lt;/titles&gt;&lt;dates&gt;&lt;year&gt;2007&lt;/year&gt;&lt;/dates&gt;&lt;pub-location&gt;2 February 2007, CEDAW/C/TJK/CO/3, available at: http://www.unhcr.org/refworld/docid/45f6cd132.html&lt;/pub-location&gt;&lt;urls&gt;&lt;/urls&gt;&lt;/record&gt;&lt;/Cite&gt;&lt;/EndNote&gt;</w:instrText>
      </w:r>
      <w:r w:rsidR="00E12159">
        <w:rPr>
          <w:color w:val="000000" w:themeColor="text1"/>
        </w:rPr>
        <w:fldChar w:fldCharType="separate"/>
      </w:r>
      <w:r w:rsidR="00322C3A">
        <w:rPr>
          <w:noProof/>
          <w:color w:val="000000" w:themeColor="text1"/>
        </w:rPr>
        <w:t>(</w:t>
      </w:r>
      <w:hyperlink w:anchor="_ENREF_34" w:tooltip="Mamadazimov, 2011 #73" w:history="1">
        <w:r w:rsidR="006A1532">
          <w:rPr>
            <w:noProof/>
            <w:color w:val="000000" w:themeColor="text1"/>
          </w:rPr>
          <w:t>Mamadazimov &amp; Kuvatova, 2011</w:t>
        </w:r>
      </w:hyperlink>
      <w:r w:rsidR="00322C3A">
        <w:rPr>
          <w:noProof/>
          <w:color w:val="000000" w:themeColor="text1"/>
        </w:rPr>
        <w:t xml:space="preserve">; </w:t>
      </w:r>
      <w:hyperlink w:anchor="_ENREF_53" w:tooltip="UN Committee on the Elimination of Discrimination Against Women (CEDAW), 2007 #84" w:history="1">
        <w:r w:rsidR="006A1532">
          <w:rPr>
            <w:noProof/>
            <w:color w:val="000000" w:themeColor="text1"/>
          </w:rPr>
          <w:t>UN Committee on the Elimination of Discrimination Against Women (CEDAW), 2007</w:t>
        </w:r>
      </w:hyperlink>
      <w:r w:rsidR="00322C3A">
        <w:rPr>
          <w:noProof/>
          <w:color w:val="000000" w:themeColor="text1"/>
        </w:rPr>
        <w:t>)</w:t>
      </w:r>
      <w:r w:rsidR="00E12159">
        <w:rPr>
          <w:color w:val="000000" w:themeColor="text1"/>
        </w:rPr>
        <w:fldChar w:fldCharType="end"/>
      </w:r>
      <w:r w:rsidR="002361B0">
        <w:rPr>
          <w:color w:val="000000" w:themeColor="text1"/>
        </w:rPr>
        <w:t>.</w:t>
      </w:r>
    </w:p>
    <w:p w14:paraId="1C7D0E19" w14:textId="544C6ADA" w:rsidR="00534474" w:rsidRPr="00116E2A" w:rsidRDefault="00385FDB" w:rsidP="00534474">
      <w:pPr>
        <w:pStyle w:val="MainParawithChapter"/>
        <w:tabs>
          <w:tab w:val="clear" w:pos="720"/>
        </w:tabs>
        <w:ind w:left="0" w:firstLine="0"/>
        <w:jc w:val="both"/>
        <w:outlineLvl w:val="9"/>
        <w:rPr>
          <w:color w:val="000000" w:themeColor="text1"/>
        </w:rPr>
      </w:pPr>
      <w:r w:rsidRPr="008C504B">
        <w:rPr>
          <w:b/>
          <w:color w:val="000000" w:themeColor="text1"/>
        </w:rPr>
        <w:t>The G</w:t>
      </w:r>
      <w:r w:rsidR="00974304" w:rsidRPr="008C504B">
        <w:rPr>
          <w:b/>
          <w:color w:val="000000" w:themeColor="text1"/>
        </w:rPr>
        <w:t xml:space="preserve">overnment </w:t>
      </w:r>
      <w:r w:rsidR="008C504B">
        <w:rPr>
          <w:b/>
          <w:color w:val="000000" w:themeColor="text1"/>
        </w:rPr>
        <w:t xml:space="preserve">of Tajikistan </w:t>
      </w:r>
      <w:r w:rsidR="00974304" w:rsidRPr="008C504B">
        <w:rPr>
          <w:b/>
          <w:color w:val="000000" w:themeColor="text1"/>
        </w:rPr>
        <w:t>has committed itself to ensuring that women’s needs are</w:t>
      </w:r>
      <w:r w:rsidR="007609A5">
        <w:rPr>
          <w:b/>
          <w:color w:val="000000" w:themeColor="text1"/>
        </w:rPr>
        <w:t xml:space="preserve"> explicitly</w:t>
      </w:r>
      <w:r w:rsidR="00974304" w:rsidRPr="008C504B">
        <w:rPr>
          <w:b/>
          <w:color w:val="000000" w:themeColor="text1"/>
        </w:rPr>
        <w:t xml:space="preserve"> addressed in policy-making and that women are represented in leadership positions.</w:t>
      </w:r>
      <w:r w:rsidR="008C504B">
        <w:rPr>
          <w:color w:val="000000" w:themeColor="text1"/>
        </w:rPr>
        <w:t xml:space="preserve"> </w:t>
      </w:r>
      <w:r w:rsidR="00534474">
        <w:rPr>
          <w:color w:val="000000" w:themeColor="text1"/>
        </w:rPr>
        <w:t>In 2001, the Government of Tajikistan</w:t>
      </w:r>
      <w:r w:rsidR="00483EAC">
        <w:rPr>
          <w:color w:val="000000" w:themeColor="text1"/>
        </w:rPr>
        <w:t xml:space="preserve"> (</w:t>
      </w:r>
      <w:proofErr w:type="spellStart"/>
      <w:r w:rsidR="00483EAC">
        <w:rPr>
          <w:color w:val="000000" w:themeColor="text1"/>
        </w:rPr>
        <w:t>GoT</w:t>
      </w:r>
      <w:proofErr w:type="spellEnd"/>
      <w:r w:rsidR="00483EAC">
        <w:rPr>
          <w:color w:val="000000" w:themeColor="text1"/>
        </w:rPr>
        <w:t>)</w:t>
      </w:r>
      <w:r w:rsidR="00534474">
        <w:rPr>
          <w:color w:val="000000" w:themeColor="text1"/>
        </w:rPr>
        <w:t xml:space="preserve"> introduced the state program “</w:t>
      </w:r>
      <w:r w:rsidR="00534474" w:rsidRPr="00534474">
        <w:rPr>
          <w:color w:val="000000" w:themeColor="text1"/>
        </w:rPr>
        <w:t>Basic directions of state policy to ensure equal rights and opportunities for men and women in the Re</w:t>
      </w:r>
      <w:r w:rsidR="00A1472C">
        <w:rPr>
          <w:color w:val="000000" w:themeColor="text1"/>
        </w:rPr>
        <w:t>public of Tajikistan for 2001–</w:t>
      </w:r>
      <w:r w:rsidR="00534474" w:rsidRPr="00534474">
        <w:rPr>
          <w:color w:val="000000" w:themeColor="text1"/>
        </w:rPr>
        <w:t>2010”</w:t>
      </w:r>
      <w:r w:rsidR="00116E2A">
        <w:rPr>
          <w:color w:val="000000" w:themeColor="text1"/>
        </w:rPr>
        <w:t>. This program</w:t>
      </w:r>
      <w:r w:rsidR="002225F8">
        <w:rPr>
          <w:color w:val="000000" w:themeColor="text1"/>
        </w:rPr>
        <w:t>,</w:t>
      </w:r>
      <w:r w:rsidR="00A1472C">
        <w:rPr>
          <w:color w:val="000000" w:themeColor="text1"/>
        </w:rPr>
        <w:t xml:space="preserve"> </w:t>
      </w:r>
      <w:r w:rsidR="0081435D" w:rsidRPr="00745F52">
        <w:rPr>
          <w:i/>
          <w:color w:val="000000" w:themeColor="text1"/>
        </w:rPr>
        <w:t>inter alia</w:t>
      </w:r>
      <w:r w:rsidR="002225F8">
        <w:rPr>
          <w:color w:val="000000" w:themeColor="text1"/>
        </w:rPr>
        <w:t>,</w:t>
      </w:r>
      <w:r w:rsidR="0081435D">
        <w:rPr>
          <w:color w:val="000000" w:themeColor="text1"/>
        </w:rPr>
        <w:t xml:space="preserve"> </w:t>
      </w:r>
      <w:r w:rsidR="00A1472C">
        <w:rPr>
          <w:color w:val="000000" w:themeColor="text1"/>
        </w:rPr>
        <w:t>acknowledged</w:t>
      </w:r>
      <w:r w:rsidR="00534474">
        <w:rPr>
          <w:color w:val="000000" w:themeColor="text1"/>
        </w:rPr>
        <w:t xml:space="preserve"> the need to </w:t>
      </w:r>
      <w:r w:rsidR="007609A5">
        <w:rPr>
          <w:color w:val="000000" w:themeColor="text1"/>
        </w:rPr>
        <w:t xml:space="preserve">overcome </w:t>
      </w:r>
      <w:r w:rsidR="00591528">
        <w:rPr>
          <w:color w:val="000000" w:themeColor="text1"/>
        </w:rPr>
        <w:t xml:space="preserve">social stereotypes </w:t>
      </w:r>
      <w:r w:rsidR="00534474">
        <w:rPr>
          <w:color w:val="000000" w:themeColor="text1"/>
        </w:rPr>
        <w:t xml:space="preserve">in the Tajik society. </w:t>
      </w:r>
      <w:r w:rsidR="008C504B">
        <w:rPr>
          <w:color w:val="000000" w:themeColor="text1"/>
        </w:rPr>
        <w:t xml:space="preserve">The </w:t>
      </w:r>
      <w:proofErr w:type="spellStart"/>
      <w:r w:rsidR="008C504B">
        <w:rPr>
          <w:color w:val="000000" w:themeColor="text1"/>
        </w:rPr>
        <w:t>G</w:t>
      </w:r>
      <w:r w:rsidR="008A2FF2">
        <w:rPr>
          <w:color w:val="000000" w:themeColor="text1"/>
        </w:rPr>
        <w:t>oT</w:t>
      </w:r>
      <w:proofErr w:type="spellEnd"/>
      <w:r w:rsidR="00534474">
        <w:rPr>
          <w:color w:val="000000" w:themeColor="text1"/>
        </w:rPr>
        <w:t xml:space="preserve"> furthermore</w:t>
      </w:r>
      <w:r w:rsidR="00974304" w:rsidRPr="008C504B">
        <w:rPr>
          <w:color w:val="000000" w:themeColor="text1"/>
        </w:rPr>
        <w:t xml:space="preserve"> incorporated separate gender equality sections int</w:t>
      </w:r>
      <w:r w:rsidR="00972A56">
        <w:rPr>
          <w:color w:val="000000" w:themeColor="text1"/>
        </w:rPr>
        <w:t>o the Poverty Reduction Strategies</w:t>
      </w:r>
      <w:r w:rsidR="00295214">
        <w:rPr>
          <w:color w:val="000000" w:themeColor="text1"/>
        </w:rPr>
        <w:t xml:space="preserve"> (PRS)</w:t>
      </w:r>
      <w:r w:rsidR="00974304" w:rsidRPr="008C504B">
        <w:rPr>
          <w:color w:val="000000" w:themeColor="text1"/>
        </w:rPr>
        <w:t xml:space="preserve"> 2007-2009 </w:t>
      </w:r>
      <w:r w:rsidR="002725B7">
        <w:rPr>
          <w:color w:val="000000" w:themeColor="text1"/>
        </w:rPr>
        <w:t xml:space="preserve">and 2010-2012, </w:t>
      </w:r>
      <w:r w:rsidR="00974304" w:rsidRPr="008C504B">
        <w:rPr>
          <w:color w:val="000000" w:themeColor="text1"/>
        </w:rPr>
        <w:t xml:space="preserve">and the National Development Strategy </w:t>
      </w:r>
      <w:r w:rsidR="00295214">
        <w:rPr>
          <w:color w:val="000000" w:themeColor="text1"/>
        </w:rPr>
        <w:t xml:space="preserve">(NDS) </w:t>
      </w:r>
      <w:r w:rsidR="00974304" w:rsidRPr="008C504B">
        <w:rPr>
          <w:color w:val="000000" w:themeColor="text1"/>
        </w:rPr>
        <w:t>to 2015</w:t>
      </w:r>
      <w:r w:rsidR="005B0055">
        <w:rPr>
          <w:color w:val="000000" w:themeColor="text1"/>
        </w:rPr>
        <w:t>. This was</w:t>
      </w:r>
      <w:r w:rsidR="00116E2A">
        <w:rPr>
          <w:color w:val="000000" w:themeColor="text1"/>
        </w:rPr>
        <w:t xml:space="preserve"> </w:t>
      </w:r>
      <w:r w:rsidR="00974304" w:rsidRPr="008C504B">
        <w:rPr>
          <w:color w:val="000000" w:themeColor="text1"/>
        </w:rPr>
        <w:t xml:space="preserve">the first time </w:t>
      </w:r>
      <w:r w:rsidR="00116E2A">
        <w:rPr>
          <w:color w:val="000000" w:themeColor="text1"/>
        </w:rPr>
        <w:t xml:space="preserve">that </w:t>
      </w:r>
      <w:r w:rsidR="00974304" w:rsidRPr="008C504B">
        <w:rPr>
          <w:color w:val="000000" w:themeColor="text1"/>
        </w:rPr>
        <w:t>gender was integrated into medium and long term soc</w:t>
      </w:r>
      <w:r w:rsidR="008C504B">
        <w:rPr>
          <w:color w:val="000000" w:themeColor="text1"/>
        </w:rPr>
        <w:t xml:space="preserve">io-economic planning </w:t>
      </w:r>
      <w:r w:rsidR="00E12159">
        <w:rPr>
          <w:color w:val="000000" w:themeColor="text1"/>
        </w:rPr>
        <w:fldChar w:fldCharType="begin"/>
      </w:r>
      <w:r w:rsidR="008C504B">
        <w:rPr>
          <w:color w:val="000000" w:themeColor="text1"/>
        </w:rPr>
        <w:instrText xml:space="preserve"> </w:instrText>
      </w:r>
      <w:r w:rsidR="009F7A22">
        <w:rPr>
          <w:color w:val="000000" w:themeColor="text1"/>
        </w:rPr>
        <w:instrText>ADDIN</w:instrText>
      </w:r>
      <w:r w:rsidR="008C504B">
        <w:rPr>
          <w:color w:val="000000" w:themeColor="text1"/>
        </w:rPr>
        <w:instrText xml:space="preserve"> EN.CITE &lt;EndNote&gt;&lt;Cite&gt;&lt;Author&gt;The Coalition of Public Associations&lt;/Author&gt;&lt;Year&gt;2009&lt;/Year&gt;&lt;RecNum&gt;76&lt;/RecNum&gt;&lt;DisplayText&gt;(The Coalition of Public Associations, 2009)&lt;/DisplayText&gt;&lt;record&gt;&lt;rec-number&gt;76&lt;/rec-number&gt;&lt;foreign-keys&gt;&lt;key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Facto&amp;quot;&lt;/publisher&gt;&lt;urls&gt;&lt;/urls&gt;&lt;/record&gt;&lt;/Cite&gt;&lt;/EndNote&gt;</w:instrText>
      </w:r>
      <w:r w:rsidR="00E12159">
        <w:rPr>
          <w:color w:val="000000" w:themeColor="text1"/>
        </w:rPr>
        <w:fldChar w:fldCharType="separate"/>
      </w:r>
      <w:r w:rsidR="008C504B">
        <w:rPr>
          <w:color w:val="000000" w:themeColor="text1"/>
        </w:rPr>
        <w:t>(</w:t>
      </w:r>
      <w:hyperlink w:anchor="_ENREF_51" w:tooltip="The Coalition of Public Associations, 2009 #76" w:history="1">
        <w:r w:rsidR="006A1532">
          <w:rPr>
            <w:color w:val="000000" w:themeColor="text1"/>
          </w:rPr>
          <w:t>The Coalition of Public Associations, 2009</w:t>
        </w:r>
      </w:hyperlink>
      <w:r w:rsidR="008C504B">
        <w:rPr>
          <w:color w:val="000000" w:themeColor="text1"/>
        </w:rPr>
        <w:t>)</w:t>
      </w:r>
      <w:r w:rsidR="00E12159">
        <w:rPr>
          <w:color w:val="000000" w:themeColor="text1"/>
        </w:rPr>
        <w:fldChar w:fldCharType="end"/>
      </w:r>
      <w:r w:rsidR="00974304" w:rsidRPr="008C504B">
        <w:rPr>
          <w:color w:val="000000" w:themeColor="text1"/>
        </w:rPr>
        <w:t xml:space="preserve">. </w:t>
      </w:r>
      <w:r w:rsidR="005B0055">
        <w:rPr>
          <w:color w:val="000000" w:themeColor="text1"/>
        </w:rPr>
        <w:t>Additionally, i</w:t>
      </w:r>
      <w:r w:rsidR="008A2FF2">
        <w:rPr>
          <w:color w:val="000000" w:themeColor="text1"/>
        </w:rPr>
        <w:t>n 2010, the</w:t>
      </w:r>
      <w:r w:rsidR="0081435D">
        <w:rPr>
          <w:color w:val="000000" w:themeColor="text1"/>
        </w:rPr>
        <w:t xml:space="preserve"> National</w:t>
      </w:r>
      <w:r w:rsidR="0081435D" w:rsidRPr="0081435D">
        <w:rPr>
          <w:color w:val="000000" w:themeColor="text1"/>
        </w:rPr>
        <w:t xml:space="preserve"> Strategy on Activating the Role of Women in </w:t>
      </w:r>
      <w:r w:rsidR="0081435D" w:rsidRPr="0081435D">
        <w:rPr>
          <w:color w:val="000000" w:themeColor="text1"/>
        </w:rPr>
        <w:lastRenderedPageBreak/>
        <w:t>Tajikistan 2011-2020</w:t>
      </w:r>
      <w:r w:rsidR="0081435D">
        <w:rPr>
          <w:color w:val="000000" w:themeColor="text1"/>
        </w:rPr>
        <w:t xml:space="preserve"> </w:t>
      </w:r>
      <w:r w:rsidR="002225F8">
        <w:rPr>
          <w:color w:val="000000" w:themeColor="text1"/>
        </w:rPr>
        <w:t>was</w:t>
      </w:r>
      <w:r w:rsidR="008A2FF2">
        <w:rPr>
          <w:color w:val="000000" w:themeColor="text1"/>
        </w:rPr>
        <w:t xml:space="preserve"> adopted </w:t>
      </w:r>
      <w:r w:rsidR="00E12159">
        <w:rPr>
          <w:color w:val="000000" w:themeColor="text1"/>
        </w:rPr>
        <w:fldChar w:fldCharType="begin"/>
      </w:r>
      <w:r w:rsidR="0026478B">
        <w:rPr>
          <w:color w:val="000000" w:themeColor="text1"/>
        </w:rPr>
        <w:instrText xml:space="preserve"> </w:instrText>
      </w:r>
      <w:r w:rsidR="009F7A22">
        <w:rPr>
          <w:color w:val="000000" w:themeColor="text1"/>
        </w:rPr>
        <w:instrText>ADDIN</w:instrText>
      </w:r>
      <w:r w:rsidR="0026478B">
        <w:rPr>
          <w:color w:val="000000" w:themeColor="text1"/>
        </w:rPr>
        <w:instrText xml:space="preserve"> EN.CITE &lt;EndNote&gt;&lt;Cite&gt;&lt;Author&gt;Public Organizations of Tajikistan&lt;/Author&gt;&lt;Year&gt;2012&lt;/Year&gt;&lt;RecNum&gt;77&lt;/RecNum&gt;&lt;DisplayText&gt;(Public Organizations of Tajikistan, 2012; The Coalition of Public Associations, 2009)&lt;/DisplayText&gt;&lt;record&gt;&lt;rec-number&gt;77&lt;/rec-number&gt;&lt;foreign-keys&gt;&lt;key app="EN" db-id="wes5dreptvrsr2eeartvxexxftt2tastxrfs"&gt;77&lt;/key&gt;&lt;/foreign-keys&gt;&lt;ref-type name="Book"&gt;6&lt;/ref-type&gt;&lt;contributors&gt;&lt;authors&gt;&lt;author&gt;Public Organizations of Tajikistan&lt;/author&gt;&lt;/authors&gt;&lt;/contributors&gt;&lt;titles&gt;&lt;title&gt;The Second Shadow Report on the Realization of the Convention on the Elimination of All Forms of Discrimination against Women&lt;/title&gt;&lt;/titles&gt;&lt;dates&gt;&lt;year&gt;2012&lt;/year&gt;&lt;/dates&gt;&lt;pub-location&gt;Dushanbe&lt;/pub-location&gt;&lt;publisher&gt;Public Organizations of Tajikistan&lt;/publisher&gt;&lt;urls&gt;&lt;/urls&gt;&lt;/record&gt;&lt;/Cite&gt;&lt;Cite&gt;&lt;Author&gt;The Coalition of Public Associations&lt;/Author&gt;&lt;Year&gt;2009&lt;/Year&gt;&lt;RecNum&gt;76&lt;/RecNum&gt;&lt;record&gt;&lt;rec-number&gt;76&lt;/rec-number&gt;&lt;foreign-keys&gt;&lt;key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Facto&amp;quot;&lt;/publisher&gt;&lt;urls&gt;&lt;/urls&gt;&lt;/record&gt;&lt;/Cite&gt;&lt;/EndNote&gt;</w:instrText>
      </w:r>
      <w:r w:rsidR="00E12159">
        <w:rPr>
          <w:color w:val="000000" w:themeColor="text1"/>
        </w:rPr>
        <w:fldChar w:fldCharType="separate"/>
      </w:r>
      <w:r w:rsidR="0026478B">
        <w:rPr>
          <w:noProof/>
          <w:color w:val="000000" w:themeColor="text1"/>
        </w:rPr>
        <w:t>(</w:t>
      </w:r>
      <w:hyperlink w:anchor="_ENREF_41" w:tooltip="Public Organizations of Tajikistan, 2012 #77" w:history="1">
        <w:r w:rsidR="006A1532">
          <w:rPr>
            <w:noProof/>
            <w:color w:val="000000" w:themeColor="text1"/>
          </w:rPr>
          <w:t>Public Organizations of Tajikistan, 2012</w:t>
        </w:r>
      </w:hyperlink>
      <w:r w:rsidR="0026478B">
        <w:rPr>
          <w:noProof/>
          <w:color w:val="000000" w:themeColor="text1"/>
        </w:rPr>
        <w:t xml:space="preserve">; </w:t>
      </w:r>
      <w:hyperlink w:anchor="_ENREF_51" w:tooltip="The Coalition of Public Associations, 2009 #76" w:history="1">
        <w:r w:rsidR="006A1532">
          <w:rPr>
            <w:noProof/>
            <w:color w:val="000000" w:themeColor="text1"/>
          </w:rPr>
          <w:t>The Coalition of Public Associations, 2009</w:t>
        </w:r>
      </w:hyperlink>
      <w:r w:rsidR="0026478B">
        <w:rPr>
          <w:noProof/>
          <w:color w:val="000000" w:themeColor="text1"/>
        </w:rPr>
        <w:t>)</w:t>
      </w:r>
      <w:r w:rsidR="00E12159">
        <w:rPr>
          <w:color w:val="000000" w:themeColor="text1"/>
        </w:rPr>
        <w:fldChar w:fldCharType="end"/>
      </w:r>
      <w:r w:rsidR="0026478B">
        <w:rPr>
          <w:color w:val="000000" w:themeColor="text1"/>
        </w:rPr>
        <w:t>.</w:t>
      </w:r>
      <w:r w:rsidR="00086343" w:rsidRPr="00086343">
        <w:rPr>
          <w:rStyle w:val="FootnoteReference"/>
          <w:color w:val="000000" w:themeColor="text1"/>
        </w:rPr>
        <w:t xml:space="preserve"> </w:t>
      </w:r>
      <w:r w:rsidR="00086343">
        <w:rPr>
          <w:rStyle w:val="FootnoteReference"/>
          <w:color w:val="000000" w:themeColor="text1"/>
        </w:rPr>
        <w:footnoteReference w:id="2"/>
      </w:r>
    </w:p>
    <w:p w14:paraId="04929AD8" w14:textId="5D48E68E" w:rsidR="00974304" w:rsidRPr="00C23842" w:rsidRDefault="00974304" w:rsidP="00974304">
      <w:pPr>
        <w:pStyle w:val="MainParawithChapter"/>
        <w:tabs>
          <w:tab w:val="clear" w:pos="720"/>
        </w:tabs>
        <w:ind w:left="0" w:firstLine="0"/>
        <w:jc w:val="both"/>
        <w:outlineLvl w:val="9"/>
        <w:rPr>
          <w:bCs/>
          <w:caps/>
          <w:color w:val="000000" w:themeColor="text1"/>
          <w:sz w:val="32"/>
          <w:szCs w:val="32"/>
        </w:rPr>
      </w:pPr>
      <w:r w:rsidRPr="00C23842">
        <w:rPr>
          <w:b/>
          <w:color w:val="000000" w:themeColor="text1"/>
        </w:rPr>
        <w:t>The State Committee of Statistics of Tajikistan has developed gender disag</w:t>
      </w:r>
      <w:r w:rsidR="00C23842">
        <w:rPr>
          <w:b/>
          <w:color w:val="000000" w:themeColor="text1"/>
        </w:rPr>
        <w:t xml:space="preserve">gregated statistical reporting and introduced gender indicators </w:t>
      </w:r>
      <w:r w:rsidRPr="00C23842">
        <w:rPr>
          <w:b/>
          <w:color w:val="000000" w:themeColor="text1"/>
        </w:rPr>
        <w:t>in national reporting forms.</w:t>
      </w:r>
      <w:r w:rsidR="00972A56">
        <w:rPr>
          <w:color w:val="000000" w:themeColor="text1"/>
        </w:rPr>
        <w:t xml:space="preserve"> In 2009, a</w:t>
      </w:r>
      <w:r w:rsidR="00C23842">
        <w:rPr>
          <w:color w:val="000000" w:themeColor="text1"/>
        </w:rPr>
        <w:t>pproximately 40 percent</w:t>
      </w:r>
      <w:r w:rsidRPr="00C23842">
        <w:rPr>
          <w:color w:val="000000" w:themeColor="text1"/>
        </w:rPr>
        <w:t xml:space="preserve"> of </w:t>
      </w:r>
      <w:r w:rsidR="00C23842">
        <w:rPr>
          <w:color w:val="000000" w:themeColor="text1"/>
        </w:rPr>
        <w:t xml:space="preserve">all statistical and in-house reports of </w:t>
      </w:r>
      <w:r w:rsidRPr="00C23842">
        <w:rPr>
          <w:color w:val="000000" w:themeColor="text1"/>
        </w:rPr>
        <w:t>governme</w:t>
      </w:r>
      <w:r w:rsidR="00972A56">
        <w:rPr>
          <w:color w:val="000000" w:themeColor="text1"/>
        </w:rPr>
        <w:t>nt agencies and departments had</w:t>
      </w:r>
      <w:r w:rsidRPr="00C23842">
        <w:rPr>
          <w:color w:val="000000" w:themeColor="text1"/>
        </w:rPr>
        <w:t xml:space="preserve"> adopted gender</w:t>
      </w:r>
      <w:r w:rsidR="00972A56">
        <w:rPr>
          <w:color w:val="000000" w:themeColor="text1"/>
        </w:rPr>
        <w:t xml:space="preserve"> disaggregated reporting</w:t>
      </w:r>
      <w:r w:rsidRPr="00C23842">
        <w:rPr>
          <w:color w:val="000000" w:themeColor="text1"/>
        </w:rPr>
        <w:t xml:space="preserve">. </w:t>
      </w:r>
      <w:r w:rsidR="00295214">
        <w:rPr>
          <w:color w:val="000000" w:themeColor="text1"/>
        </w:rPr>
        <w:t>Additionally</w:t>
      </w:r>
      <w:r w:rsidRPr="00C23842">
        <w:rPr>
          <w:color w:val="000000" w:themeColor="text1"/>
        </w:rPr>
        <w:t>, more</w:t>
      </w:r>
      <w:r w:rsidR="00972A56">
        <w:rPr>
          <w:color w:val="000000" w:themeColor="text1"/>
        </w:rPr>
        <w:t xml:space="preserve"> than 100 gender indicators had</w:t>
      </w:r>
      <w:r w:rsidRPr="00C23842">
        <w:rPr>
          <w:color w:val="000000" w:themeColor="text1"/>
        </w:rPr>
        <w:t xml:space="preserve"> been developed for the monitoring and evaluation of the Millen</w:t>
      </w:r>
      <w:r w:rsidR="00295214">
        <w:rPr>
          <w:color w:val="000000" w:themeColor="text1"/>
        </w:rPr>
        <w:t>nium Development Goals, the PRS</w:t>
      </w:r>
      <w:r w:rsidR="00972A56">
        <w:rPr>
          <w:color w:val="000000" w:themeColor="text1"/>
        </w:rPr>
        <w:t>,</w:t>
      </w:r>
      <w:r w:rsidR="00295214">
        <w:rPr>
          <w:color w:val="000000" w:themeColor="text1"/>
        </w:rPr>
        <w:t xml:space="preserve"> and NDS </w:t>
      </w:r>
      <w:r w:rsidR="00E12159">
        <w:rPr>
          <w:color w:val="000000" w:themeColor="text1"/>
        </w:rPr>
        <w:fldChar w:fldCharType="begin"/>
      </w:r>
      <w:r w:rsidR="00295214">
        <w:rPr>
          <w:color w:val="000000" w:themeColor="text1"/>
        </w:rPr>
        <w:instrText xml:space="preserve"> </w:instrText>
      </w:r>
      <w:r w:rsidR="009F7A22">
        <w:rPr>
          <w:color w:val="000000" w:themeColor="text1"/>
        </w:rPr>
        <w:instrText>ADDIN</w:instrText>
      </w:r>
      <w:r w:rsidR="00295214">
        <w:rPr>
          <w:color w:val="000000" w:themeColor="text1"/>
        </w:rPr>
        <w:instrText xml:space="preserve"> EN.CITE &lt;EndNote&gt;&lt;Cite&gt;&lt;Author&gt;The Coalition of Public Associations&lt;/Author&gt;&lt;Year&gt;2009&lt;/Year&gt;&lt;RecNum&gt;76&lt;/RecNum&gt;&lt;DisplayText&gt;(The Coalition of Public Associations, 2009)&lt;/DisplayText&gt;&lt;record&gt;&lt;rec-number&gt;76&lt;/rec-number&gt;&lt;foreign-keys&gt;&lt;key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Facto&amp;quot;&lt;/publisher&gt;&lt;urls&gt;&lt;/urls&gt;&lt;/record&gt;&lt;/Cite&gt;&lt;/EndNote&gt;</w:instrText>
      </w:r>
      <w:r w:rsidR="00E12159">
        <w:rPr>
          <w:color w:val="000000" w:themeColor="text1"/>
        </w:rPr>
        <w:fldChar w:fldCharType="separate"/>
      </w:r>
      <w:r w:rsidR="00295214">
        <w:rPr>
          <w:noProof/>
          <w:color w:val="000000" w:themeColor="text1"/>
        </w:rPr>
        <w:t>(</w:t>
      </w:r>
      <w:hyperlink w:anchor="_ENREF_51" w:tooltip="The Coalition of Public Associations, 2009 #76" w:history="1">
        <w:r w:rsidR="006A1532">
          <w:rPr>
            <w:noProof/>
            <w:color w:val="000000" w:themeColor="text1"/>
          </w:rPr>
          <w:t>The Coalition of Public Associations, 2009</w:t>
        </w:r>
      </w:hyperlink>
      <w:r w:rsidR="00295214">
        <w:rPr>
          <w:noProof/>
          <w:color w:val="000000" w:themeColor="text1"/>
        </w:rPr>
        <w:t>)</w:t>
      </w:r>
      <w:r w:rsidR="00E12159">
        <w:rPr>
          <w:color w:val="000000" w:themeColor="text1"/>
        </w:rPr>
        <w:fldChar w:fldCharType="end"/>
      </w:r>
      <w:r w:rsidR="001D513F">
        <w:rPr>
          <w:color w:val="000000" w:themeColor="text1"/>
        </w:rPr>
        <w:t>.</w:t>
      </w:r>
      <w:r w:rsidRPr="00C23842">
        <w:rPr>
          <w:color w:val="000000" w:themeColor="text1"/>
        </w:rPr>
        <w:t xml:space="preserve"> </w:t>
      </w:r>
      <w:r w:rsidR="001D513F">
        <w:rPr>
          <w:color w:val="000000" w:themeColor="text1"/>
        </w:rPr>
        <w:t xml:space="preserve">Regular, gender disaggregated statistics are </w:t>
      </w:r>
      <w:r w:rsidR="00B519C0">
        <w:rPr>
          <w:color w:val="000000" w:themeColor="text1"/>
        </w:rPr>
        <w:t>critica</w:t>
      </w:r>
      <w:r w:rsidR="001D513F">
        <w:rPr>
          <w:color w:val="000000" w:themeColor="text1"/>
        </w:rPr>
        <w:t>l in order to inform pol</w:t>
      </w:r>
      <w:r w:rsidR="00E03C65">
        <w:rPr>
          <w:color w:val="000000" w:themeColor="text1"/>
        </w:rPr>
        <w:t>icy-making in all spheres of</w:t>
      </w:r>
      <w:r w:rsidR="001D513F">
        <w:rPr>
          <w:color w:val="000000" w:themeColor="text1"/>
        </w:rPr>
        <w:t xml:space="preserve"> social and economic life.</w:t>
      </w:r>
    </w:p>
    <w:p w14:paraId="074B0812" w14:textId="114B22A7" w:rsidR="00974304" w:rsidRPr="007510CB" w:rsidRDefault="00E00985" w:rsidP="00974304">
      <w:pPr>
        <w:pStyle w:val="MainParawithChapter"/>
        <w:tabs>
          <w:tab w:val="clear" w:pos="720"/>
        </w:tabs>
        <w:ind w:left="0" w:firstLine="0"/>
        <w:jc w:val="both"/>
        <w:outlineLvl w:val="9"/>
        <w:rPr>
          <w:bCs/>
          <w:caps/>
          <w:color w:val="000000" w:themeColor="text1"/>
          <w:sz w:val="32"/>
          <w:szCs w:val="32"/>
        </w:rPr>
      </w:pPr>
      <w:r>
        <w:rPr>
          <w:b/>
          <w:color w:val="000000" w:themeColor="text1"/>
        </w:rPr>
        <w:t>Nevertheless, w</w:t>
      </w:r>
      <w:r w:rsidR="00974304" w:rsidRPr="007510CB">
        <w:rPr>
          <w:b/>
          <w:color w:val="000000" w:themeColor="text1"/>
        </w:rPr>
        <w:t xml:space="preserve">hile there is no </w:t>
      </w:r>
      <w:r w:rsidR="00974304" w:rsidRPr="007510CB">
        <w:rPr>
          <w:b/>
          <w:i/>
          <w:color w:val="000000" w:themeColor="text1"/>
        </w:rPr>
        <w:t>de jure</w:t>
      </w:r>
      <w:r w:rsidR="00974304" w:rsidRPr="007510CB">
        <w:rPr>
          <w:b/>
          <w:color w:val="000000" w:themeColor="text1"/>
        </w:rPr>
        <w:t xml:space="preserve"> discrimination against women, </w:t>
      </w:r>
      <w:r w:rsidR="00223BDC">
        <w:rPr>
          <w:b/>
          <w:color w:val="000000" w:themeColor="text1"/>
        </w:rPr>
        <w:t xml:space="preserve">lack of harmonization of laws </w:t>
      </w:r>
      <w:r w:rsidR="00B10B5E">
        <w:rPr>
          <w:b/>
          <w:color w:val="000000" w:themeColor="text1"/>
        </w:rPr>
        <w:t xml:space="preserve">and regulations </w:t>
      </w:r>
      <w:r w:rsidR="00223BDC">
        <w:rPr>
          <w:b/>
          <w:color w:val="000000" w:themeColor="text1"/>
        </w:rPr>
        <w:t xml:space="preserve">and weak institutional mechanisms are </w:t>
      </w:r>
      <w:r w:rsidR="007510CB" w:rsidRPr="0011031A">
        <w:rPr>
          <w:b/>
          <w:i/>
          <w:color w:val="000000" w:themeColor="text1"/>
        </w:rPr>
        <w:t>de facto</w:t>
      </w:r>
      <w:r w:rsidR="007510CB" w:rsidRPr="007510CB">
        <w:rPr>
          <w:b/>
          <w:color w:val="000000" w:themeColor="text1"/>
        </w:rPr>
        <w:t xml:space="preserve"> obstacles to gender equality.</w:t>
      </w:r>
      <w:r w:rsidR="00974304" w:rsidRPr="007510CB">
        <w:rPr>
          <w:color w:val="000000" w:themeColor="text1"/>
        </w:rPr>
        <w:t xml:space="preserve"> Significant di</w:t>
      </w:r>
      <w:r w:rsidR="00C7235F" w:rsidRPr="007510CB">
        <w:rPr>
          <w:color w:val="000000" w:themeColor="text1"/>
        </w:rPr>
        <w:t>ssonance exists between the 2005</w:t>
      </w:r>
      <w:r w:rsidR="00974304" w:rsidRPr="007510CB">
        <w:rPr>
          <w:color w:val="000000" w:themeColor="text1"/>
        </w:rPr>
        <w:t xml:space="preserve"> </w:t>
      </w:r>
      <w:r w:rsidR="00E70809">
        <w:rPr>
          <w:color w:val="000000" w:themeColor="text1"/>
        </w:rPr>
        <w:t>Law o</w:t>
      </w:r>
      <w:r w:rsidR="00391CB3" w:rsidRPr="007510CB">
        <w:rPr>
          <w:color w:val="000000" w:themeColor="text1"/>
        </w:rPr>
        <w:t xml:space="preserve">n </w:t>
      </w:r>
      <w:r w:rsidR="00974304" w:rsidRPr="007510CB">
        <w:rPr>
          <w:color w:val="000000" w:themeColor="text1"/>
        </w:rPr>
        <w:t xml:space="preserve">State </w:t>
      </w:r>
      <w:r w:rsidR="00E70809">
        <w:rPr>
          <w:color w:val="000000" w:themeColor="text1"/>
        </w:rPr>
        <w:t>Guarantees</w:t>
      </w:r>
      <w:r w:rsidR="00974304" w:rsidRPr="007510CB">
        <w:rPr>
          <w:color w:val="000000" w:themeColor="text1"/>
        </w:rPr>
        <w:t xml:space="preserve"> and other laws and regulations. </w:t>
      </w:r>
      <w:r w:rsidR="0011031A">
        <w:rPr>
          <w:color w:val="000000" w:themeColor="text1"/>
        </w:rPr>
        <w:t xml:space="preserve">Newly adopted as well as </w:t>
      </w:r>
      <w:r w:rsidR="00D72FE1" w:rsidRPr="007510CB">
        <w:rPr>
          <w:color w:val="000000" w:themeColor="text1"/>
        </w:rPr>
        <w:t xml:space="preserve">existing laws and regulations have not been analyzed and revised in order to bring them in </w:t>
      </w:r>
      <w:r w:rsidR="00C64E93" w:rsidRPr="007510CB">
        <w:rPr>
          <w:color w:val="000000" w:themeColor="text1"/>
        </w:rPr>
        <w:t>line</w:t>
      </w:r>
      <w:r w:rsidR="00D72FE1" w:rsidRPr="007510CB">
        <w:rPr>
          <w:color w:val="000000" w:themeColor="text1"/>
        </w:rPr>
        <w:t xml:space="preserve"> </w:t>
      </w:r>
      <w:r w:rsidR="0011031A">
        <w:rPr>
          <w:color w:val="000000" w:themeColor="text1"/>
        </w:rPr>
        <w:t xml:space="preserve">and explicitly link them </w:t>
      </w:r>
      <w:r w:rsidR="00D72FE1" w:rsidRPr="007510CB">
        <w:rPr>
          <w:color w:val="000000" w:themeColor="text1"/>
        </w:rPr>
        <w:t>with the</w:t>
      </w:r>
      <w:r w:rsidR="00B519C0">
        <w:rPr>
          <w:color w:val="000000" w:themeColor="text1"/>
        </w:rPr>
        <w:t xml:space="preserve"> enacted </w:t>
      </w:r>
      <w:r w:rsidR="00E70809">
        <w:rPr>
          <w:color w:val="000000" w:themeColor="text1"/>
        </w:rPr>
        <w:t>Law on State Guarantees</w:t>
      </w:r>
      <w:r w:rsidR="0011031A">
        <w:rPr>
          <w:color w:val="000000" w:themeColor="text1"/>
        </w:rPr>
        <w:t>. Moreover, t</w:t>
      </w:r>
      <w:r w:rsidR="00A733E4">
        <w:rPr>
          <w:color w:val="000000" w:themeColor="text1"/>
        </w:rPr>
        <w:t xml:space="preserve">here is a lack of </w:t>
      </w:r>
      <w:r w:rsidR="00D72FE1" w:rsidRPr="007510CB">
        <w:rPr>
          <w:color w:val="000000" w:themeColor="text1"/>
        </w:rPr>
        <w:t xml:space="preserve">legal and </w:t>
      </w:r>
      <w:r w:rsidR="00492780">
        <w:rPr>
          <w:color w:val="000000" w:themeColor="text1"/>
        </w:rPr>
        <w:t>institutional framework for the law’s</w:t>
      </w:r>
      <w:r w:rsidR="00072E14">
        <w:rPr>
          <w:color w:val="000000" w:themeColor="text1"/>
        </w:rPr>
        <w:t xml:space="preserve"> </w:t>
      </w:r>
      <w:r w:rsidR="00223BDC">
        <w:rPr>
          <w:color w:val="000000" w:themeColor="text1"/>
        </w:rPr>
        <w:t>implementation.</w:t>
      </w:r>
      <w:r w:rsidR="00745F52" w:rsidRPr="007510CB">
        <w:rPr>
          <w:color w:val="000000" w:themeColor="text1"/>
        </w:rPr>
        <w:t xml:space="preserve"> </w:t>
      </w:r>
      <w:r w:rsidR="00223BDC" w:rsidRPr="00C7235F">
        <w:rPr>
          <w:color w:val="000000" w:themeColor="text1"/>
        </w:rPr>
        <w:t>Ineffective enforcement mechanisms and weak monitoring and eval</w:t>
      </w:r>
      <w:r w:rsidR="00223BDC">
        <w:rPr>
          <w:color w:val="000000" w:themeColor="text1"/>
        </w:rPr>
        <w:t>uation of planned activities have hindered</w:t>
      </w:r>
      <w:r w:rsidR="00223BDC" w:rsidRPr="00C7235F">
        <w:rPr>
          <w:color w:val="000000" w:themeColor="text1"/>
        </w:rPr>
        <w:t xml:space="preserve"> </w:t>
      </w:r>
      <w:r w:rsidR="00B10B5E">
        <w:rPr>
          <w:color w:val="000000" w:themeColor="text1"/>
        </w:rPr>
        <w:t xml:space="preserve">its </w:t>
      </w:r>
      <w:r w:rsidR="00DD58C9">
        <w:rPr>
          <w:color w:val="000000" w:themeColor="text1"/>
        </w:rPr>
        <w:t>implementation</w:t>
      </w:r>
      <w:r w:rsidR="00223BDC">
        <w:rPr>
          <w:color w:val="000000" w:themeColor="text1"/>
        </w:rPr>
        <w:t>, for instance</w:t>
      </w:r>
      <w:r w:rsidR="00C61B99">
        <w:rPr>
          <w:color w:val="000000" w:themeColor="text1"/>
        </w:rPr>
        <w:t xml:space="preserve"> with respect to the</w:t>
      </w:r>
      <w:r w:rsidR="00223BDC" w:rsidRPr="00C7235F">
        <w:rPr>
          <w:color w:val="000000" w:themeColor="text1"/>
        </w:rPr>
        <w:t xml:space="preserve"> involvement of women in pol</w:t>
      </w:r>
      <w:r w:rsidR="00223BDC">
        <w:rPr>
          <w:color w:val="000000" w:themeColor="text1"/>
        </w:rPr>
        <w:t xml:space="preserve">itical decision-making </w:t>
      </w:r>
      <w:r w:rsidR="00E12159" w:rsidRPr="007510CB">
        <w:rPr>
          <w:color w:val="000000" w:themeColor="text1"/>
        </w:rPr>
        <w:fldChar w:fldCharType="begin"/>
      </w:r>
      <w:r w:rsidR="00FB569F">
        <w:rPr>
          <w:color w:val="000000" w:themeColor="text1"/>
        </w:rPr>
        <w:instrText xml:space="preserve"> ADDIN EN.CITE &lt;EndNote&gt;&lt;Cite&gt;&lt;Author&gt;Public Organizations of Tajikistan&lt;/Author&gt;&lt;Year&gt;2012&lt;/Year&gt;&lt;RecNum&gt;77&lt;/RecNum&gt;&lt;DisplayText&gt;(Mamadazimov &amp;amp; Kuvatova, 2011; Public Organizations of Tajikistan, 2012)&lt;/DisplayText&gt;&lt;record&gt;&lt;rec-number&gt;77&lt;/rec-number&gt;&lt;foreign-keys&gt;&lt;key app="EN" db-id="wes5dreptvrsr2eeartvxexxftt2tastxrfs"&gt;77&lt;/key&gt;&lt;/foreign-keys&gt;&lt;ref-type name="Book"&gt;6&lt;/ref-type&gt;&lt;contributors&gt;&lt;authors&gt;&lt;author&gt;Public Organizations of Tajikistan&lt;/author&gt;&lt;/authors&gt;&lt;/contributors&gt;&lt;titles&gt;&lt;title&gt;The Second Shadow Report on the Realization of the Convention on the Elimination of All Forms of Discrimination against Women&lt;/title&gt;&lt;/titles&gt;&lt;dates&gt;&lt;year&gt;2012&lt;/year&gt;&lt;/dates&gt;&lt;pub-location&gt;Dushanbe&lt;/pub-location&gt;&lt;publisher&gt;Public Organizations of Tajikistan&lt;/publisher&gt;&lt;urls&gt;&lt;/urls&gt;&lt;/record&gt;&lt;/Cite&gt;&lt;Cite&gt;&lt;Author&gt;Mamadazimov&lt;/Author&gt;&lt;Year&gt;2011&lt;/Year&gt;&lt;RecNum&gt;73&lt;/RecNum&gt;&lt;record&gt;&lt;rec-number&gt;73&lt;/rec-number&gt;&lt;foreign-keys&gt;&lt;key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OSCE/ODIHR&lt;/publisher&gt;&lt;urls&gt;&lt;/urls&gt;&lt;/record&gt;&lt;/Cite&gt;&lt;/EndNote&gt;</w:instrText>
      </w:r>
      <w:r w:rsidR="00E12159" w:rsidRPr="007510CB">
        <w:rPr>
          <w:color w:val="000000" w:themeColor="text1"/>
        </w:rPr>
        <w:fldChar w:fldCharType="separate"/>
      </w:r>
      <w:r w:rsidR="00FB569F">
        <w:rPr>
          <w:noProof/>
          <w:color w:val="000000" w:themeColor="text1"/>
        </w:rPr>
        <w:t>(</w:t>
      </w:r>
      <w:hyperlink w:anchor="_ENREF_34" w:tooltip="Mamadazimov, 2011 #73" w:history="1">
        <w:r w:rsidR="006A1532">
          <w:rPr>
            <w:noProof/>
            <w:color w:val="000000" w:themeColor="text1"/>
          </w:rPr>
          <w:t>Mamadazimov &amp; Kuvatova, 2011</w:t>
        </w:r>
      </w:hyperlink>
      <w:r w:rsidR="00FB569F">
        <w:rPr>
          <w:noProof/>
          <w:color w:val="000000" w:themeColor="text1"/>
        </w:rPr>
        <w:t xml:space="preserve">; </w:t>
      </w:r>
      <w:hyperlink w:anchor="_ENREF_41" w:tooltip="Public Organizations of Tajikistan, 2012 #77" w:history="1">
        <w:r w:rsidR="006A1532">
          <w:rPr>
            <w:noProof/>
            <w:color w:val="000000" w:themeColor="text1"/>
          </w:rPr>
          <w:t>Public Organizations of Tajikistan, 2012</w:t>
        </w:r>
      </w:hyperlink>
      <w:r w:rsidR="00FB569F">
        <w:rPr>
          <w:noProof/>
          <w:color w:val="000000" w:themeColor="text1"/>
        </w:rPr>
        <w:t>)</w:t>
      </w:r>
      <w:r w:rsidR="00E12159" w:rsidRPr="007510CB">
        <w:rPr>
          <w:color w:val="000000" w:themeColor="text1"/>
        </w:rPr>
        <w:fldChar w:fldCharType="end"/>
      </w:r>
      <w:r w:rsidR="00D72FE1" w:rsidRPr="007510CB">
        <w:rPr>
          <w:color w:val="000000" w:themeColor="text1"/>
        </w:rPr>
        <w:t>.</w:t>
      </w:r>
    </w:p>
    <w:p w14:paraId="64814579" w14:textId="72F7A886" w:rsidR="00223BDC" w:rsidRPr="00223BDC" w:rsidRDefault="00223BDC" w:rsidP="00974304">
      <w:pPr>
        <w:pStyle w:val="MainParawithChapter"/>
        <w:tabs>
          <w:tab w:val="clear" w:pos="720"/>
        </w:tabs>
        <w:ind w:left="0" w:firstLine="0"/>
        <w:jc w:val="both"/>
        <w:outlineLvl w:val="9"/>
        <w:rPr>
          <w:b/>
          <w:color w:val="000000" w:themeColor="text1"/>
        </w:rPr>
      </w:pPr>
      <w:r>
        <w:rPr>
          <w:b/>
          <w:color w:val="000000" w:themeColor="text1"/>
        </w:rPr>
        <w:t xml:space="preserve">Poor </w:t>
      </w:r>
      <w:r w:rsidR="00926C2F">
        <w:rPr>
          <w:b/>
          <w:color w:val="000000" w:themeColor="text1"/>
        </w:rPr>
        <w:t xml:space="preserve">cooperation and </w:t>
      </w:r>
      <w:r w:rsidR="00926C2F" w:rsidRPr="00C7235F">
        <w:rPr>
          <w:b/>
          <w:color w:val="000000" w:themeColor="text1"/>
        </w:rPr>
        <w:t xml:space="preserve">incomplete gender mainstreaming in key </w:t>
      </w:r>
      <w:r w:rsidR="00926C2F">
        <w:rPr>
          <w:b/>
          <w:color w:val="000000" w:themeColor="text1"/>
        </w:rPr>
        <w:t>government</w:t>
      </w:r>
      <w:r w:rsidR="00926C2F" w:rsidRPr="00C7235F">
        <w:rPr>
          <w:b/>
          <w:color w:val="000000" w:themeColor="text1"/>
        </w:rPr>
        <w:t xml:space="preserve"> policies</w:t>
      </w:r>
      <w:r w:rsidR="007867E7">
        <w:rPr>
          <w:b/>
          <w:color w:val="000000" w:themeColor="text1"/>
        </w:rPr>
        <w:t xml:space="preserve"> are further constraint</w:t>
      </w:r>
      <w:r w:rsidR="00926C2F" w:rsidRPr="00926C2F">
        <w:rPr>
          <w:b/>
          <w:color w:val="000000" w:themeColor="text1"/>
        </w:rPr>
        <w:t>s.</w:t>
      </w:r>
      <w:r w:rsidR="00926C2F" w:rsidRPr="00926C2F">
        <w:rPr>
          <w:color w:val="000000" w:themeColor="text1"/>
        </w:rPr>
        <w:t xml:space="preserve"> </w:t>
      </w:r>
      <w:r w:rsidR="00061F93">
        <w:rPr>
          <w:color w:val="000000" w:themeColor="text1"/>
        </w:rPr>
        <w:t xml:space="preserve">Weak </w:t>
      </w:r>
      <w:r w:rsidR="00926C2F" w:rsidRPr="00C7235F">
        <w:rPr>
          <w:color w:val="000000" w:themeColor="text1"/>
        </w:rPr>
        <w:t>coordination and cooperat</w:t>
      </w:r>
      <w:r w:rsidR="00926C2F">
        <w:rPr>
          <w:color w:val="000000" w:themeColor="text1"/>
        </w:rPr>
        <w:t xml:space="preserve">ion between agencies is an important </w:t>
      </w:r>
      <w:r w:rsidR="00926C2F" w:rsidRPr="00C7235F">
        <w:rPr>
          <w:color w:val="000000" w:themeColor="text1"/>
        </w:rPr>
        <w:t>limit</w:t>
      </w:r>
      <w:r w:rsidR="00926C2F">
        <w:rPr>
          <w:color w:val="000000" w:themeColor="text1"/>
        </w:rPr>
        <w:t xml:space="preserve">ing factor in this regard </w:t>
      </w:r>
      <w:r w:rsidR="00E12159">
        <w:rPr>
          <w:color w:val="000000" w:themeColor="text1"/>
        </w:rPr>
        <w:fldChar w:fldCharType="begin"/>
      </w:r>
      <w:r w:rsidR="00926C2F">
        <w:rPr>
          <w:color w:val="000000" w:themeColor="text1"/>
        </w:rPr>
        <w:instrText xml:space="preserve"> ADDIN EN.CITE &lt;EndNote&gt;&lt;Cite&gt;&lt;Author&gt;OSCE&lt;/Author&gt;&lt;Year&gt;2012&lt;/Year&gt;&lt;RecNum&gt;52&lt;/RecNum&gt;&lt;DisplayText&gt;(OSCE, 2012)&lt;/DisplayText&gt;&lt;record&gt;&lt;rec-number&gt;52&lt;/rec-number&gt;&lt;foreign-keys&gt;&lt;key app="EN" db-id="wes5dreptvrsr2eeartvxexxftt2tastxrfs"&gt;52&lt;/key&gt;&lt;/foreign-keys&gt;&lt;ref-type name="Book"&gt;6&lt;/ref-type&gt;&lt;contributors&gt;&lt;authors&gt;&lt;author&gt;OSCE&lt;/author&gt;&lt;/authors&gt;&lt;/contributors&gt;&lt;titles&gt;&lt;title&gt;Social and Economic Inclusion of Women From Migrant Households in Tajikistan&lt;/title&gt;&lt;/titles&gt;&lt;dates&gt;&lt;year&gt;2012&lt;/year&gt;&lt;/dates&gt;&lt;pub-location&gt;Warsaw&lt;/pub-location&gt;&lt;publisher&gt;Office for Democratic Institutions and Human Rights&lt;/publisher&gt;&lt;urls&gt;&lt;/urls&gt;&lt;/record&gt;&lt;/Cite&gt;&lt;/EndNote&gt;</w:instrText>
      </w:r>
      <w:r w:rsidR="00E12159">
        <w:rPr>
          <w:color w:val="000000" w:themeColor="text1"/>
        </w:rPr>
        <w:fldChar w:fldCharType="separate"/>
      </w:r>
      <w:r w:rsidR="00926C2F">
        <w:rPr>
          <w:noProof/>
          <w:color w:val="000000" w:themeColor="text1"/>
        </w:rPr>
        <w:t>(</w:t>
      </w:r>
      <w:hyperlink w:anchor="_ENREF_40" w:tooltip="OSCE, 2012 #52" w:history="1">
        <w:r w:rsidR="006A1532">
          <w:rPr>
            <w:noProof/>
            <w:color w:val="000000" w:themeColor="text1"/>
          </w:rPr>
          <w:t>OSCE, 2012</w:t>
        </w:r>
      </w:hyperlink>
      <w:r w:rsidR="00926C2F">
        <w:rPr>
          <w:noProof/>
          <w:color w:val="000000" w:themeColor="text1"/>
        </w:rPr>
        <w:t>)</w:t>
      </w:r>
      <w:r w:rsidR="00E12159">
        <w:rPr>
          <w:color w:val="000000" w:themeColor="text1"/>
        </w:rPr>
        <w:fldChar w:fldCharType="end"/>
      </w:r>
      <w:r w:rsidR="00926C2F">
        <w:rPr>
          <w:color w:val="000000" w:themeColor="text1"/>
        </w:rPr>
        <w:t>. T</w:t>
      </w:r>
      <w:r w:rsidR="00926C2F" w:rsidRPr="00C7235F">
        <w:rPr>
          <w:color w:val="000000" w:themeColor="text1"/>
        </w:rPr>
        <w:t xml:space="preserve">he Committee for Women and Family Affairs, </w:t>
      </w:r>
      <w:r w:rsidR="00926C2F">
        <w:rPr>
          <w:color w:val="000000" w:themeColor="text1"/>
        </w:rPr>
        <w:t>being</w:t>
      </w:r>
      <w:r w:rsidR="00926C2F" w:rsidRPr="00C7235F">
        <w:rPr>
          <w:color w:val="000000" w:themeColor="text1"/>
        </w:rPr>
        <w:t xml:space="preserve"> </w:t>
      </w:r>
      <w:r w:rsidR="00926C2F">
        <w:rPr>
          <w:color w:val="000000" w:themeColor="text1"/>
        </w:rPr>
        <w:t>responsible for the</w:t>
      </w:r>
      <w:r w:rsidR="00926C2F" w:rsidRPr="00C7235F">
        <w:rPr>
          <w:color w:val="000000" w:themeColor="text1"/>
        </w:rPr>
        <w:t xml:space="preserve"> oversight of</w:t>
      </w:r>
      <w:r w:rsidR="00926C2F">
        <w:rPr>
          <w:color w:val="000000" w:themeColor="text1"/>
        </w:rPr>
        <w:t xml:space="preserve"> the</w:t>
      </w:r>
      <w:r w:rsidR="00926C2F" w:rsidRPr="00C7235F">
        <w:rPr>
          <w:color w:val="000000" w:themeColor="text1"/>
        </w:rPr>
        <w:t xml:space="preserve"> implementation of gender-related policies, has not been able to establish sound working relationships with govern</w:t>
      </w:r>
      <w:r w:rsidR="00926C2F">
        <w:rPr>
          <w:color w:val="000000" w:themeColor="text1"/>
        </w:rPr>
        <w:t xml:space="preserve">ment ministries and departments. </w:t>
      </w:r>
      <w:r w:rsidR="00DD58C9">
        <w:rPr>
          <w:color w:val="000000" w:themeColor="text1"/>
        </w:rPr>
        <w:t>Moreover, overall integration of gender mainstreaming in the work of ministries and departments is poorly developed</w:t>
      </w:r>
      <w:r w:rsidR="00926C2F" w:rsidRPr="00C7235F">
        <w:rPr>
          <w:color w:val="000000" w:themeColor="text1"/>
        </w:rPr>
        <w:t xml:space="preserve"> </w:t>
      </w:r>
      <w:r w:rsidR="00E12159">
        <w:rPr>
          <w:color w:val="000000" w:themeColor="text1"/>
        </w:rPr>
        <w:fldChar w:fldCharType="begin"/>
      </w:r>
      <w:r w:rsidR="00926C2F">
        <w:rPr>
          <w:color w:val="000000" w:themeColor="text1"/>
        </w:rPr>
        <w:instrText xml:space="preserve"> ADDIN EN.CITE &lt;EndNote&gt;&lt;Cite&gt;&lt;Author&gt;Public Organizations of Tajikistan&lt;/Author&gt;&lt;Year&gt;2012&lt;/Year&gt;&lt;RecNum&gt;77&lt;/RecNum&gt;&lt;DisplayText&gt;(Public Organizations of Tajikistan, 2012)&lt;/DisplayText&gt;&lt;record&gt;&lt;rec-number&gt;77&lt;/rec-number&gt;&lt;foreign-keys&gt;&lt;key app="EN" db-id="wes5dreptvrsr2eeartvxexxftt2tastxrfs"&gt;77&lt;/key&gt;&lt;/foreign-keys&gt;&lt;ref-type name="Book"&gt;6&lt;/ref-type&gt;&lt;contributors&gt;&lt;authors&gt;&lt;author&gt;Public Organizations of Tajikistan&lt;/author&gt;&lt;/authors&gt;&lt;/contributors&gt;&lt;titles&gt;&lt;title&gt;The Second Shadow Report on the Realization of the Convention on the Elimination of All Forms of Discrimination against Women&lt;/title&gt;&lt;/titles&gt;&lt;dates&gt;&lt;year&gt;2012&lt;/year&gt;&lt;/dates&gt;&lt;pub-location&gt;Dushanbe&lt;/pub-location&gt;&lt;publisher&gt;Public Organizations of Tajikistan&lt;/publisher&gt;&lt;urls&gt;&lt;/urls&gt;&lt;/record&gt;&lt;/Cite&gt;&lt;/EndNote&gt;</w:instrText>
      </w:r>
      <w:r w:rsidR="00E12159">
        <w:rPr>
          <w:color w:val="000000" w:themeColor="text1"/>
        </w:rPr>
        <w:fldChar w:fldCharType="separate"/>
      </w:r>
      <w:r w:rsidR="00926C2F">
        <w:rPr>
          <w:noProof/>
          <w:color w:val="000000" w:themeColor="text1"/>
        </w:rPr>
        <w:t>(</w:t>
      </w:r>
      <w:hyperlink w:anchor="_ENREF_41" w:tooltip="Public Organizations of Tajikistan, 2012 #77" w:history="1">
        <w:r w:rsidR="006A1532">
          <w:rPr>
            <w:noProof/>
            <w:color w:val="000000" w:themeColor="text1"/>
          </w:rPr>
          <w:t>Public Organizations of Tajikistan, 2012</w:t>
        </w:r>
      </w:hyperlink>
      <w:r w:rsidR="00926C2F">
        <w:rPr>
          <w:noProof/>
          <w:color w:val="000000" w:themeColor="text1"/>
        </w:rPr>
        <w:t>)</w:t>
      </w:r>
      <w:r w:rsidR="00E12159">
        <w:rPr>
          <w:color w:val="000000" w:themeColor="text1"/>
        </w:rPr>
        <w:fldChar w:fldCharType="end"/>
      </w:r>
      <w:r w:rsidR="00926C2F" w:rsidRPr="00C7235F">
        <w:rPr>
          <w:color w:val="000000" w:themeColor="text1"/>
        </w:rPr>
        <w:t xml:space="preserve">.  </w:t>
      </w:r>
    </w:p>
    <w:p w14:paraId="4E530FDE" w14:textId="4FBDCB64" w:rsidR="00EE180C" w:rsidRPr="00DD58C9" w:rsidRDefault="00EE180C" w:rsidP="00DD58C9">
      <w:pPr>
        <w:pStyle w:val="MainParawithChapter"/>
        <w:tabs>
          <w:tab w:val="clear" w:pos="720"/>
        </w:tabs>
        <w:ind w:left="0" w:firstLine="0"/>
        <w:jc w:val="both"/>
        <w:outlineLvl w:val="9"/>
        <w:rPr>
          <w:bCs/>
          <w:caps/>
          <w:color w:val="000000" w:themeColor="text1"/>
          <w:sz w:val="32"/>
          <w:szCs w:val="32"/>
        </w:rPr>
      </w:pPr>
      <w:r>
        <w:rPr>
          <w:b/>
        </w:rPr>
        <w:t xml:space="preserve">The </w:t>
      </w:r>
      <w:r w:rsidR="00D2095A">
        <w:rPr>
          <w:b/>
        </w:rPr>
        <w:t xml:space="preserve">lower house of the </w:t>
      </w:r>
      <w:r>
        <w:rPr>
          <w:b/>
        </w:rPr>
        <w:t>Tajik Parl</w:t>
      </w:r>
      <w:r w:rsidR="00D2095A">
        <w:rPr>
          <w:b/>
        </w:rPr>
        <w:t>iament approved a la</w:t>
      </w:r>
      <w:r>
        <w:rPr>
          <w:b/>
        </w:rPr>
        <w:t xml:space="preserve">w on prevention of domestic violence in November 2012. </w:t>
      </w:r>
      <w:r w:rsidR="00DD58C9">
        <w:t>Violence against women has been widely accepted in Tajikistan, in particular in rural contexts, and, notably, among younger women</w:t>
      </w:r>
      <w:r w:rsidR="00061F93">
        <w:t xml:space="preserve"> </w:t>
      </w:r>
      <w:r w:rsidR="00E12159" w:rsidRPr="00A62640">
        <w:fldChar w:fldCharType="begin"/>
      </w:r>
      <w:r w:rsidRPr="00A62640">
        <w:instrText xml:space="preserve"> </w:instrText>
      </w:r>
      <w:r>
        <w:instrText>ADDIN</w:instrText>
      </w:r>
      <w:r w:rsidRPr="00A62640">
        <w:instrText xml:space="preserve">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rsidRPr="00A62640">
        <w:fldChar w:fldCharType="separate"/>
      </w:r>
      <w:r w:rsidRPr="00A62640">
        <w:rPr>
          <w:noProof/>
        </w:rPr>
        <w:t>(</w:t>
      </w:r>
      <w:hyperlink w:anchor="_ENREF_50" w:tooltip="State Committee on Statistics of the Republic of Tajikistan, 2007 #10" w:history="1">
        <w:r w:rsidR="006A1532" w:rsidRPr="00A62640">
          <w:rPr>
            <w:noProof/>
          </w:rPr>
          <w:t>State Committee on Statistics of the Republic of Tajikistan, 2007</w:t>
        </w:r>
      </w:hyperlink>
      <w:r w:rsidRPr="00A62640">
        <w:rPr>
          <w:noProof/>
        </w:rPr>
        <w:t>)</w:t>
      </w:r>
      <w:r w:rsidR="00E12159" w:rsidRPr="00A62640">
        <w:fldChar w:fldCharType="end"/>
      </w:r>
      <w:r w:rsidRPr="00A62640">
        <w:t>.</w:t>
      </w:r>
      <w:r w:rsidR="00DD58C9">
        <w:t xml:space="preserve"> </w:t>
      </w:r>
      <w:r w:rsidR="002F0A26">
        <w:t xml:space="preserve">After </w:t>
      </w:r>
      <w:r w:rsidRPr="00A62640">
        <w:t xml:space="preserve">extensive lobbying </w:t>
      </w:r>
      <w:r w:rsidR="00E12159" w:rsidRPr="00A62640">
        <w:fldChar w:fldCharType="begin"/>
      </w:r>
      <w:r w:rsidRPr="00A62640">
        <w:instrText xml:space="preserve"> </w:instrText>
      </w:r>
      <w:r>
        <w:instrText>ADDIN</w:instrText>
      </w:r>
      <w:r w:rsidRPr="00A62640">
        <w:instrText xml:space="preserve"> EN.CITE &lt;EndNote&gt;&lt;Cite&gt;&lt;Author&gt;UN Women&lt;/Author&gt;&lt;Year&gt;2012&lt;/Year&gt;&lt;RecNum&gt;61&lt;/RecNum&gt;&lt;DisplayText&gt;(UN Women, 2012)&lt;/DisplayText&gt;&lt;record&gt;&lt;rec-number&gt;61&lt;/rec-number&gt;&lt;foreign-keys&gt;&lt;key app="EN" db-id="wes5dreptvrsr2eeartvxexxftt2tastxrfs"&gt;61&lt;/key&gt;&lt;/foreign-keys&gt;&lt;ref-type name="Book"&gt;6&lt;/ref-type&gt;&lt;contributors&gt;&lt;authors&gt;&lt;author&gt;UN Women&lt;/author&gt;&lt;/authors&gt;&lt;/contributors&gt;&lt;titles&gt;&lt;title&gt;UN Women in Eastern Europe and Central Asia&lt;/title&gt;&lt;/titles&gt;&lt;dates&gt;&lt;year&gt;2012&lt;/year&gt;&lt;/dates&gt;&lt;pub-location&gt;Almaty&lt;/pub-location&gt;&lt;publisher&gt;UN Women Sub-Regional Office for Eastern Europe and Central Asia&lt;/publisher&gt;&lt;urls&gt;&lt;/urls&gt;&lt;/record&gt;&lt;/Cite&gt;&lt;/EndNote&gt;</w:instrText>
      </w:r>
      <w:r w:rsidR="00E12159" w:rsidRPr="00A62640">
        <w:fldChar w:fldCharType="separate"/>
      </w:r>
      <w:r w:rsidRPr="00A62640">
        <w:rPr>
          <w:noProof/>
        </w:rPr>
        <w:t>(</w:t>
      </w:r>
      <w:hyperlink w:anchor="_ENREF_55" w:tooltip="UN Women, 2012 #61" w:history="1">
        <w:r w:rsidR="006A1532" w:rsidRPr="00A62640">
          <w:rPr>
            <w:noProof/>
          </w:rPr>
          <w:t>UN Women, 2012</w:t>
        </w:r>
      </w:hyperlink>
      <w:r w:rsidRPr="00A62640">
        <w:rPr>
          <w:noProof/>
        </w:rPr>
        <w:t>)</w:t>
      </w:r>
      <w:r w:rsidR="00E12159" w:rsidRPr="00A62640">
        <w:fldChar w:fldCharType="end"/>
      </w:r>
      <w:r w:rsidRPr="00A62640">
        <w:t>,</w:t>
      </w:r>
      <w:r>
        <w:t xml:space="preserve"> the </w:t>
      </w:r>
      <w:r w:rsidR="00D2095A">
        <w:t>lower house</w:t>
      </w:r>
      <w:r w:rsidR="00894E42">
        <w:t xml:space="preserve"> of</w:t>
      </w:r>
      <w:r>
        <w:t xml:space="preserve"> Parliament finally approved a law on</w:t>
      </w:r>
      <w:r w:rsidR="00894E42">
        <w:t xml:space="preserve"> the</w:t>
      </w:r>
      <w:r>
        <w:t xml:space="preserve"> prevention </w:t>
      </w:r>
      <w:r w:rsidR="00D2095A">
        <w:t>of domestic violence in December</w:t>
      </w:r>
      <w:r>
        <w:t xml:space="preserve"> 20</w:t>
      </w:r>
      <w:r w:rsidR="00B10B5E">
        <w:t xml:space="preserve">12 that </w:t>
      </w:r>
      <w:r w:rsidR="00D2095A">
        <w:t xml:space="preserve">is planned to be considered in the upper house in 2013 </w:t>
      </w:r>
      <w:r w:rsidR="00E12159">
        <w:fldChar w:fldCharType="begin"/>
      </w:r>
      <w:r w:rsidR="00FC3D9C">
        <w:instrText xml:space="preserve"> ADDIN EN.CITE &lt;EndNote&gt;&lt;Cite&gt;&lt;Author&gt;The Coalition of Public Associations&lt;/Author&gt;&lt;Year&gt;2013&lt;/Year&gt;&lt;RecNum&gt;83&lt;/RecNum&gt;&lt;DisplayText&gt;(The Coalition of Public Associations, 2013)&lt;/DisplayText&gt;&lt;record&gt;&lt;rec-number&gt;83&lt;/rec-number&gt;&lt;foreign-keys&gt;&lt;key app="EN" db-id="wes5dreptvrsr2eeartvxexxftt2tastxrfs"&gt;83&lt;/key&gt;&lt;/foreign-keys&gt;&lt;ref-type name="Book"&gt;6&lt;/ref-type&gt;&lt;contributors&gt;&lt;authors&gt;&lt;author&gt;The Coalition of Public Associations&lt;/author&gt;&lt;/authors&gt;&lt;/contributors&gt;&lt;titles&gt;&lt;title&gt;Information to Generate a List of Questions to the Consolidated Fourth and Fifth Periodic Report of Tajikistan on the Progress Made in Implementation of the Convention on the Elimination of All Forms of Discrimination Against Women&lt;/title&gt;&lt;/titles&gt;&lt;dates&gt;&lt;year&gt;2013&lt;/year&gt;&lt;/dates&gt;&lt;pub-location&gt;Available at http://www2.ohchr.org/english/bodies/cedaw/docs/ngos/CoalitionOfNGOs_Tajikistan_LOIs_PSWG_CEDAW56.pdf&lt;/pub-location&gt;&lt;urls&gt;&lt;/urls&gt;&lt;/record&gt;&lt;/Cite&gt;&lt;/EndNote&gt;</w:instrText>
      </w:r>
      <w:r w:rsidR="00E12159">
        <w:fldChar w:fldCharType="separate"/>
      </w:r>
      <w:r w:rsidR="00FC3D9C">
        <w:rPr>
          <w:noProof/>
        </w:rPr>
        <w:t>(</w:t>
      </w:r>
      <w:hyperlink w:anchor="_ENREF_52" w:tooltip="The Coalition of Public Associations, 2013 #83" w:history="1">
        <w:r w:rsidR="006A1532">
          <w:rPr>
            <w:noProof/>
          </w:rPr>
          <w:t>The Coalition of Public Associations, 2013</w:t>
        </w:r>
      </w:hyperlink>
      <w:r w:rsidR="00FC3D9C">
        <w:rPr>
          <w:noProof/>
        </w:rPr>
        <w:t>)</w:t>
      </w:r>
      <w:r w:rsidR="00E12159">
        <w:fldChar w:fldCharType="end"/>
      </w:r>
      <w:r w:rsidR="00D2095A">
        <w:t>. This law</w:t>
      </w:r>
      <w:r>
        <w:t xml:space="preserve"> </w:t>
      </w:r>
      <w:r w:rsidR="00061F93">
        <w:t>will now have to</w:t>
      </w:r>
      <w:r>
        <w:t xml:space="preserve"> prove its effectiveness in terms of containing violence against women and girls.</w:t>
      </w:r>
    </w:p>
    <w:p w14:paraId="63949A7A" w14:textId="1F312070" w:rsidR="00EE180C" w:rsidRPr="00EE180C" w:rsidRDefault="00EE180C" w:rsidP="00EE180C">
      <w:pPr>
        <w:pStyle w:val="MainParawithChapter"/>
        <w:tabs>
          <w:tab w:val="clear" w:pos="720"/>
        </w:tabs>
        <w:ind w:left="0" w:firstLine="0"/>
        <w:jc w:val="both"/>
        <w:outlineLvl w:val="9"/>
        <w:rPr>
          <w:bCs/>
          <w:caps/>
          <w:color w:val="000000" w:themeColor="text1"/>
          <w:sz w:val="32"/>
          <w:szCs w:val="32"/>
        </w:rPr>
      </w:pPr>
      <w:r w:rsidRPr="005072C2">
        <w:rPr>
          <w:b/>
          <w:color w:val="000000" w:themeColor="text1"/>
        </w:rPr>
        <w:lastRenderedPageBreak/>
        <w:t xml:space="preserve">The official status of female migrants in the country is often precarious. </w:t>
      </w:r>
      <w:r w:rsidRPr="005072C2">
        <w:rPr>
          <w:color w:val="000000" w:themeColor="text1"/>
        </w:rPr>
        <w:t>Significant numbers of women of foreign birth, but married to Tajik citizens</w:t>
      </w:r>
      <w:r>
        <w:rPr>
          <w:color w:val="000000" w:themeColor="text1"/>
        </w:rPr>
        <w:t xml:space="preserve"> and with children from this marriage</w:t>
      </w:r>
      <w:r w:rsidRPr="005072C2">
        <w:rPr>
          <w:color w:val="000000" w:themeColor="text1"/>
        </w:rPr>
        <w:t xml:space="preserve">, </w:t>
      </w:r>
      <w:r>
        <w:rPr>
          <w:color w:val="000000" w:themeColor="text1"/>
        </w:rPr>
        <w:t>have been living</w:t>
      </w:r>
      <w:r w:rsidRPr="005072C2">
        <w:rPr>
          <w:color w:val="000000" w:themeColor="text1"/>
        </w:rPr>
        <w:t xml:space="preserve"> in the country </w:t>
      </w:r>
      <w:r>
        <w:rPr>
          <w:color w:val="000000" w:themeColor="text1"/>
        </w:rPr>
        <w:t>for some time and still lack</w:t>
      </w:r>
      <w:r w:rsidRPr="005072C2">
        <w:rPr>
          <w:color w:val="000000" w:themeColor="text1"/>
        </w:rPr>
        <w:t xml:space="preserve"> official citizenship (Public Organizations of Tajikistan 2013). </w:t>
      </w:r>
      <w:r>
        <w:rPr>
          <w:color w:val="000000" w:themeColor="text1"/>
        </w:rPr>
        <w:t>Absence</w:t>
      </w:r>
      <w:r w:rsidRPr="005072C2">
        <w:rPr>
          <w:color w:val="000000" w:themeColor="text1"/>
        </w:rPr>
        <w:t xml:space="preserve"> of citizenship rights </w:t>
      </w:r>
      <w:r>
        <w:rPr>
          <w:color w:val="000000" w:themeColor="text1"/>
        </w:rPr>
        <w:t>denies them</w:t>
      </w:r>
      <w:r w:rsidRPr="005072C2">
        <w:rPr>
          <w:color w:val="000000" w:themeColor="text1"/>
        </w:rPr>
        <w:t xml:space="preserve"> access to various forms of social pr</w:t>
      </w:r>
      <w:r>
        <w:rPr>
          <w:color w:val="000000" w:themeColor="text1"/>
        </w:rPr>
        <w:t>otection, as well as the right to</w:t>
      </w:r>
      <w:r w:rsidRPr="005072C2">
        <w:rPr>
          <w:color w:val="000000" w:themeColor="text1"/>
        </w:rPr>
        <w:t xml:space="preserve"> franchise and participation in political decision-making</w:t>
      </w:r>
      <w:r>
        <w:rPr>
          <w:color w:val="000000" w:themeColor="text1"/>
        </w:rPr>
        <w:t xml:space="preserve"> in Tajikistan </w:t>
      </w:r>
      <w:r w:rsidR="00E12159">
        <w:rPr>
          <w:color w:val="000000" w:themeColor="text1"/>
        </w:rPr>
        <w:fldChar w:fldCharType="begin"/>
      </w:r>
      <w:r>
        <w:rPr>
          <w:color w:val="000000" w:themeColor="text1"/>
        </w:rPr>
        <w:instrText xml:space="preserve"> ADDIN EN.CITE &lt;EndNote&gt;&lt;Cite&gt;&lt;Author&gt;Public Organizations of Tajikistan&lt;/Author&gt;&lt;Year&gt;2012&lt;/Year&gt;&lt;RecNum&gt;77&lt;/RecNum&gt;&lt;DisplayText&gt;(Public Organizations of Tajikistan, 2012)&lt;/DisplayText&gt;&lt;record&gt;&lt;rec-number&gt;77&lt;/rec-number&gt;&lt;foreign-keys&gt;&lt;key app="EN" db-id="wes5dreptvrsr2eeartvxexxftt2tastxrfs"&gt;77&lt;/key&gt;&lt;/foreign-keys&gt;&lt;ref-type name="Book"&gt;6&lt;/ref-type&gt;&lt;contributors&gt;&lt;authors&gt;&lt;author&gt;Public Organizations of Tajikistan&lt;/author&gt;&lt;/authors&gt;&lt;/contributors&gt;&lt;titles&gt;&lt;title&gt;The Second Shadow Report on the Realization of the Convention on the Elimination of All Forms of Discrimination against Women&lt;/title&gt;&lt;/titles&gt;&lt;dates&gt;&lt;year&gt;2012&lt;/year&gt;&lt;/dates&gt;&lt;pub-location&gt;Dushanbe&lt;/pub-location&gt;&lt;publisher&gt;Public Organizations of Tajikistan&lt;/publisher&gt;&lt;urls&gt;&lt;/urls&gt;&lt;/record&gt;&lt;/Cite&gt;&lt;/EndNote&gt;</w:instrText>
      </w:r>
      <w:r w:rsidR="00E12159">
        <w:rPr>
          <w:color w:val="000000" w:themeColor="text1"/>
        </w:rPr>
        <w:fldChar w:fldCharType="separate"/>
      </w:r>
      <w:r>
        <w:rPr>
          <w:noProof/>
          <w:color w:val="000000" w:themeColor="text1"/>
        </w:rPr>
        <w:t>(</w:t>
      </w:r>
      <w:hyperlink w:anchor="_ENREF_41" w:tooltip="Public Organizations of Tajikistan, 2012 #77" w:history="1">
        <w:r w:rsidR="006A1532">
          <w:rPr>
            <w:noProof/>
            <w:color w:val="000000" w:themeColor="text1"/>
          </w:rPr>
          <w:t>Public Organizations of Tajikistan, 2012</w:t>
        </w:r>
      </w:hyperlink>
      <w:r>
        <w:rPr>
          <w:noProof/>
          <w:color w:val="000000" w:themeColor="text1"/>
        </w:rPr>
        <w:t>)</w:t>
      </w:r>
      <w:r w:rsidR="00E12159">
        <w:rPr>
          <w:color w:val="000000" w:themeColor="text1"/>
        </w:rPr>
        <w:fldChar w:fldCharType="end"/>
      </w:r>
      <w:r w:rsidRPr="005072C2">
        <w:rPr>
          <w:color w:val="000000" w:themeColor="text1"/>
        </w:rPr>
        <w:t xml:space="preserve">. </w:t>
      </w:r>
    </w:p>
    <w:p w14:paraId="56F72A90" w14:textId="10330286" w:rsidR="00974304" w:rsidRPr="00694D07" w:rsidRDefault="00974304" w:rsidP="00A1472C">
      <w:pPr>
        <w:pStyle w:val="MainParawithChapter"/>
        <w:tabs>
          <w:tab w:val="clear" w:pos="720"/>
        </w:tabs>
        <w:ind w:left="0" w:firstLine="0"/>
        <w:jc w:val="both"/>
        <w:outlineLvl w:val="9"/>
        <w:rPr>
          <w:bCs/>
          <w:caps/>
          <w:color w:val="000000" w:themeColor="text1"/>
          <w:sz w:val="32"/>
          <w:szCs w:val="32"/>
        </w:rPr>
      </w:pPr>
      <w:r w:rsidRPr="00D202A8">
        <w:rPr>
          <w:b/>
          <w:color w:val="000000" w:themeColor="text1"/>
        </w:rPr>
        <w:t xml:space="preserve">Women face a number of </w:t>
      </w:r>
      <w:r w:rsidR="0014718C">
        <w:rPr>
          <w:b/>
          <w:color w:val="000000" w:themeColor="text1"/>
        </w:rPr>
        <w:t>complications</w:t>
      </w:r>
      <w:r w:rsidRPr="00D202A8">
        <w:rPr>
          <w:b/>
          <w:color w:val="000000" w:themeColor="text1"/>
        </w:rPr>
        <w:t xml:space="preserve"> in legal recourse in the pursuit of their basic freedoms and equal rights.</w:t>
      </w:r>
      <w:r w:rsidRPr="00D202A8">
        <w:rPr>
          <w:color w:val="000000" w:themeColor="text1"/>
        </w:rPr>
        <w:t xml:space="preserve"> Low legal literacy of women results in </w:t>
      </w:r>
      <w:r w:rsidR="00C80567">
        <w:rPr>
          <w:color w:val="000000" w:themeColor="text1"/>
        </w:rPr>
        <w:t>apprehension</w:t>
      </w:r>
      <w:r w:rsidR="00C80567" w:rsidRPr="00D202A8">
        <w:rPr>
          <w:color w:val="000000" w:themeColor="text1"/>
        </w:rPr>
        <w:t xml:space="preserve"> </w:t>
      </w:r>
      <w:r w:rsidR="00C80567">
        <w:rPr>
          <w:color w:val="000000" w:themeColor="text1"/>
        </w:rPr>
        <w:t xml:space="preserve">and </w:t>
      </w:r>
      <w:r w:rsidRPr="00D202A8">
        <w:rPr>
          <w:color w:val="000000" w:themeColor="text1"/>
        </w:rPr>
        <w:t>a lack of confiden</w:t>
      </w:r>
      <w:r w:rsidR="00C80567">
        <w:rPr>
          <w:color w:val="000000" w:themeColor="text1"/>
        </w:rPr>
        <w:t xml:space="preserve">ce </w:t>
      </w:r>
      <w:r w:rsidR="00745F52">
        <w:rPr>
          <w:color w:val="000000" w:themeColor="text1"/>
        </w:rPr>
        <w:t>with regard</w:t>
      </w:r>
      <w:r w:rsidR="00C80567">
        <w:rPr>
          <w:color w:val="000000" w:themeColor="text1"/>
        </w:rPr>
        <w:t xml:space="preserve"> to the legal system</w:t>
      </w:r>
      <w:r w:rsidRPr="00D202A8">
        <w:rPr>
          <w:color w:val="000000" w:themeColor="text1"/>
        </w:rPr>
        <w:t xml:space="preserve"> and the role that it can play in defending their rights. There also exists considerable distrust of trial courts, and their ability to effectively administer justice in accordance with the law. With poverty experienced by a significant </w:t>
      </w:r>
      <w:r w:rsidR="00D202A8">
        <w:rPr>
          <w:color w:val="000000" w:themeColor="text1"/>
        </w:rPr>
        <w:t xml:space="preserve">part </w:t>
      </w:r>
      <w:r w:rsidRPr="00D202A8">
        <w:rPr>
          <w:color w:val="000000" w:themeColor="text1"/>
        </w:rPr>
        <w:t xml:space="preserve">of the population, in particular women, the limited scope of the free legal aid system means that many women simply cannot afford to </w:t>
      </w:r>
      <w:r w:rsidR="00D202A8">
        <w:rPr>
          <w:color w:val="000000" w:themeColor="text1"/>
        </w:rPr>
        <w:t>take advantage of the judicial</w:t>
      </w:r>
      <w:r w:rsidRPr="00D202A8">
        <w:rPr>
          <w:color w:val="000000" w:themeColor="text1"/>
        </w:rPr>
        <w:t xml:space="preserve"> system to access their rights and to seek recourse (Public Organizations of Tajikistan 2013). </w:t>
      </w:r>
      <w:r w:rsidR="00C7235F" w:rsidRPr="00D202A8">
        <w:rPr>
          <w:color w:val="000000" w:themeColor="text1"/>
        </w:rPr>
        <w:t xml:space="preserve">Furthermore, </w:t>
      </w:r>
      <w:r w:rsidRPr="00D202A8">
        <w:rPr>
          <w:color w:val="000000" w:themeColor="text1"/>
        </w:rPr>
        <w:t xml:space="preserve">the Republic of Tajikistan acknowledges the primacy of international legal instruments over domestic law, </w:t>
      </w:r>
      <w:r w:rsidR="00C7235F" w:rsidRPr="00D202A8">
        <w:rPr>
          <w:color w:val="000000" w:themeColor="text1"/>
        </w:rPr>
        <w:t>yet in practice, there</w:t>
      </w:r>
      <w:r w:rsidRPr="00D202A8">
        <w:rPr>
          <w:color w:val="000000" w:themeColor="text1"/>
        </w:rPr>
        <w:t xml:space="preserve"> have not been any examples of legal decisions where the norms of the international conventions to which the Republic of Tajikistan is party have</w:t>
      </w:r>
      <w:r w:rsidR="00D202A8">
        <w:rPr>
          <w:color w:val="000000" w:themeColor="text1"/>
        </w:rPr>
        <w:t xml:space="preserve"> been directly applied in cases on gender-based discrimination </w:t>
      </w:r>
      <w:r w:rsidR="00E12159">
        <w:rPr>
          <w:color w:val="000000" w:themeColor="text1"/>
        </w:rPr>
        <w:fldChar w:fldCharType="begin"/>
      </w:r>
      <w:r w:rsidR="00D202A8">
        <w:rPr>
          <w:color w:val="000000" w:themeColor="text1"/>
        </w:rPr>
        <w:instrText xml:space="preserve"> </w:instrText>
      </w:r>
      <w:r w:rsidR="009F7A22">
        <w:rPr>
          <w:color w:val="000000" w:themeColor="text1"/>
        </w:rPr>
        <w:instrText>ADDIN</w:instrText>
      </w:r>
      <w:r w:rsidR="00D202A8">
        <w:rPr>
          <w:color w:val="000000" w:themeColor="text1"/>
        </w:rPr>
        <w:instrText xml:space="preserve"> EN.CITE &lt;EndNote&gt;&lt;Cite&gt;&lt;Author&gt;Public Organizations of Tajikistan&lt;/Author&gt;&lt;Year&gt;2012&lt;/Year&gt;&lt;RecNum&gt;77&lt;/RecNum&gt;&lt;DisplayText&gt;(Public Organizations of Tajikistan, 2012)&lt;/DisplayText&gt;&lt;record&gt;&lt;rec-number&gt;77&lt;/rec-number&gt;&lt;foreign-keys&gt;&lt;key app="EN" db-id="wes5dreptvrsr2eeartvxexxftt2tastxrfs"&gt;77&lt;/key&gt;&lt;/foreign-keys&gt;&lt;ref-type name="Book"&gt;6&lt;/ref-type&gt;&lt;contributors&gt;&lt;authors&gt;&lt;author&gt;Public Organizations of Tajikistan&lt;/author&gt;&lt;/authors&gt;&lt;/contributors&gt;&lt;titles&gt;&lt;title&gt;The Second Shadow Report on the Realization of the Convention on the Elimination of All Forms of Discrimination against Women&lt;/title&gt;&lt;/titles&gt;&lt;dates&gt;&lt;year&gt;2012&lt;/year&gt;&lt;/dates&gt;&lt;pub-location&gt;Dushanbe&lt;/pub-location&gt;&lt;publisher&gt;Public Organizations of Tajikistan&lt;/publisher&gt;&lt;urls&gt;&lt;/urls&gt;&lt;/record&gt;&lt;/Cite&gt;&lt;/EndNote&gt;</w:instrText>
      </w:r>
      <w:r w:rsidR="00E12159">
        <w:rPr>
          <w:color w:val="000000" w:themeColor="text1"/>
        </w:rPr>
        <w:fldChar w:fldCharType="separate"/>
      </w:r>
      <w:r w:rsidR="00D202A8">
        <w:rPr>
          <w:noProof/>
          <w:color w:val="000000" w:themeColor="text1"/>
        </w:rPr>
        <w:t>(</w:t>
      </w:r>
      <w:hyperlink w:anchor="_ENREF_41" w:tooltip="Public Organizations of Tajikistan, 2012 #77" w:history="1">
        <w:r w:rsidR="006A1532">
          <w:rPr>
            <w:noProof/>
            <w:color w:val="000000" w:themeColor="text1"/>
          </w:rPr>
          <w:t>Public Organizations of Tajikistan, 2012</w:t>
        </w:r>
      </w:hyperlink>
      <w:r w:rsidR="00D202A8">
        <w:rPr>
          <w:noProof/>
          <w:color w:val="000000" w:themeColor="text1"/>
        </w:rPr>
        <w:t>)</w:t>
      </w:r>
      <w:r w:rsidR="00E12159">
        <w:rPr>
          <w:color w:val="000000" w:themeColor="text1"/>
        </w:rPr>
        <w:fldChar w:fldCharType="end"/>
      </w:r>
      <w:r w:rsidRPr="00D202A8">
        <w:rPr>
          <w:color w:val="000000" w:themeColor="text1"/>
        </w:rPr>
        <w:t>.</w:t>
      </w:r>
    </w:p>
    <w:p w14:paraId="6328B3E5" w14:textId="77777777" w:rsidR="001A3D32" w:rsidRPr="009E2EF5" w:rsidRDefault="00871A48" w:rsidP="001A3D32">
      <w:pPr>
        <w:pStyle w:val="Heading2"/>
      </w:pPr>
      <w:bookmarkStart w:id="16" w:name="_Toc226957245"/>
      <w:r>
        <w:t>Voice and Representation</w:t>
      </w:r>
      <w:bookmarkEnd w:id="16"/>
    </w:p>
    <w:p w14:paraId="2B8A5360" w14:textId="77777777" w:rsidR="00795B86" w:rsidRPr="00795B86" w:rsidRDefault="00263BDE" w:rsidP="00336BA6">
      <w:pPr>
        <w:pStyle w:val="MainParawithChapter"/>
        <w:tabs>
          <w:tab w:val="clear" w:pos="720"/>
        </w:tabs>
        <w:ind w:left="0" w:firstLine="0"/>
        <w:jc w:val="both"/>
        <w:outlineLvl w:val="9"/>
        <w:rPr>
          <w:color w:val="000000" w:themeColor="text1"/>
        </w:rPr>
      </w:pPr>
      <w:r>
        <w:rPr>
          <w:b/>
          <w:color w:val="000000" w:themeColor="text1"/>
        </w:rPr>
        <w:t>P</w:t>
      </w:r>
      <w:r w:rsidRPr="00694D07">
        <w:rPr>
          <w:b/>
          <w:color w:val="000000" w:themeColor="text1"/>
        </w:rPr>
        <w:t xml:space="preserve">revailing social norms </w:t>
      </w:r>
      <w:r>
        <w:rPr>
          <w:b/>
          <w:color w:val="000000" w:themeColor="text1"/>
        </w:rPr>
        <w:t>and t</w:t>
      </w:r>
      <w:r w:rsidR="00795B86" w:rsidRPr="00694D07">
        <w:rPr>
          <w:b/>
          <w:color w:val="000000" w:themeColor="text1"/>
        </w:rPr>
        <w:t xml:space="preserve">he resurgence </w:t>
      </w:r>
      <w:r w:rsidR="00FA0B98" w:rsidRPr="00694D07">
        <w:rPr>
          <w:b/>
          <w:color w:val="000000" w:themeColor="text1"/>
        </w:rPr>
        <w:t>o</w:t>
      </w:r>
      <w:r>
        <w:rPr>
          <w:b/>
          <w:color w:val="000000" w:themeColor="text1"/>
        </w:rPr>
        <w:t xml:space="preserve">f strong gender stereotypes </w:t>
      </w:r>
      <w:r w:rsidR="00FA0B98" w:rsidRPr="00694D07">
        <w:rPr>
          <w:b/>
          <w:color w:val="000000" w:themeColor="text1"/>
        </w:rPr>
        <w:t>constrain women’s agency</w:t>
      </w:r>
      <w:r w:rsidR="00694D07">
        <w:rPr>
          <w:b/>
          <w:color w:val="000000" w:themeColor="text1"/>
        </w:rPr>
        <w:t xml:space="preserve"> </w:t>
      </w:r>
      <w:r w:rsidR="00FA0B98" w:rsidRPr="00694D07">
        <w:rPr>
          <w:b/>
          <w:color w:val="000000" w:themeColor="text1"/>
        </w:rPr>
        <w:t>in virtually all aspects of their lives.</w:t>
      </w:r>
      <w:r w:rsidR="00FA0B98">
        <w:rPr>
          <w:color w:val="000000" w:themeColor="text1"/>
        </w:rPr>
        <w:t xml:space="preserve"> As will be seen throughout this report, </w:t>
      </w:r>
      <w:r w:rsidR="00694D07">
        <w:rPr>
          <w:color w:val="000000" w:themeColor="text1"/>
        </w:rPr>
        <w:t xml:space="preserve">strong beliefs about the respective roles of men and women </w:t>
      </w:r>
      <w:r w:rsidR="00043B50">
        <w:rPr>
          <w:color w:val="000000" w:themeColor="text1"/>
        </w:rPr>
        <w:t>restrict</w:t>
      </w:r>
      <w:r w:rsidR="00694D07">
        <w:rPr>
          <w:color w:val="000000" w:themeColor="text1"/>
        </w:rPr>
        <w:t xml:space="preserve"> women’s agency in effectively all spheres. This section </w:t>
      </w:r>
      <w:r w:rsidR="00043B50">
        <w:rPr>
          <w:color w:val="000000" w:themeColor="text1"/>
        </w:rPr>
        <w:t xml:space="preserve">briefly looks at women’s participation in decision-making processes within the household and the economic and political spheres. Several of these aspects will also </w:t>
      </w:r>
      <w:r w:rsidR="00B93A2C">
        <w:rPr>
          <w:color w:val="000000" w:themeColor="text1"/>
        </w:rPr>
        <w:t xml:space="preserve">be </w:t>
      </w:r>
      <w:r w:rsidR="00043B50">
        <w:rPr>
          <w:color w:val="000000" w:themeColor="text1"/>
        </w:rPr>
        <w:t>captured in the sections on gender asymmetries in human capital endowments and economic opportunities.</w:t>
      </w:r>
    </w:p>
    <w:p w14:paraId="74AD5506" w14:textId="2829F395" w:rsidR="00EF3557" w:rsidRPr="009A5FF4" w:rsidRDefault="001F7002" w:rsidP="00336BA6">
      <w:pPr>
        <w:pStyle w:val="MainParawithChapter"/>
        <w:tabs>
          <w:tab w:val="clear" w:pos="720"/>
        </w:tabs>
        <w:ind w:left="0" w:firstLine="0"/>
        <w:jc w:val="both"/>
        <w:outlineLvl w:val="9"/>
        <w:rPr>
          <w:color w:val="000000" w:themeColor="text1"/>
        </w:rPr>
      </w:pPr>
      <w:r w:rsidRPr="009A5FF4">
        <w:rPr>
          <w:b/>
          <w:color w:val="000000" w:themeColor="text1"/>
        </w:rPr>
        <w:t>Patriarchal systems of decision-</w:t>
      </w:r>
      <w:r w:rsidR="006D211A" w:rsidRPr="009A5FF4">
        <w:rPr>
          <w:b/>
          <w:color w:val="000000" w:themeColor="text1"/>
        </w:rPr>
        <w:t xml:space="preserve">making </w:t>
      </w:r>
      <w:r w:rsidRPr="009A5FF4">
        <w:rPr>
          <w:b/>
          <w:color w:val="000000" w:themeColor="text1"/>
        </w:rPr>
        <w:t>limit</w:t>
      </w:r>
      <w:r w:rsidR="006D211A" w:rsidRPr="009A5FF4">
        <w:rPr>
          <w:b/>
          <w:color w:val="000000" w:themeColor="text1"/>
        </w:rPr>
        <w:t xml:space="preserve"> women’s voices</w:t>
      </w:r>
      <w:r w:rsidR="00694D07" w:rsidRPr="009A5FF4">
        <w:rPr>
          <w:b/>
          <w:color w:val="000000" w:themeColor="text1"/>
        </w:rPr>
        <w:t xml:space="preserve"> within the household</w:t>
      </w:r>
      <w:r w:rsidR="006D211A" w:rsidRPr="009A5FF4">
        <w:rPr>
          <w:b/>
          <w:color w:val="000000" w:themeColor="text1"/>
        </w:rPr>
        <w:t>.</w:t>
      </w:r>
      <w:r w:rsidR="00336BA6" w:rsidRPr="009A5FF4">
        <w:rPr>
          <w:b/>
          <w:color w:val="000000" w:themeColor="text1"/>
        </w:rPr>
        <w:t xml:space="preserve"> </w:t>
      </w:r>
      <w:r w:rsidR="006D211A" w:rsidRPr="009A5FF4">
        <w:rPr>
          <w:color w:val="000000" w:themeColor="text1"/>
        </w:rPr>
        <w:t xml:space="preserve">A woman’s father-in-law, her husband and his brothers, or the husband’s </w:t>
      </w:r>
      <w:r w:rsidR="00483EAC" w:rsidRPr="009A5FF4">
        <w:rPr>
          <w:color w:val="000000" w:themeColor="text1"/>
        </w:rPr>
        <w:t>mother commonly make</w:t>
      </w:r>
      <w:r w:rsidR="006D211A" w:rsidRPr="009A5FF4">
        <w:rPr>
          <w:color w:val="000000" w:themeColor="text1"/>
        </w:rPr>
        <w:t xml:space="preserve"> decisions about the allocation of household resources, while th</w:t>
      </w:r>
      <w:r w:rsidR="00336BA6" w:rsidRPr="009A5FF4">
        <w:rPr>
          <w:color w:val="000000" w:themeColor="text1"/>
        </w:rPr>
        <w:t>e voices of young women are excluded from the decision-making process in multi-generational families</w:t>
      </w:r>
      <w:r w:rsidRPr="009A5FF4">
        <w:rPr>
          <w:color w:val="000000" w:themeColor="text1"/>
        </w:rPr>
        <w:t xml:space="preserve"> and in many rural areas</w:t>
      </w:r>
      <w:r w:rsidR="00336BA6" w:rsidRPr="009A5FF4">
        <w:rPr>
          <w:color w:val="000000" w:themeColor="text1"/>
        </w:rPr>
        <w:t>. Within nuclear families, wo</w:t>
      </w:r>
      <w:r w:rsidR="006D211A" w:rsidRPr="009A5FF4">
        <w:rPr>
          <w:color w:val="000000" w:themeColor="text1"/>
        </w:rPr>
        <w:t>men may assume the second voice – after their husband –</w:t>
      </w:r>
      <w:r w:rsidR="00336BA6" w:rsidRPr="009A5FF4">
        <w:rPr>
          <w:color w:val="000000" w:themeColor="text1"/>
        </w:rPr>
        <w:t>, but th</w:t>
      </w:r>
      <w:r w:rsidR="00483EAC" w:rsidRPr="009A5FF4">
        <w:rPr>
          <w:color w:val="000000" w:themeColor="text1"/>
        </w:rPr>
        <w:t>eir role in decision-making nevertheless</w:t>
      </w:r>
      <w:r w:rsidR="006D211A" w:rsidRPr="009A5FF4">
        <w:rPr>
          <w:color w:val="000000" w:themeColor="text1"/>
        </w:rPr>
        <w:t xml:space="preserve"> </w:t>
      </w:r>
      <w:r w:rsidR="00483EAC" w:rsidRPr="009A5FF4">
        <w:rPr>
          <w:color w:val="000000" w:themeColor="text1"/>
        </w:rPr>
        <w:t>is</w:t>
      </w:r>
      <w:r w:rsidR="006D211A" w:rsidRPr="009A5FF4">
        <w:rPr>
          <w:color w:val="000000" w:themeColor="text1"/>
        </w:rPr>
        <w:t xml:space="preserve"> marginal </w:t>
      </w:r>
      <w:r w:rsidR="00E12159" w:rsidRPr="009A5FF4">
        <w:rPr>
          <w:color w:val="000000" w:themeColor="text1"/>
        </w:rPr>
        <w:fldChar w:fldCharType="begin"/>
      </w:r>
      <w:r w:rsidR="006D211A" w:rsidRPr="009A5FF4">
        <w:rPr>
          <w:color w:val="000000" w:themeColor="text1"/>
        </w:rPr>
        <w:instrText xml:space="preserve"> </w:instrText>
      </w:r>
      <w:r w:rsidR="009F7A22" w:rsidRPr="009A5FF4">
        <w:rPr>
          <w:color w:val="000000" w:themeColor="text1"/>
        </w:rPr>
        <w:instrText>ADDIN</w:instrText>
      </w:r>
      <w:r w:rsidR="006D211A" w:rsidRPr="009A5FF4">
        <w:rPr>
          <w:color w:val="000000" w:themeColor="text1"/>
        </w:rPr>
        <w:instrText xml:space="preserve"> EN.CITE &lt;EndNote&gt;&lt;Cite&gt;&lt;Author&gt;Kobzar&lt;/Author&gt;&lt;Year&gt;2007&lt;/Year&gt;&lt;RecNum&gt;78&lt;/RecNum&gt;&lt;DisplayText&gt;(Kobzar, 2007)&lt;/DisplayText&gt;&lt;record&gt;&lt;rec-number&gt;78&lt;/rec-number&gt;&lt;foreign-keys&gt;&lt;key app="EN" db-id="wes5dreptvrsr2eeartvxexxftt2tastxrfs"&gt;78&lt;/key&gt;&lt;/foreign-keys&gt;&lt;ref-type name="Book"&gt;6&lt;/ref-type&gt;&lt;contributors&gt;&lt;authors&gt;&lt;author&gt;Elena Kobzar&lt;/author&gt;&lt;/authors&gt;&lt;/contributors&gt;&lt;titles&gt;&lt;title&gt;Gender equality in the agricultural sector&lt;/title&gt;&lt;/titles&gt;&lt;dates&gt;&lt;year&gt;2007&lt;/year&gt;&lt;/dates&gt;&lt;pub-location&gt;Dushanbe&lt;/pub-location&gt;&lt;publisher&gt;United Nations Development Fund for Women&lt;/publisher&gt;&lt;urls&gt;&lt;/urls&gt;&lt;/record&gt;&lt;/Cite&gt;&lt;/EndNote&gt;</w:instrText>
      </w:r>
      <w:r w:rsidR="00E12159" w:rsidRPr="009A5FF4">
        <w:rPr>
          <w:color w:val="000000" w:themeColor="text1"/>
        </w:rPr>
        <w:fldChar w:fldCharType="separate"/>
      </w:r>
      <w:r w:rsidR="006D211A" w:rsidRPr="009A5FF4">
        <w:rPr>
          <w:noProof/>
          <w:color w:val="000000" w:themeColor="text1"/>
        </w:rPr>
        <w:t>(</w:t>
      </w:r>
      <w:hyperlink w:anchor="_ENREF_32" w:tooltip="Kobzar, 2007 #78" w:history="1">
        <w:r w:rsidR="006A1532" w:rsidRPr="009A5FF4">
          <w:rPr>
            <w:noProof/>
            <w:color w:val="000000" w:themeColor="text1"/>
          </w:rPr>
          <w:t>Kobzar, 2007</w:t>
        </w:r>
      </w:hyperlink>
      <w:r w:rsidR="006D211A" w:rsidRPr="009A5FF4">
        <w:rPr>
          <w:noProof/>
          <w:color w:val="000000" w:themeColor="text1"/>
        </w:rPr>
        <w:t>)</w:t>
      </w:r>
      <w:r w:rsidR="00E12159" w:rsidRPr="009A5FF4">
        <w:rPr>
          <w:color w:val="000000" w:themeColor="text1"/>
        </w:rPr>
        <w:fldChar w:fldCharType="end"/>
      </w:r>
      <w:r w:rsidR="00EF3557" w:rsidRPr="009A5FF4">
        <w:rPr>
          <w:color w:val="000000" w:themeColor="text1"/>
        </w:rPr>
        <w:t xml:space="preserve">. Women’s limited bargaining and decision-making power also hampers </w:t>
      </w:r>
      <w:r w:rsidR="00EF3557" w:rsidRPr="00387B4B">
        <w:t xml:space="preserve">women’s capacity to determine </w:t>
      </w:r>
      <w:r w:rsidR="009A5FF4">
        <w:t xml:space="preserve">when they want to have sex and </w:t>
      </w:r>
      <w:r w:rsidR="00EF3557" w:rsidRPr="00387B4B">
        <w:t>to decide how they can protect themselves from HIV</w:t>
      </w:r>
      <w:r w:rsidR="009A5FF4">
        <w:t>, and makes them more susceptible to domestic violence.</w:t>
      </w:r>
      <w:r w:rsidR="00061F93">
        <w:t xml:space="preserve"> </w:t>
      </w:r>
      <w:r w:rsidR="00061F93" w:rsidRPr="00A62640">
        <w:t>According to the 2005 MICS, two thirds of women</w:t>
      </w:r>
      <w:r w:rsidR="00061F93">
        <w:t xml:space="preserve"> between the ages of 15 and 49 </w:t>
      </w:r>
      <w:r w:rsidR="00061F93" w:rsidRPr="00A62640">
        <w:t>agree that a husband may beat his wife if she neglects the children, argues with him, or does no</w:t>
      </w:r>
      <w:r w:rsidR="00D75727">
        <w:t>t</w:t>
      </w:r>
      <w:r w:rsidR="00061F93" w:rsidRPr="00A62640">
        <w:t xml:space="preserve"> inform him when she leaves the house</w:t>
      </w:r>
      <w:r w:rsidR="00061F93">
        <w:t xml:space="preserve"> </w:t>
      </w:r>
      <w:r w:rsidR="00E12159" w:rsidRPr="00A62640">
        <w:fldChar w:fldCharType="begin"/>
      </w:r>
      <w:r w:rsidR="00061F93" w:rsidRPr="00A62640">
        <w:instrText xml:space="preserve"> </w:instrText>
      </w:r>
      <w:r w:rsidR="00061F93">
        <w:instrText>ADDIN</w:instrText>
      </w:r>
      <w:r w:rsidR="00061F93" w:rsidRPr="00A62640">
        <w:instrText xml:space="preserve">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rsidRPr="00A62640">
        <w:fldChar w:fldCharType="separate"/>
      </w:r>
      <w:r w:rsidR="00061F93" w:rsidRPr="00A62640">
        <w:rPr>
          <w:noProof/>
        </w:rPr>
        <w:t>(</w:t>
      </w:r>
      <w:hyperlink w:anchor="_ENREF_50" w:tooltip="State Committee on Statistics of the Republic of Tajikistan, 2007 #10" w:history="1">
        <w:r w:rsidR="006A1532" w:rsidRPr="00A62640">
          <w:rPr>
            <w:noProof/>
          </w:rPr>
          <w:t>State Committee on Statistics of the Republic of Tajikistan, 2007</w:t>
        </w:r>
      </w:hyperlink>
      <w:r w:rsidR="00061F93" w:rsidRPr="00A62640">
        <w:rPr>
          <w:noProof/>
        </w:rPr>
        <w:t>)</w:t>
      </w:r>
      <w:r w:rsidR="00E12159" w:rsidRPr="00A62640">
        <w:fldChar w:fldCharType="end"/>
      </w:r>
      <w:r w:rsidR="00061F93" w:rsidRPr="00A62640">
        <w:t>.</w:t>
      </w:r>
      <w:r w:rsidR="00DD58C9">
        <w:t xml:space="preserve"> </w:t>
      </w:r>
      <w:r w:rsidR="00DD58C9" w:rsidRPr="00A62640">
        <w:t>Prevailing social norms assure that women do not report violence, and this is further aggrava</w:t>
      </w:r>
      <w:r w:rsidR="00DD58C9">
        <w:t>ted by little knowledge of women’s</w:t>
      </w:r>
      <w:r w:rsidR="00DD58C9" w:rsidRPr="00A62640">
        <w:t xml:space="preserve"> rights and entitlements. Reemerging traditional marriage </w:t>
      </w:r>
      <w:r w:rsidR="00DD58C9" w:rsidRPr="00A62640">
        <w:lastRenderedPageBreak/>
        <w:t>practices, tha</w:t>
      </w:r>
      <w:r w:rsidR="00DD58C9">
        <w:t>t is early marriage and polygamous relationships, add</w:t>
      </w:r>
      <w:r w:rsidR="00DD58C9" w:rsidRPr="00A62640">
        <w:t xml:space="preserve"> to this set of problems, as these unofficial forms of marriage do not provide women with the same entitlements as legally registered marriages </w:t>
      </w:r>
      <w:r w:rsidR="00E12159" w:rsidRPr="00A62640">
        <w:fldChar w:fldCharType="begin"/>
      </w:r>
      <w:r w:rsidR="00DD58C9" w:rsidRPr="00A62640">
        <w:instrText xml:space="preserve"> </w:instrText>
      </w:r>
      <w:r w:rsidR="00DD58C9">
        <w:instrText>ADDIN</w:instrText>
      </w:r>
      <w:r w:rsidR="00DD58C9" w:rsidRPr="00A62640">
        <w:instrText xml:space="preserve"> EN.CITE &lt;EndNote&gt;&lt;Cite&gt;&lt;Author&gt;United Nations&lt;/Author&gt;&lt;Year&gt;2009&lt;/Year&gt;&lt;RecNum&gt;63&lt;/RecNum&gt;&lt;DisplayText&gt;(United Nations, 2009)&lt;/DisplayText&gt;&lt;record&gt;&lt;rec-number&gt;63&lt;/rec-number&gt;&lt;foreign-keys&gt;&lt;key app="EN" db-id="wes5dreptvrsr2eeartvxexxftt2tastxrfs"&gt;63&lt;/key&gt;&lt;/foreign-keys&gt;&lt;ref-type name="Journal Article"&gt;17&lt;/ref-type&gt;&lt;contributors&gt;&lt;authors&gt;&lt;author&gt;United Nations&lt;/author&gt;&lt;/authors&gt;&lt;/contributors&gt;&lt;titles&gt;&lt;title&gt;Promotion and Protection of All Human Rights, Civil, Political, Economic, Social and Cultural Rights, Including the Right to Development. Report of the Speical Rapporteur on violence against women, its causes and consequences&lt;/title&gt;&lt;secondary-title&gt;A/HRC/11/6/Add. 2, 29 April 2009&lt;/secondary-title&gt;&lt;/titles&gt;&lt;periodical&gt;&lt;full-title&gt;A/HRC/11/6/Add. 2, 29 April 2009&lt;/full-title&gt;&lt;/periodical&gt;&lt;dates&gt;&lt;year&gt;2009&lt;/year&gt;&lt;/dates&gt;&lt;urls&gt;&lt;/urls&gt;&lt;/record&gt;&lt;/Cite&gt;&lt;/EndNote&gt;</w:instrText>
      </w:r>
      <w:r w:rsidR="00E12159" w:rsidRPr="00A62640">
        <w:fldChar w:fldCharType="separate"/>
      </w:r>
      <w:r w:rsidR="00DD58C9" w:rsidRPr="00A62640">
        <w:rPr>
          <w:noProof/>
        </w:rPr>
        <w:t>(</w:t>
      </w:r>
      <w:hyperlink w:anchor="_ENREF_63" w:tooltip="United Nations, 2009 #63" w:history="1">
        <w:r w:rsidR="006A1532" w:rsidRPr="00A62640">
          <w:rPr>
            <w:noProof/>
          </w:rPr>
          <w:t>United Nations, 2009</w:t>
        </w:r>
      </w:hyperlink>
      <w:r w:rsidR="00DD58C9" w:rsidRPr="00A62640">
        <w:rPr>
          <w:noProof/>
        </w:rPr>
        <w:t>)</w:t>
      </w:r>
      <w:r w:rsidR="00E12159" w:rsidRPr="00A62640">
        <w:fldChar w:fldCharType="end"/>
      </w:r>
      <w:r w:rsidR="00DD58C9" w:rsidRPr="00A62640">
        <w:t>.</w:t>
      </w:r>
    </w:p>
    <w:p w14:paraId="38A3CE80" w14:textId="13042A13" w:rsidR="00336BA6" w:rsidRPr="00366B9C" w:rsidRDefault="00336BA6" w:rsidP="00336BA6">
      <w:pPr>
        <w:pStyle w:val="MainParawithChapter"/>
        <w:tabs>
          <w:tab w:val="clear" w:pos="720"/>
        </w:tabs>
        <w:ind w:left="0" w:firstLine="0"/>
        <w:jc w:val="both"/>
        <w:outlineLvl w:val="9"/>
        <w:rPr>
          <w:color w:val="000000" w:themeColor="text1"/>
        </w:rPr>
      </w:pPr>
      <w:r w:rsidRPr="00366B9C">
        <w:rPr>
          <w:b/>
          <w:color w:val="000000" w:themeColor="text1"/>
        </w:rPr>
        <w:t xml:space="preserve">Although women </w:t>
      </w:r>
      <w:r w:rsidR="00A80393">
        <w:rPr>
          <w:b/>
          <w:color w:val="000000" w:themeColor="text1"/>
        </w:rPr>
        <w:t>carry out</w:t>
      </w:r>
      <w:r w:rsidRPr="00366B9C">
        <w:rPr>
          <w:b/>
          <w:color w:val="000000" w:themeColor="text1"/>
        </w:rPr>
        <w:t xml:space="preserve"> </w:t>
      </w:r>
      <w:r w:rsidR="00C815D7">
        <w:rPr>
          <w:b/>
          <w:color w:val="000000" w:themeColor="text1"/>
        </w:rPr>
        <w:t>a significant share of the</w:t>
      </w:r>
      <w:r w:rsidR="00A80393">
        <w:rPr>
          <w:b/>
          <w:color w:val="000000" w:themeColor="text1"/>
        </w:rPr>
        <w:t xml:space="preserve"> income-</w:t>
      </w:r>
      <w:r w:rsidRPr="00366B9C">
        <w:rPr>
          <w:b/>
          <w:color w:val="000000" w:themeColor="text1"/>
        </w:rPr>
        <w:t>generating work in the agricultural sector</w:t>
      </w:r>
      <w:r w:rsidR="00F16E16">
        <w:rPr>
          <w:b/>
          <w:color w:val="000000" w:themeColor="text1"/>
        </w:rPr>
        <w:t xml:space="preserve">, their involvement in decision-making processes frequently remains </w:t>
      </w:r>
      <w:r w:rsidR="00312C8D">
        <w:rPr>
          <w:b/>
          <w:color w:val="000000" w:themeColor="text1"/>
        </w:rPr>
        <w:t>limited</w:t>
      </w:r>
      <w:r w:rsidR="00F16E16">
        <w:rPr>
          <w:b/>
          <w:color w:val="000000" w:themeColor="text1"/>
        </w:rPr>
        <w:t>.</w:t>
      </w:r>
      <w:r w:rsidRPr="00366B9C">
        <w:rPr>
          <w:b/>
          <w:color w:val="000000" w:themeColor="text1"/>
        </w:rPr>
        <w:t xml:space="preserve"> </w:t>
      </w:r>
      <w:r w:rsidR="00A80393">
        <w:rPr>
          <w:color w:val="000000" w:themeColor="text1"/>
        </w:rPr>
        <w:t xml:space="preserve">While </w:t>
      </w:r>
      <w:r w:rsidRPr="00366B9C">
        <w:rPr>
          <w:color w:val="000000" w:themeColor="text1"/>
        </w:rPr>
        <w:t xml:space="preserve">women are </w:t>
      </w:r>
      <w:r w:rsidR="0012692D">
        <w:rPr>
          <w:color w:val="000000" w:themeColor="text1"/>
        </w:rPr>
        <w:t xml:space="preserve">most often </w:t>
      </w:r>
      <w:r w:rsidRPr="00366B9C">
        <w:rPr>
          <w:color w:val="000000" w:themeColor="text1"/>
        </w:rPr>
        <w:t xml:space="preserve">responsible for </w:t>
      </w:r>
      <w:r w:rsidR="00C815D7">
        <w:rPr>
          <w:color w:val="000000" w:themeColor="text1"/>
        </w:rPr>
        <w:t>managing</w:t>
      </w:r>
      <w:r w:rsidRPr="00366B9C">
        <w:rPr>
          <w:color w:val="000000" w:themeColor="text1"/>
        </w:rPr>
        <w:t xml:space="preserve"> drinking water resources and </w:t>
      </w:r>
      <w:r w:rsidR="00C815D7">
        <w:rPr>
          <w:color w:val="000000" w:themeColor="text1"/>
        </w:rPr>
        <w:t>providing</w:t>
      </w:r>
      <w:r w:rsidRPr="00366B9C">
        <w:rPr>
          <w:color w:val="000000" w:themeColor="text1"/>
        </w:rPr>
        <w:t xml:space="preserve"> drinking water </w:t>
      </w:r>
      <w:r w:rsidR="00C815D7">
        <w:rPr>
          <w:color w:val="000000" w:themeColor="text1"/>
        </w:rPr>
        <w:t>at home</w:t>
      </w:r>
      <w:r w:rsidRPr="00366B9C">
        <w:rPr>
          <w:color w:val="000000" w:themeColor="text1"/>
        </w:rPr>
        <w:t xml:space="preserve">, they are </w:t>
      </w:r>
      <w:r w:rsidR="00AC5D76">
        <w:rPr>
          <w:color w:val="000000" w:themeColor="text1"/>
        </w:rPr>
        <w:t xml:space="preserve">in practice </w:t>
      </w:r>
      <w:r w:rsidRPr="00366B9C">
        <w:rPr>
          <w:color w:val="000000" w:themeColor="text1"/>
        </w:rPr>
        <w:t>denied access to local decision-maki</w:t>
      </w:r>
      <w:r w:rsidR="00AC5D76">
        <w:rPr>
          <w:color w:val="000000" w:themeColor="text1"/>
        </w:rPr>
        <w:t>ng on water resource management</w:t>
      </w:r>
      <w:r w:rsidR="00C815D7">
        <w:rPr>
          <w:color w:val="000000" w:themeColor="text1"/>
        </w:rPr>
        <w:t xml:space="preserve"> and </w:t>
      </w:r>
      <w:r w:rsidRPr="00366B9C">
        <w:rPr>
          <w:color w:val="000000" w:themeColor="text1"/>
        </w:rPr>
        <w:t>unlikely to participate in Water User Assoc</w:t>
      </w:r>
      <w:r w:rsidR="0012692D">
        <w:rPr>
          <w:color w:val="000000" w:themeColor="text1"/>
        </w:rPr>
        <w:t>iations (WUAs</w:t>
      </w:r>
      <w:r w:rsidR="00C815D7">
        <w:rPr>
          <w:color w:val="000000" w:themeColor="text1"/>
        </w:rPr>
        <w:t>)</w:t>
      </w:r>
      <w:r w:rsidR="000E5D99">
        <w:rPr>
          <w:color w:val="000000" w:themeColor="text1"/>
        </w:rPr>
        <w:t xml:space="preserve"> </w:t>
      </w:r>
      <w:r w:rsidR="00E12159">
        <w:rPr>
          <w:color w:val="000000" w:themeColor="text1"/>
        </w:rPr>
        <w:fldChar w:fldCharType="begin"/>
      </w:r>
      <w:r w:rsidR="00A80393">
        <w:rPr>
          <w:color w:val="000000" w:themeColor="text1"/>
        </w:rPr>
        <w:instrText xml:space="preserve"> </w:instrText>
      </w:r>
      <w:r w:rsidR="009F7A22">
        <w:rPr>
          <w:color w:val="000000" w:themeColor="text1"/>
        </w:rPr>
        <w:instrText>ADDIN</w:instrText>
      </w:r>
      <w:r w:rsidR="00A80393">
        <w:rPr>
          <w:color w:val="000000" w:themeColor="text1"/>
        </w:rPr>
        <w:instrText xml:space="preserve"> EN.CITE &lt;EndNote&gt;&lt;Cite&gt;&lt;Author&gt;World Bank&lt;/Author&gt;&lt;Year&gt;2009&lt;/Year&gt;&lt;RecNum&gt;79&lt;/RecNum&gt;&lt;DisplayText&gt;(World Bank, 2009a)&lt;/DisplayText&gt;&lt;record&gt;&lt;rec-number&gt;79&lt;/rec-number&gt;&lt;foreign-keys&gt;&lt;key app="EN" db-id="wes5dreptvrsr2eeartvxexxftt2tastxrfs"&gt;79&lt;/key&gt;&lt;/foreign-keys&gt;&lt;ref-type name="Book"&gt;6&lt;/ref-type&gt;&lt;contributors&gt;&lt;authors&gt;&lt;author&gt;World Bank&lt;/author&gt;&lt;/authors&gt;&lt;/contributors&gt;&lt;titles&gt;&lt;title&gt;Agricultural Activities, Water, and Gender in Tajikistan&amp;apos;s Rural Sector: A Social Assessment of Konibodom, Bobojon Ghafurov, and Yovon&lt;/title&gt;&lt;/titles&gt;&lt;dates&gt;&lt;year&gt;2009&lt;/year&gt;&lt;/dates&gt;&lt;pub-location&gt;Washington, DC&lt;/pub-location&gt;&lt;publisher&gt;World Bank&lt;/publisher&gt;&lt;urls&gt;&lt;/urls&gt;&lt;/record&gt;&lt;/Cite&gt;&lt;/EndNote&gt;</w:instrText>
      </w:r>
      <w:r w:rsidR="00E12159">
        <w:rPr>
          <w:color w:val="000000" w:themeColor="text1"/>
        </w:rPr>
        <w:fldChar w:fldCharType="separate"/>
      </w:r>
      <w:r w:rsidR="00A80393">
        <w:rPr>
          <w:noProof/>
          <w:color w:val="000000" w:themeColor="text1"/>
        </w:rPr>
        <w:t>(</w:t>
      </w:r>
      <w:hyperlink w:anchor="_ENREF_75" w:tooltip="World Bank, 2009 #79" w:history="1">
        <w:r w:rsidR="006A1532">
          <w:rPr>
            <w:noProof/>
            <w:color w:val="000000" w:themeColor="text1"/>
          </w:rPr>
          <w:t>World Bank, 2009a</w:t>
        </w:r>
      </w:hyperlink>
      <w:r w:rsidR="00A80393">
        <w:rPr>
          <w:noProof/>
          <w:color w:val="000000" w:themeColor="text1"/>
        </w:rPr>
        <w:t>)</w:t>
      </w:r>
      <w:r w:rsidR="00E12159">
        <w:rPr>
          <w:color w:val="000000" w:themeColor="text1"/>
        </w:rPr>
        <w:fldChar w:fldCharType="end"/>
      </w:r>
      <w:r w:rsidRPr="00366B9C">
        <w:rPr>
          <w:color w:val="000000" w:themeColor="text1"/>
        </w:rPr>
        <w:t xml:space="preserve">. </w:t>
      </w:r>
      <w:r w:rsidR="000E5D99">
        <w:rPr>
          <w:color w:val="000000" w:themeColor="text1"/>
        </w:rPr>
        <w:t xml:space="preserve">Moreover, </w:t>
      </w:r>
      <w:r w:rsidR="00AC5D76">
        <w:rPr>
          <w:color w:val="000000" w:themeColor="text1"/>
        </w:rPr>
        <w:t>despite</w:t>
      </w:r>
      <w:r w:rsidR="00C815D7">
        <w:rPr>
          <w:color w:val="000000" w:themeColor="text1"/>
        </w:rPr>
        <w:t xml:space="preserve"> the fact that </w:t>
      </w:r>
      <w:r w:rsidRPr="00366B9C">
        <w:rPr>
          <w:color w:val="000000" w:themeColor="text1"/>
        </w:rPr>
        <w:t xml:space="preserve">both men and women are involved in </w:t>
      </w:r>
      <w:r w:rsidR="00AC5D76">
        <w:rPr>
          <w:color w:val="000000" w:themeColor="text1"/>
        </w:rPr>
        <w:t>taking care of</w:t>
      </w:r>
      <w:r w:rsidR="00C815D7">
        <w:rPr>
          <w:color w:val="000000" w:themeColor="text1"/>
        </w:rPr>
        <w:t xml:space="preserve"> livestock,</w:t>
      </w:r>
      <w:r w:rsidR="000E5D99">
        <w:rPr>
          <w:color w:val="000000" w:themeColor="text1"/>
        </w:rPr>
        <w:t xml:space="preserve"> </w:t>
      </w:r>
      <w:r w:rsidRPr="00366B9C">
        <w:rPr>
          <w:color w:val="000000" w:themeColor="text1"/>
        </w:rPr>
        <w:t xml:space="preserve">it is men who </w:t>
      </w:r>
      <w:r w:rsidR="00C815D7">
        <w:rPr>
          <w:color w:val="000000" w:themeColor="text1"/>
        </w:rPr>
        <w:t>decide</w:t>
      </w:r>
      <w:r w:rsidRPr="00366B9C">
        <w:rPr>
          <w:color w:val="000000" w:themeColor="text1"/>
        </w:rPr>
        <w:t xml:space="preserve"> on the purchase, sale and other operations </w:t>
      </w:r>
      <w:r w:rsidR="00C815D7">
        <w:rPr>
          <w:color w:val="000000" w:themeColor="text1"/>
        </w:rPr>
        <w:t xml:space="preserve">linked </w:t>
      </w:r>
      <w:r w:rsidR="00B93A2C">
        <w:rPr>
          <w:color w:val="000000" w:themeColor="text1"/>
        </w:rPr>
        <w:t xml:space="preserve">to </w:t>
      </w:r>
      <w:r w:rsidR="004B2109">
        <w:rPr>
          <w:color w:val="000000" w:themeColor="text1"/>
        </w:rPr>
        <w:t>its management. Women’s</w:t>
      </w:r>
      <w:r w:rsidRPr="00366B9C">
        <w:rPr>
          <w:color w:val="000000" w:themeColor="text1"/>
        </w:rPr>
        <w:t xml:space="preserve"> margina</w:t>
      </w:r>
      <w:r w:rsidR="004B2109">
        <w:rPr>
          <w:color w:val="000000" w:themeColor="text1"/>
        </w:rPr>
        <w:t>l role</w:t>
      </w:r>
      <w:r w:rsidRPr="00366B9C">
        <w:rPr>
          <w:color w:val="000000" w:themeColor="text1"/>
        </w:rPr>
        <w:t xml:space="preserve"> in decision-making intersects with the </w:t>
      </w:r>
      <w:r w:rsidR="004B2109">
        <w:rPr>
          <w:color w:val="000000" w:themeColor="text1"/>
        </w:rPr>
        <w:t>dominance</w:t>
      </w:r>
      <w:r w:rsidRPr="00366B9C">
        <w:rPr>
          <w:color w:val="000000" w:themeColor="text1"/>
        </w:rPr>
        <w:t xml:space="preserve"> of g</w:t>
      </w:r>
      <w:r w:rsidR="0012387A">
        <w:rPr>
          <w:color w:val="000000" w:themeColor="text1"/>
        </w:rPr>
        <w:t>ender stereotypes, low</w:t>
      </w:r>
      <w:r w:rsidR="00B93A2C">
        <w:rPr>
          <w:color w:val="000000" w:themeColor="text1"/>
        </w:rPr>
        <w:t>er</w:t>
      </w:r>
      <w:r w:rsidRPr="00366B9C">
        <w:rPr>
          <w:color w:val="000000" w:themeColor="text1"/>
        </w:rPr>
        <w:t xml:space="preserve"> levels </w:t>
      </w:r>
      <w:r w:rsidR="0012387A">
        <w:rPr>
          <w:color w:val="000000" w:themeColor="text1"/>
        </w:rPr>
        <w:t xml:space="preserve">of educational attainment of women </w:t>
      </w:r>
      <w:r w:rsidRPr="00366B9C">
        <w:rPr>
          <w:color w:val="000000" w:themeColor="text1"/>
        </w:rPr>
        <w:t>compared to men, and increased involvement of women in unpaid home labor as well as less-profitable jobs i</w:t>
      </w:r>
      <w:r w:rsidR="00AC5D76">
        <w:rPr>
          <w:color w:val="000000" w:themeColor="text1"/>
        </w:rPr>
        <w:t xml:space="preserve">n the labor market </w:t>
      </w:r>
      <w:r w:rsidR="00E12159">
        <w:rPr>
          <w:color w:val="000000" w:themeColor="text1"/>
        </w:rPr>
        <w:fldChar w:fldCharType="begin"/>
      </w:r>
      <w:r w:rsidR="00AC5D76">
        <w:rPr>
          <w:color w:val="000000" w:themeColor="text1"/>
        </w:rPr>
        <w:instrText xml:space="preserve"> </w:instrText>
      </w:r>
      <w:r w:rsidR="009F7A22">
        <w:rPr>
          <w:color w:val="000000" w:themeColor="text1"/>
        </w:rPr>
        <w:instrText>ADDIN</w:instrText>
      </w:r>
      <w:r w:rsidR="00AC5D76">
        <w:rPr>
          <w:color w:val="000000" w:themeColor="text1"/>
        </w:rPr>
        <w:instrText xml:space="preserve"> EN.CITE &lt;EndNote&gt;&lt;Cite&gt;&lt;Author&gt;Kobzar&lt;/Author&gt;&lt;Year&gt;2007&lt;/Year&gt;&lt;RecNum&gt;78&lt;/RecNum&gt;&lt;DisplayText&gt;(Kobzar, 2007)&lt;/DisplayText&gt;&lt;record&gt;&lt;rec-number&gt;78&lt;/rec-number&gt;&lt;foreign-keys&gt;&lt;key app="EN" db-id="wes5dreptvrsr2eeartvxexxftt2tastxrfs"&gt;78&lt;/key&gt;&lt;/foreign-keys&gt;&lt;ref-type name="Book"&gt;6&lt;/ref-type&gt;&lt;contributors&gt;&lt;authors&gt;&lt;author&gt;Elena Kobzar&lt;/author&gt;&lt;/authors&gt;&lt;/contributors&gt;&lt;titles&gt;&lt;title&gt;Gender equality in the agricultural sector&lt;/title&gt;&lt;/titles&gt;&lt;dates&gt;&lt;year&gt;2007&lt;/year&gt;&lt;/dates&gt;&lt;pub-location&gt;Dushanbe&lt;/pub-location&gt;&lt;publisher&gt;United Nations Development Fund for Women&lt;/publisher&gt;&lt;urls&gt;&lt;/urls&gt;&lt;/record&gt;&lt;/Cite&gt;&lt;/EndNote&gt;</w:instrText>
      </w:r>
      <w:r w:rsidR="00E12159">
        <w:rPr>
          <w:color w:val="000000" w:themeColor="text1"/>
        </w:rPr>
        <w:fldChar w:fldCharType="separate"/>
      </w:r>
      <w:r w:rsidR="00AC5D76">
        <w:rPr>
          <w:noProof/>
          <w:color w:val="000000" w:themeColor="text1"/>
        </w:rPr>
        <w:t>(</w:t>
      </w:r>
      <w:hyperlink w:anchor="_ENREF_32" w:tooltip="Kobzar, 2007 #78" w:history="1">
        <w:r w:rsidR="006A1532">
          <w:rPr>
            <w:noProof/>
            <w:color w:val="000000" w:themeColor="text1"/>
          </w:rPr>
          <w:t>Kobzar, 2007</w:t>
        </w:r>
      </w:hyperlink>
      <w:r w:rsidR="00AC5D76">
        <w:rPr>
          <w:noProof/>
          <w:color w:val="000000" w:themeColor="text1"/>
        </w:rPr>
        <w:t>)</w:t>
      </w:r>
      <w:r w:rsidR="00E12159">
        <w:rPr>
          <w:color w:val="000000" w:themeColor="text1"/>
        </w:rPr>
        <w:fldChar w:fldCharType="end"/>
      </w:r>
      <w:r w:rsidRPr="00366B9C">
        <w:rPr>
          <w:color w:val="000000" w:themeColor="text1"/>
        </w:rPr>
        <w:t xml:space="preserve">. In short, </w:t>
      </w:r>
      <w:r w:rsidR="004B2109">
        <w:rPr>
          <w:color w:val="000000" w:themeColor="text1"/>
        </w:rPr>
        <w:t>women’s</w:t>
      </w:r>
      <w:r w:rsidRPr="00366B9C">
        <w:rPr>
          <w:color w:val="000000" w:themeColor="text1"/>
        </w:rPr>
        <w:t xml:space="preserve"> contributions to the welfare of t</w:t>
      </w:r>
      <w:r w:rsidR="00AC5D76">
        <w:rPr>
          <w:color w:val="000000" w:themeColor="text1"/>
        </w:rPr>
        <w:t>he</w:t>
      </w:r>
      <w:r w:rsidR="004B2109">
        <w:rPr>
          <w:color w:val="000000" w:themeColor="text1"/>
        </w:rPr>
        <w:t>ir</w:t>
      </w:r>
      <w:r w:rsidR="00AC5D76">
        <w:rPr>
          <w:color w:val="000000" w:themeColor="text1"/>
        </w:rPr>
        <w:t xml:space="preserve"> family and society – </w:t>
      </w:r>
      <w:r w:rsidRPr="00366B9C">
        <w:rPr>
          <w:color w:val="000000" w:themeColor="text1"/>
        </w:rPr>
        <w:t>paid and unpaid work within the home or on household plots</w:t>
      </w:r>
      <w:r w:rsidR="00AC5D76">
        <w:rPr>
          <w:color w:val="000000" w:themeColor="text1"/>
        </w:rPr>
        <w:t xml:space="preserve"> –</w:t>
      </w:r>
      <w:r w:rsidRPr="00366B9C">
        <w:rPr>
          <w:color w:val="000000" w:themeColor="text1"/>
        </w:rPr>
        <w:t xml:space="preserve"> is undervalued</w:t>
      </w:r>
      <w:r w:rsidR="00AC5D76">
        <w:rPr>
          <w:color w:val="000000" w:themeColor="text1"/>
        </w:rPr>
        <w:t xml:space="preserve">, and this is reflected in </w:t>
      </w:r>
      <w:r w:rsidR="004B2109">
        <w:rPr>
          <w:color w:val="000000" w:themeColor="text1"/>
        </w:rPr>
        <w:t>their</w:t>
      </w:r>
      <w:r w:rsidRPr="00366B9C">
        <w:rPr>
          <w:color w:val="000000" w:themeColor="text1"/>
        </w:rPr>
        <w:t xml:space="preserve"> exclusion from decision-making processes. </w:t>
      </w:r>
    </w:p>
    <w:p w14:paraId="7F35E022" w14:textId="635E1191" w:rsidR="00336BA6" w:rsidRDefault="00B93A2C" w:rsidP="00336BA6">
      <w:pPr>
        <w:pStyle w:val="MainParawithChapter"/>
        <w:tabs>
          <w:tab w:val="clear" w:pos="720"/>
        </w:tabs>
        <w:ind w:left="0" w:firstLine="0"/>
        <w:jc w:val="both"/>
        <w:outlineLvl w:val="9"/>
        <w:rPr>
          <w:color w:val="000000" w:themeColor="text1"/>
        </w:rPr>
      </w:pPr>
      <w:r>
        <w:rPr>
          <w:b/>
          <w:color w:val="000000" w:themeColor="text1"/>
        </w:rPr>
        <w:t xml:space="preserve">In spite of </w:t>
      </w:r>
      <w:r w:rsidR="00281EB4">
        <w:rPr>
          <w:b/>
          <w:color w:val="000000" w:themeColor="text1"/>
        </w:rPr>
        <w:t>women’s</w:t>
      </w:r>
      <w:r w:rsidR="004B2109" w:rsidRPr="004B2109">
        <w:rPr>
          <w:b/>
          <w:color w:val="000000" w:themeColor="text1"/>
        </w:rPr>
        <w:t xml:space="preserve"> </w:t>
      </w:r>
      <w:r w:rsidR="00336BA6" w:rsidRPr="004B2109">
        <w:rPr>
          <w:b/>
          <w:color w:val="000000" w:themeColor="text1"/>
        </w:rPr>
        <w:t xml:space="preserve">right to a share of </w:t>
      </w:r>
      <w:r w:rsidR="00336BA6" w:rsidRPr="004B2109">
        <w:rPr>
          <w:b/>
          <w:i/>
          <w:color w:val="000000" w:themeColor="text1"/>
        </w:rPr>
        <w:t>dehkan</w:t>
      </w:r>
      <w:r w:rsidR="00336BA6" w:rsidRPr="004B2109">
        <w:rPr>
          <w:b/>
          <w:color w:val="000000" w:themeColor="text1"/>
        </w:rPr>
        <w:t xml:space="preserve"> farmland, </w:t>
      </w:r>
      <w:r w:rsidR="00281EB4">
        <w:rPr>
          <w:b/>
          <w:color w:val="000000" w:themeColor="text1"/>
        </w:rPr>
        <w:t>they</w:t>
      </w:r>
      <w:r w:rsidR="00336BA6" w:rsidRPr="004B2109">
        <w:rPr>
          <w:b/>
          <w:color w:val="000000" w:themeColor="text1"/>
        </w:rPr>
        <w:t xml:space="preserve"> are often employees </w:t>
      </w:r>
      <w:r w:rsidR="00281EB4">
        <w:rPr>
          <w:b/>
          <w:color w:val="000000" w:themeColor="text1"/>
        </w:rPr>
        <w:t xml:space="preserve">rather </w:t>
      </w:r>
      <w:r w:rsidR="004B2109" w:rsidRPr="004B2109">
        <w:rPr>
          <w:b/>
          <w:color w:val="000000" w:themeColor="text1"/>
        </w:rPr>
        <w:t>than</w:t>
      </w:r>
      <w:r w:rsidR="00336BA6" w:rsidRPr="004B2109">
        <w:rPr>
          <w:b/>
          <w:color w:val="000000" w:themeColor="text1"/>
        </w:rPr>
        <w:t xml:space="preserve"> shareholders in their own right.</w:t>
      </w:r>
      <w:r w:rsidR="00336BA6" w:rsidRPr="004B2109">
        <w:rPr>
          <w:color w:val="000000" w:themeColor="text1"/>
        </w:rPr>
        <w:t xml:space="preserve"> Women </w:t>
      </w:r>
      <w:r>
        <w:rPr>
          <w:color w:val="000000" w:themeColor="text1"/>
        </w:rPr>
        <w:t>marginally</w:t>
      </w:r>
      <w:r w:rsidR="00336BA6" w:rsidRPr="004B2109">
        <w:rPr>
          <w:color w:val="000000" w:themeColor="text1"/>
        </w:rPr>
        <w:t xml:space="preserve"> participated in the restructuring of collective farms, as</w:t>
      </w:r>
      <w:r w:rsidR="00281EB4">
        <w:rPr>
          <w:color w:val="000000" w:themeColor="text1"/>
        </w:rPr>
        <w:t xml:space="preserve"> rural women rarely </w:t>
      </w:r>
      <w:r w:rsidR="00867761">
        <w:rPr>
          <w:color w:val="000000" w:themeColor="text1"/>
        </w:rPr>
        <w:t>led</w:t>
      </w:r>
      <w:r w:rsidR="00281EB4">
        <w:rPr>
          <w:color w:val="000000" w:themeColor="text1"/>
        </w:rPr>
        <w:t xml:space="preserve"> farms during the Soviet era, and former farm managers administered most </w:t>
      </w:r>
      <w:r w:rsidR="00FA3D7E">
        <w:rPr>
          <w:color w:val="000000" w:themeColor="text1"/>
        </w:rPr>
        <w:t>reorganizations</w:t>
      </w:r>
      <w:r w:rsidR="00281EB4">
        <w:rPr>
          <w:color w:val="000000" w:themeColor="text1"/>
        </w:rPr>
        <w:t>. In 2004, women headed solely seven percent of all r</w:t>
      </w:r>
      <w:r w:rsidR="00336BA6" w:rsidRPr="004B2109">
        <w:rPr>
          <w:color w:val="000000" w:themeColor="text1"/>
        </w:rPr>
        <w:t xml:space="preserve">egistered </w:t>
      </w:r>
      <w:r w:rsidR="00336BA6" w:rsidRPr="00FA3D7E">
        <w:rPr>
          <w:i/>
          <w:color w:val="000000" w:themeColor="text1"/>
        </w:rPr>
        <w:t>dehkan</w:t>
      </w:r>
      <w:r w:rsidR="00336BA6" w:rsidRPr="004B2109">
        <w:rPr>
          <w:color w:val="000000" w:themeColor="text1"/>
        </w:rPr>
        <w:t xml:space="preserve"> farms</w:t>
      </w:r>
      <w:r w:rsidR="00281EB4">
        <w:rPr>
          <w:color w:val="000000" w:themeColor="text1"/>
        </w:rPr>
        <w:t xml:space="preserve">. </w:t>
      </w:r>
      <w:r w:rsidR="00C25047">
        <w:rPr>
          <w:color w:val="000000" w:themeColor="text1"/>
        </w:rPr>
        <w:t>A</w:t>
      </w:r>
      <w:r w:rsidR="003668BF">
        <w:rPr>
          <w:color w:val="000000" w:themeColor="text1"/>
        </w:rPr>
        <w:t xml:space="preserve"> more</w:t>
      </w:r>
      <w:r w:rsidR="00C25047">
        <w:rPr>
          <w:color w:val="000000" w:themeColor="text1"/>
        </w:rPr>
        <w:t xml:space="preserve"> recent social assessment of agriculture and gender in three districts </w:t>
      </w:r>
      <w:r w:rsidR="00336BA6" w:rsidRPr="004B2109">
        <w:rPr>
          <w:color w:val="000000" w:themeColor="text1"/>
        </w:rPr>
        <w:t xml:space="preserve">in </w:t>
      </w:r>
      <w:proofErr w:type="spellStart"/>
      <w:r w:rsidR="00336BA6" w:rsidRPr="004B2109">
        <w:rPr>
          <w:color w:val="000000" w:themeColor="text1"/>
        </w:rPr>
        <w:t>Ferghana</w:t>
      </w:r>
      <w:proofErr w:type="spellEnd"/>
      <w:r w:rsidR="00336BA6" w:rsidRPr="004B2109">
        <w:rPr>
          <w:color w:val="000000" w:themeColor="text1"/>
        </w:rPr>
        <w:t xml:space="preserve"> valle</w:t>
      </w:r>
      <w:r w:rsidR="006A3D44" w:rsidRPr="004B2109">
        <w:rPr>
          <w:color w:val="000000" w:themeColor="text1"/>
        </w:rPr>
        <w:t>y</w:t>
      </w:r>
      <w:r w:rsidR="00C25047" w:rsidRPr="00C25047">
        <w:rPr>
          <w:color w:val="000000" w:themeColor="text1"/>
          <w:vertAlign w:val="superscript"/>
        </w:rPr>
        <w:footnoteReference w:id="3"/>
      </w:r>
      <w:r w:rsidR="00FA3D7E">
        <w:rPr>
          <w:color w:val="000000" w:themeColor="text1"/>
        </w:rPr>
        <w:t xml:space="preserve">, with a large number </w:t>
      </w:r>
      <w:r>
        <w:rPr>
          <w:color w:val="000000" w:themeColor="text1"/>
        </w:rPr>
        <w:t>of female household heads in the</w:t>
      </w:r>
      <w:r w:rsidR="00FA3D7E">
        <w:rPr>
          <w:color w:val="000000" w:themeColor="text1"/>
        </w:rPr>
        <w:t xml:space="preserve"> sample,</w:t>
      </w:r>
      <w:r w:rsidR="006A3D44" w:rsidRPr="004B2109">
        <w:rPr>
          <w:color w:val="000000" w:themeColor="text1"/>
        </w:rPr>
        <w:t xml:space="preserve"> </w:t>
      </w:r>
      <w:r w:rsidR="00FA3D7E">
        <w:rPr>
          <w:color w:val="000000" w:themeColor="text1"/>
        </w:rPr>
        <w:t>suggest</w:t>
      </w:r>
      <w:r w:rsidR="00C25047">
        <w:rPr>
          <w:color w:val="000000" w:themeColor="text1"/>
        </w:rPr>
        <w:t>s</w:t>
      </w:r>
      <w:r w:rsidR="00FA3D7E">
        <w:rPr>
          <w:color w:val="000000" w:themeColor="text1"/>
        </w:rPr>
        <w:t xml:space="preserve"> that </w:t>
      </w:r>
      <w:r w:rsidR="00281EB4">
        <w:rPr>
          <w:color w:val="000000" w:themeColor="text1"/>
        </w:rPr>
        <w:t xml:space="preserve">this figure </w:t>
      </w:r>
      <w:r w:rsidR="00FA3D7E">
        <w:rPr>
          <w:color w:val="000000" w:themeColor="text1"/>
        </w:rPr>
        <w:t>amounts to</w:t>
      </w:r>
      <w:r w:rsidR="00281EB4">
        <w:rPr>
          <w:color w:val="000000" w:themeColor="text1"/>
        </w:rPr>
        <w:t xml:space="preserve"> 15 percent </w:t>
      </w:r>
      <w:r w:rsidR="00E12159">
        <w:rPr>
          <w:color w:val="000000" w:themeColor="text1"/>
        </w:rPr>
        <w:fldChar w:fldCharType="begin"/>
      </w:r>
      <w:r w:rsidR="00281EB4">
        <w:rPr>
          <w:color w:val="000000" w:themeColor="text1"/>
        </w:rPr>
        <w:instrText xml:space="preserve"> </w:instrText>
      </w:r>
      <w:r w:rsidR="009F7A22">
        <w:rPr>
          <w:color w:val="000000" w:themeColor="text1"/>
        </w:rPr>
        <w:instrText>ADDIN</w:instrText>
      </w:r>
      <w:r w:rsidR="00281EB4">
        <w:rPr>
          <w:color w:val="000000" w:themeColor="text1"/>
        </w:rPr>
        <w:instrText xml:space="preserve"> EN.CITE &lt;EndNote&gt;&lt;Cite&gt;&lt;Author&gt;World Bank&lt;/Author&gt;&lt;Year&gt;2009&lt;/Year&gt;&lt;RecNum&gt;79&lt;/RecNum&gt;&lt;DisplayText&gt;(World Bank, 2009a)&lt;/DisplayText&gt;&lt;record&gt;&lt;rec-number&gt;79&lt;/rec-number&gt;&lt;foreign-keys&gt;&lt;key app="EN" db-id="wes5dreptvrsr2eeartvxexxftt2tastxrfs"&gt;79&lt;/key&gt;&lt;/foreign-keys&gt;&lt;ref-type name="Book"&gt;6&lt;/ref-type&gt;&lt;contributors&gt;&lt;authors&gt;&lt;author&gt;World Bank&lt;/author&gt;&lt;/authors&gt;&lt;/contributors&gt;&lt;titles&gt;&lt;title&gt;Agricultural Activities, Water, and Gender in Tajikistan&amp;apos;s Rural Sector: A Social Assessment of Konibodom, Bobojon Ghafurov, and Yovon&lt;/title&gt;&lt;/titles&gt;&lt;dates&gt;&lt;year&gt;2009&lt;/year&gt;&lt;/dates&gt;&lt;pub-location&gt;Washington, DC&lt;/pub-location&gt;&lt;publisher&gt;World Bank&lt;/publisher&gt;&lt;urls&gt;&lt;/urls&gt;&lt;/record&gt;&lt;/Cite&gt;&lt;/EndNote&gt;</w:instrText>
      </w:r>
      <w:r w:rsidR="00E12159">
        <w:rPr>
          <w:color w:val="000000" w:themeColor="text1"/>
        </w:rPr>
        <w:fldChar w:fldCharType="separate"/>
      </w:r>
      <w:r w:rsidR="00281EB4">
        <w:rPr>
          <w:noProof/>
          <w:color w:val="000000" w:themeColor="text1"/>
        </w:rPr>
        <w:t>(</w:t>
      </w:r>
      <w:hyperlink w:anchor="_ENREF_75" w:tooltip="World Bank, 2009 #79" w:history="1">
        <w:r w:rsidR="006A1532">
          <w:rPr>
            <w:noProof/>
            <w:color w:val="000000" w:themeColor="text1"/>
          </w:rPr>
          <w:t>World Bank, 2009a</w:t>
        </w:r>
      </w:hyperlink>
      <w:r w:rsidR="00281EB4">
        <w:rPr>
          <w:noProof/>
          <w:color w:val="000000" w:themeColor="text1"/>
        </w:rPr>
        <w:t>)</w:t>
      </w:r>
      <w:r w:rsidR="00E12159">
        <w:rPr>
          <w:color w:val="000000" w:themeColor="text1"/>
        </w:rPr>
        <w:fldChar w:fldCharType="end"/>
      </w:r>
      <w:r w:rsidR="00FA3D7E">
        <w:rPr>
          <w:color w:val="000000" w:themeColor="text1"/>
        </w:rPr>
        <w:t xml:space="preserve">. </w:t>
      </w:r>
      <w:r>
        <w:rPr>
          <w:color w:val="000000" w:themeColor="text1"/>
        </w:rPr>
        <w:t>Females, however, do</w:t>
      </w:r>
      <w:r w:rsidR="001F7002">
        <w:rPr>
          <w:color w:val="000000" w:themeColor="text1"/>
        </w:rPr>
        <w:t xml:space="preserve"> not manage all of those </w:t>
      </w:r>
      <w:r w:rsidR="001F7002" w:rsidRPr="00B93A2C">
        <w:rPr>
          <w:i/>
          <w:color w:val="000000" w:themeColor="text1"/>
        </w:rPr>
        <w:t xml:space="preserve">dehkan </w:t>
      </w:r>
      <w:r w:rsidR="001F7002">
        <w:rPr>
          <w:color w:val="000000" w:themeColor="text1"/>
        </w:rPr>
        <w:t xml:space="preserve">farms that are listed in </w:t>
      </w:r>
      <w:r w:rsidR="003668BF">
        <w:rPr>
          <w:color w:val="000000" w:themeColor="text1"/>
        </w:rPr>
        <w:t>their names</w:t>
      </w:r>
      <w:r w:rsidR="00FA3D7E">
        <w:rPr>
          <w:color w:val="000000" w:themeColor="text1"/>
        </w:rPr>
        <w:t xml:space="preserve">. Instead, </w:t>
      </w:r>
      <w:r w:rsidR="00336BA6" w:rsidRPr="004B2109">
        <w:rPr>
          <w:color w:val="000000" w:themeColor="text1"/>
        </w:rPr>
        <w:t xml:space="preserve">state officials </w:t>
      </w:r>
      <w:r w:rsidR="00FA3D7E">
        <w:rPr>
          <w:color w:val="000000" w:themeColor="text1"/>
        </w:rPr>
        <w:t xml:space="preserve">registered them </w:t>
      </w:r>
      <w:r w:rsidR="001F7002">
        <w:rPr>
          <w:color w:val="000000" w:themeColor="text1"/>
        </w:rPr>
        <w:t>with</w:t>
      </w:r>
      <w:r w:rsidR="00336BA6" w:rsidRPr="004B2109">
        <w:rPr>
          <w:color w:val="000000" w:themeColor="text1"/>
        </w:rPr>
        <w:t xml:space="preserve"> their wives’ names in order to avoid the appearan</w:t>
      </w:r>
      <w:r w:rsidR="00FA3D7E">
        <w:rPr>
          <w:color w:val="000000" w:themeColor="text1"/>
        </w:rPr>
        <w:t>ce of conflict of interest or</w:t>
      </w:r>
      <w:r w:rsidR="00336BA6" w:rsidRPr="004B2109">
        <w:rPr>
          <w:color w:val="000000" w:themeColor="text1"/>
        </w:rPr>
        <w:t xml:space="preserve"> manipulation of state allocation of land. </w:t>
      </w:r>
      <w:r w:rsidR="00C25047">
        <w:rPr>
          <w:color w:val="000000" w:themeColor="text1"/>
        </w:rPr>
        <w:t xml:space="preserve">The study further finds that notwithstanding </w:t>
      </w:r>
      <w:r w:rsidR="003668BF">
        <w:rPr>
          <w:color w:val="000000" w:themeColor="text1"/>
        </w:rPr>
        <w:t xml:space="preserve">the fact </w:t>
      </w:r>
      <w:r w:rsidR="00C25047">
        <w:rPr>
          <w:color w:val="000000" w:themeColor="text1"/>
        </w:rPr>
        <w:t xml:space="preserve">that women </w:t>
      </w:r>
      <w:r w:rsidR="003668BF">
        <w:rPr>
          <w:color w:val="000000" w:themeColor="text1"/>
        </w:rPr>
        <w:t xml:space="preserve">may </w:t>
      </w:r>
      <w:r>
        <w:rPr>
          <w:color w:val="000000" w:themeColor="text1"/>
        </w:rPr>
        <w:t>have good</w:t>
      </w:r>
      <w:r w:rsidR="00C25047">
        <w:rPr>
          <w:color w:val="000000" w:themeColor="text1"/>
        </w:rPr>
        <w:t xml:space="preserve"> access to land, they do</w:t>
      </w:r>
      <w:r w:rsidR="00336BA6" w:rsidRPr="004B2109">
        <w:rPr>
          <w:color w:val="000000" w:themeColor="text1"/>
        </w:rPr>
        <w:t xml:space="preserve"> not play a significant role in decision-making about crop selection on cultivated </w:t>
      </w:r>
      <w:r w:rsidR="008E7E8A">
        <w:rPr>
          <w:color w:val="000000" w:themeColor="text1"/>
        </w:rPr>
        <w:t xml:space="preserve">land </w:t>
      </w:r>
      <w:r w:rsidR="00BE6771">
        <w:rPr>
          <w:color w:val="000000" w:themeColor="text1"/>
        </w:rPr>
        <w:fldChar w:fldCharType="begin"/>
      </w:r>
      <w:r w:rsidR="00BE6771">
        <w:rPr>
          <w:color w:val="000000" w:themeColor="text1"/>
        </w:rPr>
        <w:instrText xml:space="preserve"> ADDIN EN.CITE &lt;EndNote&gt;&lt;Cite&gt;&lt;Author&gt;World Bank&lt;/Author&gt;&lt;Year&gt;2009&lt;/Year&gt;&lt;RecNum&gt;79&lt;/RecNum&gt;&lt;DisplayText&gt;(World Bank, 2009a)&lt;/DisplayText&gt;&lt;record&gt;&lt;rec-number&gt;79&lt;/rec-number&gt;&lt;foreign-keys&gt;&lt;key app="EN" db-id="wes5dreptvrsr2eeartvxexxftt2tastxrfs"&gt;79&lt;/key&gt;&lt;/foreign-keys&gt;&lt;ref-type name="Book"&gt;6&lt;/ref-type&gt;&lt;contributors&gt;&lt;authors&gt;&lt;author&gt;World Bank&lt;/author&gt;&lt;/authors&gt;&lt;/contributors&gt;&lt;titles&gt;&lt;title&gt;Agricultural Activities, Water, and Gender in Tajikistan&amp;apos;s Rural Sector: A Social Assessment of Konibodom, Bobojon Ghafurov, and Yovon&lt;/title&gt;&lt;/titles&gt;&lt;dates&gt;&lt;year&gt;2009&lt;/year&gt;&lt;/dates&gt;&lt;pub-location&gt;Washington, DC&lt;/pub-location&gt;&lt;publisher&gt;World Bank&lt;/publisher&gt;&lt;urls&gt;&lt;/urls&gt;&lt;/record&gt;&lt;/Cite&gt;&lt;/EndNote&gt;</w:instrText>
      </w:r>
      <w:r w:rsidR="00BE6771">
        <w:rPr>
          <w:color w:val="000000" w:themeColor="text1"/>
        </w:rPr>
        <w:fldChar w:fldCharType="separate"/>
      </w:r>
      <w:r w:rsidR="00BE6771">
        <w:rPr>
          <w:noProof/>
          <w:color w:val="000000" w:themeColor="text1"/>
        </w:rPr>
        <w:t>(</w:t>
      </w:r>
      <w:hyperlink w:anchor="_ENREF_75" w:tooltip="World Bank, 2009 #79" w:history="1">
        <w:r w:rsidR="006A1532">
          <w:rPr>
            <w:noProof/>
            <w:color w:val="000000" w:themeColor="text1"/>
          </w:rPr>
          <w:t>World Bank, 2009a</w:t>
        </w:r>
      </w:hyperlink>
      <w:r w:rsidR="00BE6771">
        <w:rPr>
          <w:noProof/>
          <w:color w:val="000000" w:themeColor="text1"/>
        </w:rPr>
        <w:t>)</w:t>
      </w:r>
      <w:r w:rsidR="00BE6771">
        <w:rPr>
          <w:color w:val="000000" w:themeColor="text1"/>
        </w:rPr>
        <w:fldChar w:fldCharType="end"/>
      </w:r>
      <w:r w:rsidR="008E7E8A">
        <w:rPr>
          <w:color w:val="000000" w:themeColor="text1"/>
        </w:rPr>
        <w:t>.</w:t>
      </w:r>
    </w:p>
    <w:p w14:paraId="722C3E1C" w14:textId="3E83B3CD" w:rsidR="007C22AA" w:rsidRPr="007C22AA" w:rsidRDefault="007C22AA" w:rsidP="00336BA6">
      <w:pPr>
        <w:pStyle w:val="MainParawithChapter"/>
        <w:tabs>
          <w:tab w:val="clear" w:pos="720"/>
        </w:tabs>
        <w:ind w:left="0" w:firstLine="0"/>
        <w:jc w:val="both"/>
        <w:outlineLvl w:val="9"/>
        <w:rPr>
          <w:b/>
          <w:color w:val="000000" w:themeColor="text1"/>
        </w:rPr>
      </w:pPr>
      <w:r w:rsidRPr="007C22AA">
        <w:rPr>
          <w:b/>
          <w:color w:val="000000" w:themeColor="text1"/>
        </w:rPr>
        <w:t xml:space="preserve">During the Soviet era, </w:t>
      </w:r>
      <w:r>
        <w:rPr>
          <w:b/>
          <w:color w:val="000000" w:themeColor="text1"/>
        </w:rPr>
        <w:t>female participation in the political sphere</w:t>
      </w:r>
      <w:r w:rsidRPr="007C22AA">
        <w:rPr>
          <w:b/>
          <w:color w:val="000000" w:themeColor="text1"/>
        </w:rPr>
        <w:t xml:space="preserve"> was high by international standards.</w:t>
      </w:r>
      <w:r>
        <w:rPr>
          <w:b/>
          <w:color w:val="000000" w:themeColor="text1"/>
        </w:rPr>
        <w:t xml:space="preserve"> </w:t>
      </w:r>
      <w:r w:rsidRPr="007C22AA">
        <w:rPr>
          <w:color w:val="000000" w:themeColor="text1"/>
        </w:rPr>
        <w:t xml:space="preserve">In Soviet times, quotas were introduced to assure equal representation of men and women in government positions, </w:t>
      </w:r>
      <w:r>
        <w:rPr>
          <w:color w:val="000000" w:themeColor="text1"/>
        </w:rPr>
        <w:t xml:space="preserve">parties, and </w:t>
      </w:r>
      <w:r w:rsidRPr="007C22AA">
        <w:rPr>
          <w:color w:val="000000" w:themeColor="text1"/>
        </w:rPr>
        <w:t>state enterprises</w:t>
      </w:r>
      <w:r>
        <w:rPr>
          <w:color w:val="000000" w:themeColor="text1"/>
        </w:rPr>
        <w:t xml:space="preserve">. </w:t>
      </w:r>
      <w:r w:rsidR="004230C7">
        <w:rPr>
          <w:color w:val="000000" w:themeColor="text1"/>
        </w:rPr>
        <w:t xml:space="preserve">Despite these quotas, it has been stated that men </w:t>
      </w:r>
      <w:r w:rsidR="005F71C5">
        <w:rPr>
          <w:color w:val="000000" w:themeColor="text1"/>
        </w:rPr>
        <w:t xml:space="preserve">still </w:t>
      </w:r>
      <w:r w:rsidR="004230C7">
        <w:rPr>
          <w:color w:val="000000" w:themeColor="text1"/>
        </w:rPr>
        <w:t>dominated key decisi</w:t>
      </w:r>
      <w:r w:rsidR="005F71C5">
        <w:rPr>
          <w:color w:val="000000" w:themeColor="text1"/>
        </w:rPr>
        <w:t>on-making processes</w:t>
      </w:r>
      <w:r w:rsidR="004230C7">
        <w:rPr>
          <w:color w:val="000000" w:themeColor="text1"/>
        </w:rPr>
        <w:t xml:space="preserve">, and that many bodies lacked genuine political power </w:t>
      </w:r>
      <w:r w:rsidR="001B7C13">
        <w:rPr>
          <w:color w:val="000000" w:themeColor="text1"/>
        </w:rPr>
        <w:fldChar w:fldCharType="begin"/>
      </w:r>
      <w:r w:rsidR="001B7C13">
        <w:rPr>
          <w:color w:val="000000" w:themeColor="text1"/>
        </w:rPr>
        <w:instrText xml:space="preserve"> ADDIN EN.CITE &lt;EndNote&gt;&lt;Cite&gt;&lt;Author&gt;Falkingham&lt;/Author&gt;&lt;Year&gt;2000&lt;/Year&gt;&lt;RecNum&gt;17&lt;/RecNum&gt;&lt;DisplayText&gt;(Falkingham, 2000)&lt;/DisplayText&gt;&lt;record&gt;&lt;rec-number&gt;17&lt;/rec-number&gt;&lt;foreign-keys&gt;&lt;key app="EN" db-id="wes5dreptvrsr2eeartvxexxftt2tastxrfs"&gt;17&lt;/key&gt;&lt;/foreign-keys&gt;&lt;ref-type name="Journal Article"&gt;17&lt;/ref-type&gt;&lt;contributors&gt;&lt;authors&gt;&lt;author&gt;Jane Falkingham&lt;/author&gt;&lt;/authors&gt;&lt;/contributors&gt;&lt;titles&gt;&lt;title&gt;Women and gender relations in Tajikistan&lt;/title&gt;&lt;secondary-title&gt;Country Briefing Paper&lt;/secondary-title&gt;&lt;/titles&gt;&lt;periodical&gt;&lt;full-title&gt;Country Briefing Paper&lt;/full-title&gt;&lt;/periodical&gt;&lt;dates&gt;&lt;year&gt;2000&lt;/year&gt;&lt;/dates&gt;&lt;urls&gt;&lt;/urls&gt;&lt;/record&gt;&lt;/Cite&gt;&lt;/EndNote&gt;</w:instrText>
      </w:r>
      <w:r w:rsidR="001B7C13">
        <w:rPr>
          <w:color w:val="000000" w:themeColor="text1"/>
        </w:rPr>
        <w:fldChar w:fldCharType="separate"/>
      </w:r>
      <w:r w:rsidR="001B7C13">
        <w:rPr>
          <w:noProof/>
          <w:color w:val="000000" w:themeColor="text1"/>
        </w:rPr>
        <w:t>(</w:t>
      </w:r>
      <w:hyperlink w:anchor="_ENREF_17" w:tooltip="Falkingham, 2000 #17" w:history="1">
        <w:r w:rsidR="006A1532">
          <w:rPr>
            <w:noProof/>
            <w:color w:val="000000" w:themeColor="text1"/>
          </w:rPr>
          <w:t>Falkingham, 2000</w:t>
        </w:r>
      </w:hyperlink>
      <w:r w:rsidR="001B7C13">
        <w:rPr>
          <w:noProof/>
          <w:color w:val="000000" w:themeColor="text1"/>
        </w:rPr>
        <w:t>)</w:t>
      </w:r>
      <w:r w:rsidR="001B7C13">
        <w:rPr>
          <w:color w:val="000000" w:themeColor="text1"/>
        </w:rPr>
        <w:fldChar w:fldCharType="end"/>
      </w:r>
      <w:r w:rsidR="001B7C13">
        <w:rPr>
          <w:color w:val="000000" w:themeColor="text1"/>
        </w:rPr>
        <w:t xml:space="preserve">. </w:t>
      </w:r>
      <w:r w:rsidR="005F71C5">
        <w:rPr>
          <w:color w:val="000000" w:themeColor="text1"/>
        </w:rPr>
        <w:t xml:space="preserve">Nevertheless, according to a micro-level </w:t>
      </w:r>
      <w:r w:rsidR="001B7C13">
        <w:rPr>
          <w:color w:val="000000" w:themeColor="text1"/>
        </w:rPr>
        <w:t xml:space="preserve">study </w:t>
      </w:r>
      <w:r w:rsidR="00591921">
        <w:rPr>
          <w:color w:val="000000" w:themeColor="text1"/>
        </w:rPr>
        <w:t xml:space="preserve">conducted </w:t>
      </w:r>
      <w:r w:rsidR="001B7C13">
        <w:rPr>
          <w:color w:val="000000" w:themeColor="text1"/>
        </w:rPr>
        <w:t xml:space="preserve">in </w:t>
      </w:r>
      <w:proofErr w:type="spellStart"/>
      <w:r w:rsidR="005F71C5">
        <w:rPr>
          <w:color w:val="000000" w:themeColor="text1"/>
        </w:rPr>
        <w:t>Gorno-Badakhshan</w:t>
      </w:r>
      <w:proofErr w:type="spellEnd"/>
      <w:r w:rsidR="005F71C5">
        <w:rPr>
          <w:color w:val="000000" w:themeColor="text1"/>
        </w:rPr>
        <w:t xml:space="preserve"> that interviewed 30 women, women felt that they lacked time to partici</w:t>
      </w:r>
      <w:r w:rsidR="00BB1F1B">
        <w:rPr>
          <w:color w:val="000000" w:themeColor="text1"/>
        </w:rPr>
        <w:t xml:space="preserve">pate in the political life </w:t>
      </w:r>
      <w:r w:rsidR="00A16F9A">
        <w:rPr>
          <w:color w:val="000000" w:themeColor="text1"/>
        </w:rPr>
        <w:t xml:space="preserve">after independence </w:t>
      </w:r>
      <w:r w:rsidR="00BB1F1B">
        <w:rPr>
          <w:color w:val="000000" w:themeColor="text1"/>
        </w:rPr>
        <w:t>as</w:t>
      </w:r>
      <w:r w:rsidR="005F71C5">
        <w:rPr>
          <w:color w:val="000000" w:themeColor="text1"/>
        </w:rPr>
        <w:t xml:space="preserve"> they had been pushed into subsistence farming, housework, or petty trade</w:t>
      </w:r>
      <w:r w:rsidR="00BB1F1B">
        <w:rPr>
          <w:color w:val="000000" w:themeColor="text1"/>
        </w:rPr>
        <w:t xml:space="preserve">. They furthermore expressed the view that their status in society was negatively affected by lack of women’s representation in political decision-making </w:t>
      </w:r>
      <w:r w:rsidR="00BB1F1B">
        <w:rPr>
          <w:color w:val="000000" w:themeColor="text1"/>
        </w:rPr>
        <w:fldChar w:fldCharType="begin"/>
      </w:r>
      <w:r w:rsidR="00BB1F1B">
        <w:rPr>
          <w:color w:val="000000" w:themeColor="text1"/>
        </w:rPr>
        <w:instrText xml:space="preserve"> ADDIN EN.CITE &lt;EndNote&gt;&lt;Cite&gt;&lt;Author&gt;Kanji&lt;/Author&gt;&lt;Year&gt;2002&lt;/Year&gt;&lt;RecNum&gt;86&lt;/RecNum&gt;&lt;DisplayText&gt;(Kanji, 2002)&lt;/DisplayText&gt;&lt;record&gt;&lt;rec-number&gt;86&lt;/rec-number&gt;&lt;foreign-keys&gt;&lt;key app="EN" db-id="wes5dreptvrsr2eeartvxexxftt2tastxrfs"&gt;86&lt;/key&gt;&lt;/foreign-keys&gt;&lt;ref-type name="Journal Article"&gt;17&lt;/ref-type&gt;&lt;contributors&gt;&lt;authors&gt;&lt;author&gt;Nazneen Kanji&lt;/author&gt;&lt;/authors&gt;&lt;/contributors&gt;&lt;titles&gt;&lt;title&gt;Trading and trade-offs: Women&amp;apos;s livelihoods in Gorno-Badkhshan, Tajikistan&lt;/title&gt;&lt;secondary-title&gt;Development in Practice&lt;/secondary-title&gt;&lt;/titles&gt;&lt;periodical&gt;&lt;full-title&gt;Development in Practice&lt;/full-title&gt;&lt;/periodical&gt;&lt;pages&gt;138-152&lt;/pages&gt;&lt;volume&gt;12&lt;/volume&gt;&lt;number&gt;2&lt;/number&gt;&lt;dates&gt;&lt;year&gt;2002&lt;/year&gt;&lt;/dates&gt;&lt;urls&gt;&lt;/urls&gt;&lt;/record&gt;&lt;/Cite&gt;&lt;/EndNote&gt;</w:instrText>
      </w:r>
      <w:r w:rsidR="00BB1F1B">
        <w:rPr>
          <w:color w:val="000000" w:themeColor="text1"/>
        </w:rPr>
        <w:fldChar w:fldCharType="separate"/>
      </w:r>
      <w:r w:rsidR="00BB1F1B">
        <w:rPr>
          <w:noProof/>
          <w:color w:val="000000" w:themeColor="text1"/>
        </w:rPr>
        <w:t>(</w:t>
      </w:r>
      <w:hyperlink w:anchor="_ENREF_30" w:tooltip="Kanji, 2002 #86" w:history="1">
        <w:r w:rsidR="006A1532">
          <w:rPr>
            <w:noProof/>
            <w:color w:val="000000" w:themeColor="text1"/>
          </w:rPr>
          <w:t>Kanji, 2002</w:t>
        </w:r>
      </w:hyperlink>
      <w:r w:rsidR="00BB1F1B">
        <w:rPr>
          <w:noProof/>
          <w:color w:val="000000" w:themeColor="text1"/>
        </w:rPr>
        <w:t>)</w:t>
      </w:r>
      <w:r w:rsidR="00BB1F1B">
        <w:rPr>
          <w:color w:val="000000" w:themeColor="text1"/>
        </w:rPr>
        <w:fldChar w:fldCharType="end"/>
      </w:r>
      <w:r w:rsidR="00BB1F1B">
        <w:rPr>
          <w:color w:val="000000" w:themeColor="text1"/>
        </w:rPr>
        <w:t>.</w:t>
      </w:r>
    </w:p>
    <w:p w14:paraId="50E47E2C" w14:textId="64C84CF1" w:rsidR="00871A48" w:rsidRPr="007A64AB" w:rsidRDefault="007C22AA" w:rsidP="00871A48">
      <w:pPr>
        <w:pStyle w:val="MainParawithChapter"/>
        <w:tabs>
          <w:tab w:val="clear" w:pos="720"/>
        </w:tabs>
        <w:ind w:left="0" w:firstLine="0"/>
        <w:jc w:val="both"/>
        <w:outlineLvl w:val="9"/>
        <w:rPr>
          <w:color w:val="000000" w:themeColor="text1"/>
        </w:rPr>
      </w:pPr>
      <w:r>
        <w:rPr>
          <w:b/>
          <w:color w:val="000000" w:themeColor="text1"/>
        </w:rPr>
        <w:lastRenderedPageBreak/>
        <w:t>At present, t</w:t>
      </w:r>
      <w:r w:rsidR="009853CD" w:rsidRPr="009853CD">
        <w:rPr>
          <w:b/>
          <w:color w:val="000000" w:themeColor="text1"/>
        </w:rPr>
        <w:t>he declared state goal of 30 percent</w:t>
      </w:r>
      <w:r w:rsidR="00871A48" w:rsidRPr="009853CD">
        <w:rPr>
          <w:b/>
          <w:color w:val="000000" w:themeColor="text1"/>
        </w:rPr>
        <w:t xml:space="preserve"> representa</w:t>
      </w:r>
      <w:r w:rsidR="00A041BA">
        <w:rPr>
          <w:b/>
          <w:color w:val="000000" w:themeColor="text1"/>
        </w:rPr>
        <w:t xml:space="preserve">tion of women in </w:t>
      </w:r>
      <w:r w:rsidR="00871A48" w:rsidRPr="009853CD">
        <w:rPr>
          <w:b/>
          <w:color w:val="000000" w:themeColor="text1"/>
        </w:rPr>
        <w:t xml:space="preserve">governing bodies of </w:t>
      </w:r>
      <w:r w:rsidR="009853CD" w:rsidRPr="009853CD">
        <w:rPr>
          <w:b/>
          <w:color w:val="000000" w:themeColor="text1"/>
        </w:rPr>
        <w:t xml:space="preserve">the </w:t>
      </w:r>
      <w:r w:rsidR="00871A48" w:rsidRPr="009853CD">
        <w:rPr>
          <w:b/>
          <w:color w:val="000000" w:themeColor="text1"/>
        </w:rPr>
        <w:t>legislative, judicial and executive apparatus has not been achieved.</w:t>
      </w:r>
      <w:r w:rsidR="00871A48" w:rsidRPr="009853CD">
        <w:rPr>
          <w:color w:val="000000" w:themeColor="text1"/>
        </w:rPr>
        <w:t xml:space="preserve"> Women have unequal access to decision-making at all </w:t>
      </w:r>
      <w:r w:rsidR="009853CD">
        <w:rPr>
          <w:color w:val="000000" w:themeColor="text1"/>
        </w:rPr>
        <w:t xml:space="preserve">state </w:t>
      </w:r>
      <w:r w:rsidR="00871A48" w:rsidRPr="009853CD">
        <w:rPr>
          <w:color w:val="000000" w:themeColor="text1"/>
        </w:rPr>
        <w:t xml:space="preserve">levels. Between 2001 and 2007, there was in fact a </w:t>
      </w:r>
      <w:r w:rsidR="007834CC">
        <w:rPr>
          <w:color w:val="000000" w:themeColor="text1"/>
        </w:rPr>
        <w:t xml:space="preserve">slight </w:t>
      </w:r>
      <w:r w:rsidR="00871A48" w:rsidRPr="009853CD">
        <w:rPr>
          <w:color w:val="000000" w:themeColor="text1"/>
        </w:rPr>
        <w:t xml:space="preserve">decrease in the overall proportion of women in </w:t>
      </w:r>
      <w:r w:rsidR="00A041BA">
        <w:rPr>
          <w:color w:val="000000" w:themeColor="text1"/>
        </w:rPr>
        <w:t>public administration bodies</w:t>
      </w:r>
      <w:r w:rsidR="00871A48" w:rsidRPr="009853CD">
        <w:rPr>
          <w:color w:val="000000" w:themeColor="text1"/>
        </w:rPr>
        <w:t xml:space="preserve"> at all levels</w:t>
      </w:r>
      <w:r w:rsidR="009853CD">
        <w:rPr>
          <w:color w:val="000000" w:themeColor="text1"/>
        </w:rPr>
        <w:t xml:space="preserve"> (from 29</w:t>
      </w:r>
      <w:r w:rsidR="007834CC">
        <w:rPr>
          <w:color w:val="000000" w:themeColor="text1"/>
        </w:rPr>
        <w:t xml:space="preserve"> percent to 28</w:t>
      </w:r>
      <w:r w:rsidR="009853CD">
        <w:rPr>
          <w:color w:val="000000" w:themeColor="text1"/>
        </w:rPr>
        <w:t xml:space="preserve"> percent)</w:t>
      </w:r>
      <w:r w:rsidR="00871A48" w:rsidRPr="009853CD">
        <w:rPr>
          <w:color w:val="000000" w:themeColor="text1"/>
        </w:rPr>
        <w:t xml:space="preserve">. At </w:t>
      </w:r>
      <w:r w:rsidR="009853CD">
        <w:rPr>
          <w:color w:val="000000" w:themeColor="text1"/>
        </w:rPr>
        <w:t xml:space="preserve">the </w:t>
      </w:r>
      <w:r w:rsidR="00871A48" w:rsidRPr="009853CD">
        <w:rPr>
          <w:color w:val="000000" w:themeColor="text1"/>
        </w:rPr>
        <w:t>national level</w:t>
      </w:r>
      <w:r w:rsidR="009853CD">
        <w:rPr>
          <w:color w:val="000000" w:themeColor="text1"/>
        </w:rPr>
        <w:t>,</w:t>
      </w:r>
      <w:r w:rsidR="00871A48" w:rsidRPr="009853CD">
        <w:rPr>
          <w:color w:val="000000" w:themeColor="text1"/>
        </w:rPr>
        <w:t xml:space="preserve"> the </w:t>
      </w:r>
      <w:r w:rsidR="009853CD">
        <w:rPr>
          <w:color w:val="000000" w:themeColor="text1"/>
        </w:rPr>
        <w:t>reduction was even greater (</w:t>
      </w:r>
      <w:r w:rsidR="007834CC">
        <w:rPr>
          <w:color w:val="000000" w:themeColor="text1"/>
        </w:rPr>
        <w:t>from 27 percent</w:t>
      </w:r>
      <w:r w:rsidR="00871A48" w:rsidRPr="009853CD">
        <w:rPr>
          <w:color w:val="000000" w:themeColor="text1"/>
        </w:rPr>
        <w:t xml:space="preserve"> in 2001 to </w:t>
      </w:r>
      <w:r w:rsidR="007834CC">
        <w:rPr>
          <w:color w:val="000000" w:themeColor="text1"/>
        </w:rPr>
        <w:t>20 percent</w:t>
      </w:r>
      <w:r w:rsidR="00871A48" w:rsidRPr="009853CD">
        <w:rPr>
          <w:color w:val="000000" w:themeColor="text1"/>
        </w:rPr>
        <w:t xml:space="preserve"> in 2007</w:t>
      </w:r>
      <w:r w:rsidR="009853CD">
        <w:rPr>
          <w:color w:val="000000" w:themeColor="text1"/>
        </w:rPr>
        <w:t>)</w:t>
      </w:r>
      <w:r w:rsidR="00871A48" w:rsidRPr="009853CD">
        <w:rPr>
          <w:color w:val="000000" w:themeColor="text1"/>
        </w:rPr>
        <w:t>. The higher the level of public office, the lower the proportional representation of women</w:t>
      </w:r>
      <w:r w:rsidR="00A041BA">
        <w:rPr>
          <w:color w:val="000000" w:themeColor="text1"/>
        </w:rPr>
        <w:t>. Wh</w:t>
      </w:r>
      <w:r w:rsidR="008B367A">
        <w:rPr>
          <w:color w:val="000000" w:themeColor="text1"/>
        </w:rPr>
        <w:t>ile approximately one third of</w:t>
      </w:r>
      <w:r w:rsidR="00A041BA">
        <w:rPr>
          <w:color w:val="000000" w:themeColor="text1"/>
        </w:rPr>
        <w:t xml:space="preserve"> all heads of structural units are f</w:t>
      </w:r>
      <w:r w:rsidR="003668BF">
        <w:rPr>
          <w:color w:val="000000" w:themeColor="text1"/>
        </w:rPr>
        <w:t xml:space="preserve">emale, only five percent of </w:t>
      </w:r>
      <w:r w:rsidR="00A041BA">
        <w:rPr>
          <w:color w:val="000000" w:themeColor="text1"/>
        </w:rPr>
        <w:t xml:space="preserve">directors in the </w:t>
      </w:r>
      <w:r w:rsidR="000D4528">
        <w:rPr>
          <w:color w:val="000000" w:themeColor="text1"/>
        </w:rPr>
        <w:t xml:space="preserve">upper echelons </w:t>
      </w:r>
      <w:r w:rsidR="00871A48" w:rsidRPr="009853CD">
        <w:rPr>
          <w:color w:val="000000" w:themeColor="text1"/>
        </w:rPr>
        <w:t>of government</w:t>
      </w:r>
      <w:r w:rsidR="00A041BA">
        <w:rPr>
          <w:color w:val="000000" w:themeColor="text1"/>
        </w:rPr>
        <w:t xml:space="preserve"> are women</w:t>
      </w:r>
      <w:r w:rsidR="008B367A">
        <w:rPr>
          <w:color w:val="000000" w:themeColor="text1"/>
        </w:rPr>
        <w:t xml:space="preserve"> </w:t>
      </w:r>
      <w:r w:rsidR="00E12159">
        <w:rPr>
          <w:color w:val="000000" w:themeColor="text1"/>
        </w:rPr>
        <w:fldChar w:fldCharType="begin"/>
      </w:r>
      <w:r w:rsidR="008B367A">
        <w:rPr>
          <w:color w:val="000000" w:themeColor="text1"/>
        </w:rPr>
        <w:instrText xml:space="preserve"> ADDIN EN.CITE &lt;EndNote&gt;&lt;Cite&gt;&lt;Author&gt;The Coalition of Public Associations&lt;/Author&gt;&lt;Year&gt;2009&lt;/Year&gt;&lt;RecNum&gt;76&lt;/RecNum&gt;&lt;DisplayText&gt;(The Coalition of Public Associations, 2009)&lt;/DisplayText&gt;&lt;record&gt;&lt;rec-number&gt;76&lt;/rec-number&gt;&lt;foreign-keys&gt;&lt;key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Facto&amp;quot;&lt;/publisher&gt;&lt;urls&gt;&lt;/urls&gt;&lt;/record&gt;&lt;/Cite&gt;&lt;/EndNote&gt;</w:instrText>
      </w:r>
      <w:r w:rsidR="00E12159">
        <w:rPr>
          <w:color w:val="000000" w:themeColor="text1"/>
        </w:rPr>
        <w:fldChar w:fldCharType="separate"/>
      </w:r>
      <w:r w:rsidR="008B367A">
        <w:rPr>
          <w:noProof/>
          <w:color w:val="000000" w:themeColor="text1"/>
        </w:rPr>
        <w:t>(</w:t>
      </w:r>
      <w:hyperlink w:anchor="_ENREF_51" w:tooltip="The Coalition of Public Associations, 2009 #76" w:history="1">
        <w:r w:rsidR="006A1532">
          <w:rPr>
            <w:noProof/>
            <w:color w:val="000000" w:themeColor="text1"/>
          </w:rPr>
          <w:t>The Coalition of Public Associations, 2009</w:t>
        </w:r>
      </w:hyperlink>
      <w:r w:rsidR="008B367A">
        <w:rPr>
          <w:noProof/>
          <w:color w:val="000000" w:themeColor="text1"/>
        </w:rPr>
        <w:t>)</w:t>
      </w:r>
      <w:r w:rsidR="00E12159">
        <w:rPr>
          <w:color w:val="000000" w:themeColor="text1"/>
        </w:rPr>
        <w:fldChar w:fldCharType="end"/>
      </w:r>
      <w:r w:rsidR="008B367A">
        <w:rPr>
          <w:color w:val="000000" w:themeColor="text1"/>
        </w:rPr>
        <w:t xml:space="preserve">. </w:t>
      </w:r>
      <w:r w:rsidR="0017032B">
        <w:rPr>
          <w:rFonts w:cstheme="minorHAnsi"/>
        </w:rPr>
        <w:t xml:space="preserve">In 2006, 2 out of 17 government ministers were female, and only one out of 18 in 2012 </w:t>
      </w:r>
      <w:r w:rsidR="00E12159">
        <w:rPr>
          <w:rFonts w:cstheme="minorHAnsi"/>
        </w:rPr>
        <w:fldChar w:fldCharType="begin"/>
      </w:r>
      <w:r w:rsidR="0017032B">
        <w:rPr>
          <w:rFonts w:cstheme="minorHAnsi"/>
        </w:rPr>
        <w:instrText xml:space="preserve"> ADDIN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rsidR="00E12159">
        <w:rPr>
          <w:rFonts w:cstheme="minorHAnsi"/>
        </w:rPr>
        <w:fldChar w:fldCharType="separate"/>
      </w:r>
      <w:r w:rsidR="0017032B">
        <w:rPr>
          <w:rFonts w:cstheme="minorHAnsi"/>
          <w:noProof/>
        </w:rPr>
        <w:t>(</w:t>
      </w:r>
      <w:hyperlink w:anchor="_ENREF_58" w:tooltip="UNECE, 2012 #33" w:history="1">
        <w:r w:rsidR="006A1532">
          <w:rPr>
            <w:rFonts w:cstheme="minorHAnsi"/>
            <w:noProof/>
          </w:rPr>
          <w:t>UNECE, 2012</w:t>
        </w:r>
      </w:hyperlink>
      <w:r w:rsidR="0017032B">
        <w:rPr>
          <w:rFonts w:cstheme="minorHAnsi"/>
          <w:noProof/>
        </w:rPr>
        <w:t>)</w:t>
      </w:r>
      <w:r w:rsidR="00E12159">
        <w:rPr>
          <w:rFonts w:cstheme="minorHAnsi"/>
        </w:rPr>
        <w:fldChar w:fldCharType="end"/>
      </w:r>
      <w:r w:rsidR="0017032B">
        <w:rPr>
          <w:rFonts w:cstheme="minorHAnsi"/>
        </w:rPr>
        <w:t xml:space="preserve">. </w:t>
      </w:r>
      <w:r w:rsidR="00871A48" w:rsidRPr="007834CC">
        <w:rPr>
          <w:color w:val="000000" w:themeColor="text1"/>
        </w:rPr>
        <w:t xml:space="preserve">Women are </w:t>
      </w:r>
      <w:r w:rsidR="009853CD" w:rsidRPr="007834CC">
        <w:rPr>
          <w:color w:val="000000" w:themeColor="text1"/>
        </w:rPr>
        <w:t xml:space="preserve">also </w:t>
      </w:r>
      <w:r w:rsidR="007834CC" w:rsidRPr="007834CC">
        <w:rPr>
          <w:color w:val="000000" w:themeColor="text1"/>
        </w:rPr>
        <w:t>under</w:t>
      </w:r>
      <w:r w:rsidR="00871A48" w:rsidRPr="007834CC">
        <w:rPr>
          <w:color w:val="000000" w:themeColor="text1"/>
        </w:rPr>
        <w:t>represented in local authoritie</w:t>
      </w:r>
      <w:r w:rsidR="003668BF">
        <w:rPr>
          <w:color w:val="000000" w:themeColor="text1"/>
        </w:rPr>
        <w:t xml:space="preserve">s and local self-government, once again </w:t>
      </w:r>
      <w:r w:rsidR="00871A48" w:rsidRPr="007834CC">
        <w:rPr>
          <w:color w:val="000000" w:themeColor="text1"/>
        </w:rPr>
        <w:t>particular</w:t>
      </w:r>
      <w:r w:rsidR="003668BF">
        <w:rPr>
          <w:color w:val="000000" w:themeColor="text1"/>
        </w:rPr>
        <w:t>ly</w:t>
      </w:r>
      <w:r w:rsidR="00871A48" w:rsidRPr="007834CC">
        <w:rPr>
          <w:color w:val="000000" w:themeColor="text1"/>
        </w:rPr>
        <w:t xml:space="preserve"> in senior management positions. In 2009, there was not a single</w:t>
      </w:r>
      <w:r w:rsidR="008B367A">
        <w:rPr>
          <w:color w:val="000000" w:themeColor="text1"/>
        </w:rPr>
        <w:t xml:space="preserve"> female o</w:t>
      </w:r>
      <w:r w:rsidR="007834CC">
        <w:rPr>
          <w:color w:val="000000" w:themeColor="text1"/>
        </w:rPr>
        <w:t xml:space="preserve">blast governor, only </w:t>
      </w:r>
      <w:r w:rsidR="008B367A">
        <w:rPr>
          <w:color w:val="000000" w:themeColor="text1"/>
        </w:rPr>
        <w:t xml:space="preserve">six </w:t>
      </w:r>
      <w:r w:rsidR="007834CC">
        <w:rPr>
          <w:color w:val="000000" w:themeColor="text1"/>
        </w:rPr>
        <w:t>percent</w:t>
      </w:r>
      <w:r w:rsidR="00871A48" w:rsidRPr="007834CC">
        <w:rPr>
          <w:color w:val="000000" w:themeColor="text1"/>
        </w:rPr>
        <w:t xml:space="preserve"> of mayors </w:t>
      </w:r>
      <w:r w:rsidR="008B367A">
        <w:rPr>
          <w:color w:val="000000" w:themeColor="text1"/>
        </w:rPr>
        <w:t xml:space="preserve">of </w:t>
      </w:r>
      <w:r w:rsidR="000D4528">
        <w:rPr>
          <w:color w:val="000000" w:themeColor="text1"/>
        </w:rPr>
        <w:t>cities</w:t>
      </w:r>
      <w:r w:rsidR="00871A48" w:rsidRPr="007834CC">
        <w:rPr>
          <w:color w:val="000000" w:themeColor="text1"/>
        </w:rPr>
        <w:t xml:space="preserve"> and di</w:t>
      </w:r>
      <w:r w:rsidR="008B367A">
        <w:rPr>
          <w:color w:val="000000" w:themeColor="text1"/>
        </w:rPr>
        <w:t>strict municipalities were female</w:t>
      </w:r>
      <w:r w:rsidR="00871A48" w:rsidRPr="007834CC">
        <w:rPr>
          <w:color w:val="000000" w:themeColor="text1"/>
        </w:rPr>
        <w:t xml:space="preserve">, and </w:t>
      </w:r>
      <w:r w:rsidR="008B367A">
        <w:rPr>
          <w:color w:val="000000" w:themeColor="text1"/>
        </w:rPr>
        <w:t xml:space="preserve">just every fifth chairperson of </w:t>
      </w:r>
      <w:proofErr w:type="spellStart"/>
      <w:r w:rsidR="008B367A" w:rsidRPr="003668BF">
        <w:rPr>
          <w:i/>
          <w:color w:val="000000" w:themeColor="text1"/>
        </w:rPr>
        <w:t>jamoats</w:t>
      </w:r>
      <w:proofErr w:type="spellEnd"/>
      <w:r w:rsidR="008B367A">
        <w:rPr>
          <w:color w:val="000000" w:themeColor="text1"/>
        </w:rPr>
        <w:t xml:space="preserve"> </w:t>
      </w:r>
      <w:r w:rsidR="00E12159">
        <w:rPr>
          <w:color w:val="000000" w:themeColor="text1"/>
        </w:rPr>
        <w:fldChar w:fldCharType="begin"/>
      </w:r>
      <w:r w:rsidR="008B367A">
        <w:rPr>
          <w:color w:val="000000" w:themeColor="text1"/>
        </w:rPr>
        <w:instrText xml:space="preserve"> ADDIN EN.CITE &lt;EndNote&gt;&lt;Cite&gt;&lt;Author&gt;The Coalition of Public Associations&lt;/Author&gt;&lt;Year&gt;2009&lt;/Year&gt;&lt;RecNum&gt;76&lt;/RecNum&gt;&lt;DisplayText&gt;(The Coalition of Public Associations, 2009)&lt;/DisplayText&gt;&lt;record&gt;&lt;rec-number&gt;76&lt;/rec-number&gt;&lt;foreign-keys&gt;&lt;key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Facto&amp;quot;&lt;/publisher&gt;&lt;urls&gt;&lt;/urls&gt;&lt;/record&gt;&lt;/Cite&gt;&lt;/EndNote&gt;</w:instrText>
      </w:r>
      <w:r w:rsidR="00E12159">
        <w:rPr>
          <w:color w:val="000000" w:themeColor="text1"/>
        </w:rPr>
        <w:fldChar w:fldCharType="separate"/>
      </w:r>
      <w:r w:rsidR="008B367A">
        <w:rPr>
          <w:noProof/>
          <w:color w:val="000000" w:themeColor="text1"/>
        </w:rPr>
        <w:t>(</w:t>
      </w:r>
      <w:hyperlink w:anchor="_ENREF_51" w:tooltip="The Coalition of Public Associations, 2009 #76" w:history="1">
        <w:r w:rsidR="006A1532">
          <w:rPr>
            <w:noProof/>
            <w:color w:val="000000" w:themeColor="text1"/>
          </w:rPr>
          <w:t>The Coalition of Public Associations, 2009</w:t>
        </w:r>
      </w:hyperlink>
      <w:r w:rsidR="008B367A">
        <w:rPr>
          <w:noProof/>
          <w:color w:val="000000" w:themeColor="text1"/>
        </w:rPr>
        <w:t>)</w:t>
      </w:r>
      <w:r w:rsidR="00E12159">
        <w:rPr>
          <w:color w:val="000000" w:themeColor="text1"/>
        </w:rPr>
        <w:fldChar w:fldCharType="end"/>
      </w:r>
      <w:r w:rsidR="008B367A">
        <w:rPr>
          <w:color w:val="000000" w:themeColor="text1"/>
        </w:rPr>
        <w:t>.</w:t>
      </w:r>
      <w:r w:rsidR="0017032B">
        <w:rPr>
          <w:color w:val="000000" w:themeColor="text1"/>
        </w:rPr>
        <w:t xml:space="preserve"> Finally, women represent </w:t>
      </w:r>
      <w:r w:rsidR="0017032B">
        <w:rPr>
          <w:rFonts w:cstheme="minorHAnsi"/>
        </w:rPr>
        <w:t>less th</w:t>
      </w:r>
      <w:r w:rsidR="0029494F">
        <w:rPr>
          <w:rFonts w:cstheme="minorHAnsi"/>
        </w:rPr>
        <w:t>an one fifth of all members of P</w:t>
      </w:r>
      <w:r w:rsidR="0017032B">
        <w:rPr>
          <w:rFonts w:cstheme="minorHAnsi"/>
        </w:rPr>
        <w:t xml:space="preserve">arliament </w:t>
      </w:r>
      <w:r w:rsidR="00E12159">
        <w:rPr>
          <w:rFonts w:cstheme="minorHAnsi"/>
        </w:rPr>
        <w:fldChar w:fldCharType="begin"/>
      </w:r>
      <w:r w:rsidR="0017032B">
        <w:rPr>
          <w:rFonts w:cstheme="minorHAnsi"/>
        </w:rPr>
        <w:instrText xml:space="preserve"> ADDIN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rsidR="00E12159">
        <w:rPr>
          <w:rFonts w:cstheme="minorHAnsi"/>
        </w:rPr>
        <w:fldChar w:fldCharType="separate"/>
      </w:r>
      <w:r w:rsidR="0017032B">
        <w:rPr>
          <w:rFonts w:cstheme="minorHAnsi"/>
          <w:noProof/>
        </w:rPr>
        <w:t>(</w:t>
      </w:r>
      <w:hyperlink w:anchor="_ENREF_58" w:tooltip="UNECE, 2012 #33" w:history="1">
        <w:r w:rsidR="006A1532">
          <w:rPr>
            <w:rFonts w:cstheme="minorHAnsi"/>
            <w:noProof/>
          </w:rPr>
          <w:t>UNECE, 2012</w:t>
        </w:r>
      </w:hyperlink>
      <w:r w:rsidR="0017032B">
        <w:rPr>
          <w:rFonts w:cstheme="minorHAnsi"/>
          <w:noProof/>
        </w:rPr>
        <w:t>)</w:t>
      </w:r>
      <w:r w:rsidR="00E12159">
        <w:rPr>
          <w:rFonts w:cstheme="minorHAnsi"/>
        </w:rPr>
        <w:fldChar w:fldCharType="end"/>
      </w:r>
      <w:r w:rsidR="0017032B">
        <w:rPr>
          <w:rFonts w:cstheme="minorHAnsi"/>
        </w:rPr>
        <w:t>.</w:t>
      </w:r>
    </w:p>
    <w:p w14:paraId="68C947B5" w14:textId="23F4C304" w:rsidR="00871A48" w:rsidRPr="00B106BB" w:rsidRDefault="005B778D" w:rsidP="00871A48">
      <w:pPr>
        <w:pStyle w:val="MainParawithChapter"/>
        <w:tabs>
          <w:tab w:val="clear" w:pos="720"/>
        </w:tabs>
        <w:ind w:left="0" w:firstLine="0"/>
        <w:jc w:val="both"/>
        <w:outlineLvl w:val="9"/>
        <w:rPr>
          <w:bCs/>
          <w:caps/>
          <w:color w:val="000000" w:themeColor="text1"/>
          <w:sz w:val="32"/>
          <w:szCs w:val="32"/>
        </w:rPr>
      </w:pPr>
      <w:r>
        <w:rPr>
          <w:b/>
          <w:color w:val="000000" w:themeColor="text1"/>
        </w:rPr>
        <w:t xml:space="preserve">Men also dominate </w:t>
      </w:r>
      <w:r w:rsidR="00614CC1">
        <w:rPr>
          <w:b/>
          <w:color w:val="000000" w:themeColor="text1"/>
        </w:rPr>
        <w:t>the</w:t>
      </w:r>
      <w:r w:rsidR="00871A48" w:rsidRPr="00F7776F">
        <w:rPr>
          <w:b/>
          <w:color w:val="000000" w:themeColor="text1"/>
        </w:rPr>
        <w:t xml:space="preserve"> senior leadership of political parties. </w:t>
      </w:r>
      <w:r w:rsidR="00871A48" w:rsidRPr="00F7776F">
        <w:rPr>
          <w:color w:val="000000" w:themeColor="text1"/>
        </w:rPr>
        <w:t xml:space="preserve">The percentage of women in the governing bodies of political parties in Tajikistan varies from </w:t>
      </w:r>
      <w:r w:rsidR="00F7776F">
        <w:rPr>
          <w:color w:val="000000" w:themeColor="text1"/>
        </w:rPr>
        <w:t>no participation at all</w:t>
      </w:r>
      <w:r w:rsidR="00871A48" w:rsidRPr="00F7776F">
        <w:rPr>
          <w:color w:val="000000" w:themeColor="text1"/>
        </w:rPr>
        <w:t xml:space="preserve"> (Agrarian Party, Economic </w:t>
      </w:r>
      <w:r w:rsidR="000D4528">
        <w:rPr>
          <w:color w:val="000000" w:themeColor="text1"/>
        </w:rPr>
        <w:t xml:space="preserve">Reform </w:t>
      </w:r>
      <w:r w:rsidR="00F7776F">
        <w:rPr>
          <w:color w:val="000000" w:themeColor="text1"/>
        </w:rPr>
        <w:t xml:space="preserve">Party, </w:t>
      </w:r>
      <w:r w:rsidR="00DB175C">
        <w:rPr>
          <w:color w:val="000000" w:themeColor="text1"/>
        </w:rPr>
        <w:t xml:space="preserve">People’s Democratic Party, and Islamic Renaissance Party) to 17 percent in the Communist Party </w:t>
      </w:r>
      <w:r w:rsidR="00E12159">
        <w:rPr>
          <w:color w:val="000000" w:themeColor="text1"/>
        </w:rPr>
        <w:fldChar w:fldCharType="begin"/>
      </w:r>
      <w:r w:rsidR="00DB175C">
        <w:rPr>
          <w:color w:val="000000" w:themeColor="text1"/>
        </w:rPr>
        <w:instrText xml:space="preserve"> ADDIN EN.CITE &lt;EndNote&gt;&lt;Cite&gt;&lt;Author&gt;Mamadazimov&lt;/Author&gt;&lt;Year&gt;2011&lt;/Year&gt;&lt;RecNum&gt;73&lt;/RecNum&gt;&lt;DisplayText&gt;(Mamadazimov &amp;amp; Kuvatova, 2011)&lt;/DisplayText&gt;&lt;record&gt;&lt;rec-number&gt;73&lt;/rec-number&gt;&lt;foreign-keys&gt;&lt;key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OSCE/ODIHR&lt;/publisher&gt;&lt;urls&gt;&lt;/urls&gt;&lt;/record&gt;&lt;/Cite&gt;&lt;/EndNote&gt;</w:instrText>
      </w:r>
      <w:r w:rsidR="00E12159">
        <w:rPr>
          <w:color w:val="000000" w:themeColor="text1"/>
        </w:rPr>
        <w:fldChar w:fldCharType="separate"/>
      </w:r>
      <w:r w:rsidR="00DB175C">
        <w:rPr>
          <w:noProof/>
          <w:color w:val="000000" w:themeColor="text1"/>
        </w:rPr>
        <w:t>(</w:t>
      </w:r>
      <w:hyperlink w:anchor="_ENREF_34" w:tooltip="Mamadazimov, 2011 #73" w:history="1">
        <w:r w:rsidR="006A1532">
          <w:rPr>
            <w:noProof/>
            <w:color w:val="000000" w:themeColor="text1"/>
          </w:rPr>
          <w:t>Mamadazimov &amp; Kuvatova, 2011</w:t>
        </w:r>
      </w:hyperlink>
      <w:r w:rsidR="00DB175C">
        <w:rPr>
          <w:noProof/>
          <w:color w:val="000000" w:themeColor="text1"/>
        </w:rPr>
        <w:t>)</w:t>
      </w:r>
      <w:r w:rsidR="00E12159">
        <w:rPr>
          <w:color w:val="000000" w:themeColor="text1"/>
        </w:rPr>
        <w:fldChar w:fldCharType="end"/>
      </w:r>
      <w:r w:rsidR="003D7578">
        <w:rPr>
          <w:color w:val="000000" w:themeColor="text1"/>
        </w:rPr>
        <w:t xml:space="preserve">. </w:t>
      </w:r>
      <w:r w:rsidR="003668BF">
        <w:rPr>
          <w:color w:val="000000" w:themeColor="text1"/>
        </w:rPr>
        <w:t>Women’s</w:t>
      </w:r>
      <w:r w:rsidR="00871A48" w:rsidRPr="00F7776F">
        <w:rPr>
          <w:color w:val="000000" w:themeColor="text1"/>
        </w:rPr>
        <w:t xml:space="preserve"> underrepresentation in leadership structures results in a lack of involvement in significant policy decisions. While a state program exists with regard to training of women for leadership positions, it does not include clear and comprehensive actions to prepare and promote women to leadership positions, nor is there any monitoring of the appointment of women from the </w:t>
      </w:r>
      <w:r w:rsidR="00871A48" w:rsidRPr="00B106BB">
        <w:rPr>
          <w:color w:val="000000" w:themeColor="text1"/>
        </w:rPr>
        <w:t>staff reserve list for public service</w:t>
      </w:r>
      <w:r w:rsidR="003D7578" w:rsidRPr="00B106BB">
        <w:rPr>
          <w:color w:val="000000" w:themeColor="text1"/>
        </w:rPr>
        <w:t xml:space="preserve"> </w:t>
      </w:r>
      <w:r w:rsidR="00E12159" w:rsidRPr="00B106BB">
        <w:rPr>
          <w:color w:val="000000" w:themeColor="text1"/>
        </w:rPr>
        <w:fldChar w:fldCharType="begin"/>
      </w:r>
      <w:r w:rsidR="003D7578" w:rsidRPr="00B106BB">
        <w:rPr>
          <w:color w:val="000000" w:themeColor="text1"/>
        </w:rPr>
        <w:instrText xml:space="preserve"> ADDIN EN.CITE &lt;EndNote&gt;&lt;Cite&gt;&lt;Author&gt;The Coalition of Public Associations&lt;/Author&gt;&lt;Year&gt;2009&lt;/Year&gt;&lt;RecNum&gt;76&lt;/RecNum&gt;&lt;DisplayText&gt;(The Coalition of Public Associations, 2009)&lt;/DisplayText&gt;&lt;record&gt;&lt;rec-number&gt;76&lt;/rec-number&gt;&lt;foreign-keys&gt;&lt;key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Facto&amp;quot;&lt;/publisher&gt;&lt;urls&gt;&lt;/urls&gt;&lt;/record&gt;&lt;/Cite&gt;&lt;/EndNote&gt;</w:instrText>
      </w:r>
      <w:r w:rsidR="00E12159" w:rsidRPr="00B106BB">
        <w:rPr>
          <w:color w:val="000000" w:themeColor="text1"/>
        </w:rPr>
        <w:fldChar w:fldCharType="separate"/>
      </w:r>
      <w:r w:rsidR="003D7578" w:rsidRPr="00B106BB">
        <w:rPr>
          <w:noProof/>
          <w:color w:val="000000" w:themeColor="text1"/>
        </w:rPr>
        <w:t>(</w:t>
      </w:r>
      <w:hyperlink w:anchor="_ENREF_51" w:tooltip="The Coalition of Public Associations, 2009 #76" w:history="1">
        <w:r w:rsidR="006A1532" w:rsidRPr="00B106BB">
          <w:rPr>
            <w:noProof/>
            <w:color w:val="000000" w:themeColor="text1"/>
          </w:rPr>
          <w:t>The Coalition of Public Associations, 2009</w:t>
        </w:r>
      </w:hyperlink>
      <w:r w:rsidR="003D7578" w:rsidRPr="00B106BB">
        <w:rPr>
          <w:noProof/>
          <w:color w:val="000000" w:themeColor="text1"/>
        </w:rPr>
        <w:t>)</w:t>
      </w:r>
      <w:r w:rsidR="00E12159" w:rsidRPr="00B106BB">
        <w:rPr>
          <w:color w:val="000000" w:themeColor="text1"/>
        </w:rPr>
        <w:fldChar w:fldCharType="end"/>
      </w:r>
      <w:r w:rsidR="00871A48" w:rsidRPr="00B106BB">
        <w:rPr>
          <w:color w:val="000000" w:themeColor="text1"/>
        </w:rPr>
        <w:t xml:space="preserve">. </w:t>
      </w:r>
    </w:p>
    <w:p w14:paraId="0CD0CFE9" w14:textId="49B6BF61" w:rsidR="00B106BB" w:rsidRPr="00B106BB" w:rsidRDefault="00871A48" w:rsidP="00B106BB">
      <w:pPr>
        <w:pStyle w:val="MainParawithChapter"/>
        <w:tabs>
          <w:tab w:val="clear" w:pos="720"/>
        </w:tabs>
        <w:ind w:left="0" w:firstLine="0"/>
        <w:jc w:val="both"/>
        <w:outlineLvl w:val="9"/>
        <w:rPr>
          <w:color w:val="000000" w:themeColor="text1"/>
        </w:rPr>
      </w:pPr>
      <w:r w:rsidRPr="00B106BB">
        <w:rPr>
          <w:b/>
          <w:color w:val="000000" w:themeColor="text1"/>
        </w:rPr>
        <w:t xml:space="preserve">Self-discrimination among women </w:t>
      </w:r>
      <w:r w:rsidR="00B106BB" w:rsidRPr="00B106BB">
        <w:rPr>
          <w:b/>
          <w:color w:val="000000" w:themeColor="text1"/>
        </w:rPr>
        <w:t>is a</w:t>
      </w:r>
      <w:r w:rsidRPr="00B106BB">
        <w:rPr>
          <w:b/>
          <w:color w:val="000000" w:themeColor="text1"/>
        </w:rPr>
        <w:t xml:space="preserve"> strong factor </w:t>
      </w:r>
      <w:r w:rsidR="00B106BB" w:rsidRPr="00B106BB">
        <w:rPr>
          <w:b/>
          <w:color w:val="000000" w:themeColor="text1"/>
        </w:rPr>
        <w:t>explaining</w:t>
      </w:r>
      <w:r w:rsidRPr="00B106BB">
        <w:rPr>
          <w:b/>
          <w:color w:val="000000" w:themeColor="text1"/>
        </w:rPr>
        <w:t xml:space="preserve"> the poor participation of women in </w:t>
      </w:r>
      <w:r w:rsidR="00C8533A">
        <w:rPr>
          <w:b/>
          <w:color w:val="000000" w:themeColor="text1"/>
        </w:rPr>
        <w:t>politics</w:t>
      </w:r>
      <w:r w:rsidRPr="00B106BB">
        <w:rPr>
          <w:b/>
          <w:color w:val="000000" w:themeColor="text1"/>
        </w:rPr>
        <w:t>.</w:t>
      </w:r>
      <w:r w:rsidRPr="00B106BB">
        <w:rPr>
          <w:color w:val="000000" w:themeColor="text1"/>
        </w:rPr>
        <w:t xml:space="preserve"> Women interviewed as part of a study on women in leadership roles noted that</w:t>
      </w:r>
      <w:r w:rsidR="00B106BB" w:rsidRPr="00B106BB">
        <w:rPr>
          <w:color w:val="000000" w:themeColor="text1"/>
        </w:rPr>
        <w:t xml:space="preserve"> their</w:t>
      </w:r>
      <w:r w:rsidRPr="00B106BB">
        <w:rPr>
          <w:color w:val="000000" w:themeColor="text1"/>
        </w:rPr>
        <w:t xml:space="preserve"> poor </w:t>
      </w:r>
      <w:r w:rsidR="00B106BB" w:rsidRPr="00B106BB">
        <w:rPr>
          <w:color w:val="000000" w:themeColor="text1"/>
        </w:rPr>
        <w:t>political participation</w:t>
      </w:r>
      <w:r w:rsidRPr="00B106BB">
        <w:rPr>
          <w:color w:val="000000" w:themeColor="text1"/>
        </w:rPr>
        <w:t xml:space="preserve"> </w:t>
      </w:r>
      <w:r w:rsidR="00B106BB" w:rsidRPr="00B106BB">
        <w:rPr>
          <w:color w:val="000000" w:themeColor="text1"/>
        </w:rPr>
        <w:t xml:space="preserve">arises from </w:t>
      </w:r>
      <w:r w:rsidRPr="00B106BB">
        <w:rPr>
          <w:color w:val="000000" w:themeColor="text1"/>
        </w:rPr>
        <w:t>the existence of “double standards” in social attitudes towards women</w:t>
      </w:r>
      <w:r w:rsidR="00B106BB" w:rsidRPr="00B106BB">
        <w:rPr>
          <w:color w:val="000000" w:themeColor="text1"/>
        </w:rPr>
        <w:t xml:space="preserve">, i.e. there are </w:t>
      </w:r>
      <w:r w:rsidRPr="00B106BB">
        <w:rPr>
          <w:color w:val="000000" w:themeColor="text1"/>
        </w:rPr>
        <w:t xml:space="preserve">a marked difference between legal </w:t>
      </w:r>
      <w:r w:rsidR="00B106BB" w:rsidRPr="00B106BB">
        <w:rPr>
          <w:color w:val="000000" w:themeColor="text1"/>
        </w:rPr>
        <w:t>rights and social practices. Patriarchal stereotypes that influence gender roles, lack of finance, time, and family support are further obstacles that limit female</w:t>
      </w:r>
      <w:r w:rsidRPr="00B106BB">
        <w:rPr>
          <w:color w:val="000000" w:themeColor="text1"/>
        </w:rPr>
        <w:t xml:space="preserve"> </w:t>
      </w:r>
      <w:r w:rsidR="00B106BB" w:rsidRPr="00B106BB">
        <w:rPr>
          <w:color w:val="000000" w:themeColor="text1"/>
        </w:rPr>
        <w:t xml:space="preserve">involvement in politics. Besides, </w:t>
      </w:r>
      <w:r w:rsidR="00B106BB">
        <w:rPr>
          <w:color w:val="000000" w:themeColor="text1"/>
        </w:rPr>
        <w:t>m</w:t>
      </w:r>
      <w:r w:rsidRPr="00B106BB">
        <w:rPr>
          <w:color w:val="000000" w:themeColor="text1"/>
        </w:rPr>
        <w:t xml:space="preserve">edia </w:t>
      </w:r>
      <w:r w:rsidR="00C8533A">
        <w:rPr>
          <w:color w:val="000000" w:themeColor="text1"/>
        </w:rPr>
        <w:t>rarely portrays women</w:t>
      </w:r>
      <w:r w:rsidRPr="00B106BB">
        <w:rPr>
          <w:color w:val="000000" w:themeColor="text1"/>
        </w:rPr>
        <w:t xml:space="preserve"> as leaders, politicians or party activists</w:t>
      </w:r>
      <w:r w:rsidR="00C8533A">
        <w:rPr>
          <w:color w:val="000000" w:themeColor="text1"/>
        </w:rPr>
        <w:t xml:space="preserve"> </w:t>
      </w:r>
      <w:r w:rsidR="00E12159" w:rsidRPr="00B106BB">
        <w:rPr>
          <w:color w:val="000000" w:themeColor="text1"/>
        </w:rPr>
        <w:fldChar w:fldCharType="begin"/>
      </w:r>
      <w:r w:rsidR="002D1CF7">
        <w:rPr>
          <w:color w:val="000000" w:themeColor="text1"/>
        </w:rPr>
        <w:instrText xml:space="preserve"> ADDIN EN.CITE &lt;EndNote&gt;&lt;Cite&gt;&lt;Author&gt;The Coalition of Public Associations&lt;/Author&gt;&lt;Year&gt;2009&lt;/Year&gt;&lt;RecNum&gt;76&lt;/RecNum&gt;&lt;DisplayText&gt;(Mamadazimov &amp;amp; Kuvatova, 2011; The Coalition of Public Associations, 2009)&lt;/DisplayText&gt;&lt;record&gt;&lt;rec-number&gt;76&lt;/rec-number&gt;&lt;foreign-keys&gt;&lt;key app="EN" db-id="wes5dreptvrsr2eeartvxexxftt2tastxrfs"&gt;76&lt;/key&gt;&lt;/foreign-keys&gt;&lt;ref-type name="Book"&gt;6&lt;/ref-type&gt;&lt;contributors&gt;&lt;authors&gt;&lt;author&gt;The Coalition of Public Associations&lt;/author&gt;&lt;/authors&gt;&lt;/contributors&gt;&lt;titles&gt;&lt;title&gt;The State program &amp;quot;Basic Directions of State Policy to Ensure Equal Rights and Opportunities For Men and Women in The Republic of Tajikistan For 2001-2010&amp;quot;: Progress evaluation based on public monitoring results&lt;/title&gt;&lt;/titles&gt;&lt;dates&gt;&lt;year&gt;2009&lt;/year&gt;&lt;/dates&gt;&lt;pub-location&gt;Dushanbe&lt;/pub-location&gt;&lt;publisher&gt;The Coalition of Public Associations &amp;quot;From Equality de Jure to Equality de Facto&amp;quot;&lt;/publisher&gt;&lt;urls&gt;&lt;/urls&gt;&lt;/record&gt;&lt;/Cite&gt;&lt;Cite&gt;&lt;Author&gt;Mamadazimov&lt;/Author&gt;&lt;Year&gt;2011&lt;/Year&gt;&lt;RecNum&gt;73&lt;/RecNum&gt;&lt;record&gt;&lt;rec-number&gt;73&lt;/rec-number&gt;&lt;foreign-keys&gt;&lt;key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OSCE/ODIHR&lt;/publisher&gt;&lt;urls&gt;&lt;/urls&gt;&lt;/record&gt;&lt;/Cite&gt;&lt;/EndNote&gt;</w:instrText>
      </w:r>
      <w:r w:rsidR="00E12159" w:rsidRPr="00B106BB">
        <w:rPr>
          <w:color w:val="000000" w:themeColor="text1"/>
        </w:rPr>
        <w:fldChar w:fldCharType="separate"/>
      </w:r>
      <w:r w:rsidR="002D1CF7">
        <w:rPr>
          <w:noProof/>
          <w:color w:val="000000" w:themeColor="text1"/>
        </w:rPr>
        <w:t>(</w:t>
      </w:r>
      <w:hyperlink w:anchor="_ENREF_34" w:tooltip="Mamadazimov, 2011 #73" w:history="1">
        <w:r w:rsidR="006A1532">
          <w:rPr>
            <w:noProof/>
            <w:color w:val="000000" w:themeColor="text1"/>
          </w:rPr>
          <w:t>Mamadazimov &amp; Kuvatova, 2011</w:t>
        </w:r>
      </w:hyperlink>
      <w:r w:rsidR="002D1CF7">
        <w:rPr>
          <w:noProof/>
          <w:color w:val="000000" w:themeColor="text1"/>
        </w:rPr>
        <w:t xml:space="preserve">; </w:t>
      </w:r>
      <w:hyperlink w:anchor="_ENREF_51" w:tooltip="The Coalition of Public Associations, 2009 #76" w:history="1">
        <w:r w:rsidR="006A1532">
          <w:rPr>
            <w:noProof/>
            <w:color w:val="000000" w:themeColor="text1"/>
          </w:rPr>
          <w:t>The Coalition of Public Associations, 2009</w:t>
        </w:r>
      </w:hyperlink>
      <w:r w:rsidR="002D1CF7">
        <w:rPr>
          <w:noProof/>
          <w:color w:val="000000" w:themeColor="text1"/>
        </w:rPr>
        <w:t>)</w:t>
      </w:r>
      <w:r w:rsidR="00E12159" w:rsidRPr="00B106BB">
        <w:rPr>
          <w:color w:val="000000" w:themeColor="text1"/>
        </w:rPr>
        <w:fldChar w:fldCharType="end"/>
      </w:r>
      <w:r w:rsidRPr="00B106BB">
        <w:rPr>
          <w:color w:val="000000" w:themeColor="text1"/>
        </w:rPr>
        <w:t>. Whilst s</w:t>
      </w:r>
      <w:r w:rsidR="00C8533A">
        <w:rPr>
          <w:color w:val="000000" w:themeColor="text1"/>
        </w:rPr>
        <w:t xml:space="preserve">tate strategies and programs </w:t>
      </w:r>
      <w:r w:rsidRPr="00B106BB">
        <w:rPr>
          <w:color w:val="000000" w:themeColor="text1"/>
        </w:rPr>
        <w:t>exist with the objective of over</w:t>
      </w:r>
      <w:r w:rsidR="00C8533A">
        <w:rPr>
          <w:color w:val="000000" w:themeColor="text1"/>
        </w:rPr>
        <w:t>coming gender stereotypes, the G</w:t>
      </w:r>
      <w:r w:rsidRPr="00B106BB">
        <w:rPr>
          <w:color w:val="000000" w:themeColor="text1"/>
        </w:rPr>
        <w:t>overnment of Tajikistan does</w:t>
      </w:r>
      <w:r w:rsidR="000B0DE0">
        <w:rPr>
          <w:color w:val="000000" w:themeColor="text1"/>
        </w:rPr>
        <w:t xml:space="preserve"> not</w:t>
      </w:r>
      <w:r w:rsidRPr="00B106BB">
        <w:rPr>
          <w:color w:val="000000" w:themeColor="text1"/>
        </w:rPr>
        <w:t xml:space="preserve"> </w:t>
      </w:r>
      <w:r w:rsidR="00C8533A">
        <w:rPr>
          <w:color w:val="000000" w:themeColor="text1"/>
        </w:rPr>
        <w:t>currently</w:t>
      </w:r>
      <w:r w:rsidRPr="00B106BB">
        <w:rPr>
          <w:color w:val="000000" w:themeColor="text1"/>
        </w:rPr>
        <w:t xml:space="preserve"> provide</w:t>
      </w:r>
      <w:r w:rsidR="00C8533A">
        <w:rPr>
          <w:color w:val="000000" w:themeColor="text1"/>
        </w:rPr>
        <w:t xml:space="preserve"> any</w:t>
      </w:r>
      <w:r w:rsidRPr="00B106BB">
        <w:rPr>
          <w:color w:val="000000" w:themeColor="text1"/>
        </w:rPr>
        <w:t xml:space="preserve"> funding for the implementation of the </w:t>
      </w:r>
      <w:r w:rsidR="00C8533A">
        <w:rPr>
          <w:color w:val="000000" w:themeColor="text1"/>
        </w:rPr>
        <w:t>National</w:t>
      </w:r>
      <w:r w:rsidR="00C8533A" w:rsidRPr="0081435D">
        <w:rPr>
          <w:color w:val="000000" w:themeColor="text1"/>
        </w:rPr>
        <w:t xml:space="preserve"> Strategy on Activating the Role of Women in Tajikistan 2011-2020</w:t>
      </w:r>
      <w:r w:rsidR="00C8533A">
        <w:rPr>
          <w:color w:val="000000" w:themeColor="text1"/>
        </w:rPr>
        <w:t xml:space="preserve">, and has </w:t>
      </w:r>
      <w:r w:rsidRPr="00B106BB">
        <w:rPr>
          <w:color w:val="000000" w:themeColor="text1"/>
        </w:rPr>
        <w:t xml:space="preserve">at present </w:t>
      </w:r>
      <w:r w:rsidR="00C8533A">
        <w:rPr>
          <w:color w:val="000000" w:themeColor="text1"/>
        </w:rPr>
        <w:t>not yet developed a communication strategy</w:t>
      </w:r>
      <w:r w:rsidR="006B1574">
        <w:rPr>
          <w:color w:val="000000" w:themeColor="text1"/>
        </w:rPr>
        <w:t xml:space="preserve"> </w:t>
      </w:r>
      <w:r w:rsidR="00E12159">
        <w:rPr>
          <w:color w:val="000000" w:themeColor="text1"/>
        </w:rPr>
        <w:fldChar w:fldCharType="begin"/>
      </w:r>
      <w:r w:rsidR="006B1574">
        <w:rPr>
          <w:color w:val="000000" w:themeColor="text1"/>
        </w:rPr>
        <w:instrText xml:space="preserve"> ADDIN EN.CITE &lt;EndNote&gt;&lt;Cite&gt;&lt;Author&gt;The Coalition of Public Associations&lt;/Author&gt;&lt;Year&gt;2013&lt;/Year&gt;&lt;RecNum&gt;83&lt;/RecNum&gt;&lt;DisplayText&gt;(The Coalition of Public Associations, 2013)&lt;/DisplayText&gt;&lt;record&gt;&lt;rec-number&gt;83&lt;/rec-number&gt;&lt;foreign-keys&gt;&lt;key app="EN" db-id="wes5dreptvrsr2eeartvxexxftt2tastxrfs"&gt;83&lt;/key&gt;&lt;/foreign-keys&gt;&lt;ref-type name="Book"&gt;6&lt;/ref-type&gt;&lt;contributors&gt;&lt;authors&gt;&lt;author&gt;The Coalition of Public Associations&lt;/author&gt;&lt;/authors&gt;&lt;/contributors&gt;&lt;titles&gt;&lt;title&gt;Information to Generate a List of Questions to the Consolidated Fourth and Fifth Periodic Report of Tajikistan on the Progress Made in Implementation of the Convention on the Elimination of All Forms of Discrimination Against Women&lt;/title&gt;&lt;/titles&gt;&lt;dates&gt;&lt;year&gt;2013&lt;/year&gt;&lt;/dates&gt;&lt;pub-location&gt;Available at http://www2.ohchr.org/english/bodies/cedaw/docs/ngos/CoalitionOfNGOs_Tajikistan_LOIs_PSWG_CEDAW56.pdf&lt;/pub-location&gt;&lt;urls&gt;&lt;/urls&gt;&lt;/record&gt;&lt;/Cite&gt;&lt;/EndNote&gt;</w:instrText>
      </w:r>
      <w:r w:rsidR="00E12159">
        <w:rPr>
          <w:color w:val="000000" w:themeColor="text1"/>
        </w:rPr>
        <w:fldChar w:fldCharType="separate"/>
      </w:r>
      <w:r w:rsidR="006B1574">
        <w:rPr>
          <w:noProof/>
          <w:color w:val="000000" w:themeColor="text1"/>
        </w:rPr>
        <w:t>(</w:t>
      </w:r>
      <w:hyperlink w:anchor="_ENREF_52" w:tooltip="The Coalition of Public Associations, 2013 #83" w:history="1">
        <w:r w:rsidR="006A1532">
          <w:rPr>
            <w:noProof/>
            <w:color w:val="000000" w:themeColor="text1"/>
          </w:rPr>
          <w:t>The Coalition of Public Associations, 2013</w:t>
        </w:r>
      </w:hyperlink>
      <w:r w:rsidR="006B1574">
        <w:rPr>
          <w:noProof/>
          <w:color w:val="000000" w:themeColor="text1"/>
        </w:rPr>
        <w:t>)</w:t>
      </w:r>
      <w:r w:rsidR="00E12159">
        <w:rPr>
          <w:color w:val="000000" w:themeColor="text1"/>
        </w:rPr>
        <w:fldChar w:fldCharType="end"/>
      </w:r>
      <w:r w:rsidR="00B106BB" w:rsidRPr="00B106BB">
        <w:rPr>
          <w:color w:val="000000" w:themeColor="text1"/>
        </w:rPr>
        <w:t>.</w:t>
      </w:r>
    </w:p>
    <w:p w14:paraId="41C4D95D" w14:textId="77777777" w:rsidR="00B106BB" w:rsidRPr="00185BFB" w:rsidRDefault="00B106BB" w:rsidP="0060774B">
      <w:pPr>
        <w:pStyle w:val="MainParawithChapter"/>
        <w:numPr>
          <w:ilvl w:val="0"/>
          <w:numId w:val="0"/>
        </w:numPr>
        <w:jc w:val="both"/>
        <w:outlineLvl w:val="9"/>
        <w:sectPr w:rsidR="00B106BB" w:rsidRPr="00185BFB" w:rsidSect="00B65A91">
          <w:footerReference w:type="even" r:id="rId21"/>
          <w:footerReference w:type="default" r:id="rId22"/>
          <w:type w:val="oddPage"/>
          <w:pgSz w:w="12240" w:h="15840" w:code="1"/>
          <w:pgMar w:top="1440" w:right="1800" w:bottom="1440" w:left="1800" w:header="720" w:footer="720" w:gutter="0"/>
          <w:cols w:space="720"/>
          <w:titlePg/>
          <w:docGrid w:linePitch="360"/>
        </w:sectPr>
      </w:pPr>
    </w:p>
    <w:p w14:paraId="37D395B5" w14:textId="77777777" w:rsidR="000902B4" w:rsidRDefault="000902B4" w:rsidP="00450916">
      <w:pPr>
        <w:pStyle w:val="Heading1"/>
      </w:pPr>
      <w:bookmarkStart w:id="17" w:name="_Toc226957246"/>
      <w:r w:rsidRPr="000902B4">
        <w:lastRenderedPageBreak/>
        <w:t>Human</w:t>
      </w:r>
      <w:r w:rsidR="00DA289E">
        <w:t xml:space="preserve"> C</w:t>
      </w:r>
      <w:r>
        <w:t>apital</w:t>
      </w:r>
      <w:bookmarkEnd w:id="17"/>
    </w:p>
    <w:p w14:paraId="4B232130" w14:textId="09E77EC0" w:rsidR="00CE267E" w:rsidRPr="000902B4" w:rsidRDefault="00CE267E" w:rsidP="00450916">
      <w:pPr>
        <w:pStyle w:val="MainParawithChapter"/>
        <w:ind w:left="0" w:firstLine="0"/>
        <w:jc w:val="both"/>
        <w:outlineLvl w:val="9"/>
      </w:pPr>
      <w:r w:rsidRPr="00CC5586">
        <w:rPr>
          <w:rFonts w:cstheme="minorHAnsi"/>
          <w:b/>
        </w:rPr>
        <w:t xml:space="preserve">Human capital comprises all the knowledge, experience and skills that make an individual economically </w:t>
      </w:r>
      <w:r w:rsidRPr="00CC5586">
        <w:rPr>
          <w:b/>
        </w:rPr>
        <w:t>productive</w:t>
      </w:r>
      <w:r w:rsidRPr="00CC5586">
        <w:rPr>
          <w:rFonts w:cstheme="minorHAnsi"/>
          <w:b/>
        </w:rPr>
        <w:t>.</w:t>
      </w:r>
      <w:r w:rsidRPr="000902B4">
        <w:rPr>
          <w:rFonts w:cstheme="minorHAnsi"/>
        </w:rPr>
        <w:t xml:space="preserve"> Investing in human capital, i.e. education, health, or job training, influences economic growth and produ</w:t>
      </w:r>
      <w:r w:rsidR="00D2192C">
        <w:rPr>
          <w:rFonts w:cstheme="minorHAnsi"/>
        </w:rPr>
        <w:t xml:space="preserve">ctivity directly and indirectly since a country’s competitiveness </w:t>
      </w:r>
      <w:r w:rsidR="00A56B57">
        <w:rPr>
          <w:rFonts w:cstheme="minorHAnsi"/>
        </w:rPr>
        <w:t>crucially depends on</w:t>
      </w:r>
      <w:r w:rsidR="006E5A08">
        <w:rPr>
          <w:rFonts w:cstheme="minorHAnsi"/>
        </w:rPr>
        <w:t xml:space="preserve"> the quality of its workforce </w:t>
      </w:r>
      <w:r w:rsidR="00E12159">
        <w:rPr>
          <w:rFonts w:cstheme="minorHAnsi"/>
        </w:rPr>
        <w:fldChar w:fldCharType="begin"/>
      </w:r>
      <w:r w:rsidR="005C5EAA">
        <w:rPr>
          <w:rFonts w:cstheme="minorHAnsi"/>
        </w:rPr>
        <w:instrText xml:space="preserve"> </w:instrText>
      </w:r>
      <w:r w:rsidR="009F7A22">
        <w:rPr>
          <w:rFonts w:cstheme="minorHAnsi"/>
        </w:rPr>
        <w:instrText>ADDIN</w:instrText>
      </w:r>
      <w:r w:rsidR="005C5EAA">
        <w:rPr>
          <w:rFonts w:cstheme="minorHAnsi"/>
        </w:rPr>
        <w:instrText xml:space="preserve"> EN.CITE &lt;EndNote&gt;&lt;Cite&gt;&lt;Author&gt;Hausmann&lt;/Author&gt;&lt;Year&gt;2011&lt;/Year&gt;&lt;RecNum&gt;42&lt;/RecNum&gt;&lt;DisplayText&gt;(Hausmann, Tyson, &amp;amp; Zahidi, 2011)&lt;/DisplayText&gt;&lt;record&gt;&lt;rec-number&gt;42&lt;/rec-number&gt;&lt;foreign-keys&gt;&lt;key app="EN" db-id="wes5dreptvrsr2eeartvxexxftt2tastxrfs"&gt;42&lt;/key&gt;&lt;/foreign-keys&gt;&lt;ref-type name="Book"&gt;6&lt;/ref-type&gt;&lt;contributors&gt;&lt;authors&gt;&lt;author&gt;Ricardo Hausmann&lt;/author&gt;&lt;author&gt;Laura D. Tyson&lt;/author&gt;&lt;author&gt;Saadia Zahidi&lt;/author&gt;&lt;/authors&gt;&lt;/contributors&gt;&lt;titles&gt;&lt;title&gt;The Global Gender Report 2011&lt;/title&gt;&lt;/titles&gt;&lt;dates&gt;&lt;year&gt;2011&lt;/year&gt;&lt;/dates&gt;&lt;pub-location&gt;Cologny/Geneva&lt;/pub-location&gt;&lt;publisher&gt;World Economic Forum&lt;/publisher&gt;&lt;urls&gt;&lt;/urls&gt;&lt;/record&gt;&lt;/Cite&gt;&lt;/EndNote&gt;</w:instrText>
      </w:r>
      <w:r w:rsidR="00E12159">
        <w:rPr>
          <w:rFonts w:cstheme="minorHAnsi"/>
        </w:rPr>
        <w:fldChar w:fldCharType="separate"/>
      </w:r>
      <w:r w:rsidR="006E5A08">
        <w:rPr>
          <w:rFonts w:cstheme="minorHAnsi"/>
          <w:noProof/>
        </w:rPr>
        <w:t>(</w:t>
      </w:r>
      <w:hyperlink w:anchor="_ENREF_22" w:tooltip="Hausmann, 2011 #42" w:history="1">
        <w:r w:rsidR="006A1532">
          <w:rPr>
            <w:rFonts w:cstheme="minorHAnsi"/>
            <w:noProof/>
          </w:rPr>
          <w:t>Hausmann, Tyson, &amp; Zahidi, 2011</w:t>
        </w:r>
      </w:hyperlink>
      <w:r w:rsidR="006E5A08">
        <w:rPr>
          <w:rFonts w:cstheme="minorHAnsi"/>
          <w:noProof/>
        </w:rPr>
        <w:t>)</w:t>
      </w:r>
      <w:r w:rsidR="00E12159">
        <w:rPr>
          <w:rFonts w:cstheme="minorHAnsi"/>
        </w:rPr>
        <w:fldChar w:fldCharType="end"/>
      </w:r>
      <w:r w:rsidR="006E5A08">
        <w:rPr>
          <w:rFonts w:cstheme="minorHAnsi"/>
        </w:rPr>
        <w:t>.</w:t>
      </w:r>
      <w:r w:rsidR="00D2192C">
        <w:rPr>
          <w:rFonts w:cstheme="minorHAnsi"/>
        </w:rPr>
        <w:t xml:space="preserve"> </w:t>
      </w:r>
      <w:r w:rsidR="00CC5586">
        <w:rPr>
          <w:rFonts w:cstheme="minorHAnsi"/>
        </w:rPr>
        <w:t xml:space="preserve">This section reviews </w:t>
      </w:r>
      <w:r w:rsidR="002632BB">
        <w:rPr>
          <w:rFonts w:cstheme="minorHAnsi"/>
        </w:rPr>
        <w:t>key differences</w:t>
      </w:r>
      <w:r w:rsidR="00C517FF">
        <w:rPr>
          <w:rFonts w:cstheme="minorHAnsi"/>
        </w:rPr>
        <w:t xml:space="preserve"> </w:t>
      </w:r>
      <w:r w:rsidR="006E5A08">
        <w:rPr>
          <w:rFonts w:cstheme="minorHAnsi"/>
        </w:rPr>
        <w:t xml:space="preserve">between men and women </w:t>
      </w:r>
      <w:r w:rsidR="00C517FF">
        <w:rPr>
          <w:rFonts w:cstheme="minorHAnsi"/>
        </w:rPr>
        <w:t>in human capital endowments. It starts ou</w:t>
      </w:r>
      <w:r w:rsidR="00446A6E">
        <w:rPr>
          <w:rFonts w:cstheme="minorHAnsi"/>
        </w:rPr>
        <w:t>t with an analysis of gender disparities</w:t>
      </w:r>
      <w:r w:rsidR="00C517FF">
        <w:rPr>
          <w:rFonts w:cstheme="minorHAnsi"/>
        </w:rPr>
        <w:t xml:space="preserve"> in primary, secondary and te</w:t>
      </w:r>
      <w:r w:rsidR="00AD2839">
        <w:rPr>
          <w:rFonts w:cstheme="minorHAnsi"/>
        </w:rPr>
        <w:t>rtiary education and subsequently proceeds</w:t>
      </w:r>
      <w:r w:rsidR="004957DE">
        <w:rPr>
          <w:rFonts w:cstheme="minorHAnsi"/>
        </w:rPr>
        <w:t xml:space="preserve"> to an analysis of disparities in demographic developments and health</w:t>
      </w:r>
      <w:r w:rsidR="006E5A08">
        <w:rPr>
          <w:rFonts w:cstheme="minorHAnsi"/>
        </w:rPr>
        <w:t xml:space="preserve"> indicators</w:t>
      </w:r>
      <w:r w:rsidR="00A50552">
        <w:rPr>
          <w:rFonts w:cstheme="minorHAnsi"/>
        </w:rPr>
        <w:t>, a</w:t>
      </w:r>
      <w:r w:rsidR="00D448DF">
        <w:rPr>
          <w:rFonts w:cstheme="minorHAnsi"/>
        </w:rPr>
        <w:t>s well as</w:t>
      </w:r>
      <w:r w:rsidR="00A50552">
        <w:rPr>
          <w:rFonts w:cstheme="minorHAnsi"/>
        </w:rPr>
        <w:t xml:space="preserve"> gender issues of HIV/AIDS and</w:t>
      </w:r>
      <w:r w:rsidR="00D448DF">
        <w:rPr>
          <w:rFonts w:cstheme="minorHAnsi"/>
        </w:rPr>
        <w:t xml:space="preserve"> domestic violence</w:t>
      </w:r>
      <w:r w:rsidR="004957DE">
        <w:rPr>
          <w:rFonts w:cstheme="minorHAnsi"/>
        </w:rPr>
        <w:t xml:space="preserve">. </w:t>
      </w:r>
    </w:p>
    <w:p w14:paraId="1DBCFF83" w14:textId="77777777" w:rsidR="000902B4" w:rsidRPr="004957DE" w:rsidRDefault="000902B4" w:rsidP="002F0EB9">
      <w:pPr>
        <w:pStyle w:val="Heading2"/>
        <w:numPr>
          <w:ilvl w:val="0"/>
          <w:numId w:val="8"/>
        </w:numPr>
      </w:pPr>
      <w:bookmarkStart w:id="18" w:name="_Toc226957247"/>
      <w:r w:rsidRPr="004957DE">
        <w:t>Education</w:t>
      </w:r>
      <w:bookmarkEnd w:id="18"/>
    </w:p>
    <w:p w14:paraId="76A30C98" w14:textId="6ED9339E" w:rsidR="00CE267E" w:rsidRPr="004957DE" w:rsidRDefault="00CE267E" w:rsidP="00450916">
      <w:pPr>
        <w:pStyle w:val="MainParawithChapter"/>
        <w:ind w:left="0" w:firstLine="0"/>
        <w:jc w:val="both"/>
        <w:outlineLvl w:val="9"/>
        <w:rPr>
          <w:rFonts w:cstheme="minorHAnsi"/>
        </w:rPr>
      </w:pPr>
      <w:r w:rsidRPr="004957DE">
        <w:rPr>
          <w:rFonts w:cstheme="minorHAnsi"/>
          <w:b/>
        </w:rPr>
        <w:t>Education is a building block of human capital, and gender disparities in education prepare the ground for inequalities in the labor market and, possibly, productivity.</w:t>
      </w:r>
      <w:r w:rsidRPr="004957DE">
        <w:rPr>
          <w:rFonts w:cstheme="minorHAnsi"/>
        </w:rPr>
        <w:t xml:space="preserve"> </w:t>
      </w:r>
      <w:r w:rsidR="00D2192C">
        <w:rPr>
          <w:rFonts w:cstheme="minorHAnsi"/>
        </w:rPr>
        <w:t>E</w:t>
      </w:r>
      <w:r w:rsidR="00BB3EFA">
        <w:rPr>
          <w:rFonts w:cstheme="minorHAnsi"/>
        </w:rPr>
        <w:t xml:space="preserve">ducation opens up economic opportunities </w:t>
      </w:r>
      <w:r w:rsidR="00D2192C">
        <w:rPr>
          <w:rFonts w:cstheme="minorHAnsi"/>
        </w:rPr>
        <w:t>for both men and women, and g</w:t>
      </w:r>
      <w:r w:rsidRPr="004957DE">
        <w:rPr>
          <w:rFonts w:cstheme="minorHAnsi"/>
        </w:rPr>
        <w:t>e</w:t>
      </w:r>
      <w:r w:rsidR="00D2192C">
        <w:rPr>
          <w:rFonts w:cstheme="minorHAnsi"/>
        </w:rPr>
        <w:t xml:space="preserve">nder gaps in this sphere </w:t>
      </w:r>
      <w:r w:rsidRPr="004957DE">
        <w:rPr>
          <w:rFonts w:cstheme="minorHAnsi"/>
        </w:rPr>
        <w:t xml:space="preserve">set the stage for continued disparities in the labor market </w:t>
      </w:r>
      <w:r w:rsidR="00E12159" w:rsidRPr="004957DE">
        <w:rPr>
          <w:rFonts w:cstheme="minorHAnsi"/>
        </w:rPr>
        <w:fldChar w:fldCharType="begin"/>
      </w:r>
      <w:r w:rsidR="00D93AAA">
        <w:rPr>
          <w:rFonts w:cstheme="minorHAnsi"/>
        </w:rPr>
        <w:instrText xml:space="preserve"> </w:instrText>
      </w:r>
      <w:r w:rsidR="009F7A22">
        <w:rPr>
          <w:rFonts w:cstheme="minorHAnsi"/>
        </w:rPr>
        <w:instrText>ADDIN</w:instrText>
      </w:r>
      <w:r w:rsidR="00D93AAA">
        <w:rPr>
          <w:rFonts w:cstheme="minorHAnsi"/>
        </w:rPr>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4957DE">
        <w:rPr>
          <w:rFonts w:cstheme="minorHAnsi"/>
        </w:rPr>
        <w:fldChar w:fldCharType="separate"/>
      </w:r>
      <w:r w:rsidR="00D93AAA">
        <w:rPr>
          <w:rFonts w:cstheme="minorHAnsi"/>
          <w:noProof/>
        </w:rPr>
        <w:t>(</w:t>
      </w:r>
      <w:hyperlink w:anchor="_ENREF_45" w:tooltip="Sattar, 2012 #3" w:history="1">
        <w:r w:rsidR="006A1532">
          <w:rPr>
            <w:rFonts w:cstheme="minorHAnsi"/>
            <w:noProof/>
          </w:rPr>
          <w:t>Sattar, 2012</w:t>
        </w:r>
      </w:hyperlink>
      <w:r w:rsidR="00D93AAA">
        <w:rPr>
          <w:rFonts w:cstheme="minorHAnsi"/>
          <w:noProof/>
        </w:rPr>
        <w:t>)</w:t>
      </w:r>
      <w:r w:rsidR="00E12159" w:rsidRPr="004957DE">
        <w:rPr>
          <w:rFonts w:cstheme="minorHAnsi"/>
        </w:rPr>
        <w:fldChar w:fldCharType="end"/>
      </w:r>
      <w:r w:rsidR="00D2192C">
        <w:rPr>
          <w:rFonts w:cstheme="minorHAnsi"/>
        </w:rPr>
        <w:t xml:space="preserve">. </w:t>
      </w:r>
      <w:r w:rsidR="00D448DF">
        <w:rPr>
          <w:rFonts w:cstheme="minorHAnsi"/>
        </w:rPr>
        <w:t xml:space="preserve">The following paragraphs </w:t>
      </w:r>
      <w:r w:rsidR="00A56B57">
        <w:rPr>
          <w:rFonts w:cstheme="minorHAnsi"/>
        </w:rPr>
        <w:t>summarize</w:t>
      </w:r>
      <w:r w:rsidR="00446A6E">
        <w:rPr>
          <w:rFonts w:cstheme="minorHAnsi"/>
        </w:rPr>
        <w:t xml:space="preserve"> </w:t>
      </w:r>
      <w:r w:rsidR="00241B52" w:rsidRPr="004957DE">
        <w:rPr>
          <w:rFonts w:cstheme="minorHAnsi"/>
        </w:rPr>
        <w:t xml:space="preserve">gender similarities and </w:t>
      </w:r>
      <w:r w:rsidR="004957DE">
        <w:rPr>
          <w:rFonts w:cstheme="minorHAnsi"/>
        </w:rPr>
        <w:t xml:space="preserve">gaps </w:t>
      </w:r>
      <w:r w:rsidR="00241B52" w:rsidRPr="004957DE">
        <w:rPr>
          <w:rFonts w:cstheme="minorHAnsi"/>
        </w:rPr>
        <w:t>in primary, secondary, and tertiary education</w:t>
      </w:r>
      <w:r w:rsidR="00446A6E">
        <w:rPr>
          <w:rFonts w:cstheme="minorHAnsi"/>
        </w:rPr>
        <w:t>, focusing both on trends over time and comparisons acro</w:t>
      </w:r>
      <w:r w:rsidR="00D448DF">
        <w:rPr>
          <w:rFonts w:cstheme="minorHAnsi"/>
        </w:rPr>
        <w:t>ss the ECA region, and discuss</w:t>
      </w:r>
      <w:r w:rsidR="00446A6E">
        <w:rPr>
          <w:rFonts w:cstheme="minorHAnsi"/>
        </w:rPr>
        <w:t xml:space="preserve"> reasons and implications of t</w:t>
      </w:r>
      <w:r w:rsidR="00C86532" w:rsidRPr="004957DE">
        <w:rPr>
          <w:rFonts w:cstheme="minorHAnsi"/>
        </w:rPr>
        <w:t>hese findings.</w:t>
      </w:r>
      <w:r w:rsidR="004957DE">
        <w:rPr>
          <w:rFonts w:cstheme="minorHAnsi"/>
        </w:rPr>
        <w:t xml:space="preserve"> </w:t>
      </w:r>
    </w:p>
    <w:p w14:paraId="68271269" w14:textId="1698F6C8" w:rsidR="00241B52" w:rsidRDefault="00241B52" w:rsidP="00450916">
      <w:pPr>
        <w:pStyle w:val="MainParawithChapter"/>
        <w:ind w:left="0" w:firstLine="0"/>
        <w:jc w:val="both"/>
        <w:outlineLvl w:val="9"/>
      </w:pPr>
      <w:r>
        <w:rPr>
          <w:b/>
        </w:rPr>
        <w:t xml:space="preserve">The </w:t>
      </w:r>
      <w:r w:rsidRPr="00450916">
        <w:rPr>
          <w:rFonts w:cstheme="minorHAnsi"/>
          <w:b/>
        </w:rPr>
        <w:t>economic</w:t>
      </w:r>
      <w:r>
        <w:rPr>
          <w:b/>
        </w:rPr>
        <w:t xml:space="preserve"> and political transition and the</w:t>
      </w:r>
      <w:r w:rsidRPr="00203075">
        <w:rPr>
          <w:b/>
        </w:rPr>
        <w:t xml:space="preserve"> civil war between 1992 and 1997 had detrimental effects on the education system in Tajikistan</w:t>
      </w:r>
      <w:r>
        <w:t xml:space="preserve">. Prior to independence, the education system was heavily supported </w:t>
      </w:r>
      <w:r w:rsidRPr="00241B52">
        <w:rPr>
          <w:rFonts w:cstheme="minorHAnsi"/>
        </w:rPr>
        <w:t>by</w:t>
      </w:r>
      <w:r>
        <w:t xml:space="preserve"> the central government of the USSR, access to education was universal, and gender disparities less pronounced </w:t>
      </w:r>
      <w:r w:rsidR="00E12159">
        <w:fldChar w:fldCharType="begin"/>
      </w:r>
      <w:r w:rsidR="006E42EC">
        <w:instrText xml:space="preserve"> </w:instrText>
      </w:r>
      <w:r w:rsidR="009F7A22">
        <w:instrText>ADDIN</w:instrText>
      </w:r>
      <w:r w:rsidR="006E42EC">
        <w:instrText xml:space="preserve"> EN.CITE &lt;EndNote&gt;&lt;Cite&gt;&lt;Author&gt;UNICEF&lt;/Author&gt;&lt;Year&gt;2012&lt;/Year&gt;&lt;RecNum&gt;2&lt;/RecNum&gt;&lt;DisplayText&gt;(Falkingham, 2000; UNICEF, 2012b)&lt;/DisplayText&gt;&lt;record&gt;&lt;rec-number&gt;2&lt;/rec-number&gt;&lt;foreign-keys&gt;&lt;key app="EN" db-id="wes5dreptvrsr2eeartvxexxftt2tastxrfs"&gt;2&lt;/key&gt;&lt;/foreign-keys&gt;&lt;ref-type name="Book"&gt;6&lt;/ref-type&gt;&lt;contributors&gt;&lt;authors&gt;&lt;author&gt;UNICEF&lt;/author&gt;&lt;/authors&gt;&lt;/contributors&gt;&lt;titles&gt;&lt;title&gt;Youth Perspectives of Education Quality in Tajikistan: A case study of education quality for youth in the CEECIS region&lt;/title&gt;&lt;/titles&gt;&lt;dates&gt;&lt;year&gt;2012&lt;/year&gt;&lt;/dates&gt;&lt;pub-location&gt;Dushanbe&lt;/pub-location&gt;&lt;publisher&gt;United Nations Childrens&amp;apos; Fund&lt;/publisher&gt;&lt;urls&gt;&lt;/urls&gt;&lt;/record&gt;&lt;/Cite&gt;&lt;Cite&gt;&lt;Author&gt;Falkingham&lt;/Author&gt;&lt;Year&gt;2000&lt;/Year&gt;&lt;RecNum&gt;17&lt;/RecNum&gt;&lt;record&gt;&lt;rec-number&gt;17&lt;/rec-number&gt;&lt;foreign-keys&gt;&lt;key app="EN" db-id="wes5dreptvrsr2eeartvxexxftt2tastxrfs"&gt;17&lt;/key&gt;&lt;/foreign-keys&gt;&lt;ref-type name="Journal Article"&gt;17&lt;/ref-type&gt;&lt;contributors&gt;&lt;authors&gt;&lt;author&gt;Jane Falkingham&lt;/author&gt;&lt;/authors&gt;&lt;/contributors&gt;&lt;titles&gt;&lt;title&gt;Women and gender relations in Tajikistan&lt;/title&gt;&lt;secondary-title&gt;Country Briefing Paper&lt;/secondary-title&gt;&lt;/titles&gt;&lt;periodical&gt;&lt;full-title&gt;Country Briefing Paper&lt;/full-title&gt;&lt;/periodical&gt;&lt;dates&gt;&lt;year&gt;2000&lt;/year&gt;&lt;/dates&gt;&lt;urls&gt;&lt;/urls&gt;&lt;/record&gt;&lt;/Cite&gt;&lt;/EndNote&gt;</w:instrText>
      </w:r>
      <w:r w:rsidR="00E12159">
        <w:fldChar w:fldCharType="separate"/>
      </w:r>
      <w:r w:rsidR="006E42EC">
        <w:rPr>
          <w:noProof/>
        </w:rPr>
        <w:t>(</w:t>
      </w:r>
      <w:hyperlink w:anchor="_ENREF_17" w:tooltip="Falkingham, 2000 #17" w:history="1">
        <w:r w:rsidR="006A1532">
          <w:rPr>
            <w:noProof/>
          </w:rPr>
          <w:t>Falkingham, 2000</w:t>
        </w:r>
      </w:hyperlink>
      <w:r w:rsidR="006E42EC">
        <w:rPr>
          <w:noProof/>
        </w:rPr>
        <w:t xml:space="preserve">; </w:t>
      </w:r>
      <w:hyperlink w:anchor="_ENREF_62" w:tooltip="UNICEF, 2012 #2" w:history="1">
        <w:r w:rsidR="006A1532">
          <w:rPr>
            <w:noProof/>
          </w:rPr>
          <w:t>UNICEF, 2012b</w:t>
        </w:r>
      </w:hyperlink>
      <w:r w:rsidR="006E42EC">
        <w:rPr>
          <w:noProof/>
        </w:rPr>
        <w:t>)</w:t>
      </w:r>
      <w:r w:rsidR="00E12159">
        <w:fldChar w:fldCharType="end"/>
      </w:r>
      <w:r>
        <w:t xml:space="preserve">. During the civil war following independence, a large part of the physical infrastructure was destroyed, and many professionals in the education system left the country, resulting in a poor learning environment, lack of qualified staff, and weak planning and management capacities </w:t>
      </w:r>
      <w:r w:rsidR="00E12159">
        <w:fldChar w:fldCharType="begin"/>
      </w:r>
      <w:r w:rsidR="005C5EAA">
        <w:instrText xml:space="preserve"> </w:instrText>
      </w:r>
      <w:r w:rsidR="009F7A22">
        <w:instrText>ADDIN</w:instrText>
      </w:r>
      <w:r w:rsidR="005C5EAA">
        <w:instrText xml:space="preserve"> EN.CITE &lt;EndNote&gt;&lt;Cite&gt;&lt;Author&gt;MOE&lt;/Author&gt;&lt;Year&gt;2005&lt;/Year&gt;&lt;RecNum&gt;4&lt;/RecNum&gt;&lt;DisplayText&gt;(MOE, 2005)&lt;/DisplayText&gt;&lt;record&gt;&lt;rec-number&gt;4&lt;/rec-number&gt;&lt;foreign-keys&gt;&lt;key app="EN" db-id="wes5dreptvrsr2eeartvxexxftt2tastxrfs"&gt;4&lt;/key&gt;&lt;/foreign-keys&gt;&lt;ref-type name="Book"&gt;6&lt;/ref-type&gt;&lt;contributors&gt;&lt;authors&gt;&lt;author&gt;MOE&lt;/author&gt;&lt;/authors&gt;&lt;/contributors&gt;&lt;titles&gt;&lt;title&gt;National Strategy For Education Development of the Republic of Tajikistan (2006-2015)&lt;/title&gt;&lt;/titles&gt;&lt;dates&gt;&lt;year&gt;2005&lt;/year&gt;&lt;/dates&gt;&lt;pub-location&gt;Dushanbe&lt;/pub-location&gt;&lt;publisher&gt;Ministry of Education of the Republic of Tajikistan&lt;/publisher&gt;&lt;urls&gt;&lt;/urls&gt;&lt;/record&gt;&lt;/Cite&gt;&lt;/EndNote&gt;</w:instrText>
      </w:r>
      <w:r w:rsidR="00E12159">
        <w:fldChar w:fldCharType="separate"/>
      </w:r>
      <w:r>
        <w:rPr>
          <w:noProof/>
        </w:rPr>
        <w:t>(</w:t>
      </w:r>
      <w:hyperlink w:anchor="_ENREF_37" w:tooltip="MOE, 2005 #4" w:history="1">
        <w:r w:rsidR="006A1532">
          <w:rPr>
            <w:noProof/>
          </w:rPr>
          <w:t>MOE, 2005</w:t>
        </w:r>
      </w:hyperlink>
      <w:r>
        <w:rPr>
          <w:noProof/>
        </w:rPr>
        <w:t>)</w:t>
      </w:r>
      <w:r w:rsidR="00E12159">
        <w:fldChar w:fldCharType="end"/>
      </w:r>
      <w:r>
        <w:t xml:space="preserve">. Recognizing this, the Ministry of Education (MOE) has set up a National Strategy for Education and Development of the Republic of Tajikistan (NSED, 2006-2015) to address these problems; other institutions provide further support, for instance the Fast Track Initiative (FTI) Catalytic Fund </w:t>
      </w:r>
      <w:r w:rsidR="00E12159">
        <w:fldChar w:fldCharType="begin"/>
      </w:r>
      <w:r w:rsidR="00AD2051">
        <w:instrText xml:space="preserve"> </w:instrText>
      </w:r>
      <w:r w:rsidR="009F7A22">
        <w:instrText>ADDIN</w:instrText>
      </w:r>
      <w:r w:rsidR="00AD2051">
        <w:instrText xml:space="preserve"> EN.CITE &lt;EndNote&gt;&lt;Cite&gt;&lt;Author&gt;World Bank&lt;/Author&gt;&lt;Year&gt;2009&lt;/Year&gt;&lt;RecNum&gt;16&lt;/RecNum&gt;&lt;DisplayText&gt;(World Bank, 2009b)&lt;/DisplayText&gt;&lt;record&gt;&lt;rec-number&gt;16&lt;/rec-number&gt;&lt;foreign-keys&gt;&lt;key app="EN" db-id="wes5dreptvrsr2eeartvxexxftt2tastxrfs"&gt;16&lt;/key&gt;&lt;/foreign-keys&gt;&lt;ref-type name="Book"&gt;6&lt;/ref-type&gt;&lt;contributors&gt;&lt;authors&gt;&lt;author&gt;World Bank&lt;/author&gt;&lt;/authors&gt;&lt;/contributors&gt;&lt;titles&gt;&lt;title&gt;Project Appraisal Document on a Proposed Grant in the Amount of US$3.5 Million to the Republic of Tajikistan for the Fast Track Initiative Catalytic Fund Project&lt;/title&gt;&lt;/titles&gt;&lt;dates&gt;&lt;year&gt;2009&lt;/year&gt;&lt;/dates&gt;&lt;pub-location&gt;Washington, DC&lt;/pub-location&gt;&lt;publisher&gt;World Bank&lt;/publisher&gt;&lt;urls&gt;&lt;/urls&gt;&lt;/record&gt;&lt;/Cite&gt;&lt;/EndNote&gt;</w:instrText>
      </w:r>
      <w:r w:rsidR="00E12159">
        <w:fldChar w:fldCharType="separate"/>
      </w:r>
      <w:r w:rsidR="00AD2051">
        <w:rPr>
          <w:noProof/>
        </w:rPr>
        <w:t>(</w:t>
      </w:r>
      <w:hyperlink w:anchor="_ENREF_76" w:tooltip="World Bank, 2009 #16" w:history="1">
        <w:r w:rsidR="006A1532">
          <w:rPr>
            <w:noProof/>
          </w:rPr>
          <w:t>World Bank, 2009b</w:t>
        </w:r>
      </w:hyperlink>
      <w:r w:rsidR="00AD2051">
        <w:rPr>
          <w:noProof/>
        </w:rPr>
        <w:t>)</w:t>
      </w:r>
      <w:r w:rsidR="00E12159">
        <w:fldChar w:fldCharType="end"/>
      </w:r>
      <w:r>
        <w:t>.</w:t>
      </w:r>
    </w:p>
    <w:p w14:paraId="74AA9F04" w14:textId="2F58E007" w:rsidR="00D35CDA" w:rsidRDefault="00D35CDA" w:rsidP="00450916">
      <w:pPr>
        <w:pStyle w:val="MainParawithChapter"/>
        <w:ind w:left="0" w:firstLine="0"/>
        <w:jc w:val="both"/>
        <w:outlineLvl w:val="9"/>
      </w:pPr>
      <w:r>
        <w:rPr>
          <w:b/>
          <w:bCs/>
          <w:color w:val="000000"/>
        </w:rPr>
        <w:t>Total public spending on education as a percentage of GDP fell dramatically in the mid-1990s and began to increase significantly in the last decade though it still remains below the government’s own target.</w:t>
      </w:r>
      <w:r>
        <w:rPr>
          <w:color w:val="000000"/>
        </w:rPr>
        <w:t xml:space="preserve"> Between 1993 and 1995, total public education expenditure fell dramatically from 8 to 2 percent of GDP (</w:t>
      </w:r>
      <w:r>
        <w:rPr>
          <w:b/>
          <w:bCs/>
          <w:color w:val="000000"/>
          <w:sz w:val="22"/>
          <w:szCs w:val="22"/>
        </w:rPr>
        <w:t>Figure 5</w:t>
      </w:r>
      <w:r>
        <w:rPr>
          <w:color w:val="000000"/>
        </w:rPr>
        <w:t>). Since then, it has continuously increased to 4.2 percent in 2009 and has been maintained at approximately the same level afterwards with a slight decline in 2010-2011. This is still below ECA average of 4.8 percent but just about the average among the countries at a similar level of economic development and demographic composition</w:t>
      </w:r>
      <w:r>
        <w:rPr>
          <w:color w:val="000000"/>
          <w:sz w:val="20"/>
          <w:szCs w:val="20"/>
        </w:rPr>
        <w:t xml:space="preserve"> (World Bank, 2013). </w:t>
      </w:r>
      <w:proofErr w:type="gramStart"/>
      <w:r>
        <w:t>the</w:t>
      </w:r>
      <w:proofErr w:type="gramEnd"/>
      <w:r>
        <w:t xml:space="preserve"> MOE has deemed the level of funding as insufficient. According to the NSED (2006-</w:t>
      </w:r>
      <w:r>
        <w:lastRenderedPageBreak/>
        <w:t xml:space="preserve">2015), at least six percent of GDP would be needed to maintain and develop the education system, in particular in the light of a continuously growing student population </w:t>
      </w:r>
      <w:r>
        <w:fldChar w:fldCharType="begin"/>
      </w:r>
      <w:r>
        <w:instrText xml:space="preserve"> ADDIN EN.CITE &lt;EndNote&gt;&lt;Cite&gt;&lt;Author&gt;MOE&lt;/Author&gt;&lt;Year&gt;2005&lt;/Year&gt;&lt;RecNum&gt;4&lt;/RecNum&gt;&lt;DisplayText&gt;(MOE, 2005; Republic of Tajikistan, 2010)&lt;/DisplayText&gt;&lt;record&gt;&lt;rec-number&gt;4&lt;/rec-number&gt;&lt;foreign-keys&gt;&lt;key app="EN" db-id="wes5dreptvrsr2eeartvxexxftt2tastxrfs"&gt;4&lt;/key&gt;&lt;/foreign-keys&gt;&lt;ref-type name="Book"&gt;6&lt;/ref-type&gt;&lt;contributors&gt;&lt;authors&gt;&lt;author&gt;MOE&lt;/author&gt;&lt;/authors&gt;&lt;/contributors&gt;&lt;titles&gt;&lt;title&gt;National Strategy For Education Development of the Republic of Tajikistan (2006-2015)&lt;/title&gt;&lt;/titles&gt;&lt;dates&gt;&lt;year&gt;2005&lt;/year&gt;&lt;/dates&gt;&lt;pub-location&gt;Dushanbe&lt;/pub-location&gt;&lt;publisher&gt;Ministry of Education of the Republic of Tajikistan&lt;/publisher&gt;&lt;urls&gt;&lt;/urls&gt;&lt;/record&gt;&lt;/Cite&gt;&lt;Cite&gt;&lt;Author&gt;Tajikistan&lt;/Author&gt;&lt;Year&gt;2010&lt;/Year&gt;&lt;RecNum&gt;5&lt;/RecNum&gt;&lt;record&gt;&lt;rec-number&gt;5&lt;/rec-number&gt;&lt;foreign-keys&gt;&lt;key app="EN" db-id="wes5dreptvrsr2eeartvxexxftt2tastxrfs"&gt;5&lt;/key&gt;&lt;/foreign-keys&gt;&lt;ref-type name="Book"&gt;6&lt;/ref-type&gt;&lt;contributors&gt;&lt;authors&gt;&lt;author&gt;Republic of Tajikistan&lt;/author&gt;&lt;/authors&gt;&lt;/contributors&gt;&lt;titles&gt;&lt;title&gt;Poverty Reduction Strategy  of the Republic of Tajikistan for 2010-2012&lt;/title&gt;&lt;/titles&gt;&lt;dates&gt;&lt;year&gt;2010&lt;/year&gt;&lt;/dates&gt;&lt;pub-location&gt;Dushanbe&lt;/pub-location&gt;&lt;publisher&gt;Republic of Tajikistan&lt;/publisher&gt;&lt;urls&gt;&lt;/urls&gt;&lt;/record&gt;&lt;/Cite&gt;&lt;/EndNote&gt;</w:instrText>
      </w:r>
      <w:r>
        <w:fldChar w:fldCharType="separate"/>
      </w:r>
      <w:r>
        <w:rPr>
          <w:noProof/>
        </w:rPr>
        <w:t>(</w:t>
      </w:r>
      <w:hyperlink w:anchor="_ENREF_37" w:tooltip="MOE, 2005 #4" w:history="1">
        <w:r>
          <w:rPr>
            <w:noProof/>
          </w:rPr>
          <w:t>MOE, 2005</w:t>
        </w:r>
      </w:hyperlink>
      <w:r>
        <w:rPr>
          <w:noProof/>
        </w:rPr>
        <w:t xml:space="preserve">; </w:t>
      </w:r>
      <w:hyperlink w:anchor="_ENREF_43" w:tooltip="Republic of Tajikistan, 2010 #5" w:history="1">
        <w:r>
          <w:rPr>
            <w:noProof/>
          </w:rPr>
          <w:t>Republic of Tajikistan, 2010</w:t>
        </w:r>
      </w:hyperlink>
      <w:r>
        <w:rPr>
          <w:noProof/>
        </w:rPr>
        <w:t>)</w:t>
      </w:r>
      <w:r>
        <w:fldChar w:fldCharType="end"/>
      </w:r>
      <w:r>
        <w:t>.</w:t>
      </w:r>
    </w:p>
    <w:p w14:paraId="42DA337E" w14:textId="7B45CEB8" w:rsidR="00C86532" w:rsidRDefault="00C86532" w:rsidP="008F5C92">
      <w:pPr>
        <w:spacing w:after="60"/>
        <w:jc w:val="center"/>
        <w:rPr>
          <w:b/>
          <w:sz w:val="22"/>
          <w:szCs w:val="22"/>
        </w:rPr>
      </w:pPr>
      <w:bookmarkStart w:id="19" w:name="_Ref220380613"/>
      <w:bookmarkStart w:id="20" w:name="_Toc232694743"/>
      <w:proofErr w:type="gramStart"/>
      <w:r w:rsidRPr="00C86532">
        <w:rPr>
          <w:b/>
          <w:sz w:val="22"/>
          <w:szCs w:val="22"/>
        </w:rPr>
        <w:t xml:space="preserve">Figure </w:t>
      </w:r>
      <w:r w:rsidR="00E12159" w:rsidRPr="00C86532">
        <w:rPr>
          <w:b/>
          <w:sz w:val="22"/>
          <w:szCs w:val="22"/>
        </w:rPr>
        <w:fldChar w:fldCharType="begin"/>
      </w:r>
      <w:r w:rsidRPr="00C86532">
        <w:rPr>
          <w:b/>
          <w:sz w:val="22"/>
          <w:szCs w:val="22"/>
        </w:rPr>
        <w:instrText xml:space="preserve"> </w:instrText>
      </w:r>
      <w:r w:rsidR="009F7A22">
        <w:rPr>
          <w:b/>
          <w:sz w:val="22"/>
          <w:szCs w:val="22"/>
        </w:rPr>
        <w:instrText>SEQ</w:instrText>
      </w:r>
      <w:r w:rsidRPr="00C86532">
        <w:rPr>
          <w:b/>
          <w:sz w:val="22"/>
          <w:szCs w:val="22"/>
        </w:rPr>
        <w:instrText xml:space="preserve"> Figure \* ARABIC </w:instrText>
      </w:r>
      <w:r w:rsidR="00E12159" w:rsidRPr="00C86532">
        <w:rPr>
          <w:b/>
          <w:sz w:val="22"/>
          <w:szCs w:val="22"/>
        </w:rPr>
        <w:fldChar w:fldCharType="separate"/>
      </w:r>
      <w:r w:rsidR="00183FFF">
        <w:rPr>
          <w:b/>
          <w:noProof/>
          <w:sz w:val="22"/>
          <w:szCs w:val="22"/>
        </w:rPr>
        <w:t>5</w:t>
      </w:r>
      <w:r w:rsidR="00E12159" w:rsidRPr="00C86532">
        <w:rPr>
          <w:b/>
          <w:sz w:val="22"/>
          <w:szCs w:val="22"/>
        </w:rPr>
        <w:fldChar w:fldCharType="end"/>
      </w:r>
      <w:bookmarkEnd w:id="19"/>
      <w:r w:rsidRPr="00C86532">
        <w:rPr>
          <w:b/>
          <w:sz w:val="22"/>
          <w:szCs w:val="22"/>
        </w:rPr>
        <w:t>.</w:t>
      </w:r>
      <w:proofErr w:type="gramEnd"/>
      <w:r w:rsidRPr="00C86532">
        <w:rPr>
          <w:b/>
          <w:sz w:val="22"/>
          <w:szCs w:val="22"/>
        </w:rPr>
        <w:t xml:space="preserve"> Publ</w:t>
      </w:r>
      <w:r w:rsidR="00E551EE">
        <w:rPr>
          <w:b/>
          <w:sz w:val="22"/>
          <w:szCs w:val="22"/>
        </w:rPr>
        <w:t>ic expenditure on education as percent</w:t>
      </w:r>
      <w:r w:rsidR="00E44497">
        <w:rPr>
          <w:b/>
          <w:sz w:val="22"/>
          <w:szCs w:val="22"/>
        </w:rPr>
        <w:t xml:space="preserve"> of GDP, 2000</w:t>
      </w:r>
      <w:r w:rsidRPr="00C86532">
        <w:rPr>
          <w:b/>
          <w:sz w:val="22"/>
          <w:szCs w:val="22"/>
        </w:rPr>
        <w:t>-201</w:t>
      </w:r>
      <w:bookmarkEnd w:id="20"/>
      <w:r w:rsidR="00E44497">
        <w:rPr>
          <w:b/>
          <w:sz w:val="22"/>
          <w:szCs w:val="22"/>
        </w:rPr>
        <w:t>2</w:t>
      </w:r>
    </w:p>
    <w:p w14:paraId="30D479DC" w14:textId="3E98B31D" w:rsidR="00E44497" w:rsidRDefault="00E44497" w:rsidP="008F5C92">
      <w:pPr>
        <w:spacing w:after="60"/>
        <w:jc w:val="center"/>
        <w:rPr>
          <w:b/>
          <w:sz w:val="22"/>
          <w:szCs w:val="22"/>
        </w:rPr>
      </w:pPr>
      <w:r>
        <w:rPr>
          <w:noProof/>
        </w:rPr>
        <w:drawing>
          <wp:inline distT="0" distB="0" distL="0" distR="0" wp14:anchorId="031C44EB" wp14:editId="6E8C95A1">
            <wp:extent cx="4514850" cy="2047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14850" cy="2047875"/>
                    </a:xfrm>
                    <a:prstGeom prst="rect">
                      <a:avLst/>
                    </a:prstGeom>
                  </pic:spPr>
                </pic:pic>
              </a:graphicData>
            </a:graphic>
          </wp:inline>
        </w:drawing>
      </w:r>
    </w:p>
    <w:p w14:paraId="6253CB8E" w14:textId="77777777" w:rsidR="00E44497" w:rsidRPr="00C86532" w:rsidRDefault="00E44497" w:rsidP="008F5C92">
      <w:pPr>
        <w:spacing w:after="60"/>
        <w:jc w:val="center"/>
        <w:rPr>
          <w:b/>
          <w:sz w:val="22"/>
          <w:szCs w:val="22"/>
        </w:rPr>
      </w:pPr>
    </w:p>
    <w:p w14:paraId="47F62EAE" w14:textId="5E07F7C8" w:rsidR="00C86532" w:rsidRPr="00C86532" w:rsidRDefault="00C86532" w:rsidP="008F5C92"/>
    <w:p w14:paraId="4A69B51B" w14:textId="1D3A98BF" w:rsidR="00C86532" w:rsidRPr="00AE6EFA" w:rsidRDefault="00C86532" w:rsidP="008F5C92">
      <w:pPr>
        <w:jc w:val="both"/>
        <w:rPr>
          <w:i/>
          <w:sz w:val="20"/>
          <w:szCs w:val="20"/>
        </w:rPr>
      </w:pPr>
      <w:r w:rsidRPr="00AE6EFA">
        <w:rPr>
          <w:i/>
          <w:sz w:val="20"/>
          <w:szCs w:val="20"/>
        </w:rPr>
        <w:t xml:space="preserve">Notes: </w:t>
      </w:r>
      <w:r w:rsidRPr="00AE6EFA">
        <w:rPr>
          <w:sz w:val="20"/>
          <w:szCs w:val="20"/>
        </w:rPr>
        <w:t>Publ</w:t>
      </w:r>
      <w:r w:rsidR="00E551EE" w:rsidRPr="00AE6EFA">
        <w:rPr>
          <w:sz w:val="20"/>
          <w:szCs w:val="20"/>
        </w:rPr>
        <w:t>ic expenditure on education as percent</w:t>
      </w:r>
      <w:r w:rsidRPr="00AE6EFA">
        <w:rPr>
          <w:sz w:val="20"/>
          <w:szCs w:val="20"/>
        </w:rPr>
        <w:t xml:space="preserve"> of GDP is the total public expenditure (current and capital) on education expressed as a percentage of the GDP in a given year. Public expenditure on education includes government spending on educational institutions (both public and private), education administration, and transfers/subsidies for private entities (students/households </w:t>
      </w:r>
      <w:r w:rsidR="00E44497">
        <w:rPr>
          <w:sz w:val="20"/>
          <w:szCs w:val="20"/>
        </w:rPr>
        <w:t>and other private entities)</w:t>
      </w:r>
      <w:r w:rsidRPr="00AE6EFA">
        <w:rPr>
          <w:sz w:val="20"/>
          <w:szCs w:val="20"/>
        </w:rPr>
        <w:t>.</w:t>
      </w:r>
    </w:p>
    <w:p w14:paraId="5455BC3A" w14:textId="6E2490FB" w:rsidR="00C86532" w:rsidRPr="00AE6EFA" w:rsidRDefault="00C86532" w:rsidP="008F5C92">
      <w:pPr>
        <w:jc w:val="both"/>
        <w:rPr>
          <w:sz w:val="20"/>
          <w:szCs w:val="20"/>
        </w:rPr>
      </w:pPr>
      <w:r w:rsidRPr="00AE6EFA">
        <w:rPr>
          <w:i/>
          <w:sz w:val="20"/>
          <w:szCs w:val="20"/>
        </w:rPr>
        <w:t xml:space="preserve">Source: </w:t>
      </w:r>
      <w:r w:rsidR="00E44497" w:rsidRPr="00E44497">
        <w:rPr>
          <w:sz w:val="20"/>
          <w:szCs w:val="20"/>
        </w:rPr>
        <w:t xml:space="preserve">World </w:t>
      </w:r>
      <w:proofErr w:type="gramStart"/>
      <w:r w:rsidR="00E44497" w:rsidRPr="00E44497">
        <w:rPr>
          <w:sz w:val="20"/>
          <w:szCs w:val="20"/>
        </w:rPr>
        <w:t>Bank(</w:t>
      </w:r>
      <w:proofErr w:type="gramEnd"/>
      <w:r w:rsidR="00E44497" w:rsidRPr="00E44497">
        <w:rPr>
          <w:sz w:val="20"/>
          <w:szCs w:val="20"/>
        </w:rPr>
        <w:t xml:space="preserve">2013) Tajikistan: Policy Notes on Public Expenditures. </w:t>
      </w:r>
      <w:proofErr w:type="gramStart"/>
      <w:r w:rsidR="00E44497" w:rsidRPr="00E44497">
        <w:rPr>
          <w:sz w:val="20"/>
          <w:szCs w:val="20"/>
        </w:rPr>
        <w:t>Policy Note No.3 Review of Public Expenditure on Education.</w:t>
      </w:r>
      <w:proofErr w:type="gramEnd"/>
      <w:r w:rsidR="00E44497" w:rsidRPr="00E44497">
        <w:rPr>
          <w:sz w:val="20"/>
          <w:szCs w:val="20"/>
        </w:rPr>
        <w:t xml:space="preserve"> Report No.77607-TJ.</w:t>
      </w:r>
      <w:bookmarkStart w:id="21" w:name="_GoBack"/>
      <w:bookmarkEnd w:id="21"/>
    </w:p>
    <w:p w14:paraId="7822DABA" w14:textId="77777777" w:rsidR="00C86532" w:rsidRPr="00C86532" w:rsidRDefault="00C86532" w:rsidP="008F5C92">
      <w:pPr>
        <w:jc w:val="both"/>
        <w:rPr>
          <w:sz w:val="22"/>
          <w:szCs w:val="22"/>
        </w:rPr>
      </w:pPr>
    </w:p>
    <w:p w14:paraId="6C2E13B8" w14:textId="77777777" w:rsidR="00BF6128" w:rsidRDefault="00BF6128" w:rsidP="00450916">
      <w:pPr>
        <w:pStyle w:val="MainParawithChapter"/>
        <w:ind w:left="0" w:firstLine="0"/>
        <w:jc w:val="both"/>
        <w:outlineLvl w:val="9"/>
      </w:pPr>
      <w:r w:rsidRPr="00BF6128">
        <w:rPr>
          <w:b/>
        </w:rPr>
        <w:t xml:space="preserve">Tajikistan performs well with regard to gross primary enrollment rates for both male and </w:t>
      </w:r>
      <w:r w:rsidRPr="00450916">
        <w:rPr>
          <w:rFonts w:cstheme="minorHAnsi"/>
          <w:b/>
        </w:rPr>
        <w:t>female</w:t>
      </w:r>
      <w:r w:rsidRPr="00BF6128">
        <w:rPr>
          <w:b/>
        </w:rPr>
        <w:t xml:space="preserve"> students, but although the gender gap is moderate in absolute terms, it is among the largest in the ECA region. </w:t>
      </w:r>
      <w:r w:rsidRPr="00BF6128">
        <w:t>In line with the overall strong performance of the ECA region</w:t>
      </w:r>
      <w:r w:rsidRPr="00EF3522">
        <w:rPr>
          <w:vertAlign w:val="superscript"/>
        </w:rPr>
        <w:footnoteReference w:id="4"/>
      </w:r>
      <w:r w:rsidRPr="00BF6128">
        <w:t xml:space="preserve"> in providing primary education to all girls and boys, total gross enrollment rates have consistently been high in Tajikistan for both genders </w:t>
      </w:r>
      <w:r w:rsidRPr="002A0CDC">
        <w:t xml:space="preserve">(see </w:t>
      </w:r>
      <w:r w:rsidR="00E12159" w:rsidRPr="002A0CDC">
        <w:fldChar w:fldCharType="begin"/>
      </w:r>
      <w:r w:rsidR="002A0CDC" w:rsidRPr="002A0CDC">
        <w:instrText xml:space="preserve"> </w:instrText>
      </w:r>
      <w:r w:rsidR="009F7A22">
        <w:instrText>REF</w:instrText>
      </w:r>
      <w:r w:rsidR="002A0CDC" w:rsidRPr="002A0CDC">
        <w:instrText xml:space="preserve"> _Ref218749972 \h </w:instrText>
      </w:r>
      <w:r w:rsidR="00E12159" w:rsidRPr="002A0CDC">
        <w:fldChar w:fldCharType="separate"/>
      </w:r>
      <w:r w:rsidR="00183FFF" w:rsidRPr="00BF6128">
        <w:rPr>
          <w:b/>
          <w:sz w:val="22"/>
          <w:szCs w:val="22"/>
        </w:rPr>
        <w:t xml:space="preserve">Figure </w:t>
      </w:r>
      <w:r w:rsidR="00183FFF">
        <w:rPr>
          <w:b/>
          <w:noProof/>
          <w:sz w:val="22"/>
          <w:szCs w:val="22"/>
        </w:rPr>
        <w:t>6</w:t>
      </w:r>
      <w:r w:rsidR="00E12159" w:rsidRPr="002A0CDC">
        <w:fldChar w:fldCharType="end"/>
      </w:r>
      <w:r w:rsidRPr="002A0CDC">
        <w:t>). In absolute terms, the gender gap in gross primary enrollment is modest</w:t>
      </w:r>
      <w:r w:rsidRPr="00BF6128">
        <w:t xml:space="preserve"> and amounts to approximately four percentage points in favor of boys. However, along with Uzbekistan, it is the largest in the ECA region. The ratio of female to male primary enrollment has been stable in the last few years and indicates that there has recently been no trend of a closing gap.</w:t>
      </w:r>
    </w:p>
    <w:p w14:paraId="3EB76750" w14:textId="090B86AD" w:rsidR="00DC090C" w:rsidRDefault="0071789C" w:rsidP="00450916">
      <w:pPr>
        <w:pStyle w:val="MainParawithChapter"/>
        <w:ind w:left="0" w:firstLine="0"/>
        <w:jc w:val="both"/>
        <w:outlineLvl w:val="9"/>
      </w:pPr>
      <w:r>
        <w:rPr>
          <w:b/>
        </w:rPr>
        <w:t xml:space="preserve">With a persistent gender gap </w:t>
      </w:r>
      <w:r w:rsidR="00FD0B43">
        <w:rPr>
          <w:b/>
        </w:rPr>
        <w:t>at the advantage of</w:t>
      </w:r>
      <w:r>
        <w:rPr>
          <w:b/>
        </w:rPr>
        <w:t xml:space="preserve"> boys, </w:t>
      </w:r>
      <w:r w:rsidR="00AD2C38" w:rsidRPr="0071789C">
        <w:rPr>
          <w:b/>
        </w:rPr>
        <w:t>Tajikistan diverges from the reg</w:t>
      </w:r>
      <w:r>
        <w:rPr>
          <w:b/>
        </w:rPr>
        <w:t>ional trend of decreasing</w:t>
      </w:r>
      <w:r w:rsidR="00AD2C38" w:rsidRPr="0071789C">
        <w:rPr>
          <w:b/>
        </w:rPr>
        <w:t xml:space="preserve"> disparities in gross primary enrollment rates.</w:t>
      </w:r>
      <w:r w:rsidR="00AD2C38">
        <w:t xml:space="preserve"> </w:t>
      </w:r>
      <w:r w:rsidR="00413B40" w:rsidRPr="0071789C">
        <w:t xml:space="preserve">In </w:t>
      </w:r>
      <w:r w:rsidR="00413B40" w:rsidRPr="00413B40">
        <w:t>1991</w:t>
      </w:r>
      <w:r w:rsidR="00413B40">
        <w:rPr>
          <w:rStyle w:val="FootnoteReference"/>
        </w:rPr>
        <w:footnoteReference w:id="5"/>
      </w:r>
      <w:r w:rsidR="00413B40" w:rsidRPr="00413B40">
        <w:t xml:space="preserve">, </w:t>
      </w:r>
      <w:r w:rsidR="00B11DB1">
        <w:t xml:space="preserve">the </w:t>
      </w:r>
      <w:r w:rsidR="00413B40">
        <w:t>regional average in gross primary enrollment rates amounted to 106 percent for males and 103 percent for females, resulting in a difference of 3 percentage points</w:t>
      </w:r>
      <w:r w:rsidR="00BF7BDE">
        <w:t xml:space="preserve"> </w:t>
      </w:r>
      <w:r w:rsidR="00E12159">
        <w:fldChar w:fldCharType="begin"/>
      </w:r>
      <w:r w:rsidR="004459DC">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fldChar w:fldCharType="separate"/>
      </w:r>
      <w:r w:rsidR="004459DC">
        <w:rPr>
          <w:noProof/>
        </w:rPr>
        <w:t>(</w:t>
      </w:r>
      <w:hyperlink w:anchor="_ENREF_84" w:tooltip="World Bank, 2012 #6" w:history="1">
        <w:r w:rsidR="006A1532">
          <w:rPr>
            <w:noProof/>
          </w:rPr>
          <w:t>World Bank, 2012c</w:t>
        </w:r>
      </w:hyperlink>
      <w:r w:rsidR="004459DC">
        <w:rPr>
          <w:noProof/>
        </w:rPr>
        <w:t>)</w:t>
      </w:r>
      <w:r w:rsidR="00E12159">
        <w:fldChar w:fldCharType="end"/>
      </w:r>
      <w:r w:rsidR="00413B40">
        <w:t>. Though overall levels of gross primary levels were significantly lower in Tajikistan (92 and 90 percent for boys and girls respectively), the gender gap favoring boys was only two percent.</w:t>
      </w:r>
      <w:r w:rsidR="00BF7BDE">
        <w:t xml:space="preserve"> Since 2000</w:t>
      </w:r>
      <w:r w:rsidR="00EA12EA">
        <w:t xml:space="preserve">, however, </w:t>
      </w:r>
      <w:r w:rsidR="005009EE">
        <w:t>th</w:t>
      </w:r>
      <w:r w:rsidR="002B7FE1">
        <w:t xml:space="preserve">ere has been an overall </w:t>
      </w:r>
      <w:r w:rsidR="002B7FE1">
        <w:lastRenderedPageBreak/>
        <w:t>regional</w:t>
      </w:r>
      <w:r w:rsidR="005009EE">
        <w:t xml:space="preserve"> </w:t>
      </w:r>
      <w:r w:rsidR="00BF7BDE">
        <w:t xml:space="preserve">development </w:t>
      </w:r>
      <w:r w:rsidR="002B7FE1">
        <w:t xml:space="preserve">towards decreasing gender </w:t>
      </w:r>
      <w:r w:rsidR="00BF7BDE">
        <w:t xml:space="preserve">disparities </w:t>
      </w:r>
      <w:r w:rsidR="005009EE">
        <w:t>from which Tajikistan diverges with relatively persistent differences in boys</w:t>
      </w:r>
      <w:r w:rsidR="00DF130F">
        <w:t>’</w:t>
      </w:r>
      <w:r w:rsidR="005009EE">
        <w:t xml:space="preserve"> and girls’ </w:t>
      </w:r>
      <w:r w:rsidR="00BF7BDE">
        <w:t>gross primary enrolment rates</w:t>
      </w:r>
      <w:r w:rsidR="005009EE">
        <w:t xml:space="preserve">. </w:t>
      </w:r>
    </w:p>
    <w:p w14:paraId="1D035071" w14:textId="3DCB1518" w:rsidR="00A03A1A" w:rsidRDefault="0071789C" w:rsidP="00A03A1A">
      <w:pPr>
        <w:pStyle w:val="MainParawithChapter"/>
        <w:ind w:left="0" w:firstLine="0"/>
        <w:jc w:val="both"/>
        <w:outlineLvl w:val="9"/>
      </w:pPr>
      <w:r>
        <w:rPr>
          <w:b/>
        </w:rPr>
        <w:t>Modest signs of gender disparities are apparent regarding p</w:t>
      </w:r>
      <w:r w:rsidR="00A03A1A" w:rsidRPr="00BF6128">
        <w:rPr>
          <w:b/>
        </w:rPr>
        <w:t xml:space="preserve">rimary completion rates </w:t>
      </w:r>
      <w:r>
        <w:rPr>
          <w:b/>
        </w:rPr>
        <w:t>and</w:t>
      </w:r>
      <w:r w:rsidR="00A03A1A" w:rsidRPr="00BF6128">
        <w:rPr>
          <w:b/>
        </w:rPr>
        <w:t xml:space="preserve"> progression to secondary education.</w:t>
      </w:r>
      <w:r w:rsidR="00A03A1A" w:rsidRPr="00BF6128">
        <w:t xml:space="preserve"> Average primary completion rates in </w:t>
      </w:r>
      <w:r w:rsidR="00A03A1A" w:rsidRPr="00E551EE">
        <w:t>Tajikis</w:t>
      </w:r>
      <w:r w:rsidR="00A03A1A">
        <w:t>tan were 102 percent for girls and 106 percent</w:t>
      </w:r>
      <w:r w:rsidR="00A03A1A" w:rsidRPr="00E551EE">
        <w:t xml:space="preserve"> for boys in 2011 (</w:t>
      </w:r>
      <w:r w:rsidR="00E12159" w:rsidRPr="00E551EE">
        <w:fldChar w:fldCharType="begin"/>
      </w:r>
      <w:r w:rsidR="00A03A1A" w:rsidRPr="00E551EE">
        <w:instrText xml:space="preserve"> </w:instrText>
      </w:r>
      <w:r w:rsidR="00A03A1A">
        <w:instrText>REF</w:instrText>
      </w:r>
      <w:r w:rsidR="00A03A1A" w:rsidRPr="00E551EE">
        <w:instrText xml:space="preserve"> _Ref218918302 \h </w:instrText>
      </w:r>
      <w:r w:rsidR="00E12159" w:rsidRPr="00E551EE">
        <w:fldChar w:fldCharType="separate"/>
      </w:r>
      <w:r w:rsidR="00183FFF" w:rsidRPr="00EC47C3">
        <w:rPr>
          <w:b/>
          <w:sz w:val="22"/>
          <w:szCs w:val="22"/>
        </w:rPr>
        <w:t xml:space="preserve">Figure </w:t>
      </w:r>
      <w:proofErr w:type="gramStart"/>
      <w:r w:rsidR="00183FFF" w:rsidRPr="00EC47C3">
        <w:rPr>
          <w:b/>
          <w:sz w:val="22"/>
          <w:szCs w:val="22"/>
        </w:rPr>
        <w:t>A</w:t>
      </w:r>
      <w:proofErr w:type="gramEnd"/>
      <w:r w:rsidR="00183FFF" w:rsidRPr="00EC47C3">
        <w:rPr>
          <w:b/>
          <w:sz w:val="22"/>
          <w:szCs w:val="22"/>
        </w:rPr>
        <w:t xml:space="preserve"> </w:t>
      </w:r>
      <w:r w:rsidR="00183FFF">
        <w:rPr>
          <w:b/>
          <w:noProof/>
          <w:sz w:val="22"/>
          <w:szCs w:val="22"/>
        </w:rPr>
        <w:t>1</w:t>
      </w:r>
      <w:r w:rsidR="00E12159" w:rsidRPr="00E551EE">
        <w:fldChar w:fldCharType="end"/>
      </w:r>
      <w:r w:rsidR="00A03A1A" w:rsidRPr="00E551EE">
        <w:t>), thus exceeding</w:t>
      </w:r>
      <w:r w:rsidR="00A03A1A">
        <w:t xml:space="preserve"> the ECA average (98 percent and 99 percent</w:t>
      </w:r>
      <w:r w:rsidR="00A03A1A" w:rsidRPr="00BF6128">
        <w:t xml:space="preserve"> respectively).</w:t>
      </w:r>
      <w:r w:rsidR="00A03A1A" w:rsidRPr="00642129">
        <w:rPr>
          <w:vertAlign w:val="superscript"/>
        </w:rPr>
        <w:footnoteReference w:id="6"/>
      </w:r>
      <w:r w:rsidR="00A03A1A" w:rsidRPr="00BF6128">
        <w:t xml:space="preserve"> Though this gap does not appear large, it nevertheless means that a smal</w:t>
      </w:r>
      <w:r>
        <w:t xml:space="preserve">l, but important share of </w:t>
      </w:r>
      <w:r w:rsidR="00A03A1A" w:rsidRPr="00BF6128">
        <w:t xml:space="preserve">women does not even complete primary education and remains illiterate </w:t>
      </w:r>
      <w:r w:rsidR="00E12159" w:rsidRPr="00BF6128">
        <w:fldChar w:fldCharType="begin"/>
      </w:r>
      <w:r w:rsidR="00A03A1A">
        <w:instrText xml:space="preserve"> ADDIN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BF6128">
        <w:fldChar w:fldCharType="separate"/>
      </w:r>
      <w:r w:rsidR="00A03A1A">
        <w:rPr>
          <w:noProof/>
        </w:rPr>
        <w:t>(</w:t>
      </w:r>
      <w:hyperlink w:anchor="_ENREF_45" w:tooltip="Sattar, 2012 #3" w:history="1">
        <w:r w:rsidR="006A1532">
          <w:rPr>
            <w:noProof/>
          </w:rPr>
          <w:t>Sattar, 2012</w:t>
        </w:r>
      </w:hyperlink>
      <w:r w:rsidR="00A03A1A">
        <w:rPr>
          <w:noProof/>
        </w:rPr>
        <w:t>)</w:t>
      </w:r>
      <w:r w:rsidR="00E12159" w:rsidRPr="00BF6128">
        <w:fldChar w:fldCharType="end"/>
      </w:r>
      <w:r w:rsidR="00A03A1A" w:rsidRPr="00BF6128">
        <w:t xml:space="preserve">. Progression to secondary school is virtually the default option for those who were enrolled in the final </w:t>
      </w:r>
      <w:r w:rsidR="00A03A1A" w:rsidRPr="00E551EE">
        <w:t xml:space="preserve">year of primary education (see </w:t>
      </w:r>
      <w:r w:rsidR="00E12159" w:rsidRPr="00E551EE">
        <w:fldChar w:fldCharType="begin"/>
      </w:r>
      <w:r w:rsidR="00A03A1A" w:rsidRPr="00E551EE">
        <w:instrText xml:space="preserve"> </w:instrText>
      </w:r>
      <w:r w:rsidR="00A03A1A">
        <w:instrText>REF</w:instrText>
      </w:r>
      <w:r w:rsidR="00A03A1A" w:rsidRPr="00E551EE">
        <w:instrText xml:space="preserve"> _Ref218918371 \h </w:instrText>
      </w:r>
      <w:r w:rsidR="00E12159" w:rsidRPr="00E551EE">
        <w:fldChar w:fldCharType="separate"/>
      </w:r>
      <w:r w:rsidR="00183FFF" w:rsidRPr="002A0CDC">
        <w:rPr>
          <w:b/>
          <w:sz w:val="22"/>
          <w:szCs w:val="22"/>
        </w:rPr>
        <w:t xml:space="preserve">Figure A </w:t>
      </w:r>
      <w:r w:rsidR="00183FFF">
        <w:rPr>
          <w:b/>
          <w:noProof/>
          <w:sz w:val="22"/>
          <w:szCs w:val="22"/>
        </w:rPr>
        <w:t>2</w:t>
      </w:r>
      <w:r w:rsidR="00E12159" w:rsidRPr="00E551EE">
        <w:fldChar w:fldCharType="end"/>
      </w:r>
      <w:r w:rsidR="00A03A1A" w:rsidRPr="00E551EE">
        <w:t>), but male pupils are slightly more likely to</w:t>
      </w:r>
      <w:r w:rsidR="00A03A1A" w:rsidRPr="00BF6128">
        <w:t xml:space="preserve"> continue </w:t>
      </w:r>
      <w:r w:rsidR="00FD07F2">
        <w:t xml:space="preserve">to </w:t>
      </w:r>
      <w:r w:rsidR="00A03A1A" w:rsidRPr="00BF6128">
        <w:t>secondary education, with a gender gap that has been ranging</w:t>
      </w:r>
      <w:r w:rsidR="00A03A1A" w:rsidRPr="002A0CDC">
        <w:t xml:space="preserve"> between one and three percentage points in recent years.</w:t>
      </w:r>
    </w:p>
    <w:p w14:paraId="2331B381" w14:textId="77777777" w:rsidR="00BF6128" w:rsidRDefault="00BF6128" w:rsidP="008F5C92">
      <w:pPr>
        <w:spacing w:after="60"/>
        <w:jc w:val="center"/>
        <w:rPr>
          <w:b/>
          <w:sz w:val="22"/>
          <w:szCs w:val="22"/>
        </w:rPr>
      </w:pPr>
      <w:bookmarkStart w:id="22" w:name="_Ref218749972"/>
      <w:bookmarkStart w:id="23" w:name="_Toc218923901"/>
      <w:bookmarkStart w:id="24" w:name="_Toc232694744"/>
      <w:proofErr w:type="gramStart"/>
      <w:r w:rsidRPr="00BF6128">
        <w:rPr>
          <w:b/>
          <w:sz w:val="22"/>
          <w:szCs w:val="22"/>
        </w:rPr>
        <w:t xml:space="preserve">Figure </w:t>
      </w:r>
      <w:r w:rsidR="00E12159" w:rsidRPr="00BF6128">
        <w:rPr>
          <w:b/>
          <w:sz w:val="22"/>
          <w:szCs w:val="22"/>
        </w:rPr>
        <w:fldChar w:fldCharType="begin"/>
      </w:r>
      <w:r w:rsidRPr="00BF6128">
        <w:rPr>
          <w:b/>
          <w:sz w:val="22"/>
          <w:szCs w:val="22"/>
        </w:rPr>
        <w:instrText xml:space="preserve"> </w:instrText>
      </w:r>
      <w:r w:rsidR="009F7A22">
        <w:rPr>
          <w:b/>
          <w:sz w:val="22"/>
          <w:szCs w:val="22"/>
        </w:rPr>
        <w:instrText>SEQ</w:instrText>
      </w:r>
      <w:r w:rsidRPr="00BF6128">
        <w:rPr>
          <w:b/>
          <w:sz w:val="22"/>
          <w:szCs w:val="22"/>
        </w:rPr>
        <w:instrText xml:space="preserve"> Figure \* ARABIC </w:instrText>
      </w:r>
      <w:r w:rsidR="00E12159" w:rsidRPr="00BF6128">
        <w:rPr>
          <w:b/>
          <w:sz w:val="22"/>
          <w:szCs w:val="22"/>
        </w:rPr>
        <w:fldChar w:fldCharType="separate"/>
      </w:r>
      <w:r w:rsidR="00183FFF">
        <w:rPr>
          <w:b/>
          <w:noProof/>
          <w:sz w:val="22"/>
          <w:szCs w:val="22"/>
        </w:rPr>
        <w:t>6</w:t>
      </w:r>
      <w:r w:rsidR="00E12159" w:rsidRPr="00BF6128">
        <w:rPr>
          <w:b/>
          <w:sz w:val="22"/>
          <w:szCs w:val="22"/>
        </w:rPr>
        <w:fldChar w:fldCharType="end"/>
      </w:r>
      <w:bookmarkEnd w:id="22"/>
      <w:r w:rsidRPr="00BF6128">
        <w:rPr>
          <w:b/>
          <w:sz w:val="22"/>
          <w:szCs w:val="22"/>
        </w:rPr>
        <w:t>.</w:t>
      </w:r>
      <w:proofErr w:type="gramEnd"/>
      <w:r w:rsidRPr="00BF6128">
        <w:rPr>
          <w:b/>
          <w:sz w:val="22"/>
          <w:szCs w:val="22"/>
        </w:rPr>
        <w:t xml:space="preserve"> Gross enrollment rate in pri</w:t>
      </w:r>
      <w:r w:rsidR="00410BB0">
        <w:rPr>
          <w:b/>
          <w:sz w:val="22"/>
          <w:szCs w:val="22"/>
        </w:rPr>
        <w:t>mary education (%), by total and gender</w:t>
      </w:r>
      <w:r w:rsidRPr="00BF6128">
        <w:rPr>
          <w:b/>
          <w:sz w:val="22"/>
          <w:szCs w:val="22"/>
        </w:rPr>
        <w:t>, and ratio of female to male primary enrollment (%), 2000-2011</w:t>
      </w:r>
      <w:bookmarkEnd w:id="23"/>
      <w:bookmarkEnd w:id="24"/>
    </w:p>
    <w:p w14:paraId="44C01509" w14:textId="77777777" w:rsidR="00BF6128" w:rsidRPr="00BA4CE3" w:rsidRDefault="00BF6128" w:rsidP="008F5C92">
      <w:pPr>
        <w:spacing w:after="60"/>
        <w:jc w:val="center"/>
        <w:rPr>
          <w:b/>
          <w:sz w:val="22"/>
          <w:szCs w:val="22"/>
        </w:rPr>
      </w:pPr>
      <w:r>
        <w:rPr>
          <w:noProof/>
        </w:rPr>
        <w:drawing>
          <wp:inline distT="0" distB="0" distL="0" distR="0" wp14:anchorId="3C71E558" wp14:editId="78783748">
            <wp:extent cx="5486400" cy="2056341"/>
            <wp:effectExtent l="0" t="0" r="25400" b="2667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F3C474" w14:textId="77777777" w:rsidR="00BF6128" w:rsidRPr="00AE6EFA" w:rsidRDefault="00BF6128" w:rsidP="008F5C92">
      <w:pPr>
        <w:jc w:val="both"/>
        <w:rPr>
          <w:sz w:val="20"/>
          <w:szCs w:val="20"/>
        </w:rPr>
      </w:pPr>
      <w:r w:rsidRPr="00AE6EFA">
        <w:rPr>
          <w:i/>
          <w:sz w:val="20"/>
          <w:szCs w:val="20"/>
        </w:rPr>
        <w:t>Notes</w:t>
      </w:r>
      <w:r w:rsidRPr="00AE6EFA">
        <w:rPr>
          <w:sz w:val="20"/>
          <w:szCs w:val="20"/>
        </w:rPr>
        <w:t>: Gross enrollment rate is the total enrollment in primary education, regardless of age, expressed as a percentage of the population of official primary e</w:t>
      </w:r>
      <w:r w:rsidR="008C5381" w:rsidRPr="00AE6EFA">
        <w:rPr>
          <w:sz w:val="20"/>
          <w:szCs w:val="20"/>
        </w:rPr>
        <w:t>ducation age. It can exceed 100 percent</w:t>
      </w:r>
      <w:r w:rsidRPr="00AE6EFA">
        <w:rPr>
          <w:sz w:val="20"/>
          <w:szCs w:val="20"/>
        </w:rPr>
        <w:t xml:space="preserve"> due to the inclusion of over-aged and under-aged students because of early or late school entrance and grade repetition. Ratio of female to male primary enrollment is calculated by dividing the female value for the indicator by the male value for the indicator.</w:t>
      </w:r>
    </w:p>
    <w:p w14:paraId="7DC442DF" w14:textId="77777777" w:rsidR="00BF6128" w:rsidRPr="00AE6EFA" w:rsidRDefault="00863B25" w:rsidP="008F5C92">
      <w:pPr>
        <w:jc w:val="both"/>
        <w:rPr>
          <w:sz w:val="20"/>
          <w:szCs w:val="20"/>
        </w:rPr>
      </w:pPr>
      <w:r w:rsidRPr="00AE6EFA">
        <w:rPr>
          <w:i/>
          <w:sz w:val="20"/>
          <w:szCs w:val="20"/>
        </w:rPr>
        <w:t xml:space="preserve">Source: </w:t>
      </w:r>
      <w:r w:rsidRPr="00AE6EFA">
        <w:rPr>
          <w:sz w:val="20"/>
          <w:szCs w:val="20"/>
        </w:rPr>
        <w:t xml:space="preserve">World Development Indicators Database, World Bank, Washington DC, </w:t>
      </w:r>
      <w:hyperlink r:id="rId25" w:history="1">
        <w:r w:rsidRPr="00AE6EFA">
          <w:rPr>
            <w:sz w:val="20"/>
            <w:szCs w:val="20"/>
          </w:rPr>
          <w:t>http://data.worldbank.org/data-catalog/world-development-indicators</w:t>
        </w:r>
      </w:hyperlink>
      <w:r w:rsidRPr="00AE6EFA">
        <w:rPr>
          <w:sz w:val="20"/>
          <w:szCs w:val="20"/>
        </w:rPr>
        <w:t>.</w:t>
      </w:r>
    </w:p>
    <w:p w14:paraId="6D464FB5" w14:textId="77777777" w:rsidR="00BA4CE3" w:rsidRDefault="00BA4CE3" w:rsidP="008F5C92">
      <w:pPr>
        <w:spacing w:after="60"/>
        <w:jc w:val="center"/>
        <w:rPr>
          <w:b/>
          <w:sz w:val="22"/>
          <w:szCs w:val="22"/>
        </w:rPr>
      </w:pPr>
      <w:bookmarkStart w:id="25" w:name="_Ref218917481"/>
      <w:bookmarkStart w:id="26" w:name="_Toc218923902"/>
    </w:p>
    <w:p w14:paraId="3D6CC5C5" w14:textId="4B648AA3" w:rsidR="00930888" w:rsidRPr="00930888" w:rsidRDefault="00930888" w:rsidP="00450916">
      <w:pPr>
        <w:pStyle w:val="MainParawithChapter"/>
        <w:ind w:left="0" w:firstLine="0"/>
        <w:jc w:val="both"/>
        <w:outlineLvl w:val="9"/>
      </w:pPr>
      <w:bookmarkStart w:id="27" w:name="_Ref220389046"/>
      <w:r w:rsidRPr="005C6891">
        <w:rPr>
          <w:b/>
          <w:bCs/>
          <w:color w:val="000000" w:themeColor="text1"/>
        </w:rPr>
        <w:t xml:space="preserve">Gender gaps in gross </w:t>
      </w:r>
      <w:r w:rsidRPr="00081D55">
        <w:rPr>
          <w:b/>
        </w:rPr>
        <w:t>secondary</w:t>
      </w:r>
      <w:r w:rsidRPr="005C6891">
        <w:rPr>
          <w:b/>
          <w:bCs/>
          <w:color w:val="000000" w:themeColor="text1"/>
        </w:rPr>
        <w:t xml:space="preserve"> enrollment in favor of boys are exceptionally high in regional </w:t>
      </w:r>
      <w:r w:rsidRPr="00450916">
        <w:rPr>
          <w:rFonts w:cstheme="minorHAnsi"/>
          <w:b/>
        </w:rPr>
        <w:t>comparison</w:t>
      </w:r>
      <w:r w:rsidRPr="005C6891">
        <w:rPr>
          <w:b/>
          <w:bCs/>
          <w:color w:val="000000" w:themeColor="text1"/>
        </w:rPr>
        <w:t>.</w:t>
      </w:r>
      <w:r w:rsidRPr="005C6891">
        <w:rPr>
          <w:bCs/>
          <w:color w:val="000000" w:themeColor="text1"/>
        </w:rPr>
        <w:t xml:space="preserve"> Secondary education sets the stage for students’ career opportunities and, in the long run, </w:t>
      </w:r>
      <w:r w:rsidRPr="00FB758E">
        <w:t>levels</w:t>
      </w:r>
      <w:r w:rsidRPr="005C6891">
        <w:rPr>
          <w:bCs/>
          <w:color w:val="000000" w:themeColor="text1"/>
        </w:rPr>
        <w:t xml:space="preserve"> of productivity, income, and household welfare </w:t>
      </w:r>
      <w:r w:rsidR="00E12159" w:rsidRPr="005C6891">
        <w:rPr>
          <w:bCs/>
          <w:color w:val="000000" w:themeColor="text1"/>
        </w:rPr>
        <w:fldChar w:fldCharType="begin"/>
      </w:r>
      <w:r w:rsidR="00D93AAA">
        <w:rPr>
          <w:bCs/>
          <w:color w:val="000000" w:themeColor="text1"/>
        </w:rPr>
        <w:instrText xml:space="preserve"> </w:instrText>
      </w:r>
      <w:r w:rsidR="009F7A22">
        <w:rPr>
          <w:bCs/>
          <w:color w:val="000000" w:themeColor="text1"/>
        </w:rPr>
        <w:instrText>ADDIN</w:instrText>
      </w:r>
      <w:r w:rsidR="00D93AAA">
        <w:rPr>
          <w:bCs/>
          <w:color w:val="000000" w:themeColor="text1"/>
        </w:rPr>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5C6891">
        <w:rPr>
          <w:bCs/>
          <w:color w:val="000000" w:themeColor="text1"/>
        </w:rPr>
        <w:fldChar w:fldCharType="separate"/>
      </w:r>
      <w:r w:rsidR="00D93AAA">
        <w:rPr>
          <w:bCs/>
          <w:noProof/>
          <w:color w:val="000000" w:themeColor="text1"/>
        </w:rPr>
        <w:t>(</w:t>
      </w:r>
      <w:hyperlink w:anchor="_ENREF_45" w:tooltip="Sattar, 2012 #3" w:history="1">
        <w:r w:rsidR="006A1532">
          <w:rPr>
            <w:bCs/>
            <w:noProof/>
            <w:color w:val="000000" w:themeColor="text1"/>
          </w:rPr>
          <w:t>Sattar, 2012</w:t>
        </w:r>
      </w:hyperlink>
      <w:r w:rsidR="00D93AAA">
        <w:rPr>
          <w:bCs/>
          <w:noProof/>
          <w:color w:val="000000" w:themeColor="text1"/>
        </w:rPr>
        <w:t>)</w:t>
      </w:r>
      <w:r w:rsidR="00E12159" w:rsidRPr="005C6891">
        <w:rPr>
          <w:bCs/>
          <w:color w:val="000000" w:themeColor="text1"/>
        </w:rPr>
        <w:fldChar w:fldCharType="end"/>
      </w:r>
      <w:r w:rsidRPr="005C6891">
        <w:rPr>
          <w:bCs/>
          <w:color w:val="000000" w:themeColor="text1"/>
        </w:rPr>
        <w:t xml:space="preserve">. </w:t>
      </w:r>
      <w:r w:rsidR="008C5381" w:rsidRPr="00081D55">
        <w:rPr>
          <w:bCs/>
          <w:color w:val="000000" w:themeColor="text1"/>
        </w:rPr>
        <w:t xml:space="preserve">In comparison to other low-income countries (LICs), Tajikistan performs significantly better in terms of </w:t>
      </w:r>
      <w:r w:rsidR="003C3876">
        <w:rPr>
          <w:bCs/>
          <w:color w:val="000000" w:themeColor="text1"/>
        </w:rPr>
        <w:t xml:space="preserve">secondary </w:t>
      </w:r>
      <w:r w:rsidR="008C5381" w:rsidRPr="00081D55">
        <w:rPr>
          <w:bCs/>
          <w:color w:val="000000" w:themeColor="text1"/>
        </w:rPr>
        <w:t>enrollme</w:t>
      </w:r>
      <w:r w:rsidR="008C5381">
        <w:rPr>
          <w:bCs/>
          <w:color w:val="000000" w:themeColor="text1"/>
        </w:rPr>
        <w:t>nt rates f</w:t>
      </w:r>
      <w:r w:rsidR="00F66E03">
        <w:rPr>
          <w:bCs/>
          <w:color w:val="000000" w:themeColor="text1"/>
        </w:rPr>
        <w:t xml:space="preserve">or both boys and girls. This fact apparently </w:t>
      </w:r>
      <w:r w:rsidR="0094385B">
        <w:rPr>
          <w:bCs/>
          <w:color w:val="000000" w:themeColor="text1"/>
        </w:rPr>
        <w:t>stems from</w:t>
      </w:r>
      <w:r w:rsidR="00F66E03">
        <w:rPr>
          <w:bCs/>
          <w:color w:val="000000" w:themeColor="text1"/>
        </w:rPr>
        <w:t xml:space="preserve"> Tajikistan’s</w:t>
      </w:r>
      <w:r w:rsidR="003C3876">
        <w:rPr>
          <w:bCs/>
          <w:color w:val="000000" w:themeColor="text1"/>
        </w:rPr>
        <w:t xml:space="preserve"> Soviet legacy</w:t>
      </w:r>
      <w:r w:rsidR="009226C3">
        <w:rPr>
          <w:bCs/>
          <w:color w:val="000000" w:themeColor="text1"/>
        </w:rPr>
        <w:t>,</w:t>
      </w:r>
      <w:r w:rsidR="003C3876">
        <w:rPr>
          <w:bCs/>
          <w:color w:val="000000" w:themeColor="text1"/>
        </w:rPr>
        <w:t xml:space="preserve"> as education for men and women alike was </w:t>
      </w:r>
      <w:r w:rsidR="00FD0B43">
        <w:rPr>
          <w:bCs/>
          <w:color w:val="000000" w:themeColor="text1"/>
        </w:rPr>
        <w:t xml:space="preserve">a key objective </w:t>
      </w:r>
      <w:r w:rsidR="003C3876">
        <w:rPr>
          <w:bCs/>
          <w:color w:val="000000" w:themeColor="text1"/>
        </w:rPr>
        <w:t xml:space="preserve">during the Socialist era </w:t>
      </w:r>
      <w:r w:rsidR="00E12159">
        <w:rPr>
          <w:bCs/>
          <w:color w:val="000000" w:themeColor="text1"/>
        </w:rPr>
        <w:fldChar w:fldCharType="begin"/>
      </w:r>
      <w:r w:rsidR="00D93AAA">
        <w:rPr>
          <w:bCs/>
          <w:color w:val="000000" w:themeColor="text1"/>
        </w:rPr>
        <w:instrText xml:space="preserve"> </w:instrText>
      </w:r>
      <w:r w:rsidR="009F7A22">
        <w:rPr>
          <w:bCs/>
          <w:color w:val="000000" w:themeColor="text1"/>
        </w:rPr>
        <w:instrText>ADDIN</w:instrText>
      </w:r>
      <w:r w:rsidR="00D93AAA">
        <w:rPr>
          <w:bCs/>
          <w:color w:val="000000" w:themeColor="text1"/>
        </w:rPr>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Pr>
          <w:bCs/>
          <w:color w:val="000000" w:themeColor="text1"/>
        </w:rPr>
        <w:fldChar w:fldCharType="separate"/>
      </w:r>
      <w:r w:rsidR="00D93AAA">
        <w:rPr>
          <w:bCs/>
          <w:noProof/>
          <w:color w:val="000000" w:themeColor="text1"/>
        </w:rPr>
        <w:t>(</w:t>
      </w:r>
      <w:hyperlink w:anchor="_ENREF_45" w:tooltip="Sattar, 2012 #3" w:history="1">
        <w:r w:rsidR="006A1532">
          <w:rPr>
            <w:bCs/>
            <w:noProof/>
            <w:color w:val="000000" w:themeColor="text1"/>
          </w:rPr>
          <w:t>Sattar, 2012</w:t>
        </w:r>
      </w:hyperlink>
      <w:r w:rsidR="00D93AAA">
        <w:rPr>
          <w:bCs/>
          <w:noProof/>
          <w:color w:val="000000" w:themeColor="text1"/>
        </w:rPr>
        <w:t>)</w:t>
      </w:r>
      <w:r w:rsidR="00E12159">
        <w:rPr>
          <w:bCs/>
          <w:color w:val="000000" w:themeColor="text1"/>
        </w:rPr>
        <w:fldChar w:fldCharType="end"/>
      </w:r>
      <w:r w:rsidR="003C3876">
        <w:rPr>
          <w:bCs/>
          <w:color w:val="000000" w:themeColor="text1"/>
        </w:rPr>
        <w:t>.</w:t>
      </w:r>
      <w:r w:rsidR="008C5381">
        <w:rPr>
          <w:bCs/>
          <w:color w:val="000000" w:themeColor="text1"/>
        </w:rPr>
        <w:t xml:space="preserve"> </w:t>
      </w:r>
      <w:r w:rsidR="00FD0B43">
        <w:rPr>
          <w:bCs/>
          <w:color w:val="000000" w:themeColor="text1"/>
        </w:rPr>
        <w:t>In</w:t>
      </w:r>
      <w:r w:rsidR="009226C3">
        <w:rPr>
          <w:bCs/>
          <w:color w:val="000000" w:themeColor="text1"/>
        </w:rPr>
        <w:t xml:space="preserve"> 1991, Tajikistan’s gross secondary enrollment rates were even above the regional average (102 percent as </w:t>
      </w:r>
      <w:r w:rsidR="009226C3">
        <w:rPr>
          <w:bCs/>
          <w:color w:val="000000" w:themeColor="text1"/>
        </w:rPr>
        <w:lastRenderedPageBreak/>
        <w:t>compared to 87 percent), an</w:t>
      </w:r>
      <w:r w:rsidR="0094385B">
        <w:rPr>
          <w:bCs/>
          <w:color w:val="000000" w:themeColor="text1"/>
        </w:rPr>
        <w:t>d far above the average in</w:t>
      </w:r>
      <w:r w:rsidR="009226C3">
        <w:rPr>
          <w:bCs/>
          <w:color w:val="000000" w:themeColor="text1"/>
        </w:rPr>
        <w:t xml:space="preserve"> </w:t>
      </w:r>
      <w:r w:rsidR="00FD0B43">
        <w:rPr>
          <w:bCs/>
          <w:color w:val="000000" w:themeColor="text1"/>
        </w:rPr>
        <w:t>LICs</w:t>
      </w:r>
      <w:r w:rsidR="009226C3">
        <w:rPr>
          <w:bCs/>
          <w:color w:val="000000" w:themeColor="text1"/>
        </w:rPr>
        <w:t xml:space="preserve"> (22 percent).</w:t>
      </w:r>
      <w:r w:rsidR="00B744AF">
        <w:rPr>
          <w:rStyle w:val="FootnoteReference"/>
          <w:bCs/>
          <w:color w:val="000000" w:themeColor="text1"/>
        </w:rPr>
        <w:footnoteReference w:id="7"/>
      </w:r>
      <w:r w:rsidR="009226C3" w:rsidRPr="00081D55">
        <w:rPr>
          <w:bCs/>
          <w:color w:val="000000" w:themeColor="text1"/>
        </w:rPr>
        <w:t xml:space="preserve"> </w:t>
      </w:r>
      <w:r w:rsidR="009226C3">
        <w:rPr>
          <w:bCs/>
          <w:color w:val="000000" w:themeColor="text1"/>
        </w:rPr>
        <w:t xml:space="preserve">At present, </w:t>
      </w:r>
      <w:r w:rsidR="003C3876">
        <w:rPr>
          <w:bCs/>
          <w:color w:val="000000" w:themeColor="text1"/>
        </w:rPr>
        <w:t>t</w:t>
      </w:r>
      <w:r w:rsidRPr="005C6891">
        <w:rPr>
          <w:bCs/>
          <w:color w:val="000000" w:themeColor="text1"/>
        </w:rPr>
        <w:t>otal gross secondary enrollment r</w:t>
      </w:r>
      <w:r w:rsidR="009226C3">
        <w:rPr>
          <w:bCs/>
          <w:color w:val="000000" w:themeColor="text1"/>
        </w:rPr>
        <w:t>ates are still relatively high, but</w:t>
      </w:r>
      <w:r w:rsidRPr="00081D55">
        <w:rPr>
          <w:bCs/>
          <w:color w:val="000000" w:themeColor="text1"/>
        </w:rPr>
        <w:t xml:space="preserve"> substantial gender disparities exist (see</w:t>
      </w:r>
      <w:r>
        <w:rPr>
          <w:bCs/>
          <w:color w:val="000000" w:themeColor="text1"/>
        </w:rPr>
        <w:t xml:space="preserve"> </w:t>
      </w:r>
      <w:r w:rsidR="00E12159">
        <w:rPr>
          <w:bCs/>
          <w:color w:val="000000" w:themeColor="text1"/>
        </w:rPr>
        <w:fldChar w:fldCharType="begin"/>
      </w:r>
      <w:r>
        <w:rPr>
          <w:bCs/>
          <w:color w:val="000000" w:themeColor="text1"/>
        </w:rPr>
        <w:instrText xml:space="preserve"> </w:instrText>
      </w:r>
      <w:r w:rsidR="009F7A22">
        <w:rPr>
          <w:bCs/>
          <w:color w:val="000000" w:themeColor="text1"/>
        </w:rPr>
        <w:instrText>REF</w:instrText>
      </w:r>
      <w:r>
        <w:rPr>
          <w:bCs/>
          <w:color w:val="000000" w:themeColor="text1"/>
        </w:rPr>
        <w:instrText xml:space="preserve"> _Ref221539543 \h </w:instrText>
      </w:r>
      <w:r w:rsidR="00E12159">
        <w:rPr>
          <w:bCs/>
          <w:color w:val="000000" w:themeColor="text1"/>
        </w:rPr>
      </w:r>
      <w:r w:rsidR="00E12159">
        <w:rPr>
          <w:bCs/>
          <w:color w:val="000000" w:themeColor="text1"/>
        </w:rPr>
        <w:fldChar w:fldCharType="separate"/>
      </w:r>
      <w:r w:rsidR="00183FFF" w:rsidRPr="00BA4CE3">
        <w:rPr>
          <w:b/>
          <w:sz w:val="22"/>
          <w:szCs w:val="22"/>
        </w:rPr>
        <w:t xml:space="preserve">Figure </w:t>
      </w:r>
      <w:r w:rsidR="00183FFF">
        <w:rPr>
          <w:b/>
          <w:noProof/>
          <w:sz w:val="22"/>
          <w:szCs w:val="22"/>
        </w:rPr>
        <w:t>7</w:t>
      </w:r>
      <w:r w:rsidR="00E12159">
        <w:rPr>
          <w:bCs/>
          <w:color w:val="000000" w:themeColor="text1"/>
        </w:rPr>
        <w:fldChar w:fldCharType="end"/>
      </w:r>
      <w:r w:rsidRPr="00081D55">
        <w:rPr>
          <w:bCs/>
          <w:color w:val="000000" w:themeColor="text1"/>
        </w:rPr>
        <w:t xml:space="preserve">): In 2011, male gross secondary enrollment </w:t>
      </w:r>
      <w:r w:rsidR="00F66E03">
        <w:rPr>
          <w:bCs/>
          <w:color w:val="000000" w:themeColor="text1"/>
        </w:rPr>
        <w:t xml:space="preserve">rates </w:t>
      </w:r>
      <w:r w:rsidRPr="00081D55">
        <w:rPr>
          <w:bCs/>
          <w:color w:val="000000" w:themeColor="text1"/>
        </w:rPr>
        <w:t xml:space="preserve">exceeded the ECA average (94 percent as compared to 91 percent), but this rate was below the regional average for females (82 percent and 88 percent respectively). </w:t>
      </w:r>
      <w:r w:rsidR="00EC6D6D">
        <w:rPr>
          <w:bCs/>
          <w:color w:val="000000" w:themeColor="text1"/>
        </w:rPr>
        <w:t>This means, w</w:t>
      </w:r>
      <w:r w:rsidR="00F66E03">
        <w:rPr>
          <w:bCs/>
          <w:color w:val="000000" w:themeColor="text1"/>
        </w:rPr>
        <w:t>hile total gross secondary enrollment rates are comparable to other countries in the Europe and Central Asia region, t</w:t>
      </w:r>
      <w:r w:rsidRPr="00081D55">
        <w:rPr>
          <w:bCs/>
          <w:color w:val="000000" w:themeColor="text1"/>
        </w:rPr>
        <w:t>he ratios of female to male secondary enrollment rates as a measure of gender parity are</w:t>
      </w:r>
      <w:r w:rsidR="00EC6D6D">
        <w:rPr>
          <w:bCs/>
          <w:color w:val="000000" w:themeColor="text1"/>
        </w:rPr>
        <w:t xml:space="preserve"> </w:t>
      </w:r>
      <w:r w:rsidR="00B744AF">
        <w:rPr>
          <w:bCs/>
          <w:color w:val="000000" w:themeColor="text1"/>
        </w:rPr>
        <w:t xml:space="preserve">far </w:t>
      </w:r>
      <w:r w:rsidR="00EC6D6D">
        <w:rPr>
          <w:bCs/>
          <w:color w:val="000000" w:themeColor="text1"/>
        </w:rPr>
        <w:t>less favorable in Tajikistan (87 percent) than reg</w:t>
      </w:r>
      <w:r w:rsidR="00B744AF">
        <w:rPr>
          <w:bCs/>
          <w:color w:val="000000" w:themeColor="text1"/>
        </w:rPr>
        <w:t xml:space="preserve">ionally (96 percent). Rather, this puts Tajikistan on a </w:t>
      </w:r>
      <w:r w:rsidR="00EC6D6D">
        <w:rPr>
          <w:bCs/>
          <w:color w:val="000000" w:themeColor="text1"/>
        </w:rPr>
        <w:t>level with other low-income countries</w:t>
      </w:r>
      <w:r w:rsidR="00B744AF">
        <w:rPr>
          <w:bCs/>
          <w:color w:val="000000" w:themeColor="text1"/>
        </w:rPr>
        <w:t xml:space="preserve"> (86 percent on average)</w:t>
      </w:r>
      <w:r w:rsidR="00312B39">
        <w:rPr>
          <w:bCs/>
          <w:color w:val="000000" w:themeColor="text1"/>
        </w:rPr>
        <w:t xml:space="preserve"> </w:t>
      </w:r>
      <w:r w:rsidR="00E12159">
        <w:rPr>
          <w:bCs/>
          <w:color w:val="000000" w:themeColor="text1"/>
        </w:rPr>
        <w:fldChar w:fldCharType="begin"/>
      </w:r>
      <w:r w:rsidR="004459DC">
        <w:rPr>
          <w:bCs/>
          <w:color w:val="000000" w:themeColor="text1"/>
        </w:rPr>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rPr>
          <w:bCs/>
          <w:color w:val="000000" w:themeColor="text1"/>
        </w:rPr>
        <w:fldChar w:fldCharType="separate"/>
      </w:r>
      <w:r w:rsidR="004459DC">
        <w:rPr>
          <w:bCs/>
          <w:noProof/>
          <w:color w:val="000000" w:themeColor="text1"/>
        </w:rPr>
        <w:t>(</w:t>
      </w:r>
      <w:hyperlink w:anchor="_ENREF_84" w:tooltip="World Bank, 2012 #6" w:history="1">
        <w:r w:rsidR="006A1532">
          <w:rPr>
            <w:bCs/>
            <w:noProof/>
            <w:color w:val="000000" w:themeColor="text1"/>
          </w:rPr>
          <w:t>World Bank, 2012c</w:t>
        </w:r>
      </w:hyperlink>
      <w:r w:rsidR="004459DC">
        <w:rPr>
          <w:bCs/>
          <w:noProof/>
          <w:color w:val="000000" w:themeColor="text1"/>
        </w:rPr>
        <w:t>)</w:t>
      </w:r>
      <w:r w:rsidR="00E12159">
        <w:rPr>
          <w:bCs/>
          <w:color w:val="000000" w:themeColor="text1"/>
        </w:rPr>
        <w:fldChar w:fldCharType="end"/>
      </w:r>
      <w:r w:rsidR="002624C9">
        <w:rPr>
          <w:bCs/>
          <w:color w:val="000000" w:themeColor="text1"/>
        </w:rPr>
        <w:t>.</w:t>
      </w:r>
    </w:p>
    <w:p w14:paraId="10EBE984" w14:textId="77777777" w:rsidR="00BA4CE3" w:rsidRPr="00BA4CE3" w:rsidRDefault="00BA4CE3" w:rsidP="008F5C92">
      <w:pPr>
        <w:spacing w:after="60"/>
        <w:jc w:val="center"/>
        <w:rPr>
          <w:b/>
          <w:sz w:val="22"/>
          <w:szCs w:val="22"/>
        </w:rPr>
      </w:pPr>
      <w:bookmarkStart w:id="28" w:name="_Ref221539543"/>
      <w:bookmarkStart w:id="29" w:name="_Toc232694745"/>
      <w:proofErr w:type="gramStart"/>
      <w:r w:rsidRPr="00BA4CE3">
        <w:rPr>
          <w:b/>
          <w:sz w:val="22"/>
          <w:szCs w:val="22"/>
        </w:rPr>
        <w:t xml:space="preserve">Figure </w:t>
      </w:r>
      <w:r w:rsidR="00E12159" w:rsidRPr="00BA4CE3">
        <w:rPr>
          <w:b/>
          <w:sz w:val="22"/>
          <w:szCs w:val="22"/>
        </w:rPr>
        <w:fldChar w:fldCharType="begin"/>
      </w:r>
      <w:r w:rsidRPr="00BA4CE3">
        <w:rPr>
          <w:b/>
          <w:sz w:val="22"/>
          <w:szCs w:val="22"/>
        </w:rPr>
        <w:instrText xml:space="preserve"> </w:instrText>
      </w:r>
      <w:r w:rsidR="009F7A22">
        <w:rPr>
          <w:b/>
          <w:sz w:val="22"/>
          <w:szCs w:val="22"/>
        </w:rPr>
        <w:instrText>SEQ</w:instrText>
      </w:r>
      <w:r w:rsidRPr="00BA4CE3">
        <w:rPr>
          <w:b/>
          <w:sz w:val="22"/>
          <w:szCs w:val="22"/>
        </w:rPr>
        <w:instrText xml:space="preserve"> Figure \* ARABIC </w:instrText>
      </w:r>
      <w:r w:rsidR="00E12159" w:rsidRPr="00BA4CE3">
        <w:rPr>
          <w:b/>
          <w:sz w:val="22"/>
          <w:szCs w:val="22"/>
        </w:rPr>
        <w:fldChar w:fldCharType="separate"/>
      </w:r>
      <w:r w:rsidR="00183FFF">
        <w:rPr>
          <w:b/>
          <w:noProof/>
          <w:sz w:val="22"/>
          <w:szCs w:val="22"/>
        </w:rPr>
        <w:t>7</w:t>
      </w:r>
      <w:r w:rsidR="00E12159" w:rsidRPr="00BA4CE3">
        <w:rPr>
          <w:b/>
          <w:sz w:val="22"/>
          <w:szCs w:val="22"/>
        </w:rPr>
        <w:fldChar w:fldCharType="end"/>
      </w:r>
      <w:bookmarkEnd w:id="25"/>
      <w:bookmarkEnd w:id="27"/>
      <w:bookmarkEnd w:id="28"/>
      <w:r w:rsidRPr="00BA4CE3">
        <w:rPr>
          <w:b/>
          <w:sz w:val="22"/>
          <w:szCs w:val="22"/>
        </w:rPr>
        <w:t>.</w:t>
      </w:r>
      <w:proofErr w:type="gramEnd"/>
      <w:r w:rsidRPr="00BA4CE3">
        <w:rPr>
          <w:b/>
          <w:sz w:val="22"/>
          <w:szCs w:val="22"/>
        </w:rPr>
        <w:t xml:space="preserve"> Gross enrollment rate in secondary</w:t>
      </w:r>
      <w:r w:rsidR="00410BB0">
        <w:rPr>
          <w:b/>
          <w:sz w:val="22"/>
          <w:szCs w:val="22"/>
        </w:rPr>
        <w:t xml:space="preserve"> education (%), by total and gender</w:t>
      </w:r>
      <w:r w:rsidRPr="00BA4CE3">
        <w:rPr>
          <w:b/>
          <w:sz w:val="22"/>
          <w:szCs w:val="22"/>
        </w:rPr>
        <w:t>, and ratio female to male secondary enrollment (%), 2000-2011</w:t>
      </w:r>
      <w:bookmarkEnd w:id="26"/>
      <w:bookmarkEnd w:id="29"/>
    </w:p>
    <w:p w14:paraId="456A235A" w14:textId="77777777" w:rsidR="005C6891" w:rsidRPr="00081D55" w:rsidRDefault="005C6891" w:rsidP="004C4CA6">
      <w:pPr>
        <w:jc w:val="both"/>
        <w:rPr>
          <w:sz w:val="22"/>
          <w:szCs w:val="22"/>
        </w:rPr>
      </w:pPr>
      <w:r>
        <w:rPr>
          <w:noProof/>
        </w:rPr>
        <w:drawing>
          <wp:inline distT="0" distB="0" distL="0" distR="0" wp14:anchorId="36EDCEF3" wp14:editId="5C291B9D">
            <wp:extent cx="5486400" cy="2227602"/>
            <wp:effectExtent l="0" t="0" r="25400" b="330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81D55">
        <w:rPr>
          <w:i/>
          <w:sz w:val="22"/>
          <w:szCs w:val="22"/>
        </w:rPr>
        <w:t xml:space="preserve">Notes: </w:t>
      </w:r>
      <w:r w:rsidRPr="00081D55">
        <w:rPr>
          <w:sz w:val="22"/>
          <w:szCs w:val="22"/>
        </w:rPr>
        <w:t>Gross enrollment rate is the total enrollment in secondary education, regardless of age, expressed as a percentage of the population of official secondary e</w:t>
      </w:r>
      <w:r w:rsidR="0094385B">
        <w:rPr>
          <w:sz w:val="22"/>
          <w:szCs w:val="22"/>
        </w:rPr>
        <w:t>ducation age. It can exceed 100 percent</w:t>
      </w:r>
      <w:r w:rsidRPr="00081D55">
        <w:rPr>
          <w:sz w:val="22"/>
          <w:szCs w:val="22"/>
        </w:rPr>
        <w:t xml:space="preserve"> due to the inclusion of over-aged and under-aged students because of early or late school entrance and grade repetition. Ratio of female to male secondary enrollment is calculated by dividing the female value for the indicator by the male value for the indicator.</w:t>
      </w:r>
    </w:p>
    <w:p w14:paraId="13DB0898" w14:textId="77777777" w:rsidR="005C6891" w:rsidRDefault="005C6891" w:rsidP="00930888">
      <w:pPr>
        <w:jc w:val="both"/>
        <w:rPr>
          <w:sz w:val="22"/>
          <w:szCs w:val="22"/>
        </w:rPr>
      </w:pPr>
      <w:r w:rsidRPr="00C86532">
        <w:rPr>
          <w:i/>
          <w:sz w:val="22"/>
          <w:szCs w:val="22"/>
        </w:rPr>
        <w:t xml:space="preserve">Source: </w:t>
      </w:r>
      <w:r w:rsidRPr="00C86532">
        <w:rPr>
          <w:sz w:val="22"/>
          <w:szCs w:val="22"/>
        </w:rPr>
        <w:t xml:space="preserve">World Development Indicators Database, World Bank, Washington DC, </w:t>
      </w:r>
      <w:hyperlink r:id="rId27" w:history="1">
        <w:r w:rsidRPr="00C86532">
          <w:rPr>
            <w:sz w:val="22"/>
            <w:szCs w:val="22"/>
          </w:rPr>
          <w:t>http://data.worldbank.org/data-catalog/world-development-indicators</w:t>
        </w:r>
      </w:hyperlink>
      <w:r w:rsidRPr="00C86532">
        <w:rPr>
          <w:sz w:val="22"/>
          <w:szCs w:val="22"/>
        </w:rPr>
        <w:t>.</w:t>
      </w:r>
    </w:p>
    <w:p w14:paraId="54E55AFA" w14:textId="77777777" w:rsidR="00930888" w:rsidRPr="00930888" w:rsidRDefault="00930888" w:rsidP="00930888">
      <w:pPr>
        <w:jc w:val="both"/>
        <w:rPr>
          <w:sz w:val="22"/>
          <w:szCs w:val="22"/>
        </w:rPr>
      </w:pPr>
    </w:p>
    <w:p w14:paraId="7DE005A7" w14:textId="247E4546" w:rsidR="005C6891" w:rsidRDefault="005C6891" w:rsidP="00450916">
      <w:pPr>
        <w:pStyle w:val="MainParawithChapter"/>
        <w:ind w:left="0" w:firstLine="0"/>
        <w:jc w:val="both"/>
        <w:outlineLvl w:val="9"/>
        <w:rPr>
          <w:bCs/>
        </w:rPr>
      </w:pPr>
      <w:r w:rsidRPr="00CF02D6">
        <w:rPr>
          <w:b/>
          <w:bCs/>
        </w:rPr>
        <w:t>Reasons for gender disparities in second</w:t>
      </w:r>
      <w:r>
        <w:rPr>
          <w:b/>
          <w:bCs/>
        </w:rPr>
        <w:t xml:space="preserve">ary enrollment encompass economic and non-economic </w:t>
      </w:r>
      <w:r w:rsidRPr="00450916">
        <w:rPr>
          <w:rFonts w:cstheme="minorHAnsi"/>
          <w:b/>
        </w:rPr>
        <w:t>realities</w:t>
      </w:r>
      <w:r>
        <w:rPr>
          <w:b/>
          <w:bCs/>
        </w:rPr>
        <w:t xml:space="preserve">, </w:t>
      </w:r>
      <w:r w:rsidRPr="004F46D9">
        <w:rPr>
          <w:b/>
          <w:bCs/>
        </w:rPr>
        <w:t xml:space="preserve">including </w:t>
      </w:r>
      <w:r w:rsidRPr="004F46D9">
        <w:rPr>
          <w:b/>
          <w:bCs/>
          <w:color w:val="000000" w:themeColor="text1"/>
        </w:rPr>
        <w:t>financial</w:t>
      </w:r>
      <w:r>
        <w:rPr>
          <w:b/>
          <w:bCs/>
        </w:rPr>
        <w:t xml:space="preserve"> constraints and</w:t>
      </w:r>
      <w:r w:rsidR="00D27E8B">
        <w:rPr>
          <w:b/>
          <w:bCs/>
        </w:rPr>
        <w:t xml:space="preserve"> a</w:t>
      </w:r>
      <w:r>
        <w:rPr>
          <w:b/>
          <w:bCs/>
        </w:rPr>
        <w:t xml:space="preserve"> resurgence</w:t>
      </w:r>
      <w:r w:rsidRPr="00CF02D6">
        <w:rPr>
          <w:b/>
          <w:bCs/>
        </w:rPr>
        <w:t xml:space="preserve"> of traditional gender stereotypes. </w:t>
      </w:r>
      <w:r>
        <w:rPr>
          <w:bCs/>
        </w:rPr>
        <w:t xml:space="preserve">In </w:t>
      </w:r>
      <w:r w:rsidR="00BA1BEE">
        <w:rPr>
          <w:bCs/>
        </w:rPr>
        <w:t xml:space="preserve">the </w:t>
      </w:r>
      <w:r>
        <w:rPr>
          <w:bCs/>
        </w:rPr>
        <w:t>case of limited financial resources, education for boys is often prioritized. This is closely related to prevalent gender norms in society, where girls and women are supposed to carry out domestic responsibilities</w:t>
      </w:r>
      <w:r w:rsidR="00E809B8">
        <w:rPr>
          <w:bCs/>
        </w:rPr>
        <w:t xml:space="preserve"> and to take care of</w:t>
      </w:r>
      <w:r w:rsidR="001D1A63">
        <w:rPr>
          <w:bCs/>
        </w:rPr>
        <w:t xml:space="preserve"> children. Boys, in contrast, are considered the future breadwinners</w:t>
      </w:r>
      <w:r w:rsidR="0062071E">
        <w:rPr>
          <w:bCs/>
        </w:rPr>
        <w:t xml:space="preserve"> in a household</w:t>
      </w:r>
      <w:r w:rsidR="001D1A63">
        <w:rPr>
          <w:bCs/>
        </w:rPr>
        <w:t xml:space="preserve">, </w:t>
      </w:r>
      <w:r w:rsidR="00E809B8">
        <w:rPr>
          <w:bCs/>
        </w:rPr>
        <w:t>so</w:t>
      </w:r>
      <w:r w:rsidR="0094385B">
        <w:rPr>
          <w:bCs/>
        </w:rPr>
        <w:t xml:space="preserve"> investments in their education ensure that they will be able to earn</w:t>
      </w:r>
      <w:r w:rsidR="0062071E">
        <w:rPr>
          <w:bCs/>
        </w:rPr>
        <w:t xml:space="preserve"> the income for their family</w:t>
      </w:r>
      <w:r w:rsidR="00EC09E6">
        <w:rPr>
          <w:bCs/>
        </w:rPr>
        <w:t xml:space="preserve">. </w:t>
      </w:r>
      <w:r w:rsidR="00BC15E2">
        <w:rPr>
          <w:bCs/>
        </w:rPr>
        <w:t>W</w:t>
      </w:r>
      <w:r>
        <w:rPr>
          <w:bCs/>
        </w:rPr>
        <w:t xml:space="preserve">ives are </w:t>
      </w:r>
      <w:r w:rsidR="00BC15E2">
        <w:rPr>
          <w:bCs/>
        </w:rPr>
        <w:t xml:space="preserve">furthermore </w:t>
      </w:r>
      <w:r w:rsidR="00821CF8">
        <w:rPr>
          <w:bCs/>
        </w:rPr>
        <w:t>ex</w:t>
      </w:r>
      <w:r>
        <w:rPr>
          <w:bCs/>
        </w:rPr>
        <w:t>pected to stay with their husband’s families. As a consequence, investments in female education are considered inefficient since they do not yield direct economic returns for their parents, wh</w:t>
      </w:r>
      <w:r w:rsidR="00E809B8">
        <w:rPr>
          <w:bCs/>
        </w:rPr>
        <w:t xml:space="preserve">ereas boys can take care of their own </w:t>
      </w:r>
      <w:r w:rsidR="00E809B8">
        <w:rPr>
          <w:bCs/>
        </w:rPr>
        <w:lastRenderedPageBreak/>
        <w:t>parents</w:t>
      </w:r>
      <w:r>
        <w:rPr>
          <w:bCs/>
        </w:rPr>
        <w:t xml:space="preserve"> in old-age </w:t>
      </w:r>
      <w:r w:rsidR="00E12159">
        <w:rPr>
          <w:bCs/>
        </w:rPr>
        <w:fldChar w:fldCharType="begin">
          <w:fldData xml:space="preserve">PEVuZE5vdGU+PENpdGU+PEF1dGhvcj5VTklDRUY8L0F1dGhvcj48WWVhcj4yMDEyPC9ZZWFyPjxS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</w:fldData>
        </w:fldChar>
      </w:r>
      <w:r w:rsidR="006E42EC">
        <w:rPr>
          <w:bCs/>
        </w:rPr>
        <w:instrText xml:space="preserve"> </w:instrText>
      </w:r>
      <w:r w:rsidR="009F7A22">
        <w:rPr>
          <w:bCs/>
        </w:rPr>
        <w:instrText>ADDIN</w:instrText>
      </w:r>
      <w:r w:rsidR="006E42EC">
        <w:rPr>
          <w:bCs/>
        </w:rPr>
        <w:instrText xml:space="preserve"> EN.CITE </w:instrText>
      </w:r>
      <w:r w:rsidR="00E12159">
        <w:rPr>
          <w:bCs/>
        </w:rPr>
        <w:fldChar w:fldCharType="begin">
          <w:fldData xml:space="preserve">PEVuZE5vdGU+PENpdGU+PEF1dGhvcj5VTklDRUY8L0F1dGhvcj48WWVhcj4yMDEyPC9ZZWFyPjxS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</w:fldData>
        </w:fldChar>
      </w:r>
      <w:r w:rsidR="006E42EC">
        <w:rPr>
          <w:bCs/>
        </w:rPr>
        <w:instrText xml:space="preserve"> </w:instrText>
      </w:r>
      <w:r w:rsidR="009F7A22">
        <w:rPr>
          <w:bCs/>
        </w:rPr>
        <w:instrText>ADDIN</w:instrText>
      </w:r>
      <w:r w:rsidR="006E42EC">
        <w:rPr>
          <w:bCs/>
        </w:rPr>
        <w:instrText xml:space="preserve"> EN.CITE.DATA </w:instrText>
      </w:r>
      <w:r w:rsidR="00E12159">
        <w:rPr>
          <w:bCs/>
        </w:rPr>
      </w:r>
      <w:r w:rsidR="00E12159">
        <w:rPr>
          <w:bCs/>
        </w:rPr>
        <w:fldChar w:fldCharType="end"/>
      </w:r>
      <w:r w:rsidR="00E12159">
        <w:rPr>
          <w:bCs/>
        </w:rPr>
      </w:r>
      <w:r w:rsidR="00E12159">
        <w:rPr>
          <w:bCs/>
        </w:rPr>
        <w:fldChar w:fldCharType="separate"/>
      </w:r>
      <w:r w:rsidR="006E42EC">
        <w:rPr>
          <w:bCs/>
          <w:noProof/>
        </w:rPr>
        <w:t>(</w:t>
      </w:r>
      <w:hyperlink w:anchor="_ENREF_5" w:tooltip="Amjad, 2009 #11" w:history="1">
        <w:r w:rsidR="006A1532">
          <w:rPr>
            <w:bCs/>
            <w:noProof/>
          </w:rPr>
          <w:t>Amjad, 2009</w:t>
        </w:r>
      </w:hyperlink>
      <w:r w:rsidR="006E42EC">
        <w:rPr>
          <w:bCs/>
          <w:noProof/>
        </w:rPr>
        <w:t xml:space="preserve">; </w:t>
      </w:r>
      <w:hyperlink w:anchor="_ENREF_12" w:tooltip="d'Hellencourt, 2004 #71" w:history="1">
        <w:r w:rsidR="006A1532">
          <w:rPr>
            <w:bCs/>
            <w:noProof/>
          </w:rPr>
          <w:t>d'Hellencourt, 2004</w:t>
        </w:r>
      </w:hyperlink>
      <w:r w:rsidR="006E42EC">
        <w:rPr>
          <w:bCs/>
          <w:noProof/>
        </w:rPr>
        <w:t xml:space="preserve">; </w:t>
      </w:r>
      <w:hyperlink w:anchor="_ENREF_35" w:tooltip="Mezentseva, 2007 #9" w:history="1">
        <w:r w:rsidR="006A1532">
          <w:rPr>
            <w:bCs/>
            <w:noProof/>
          </w:rPr>
          <w:t>Mezentseva, 2007</w:t>
        </w:r>
      </w:hyperlink>
      <w:r w:rsidR="006E42EC">
        <w:rPr>
          <w:bCs/>
          <w:noProof/>
        </w:rPr>
        <w:t xml:space="preserve">; </w:t>
      </w:r>
      <w:hyperlink w:anchor="_ENREF_62" w:tooltip="UNICEF, 2012 #2" w:history="1">
        <w:r w:rsidR="006A1532">
          <w:rPr>
            <w:bCs/>
            <w:noProof/>
          </w:rPr>
          <w:t>UNICEF, 2012b</w:t>
        </w:r>
      </w:hyperlink>
      <w:r w:rsidR="006E42EC">
        <w:rPr>
          <w:bCs/>
          <w:noProof/>
        </w:rPr>
        <w:t>)</w:t>
      </w:r>
      <w:r w:rsidR="00E12159">
        <w:rPr>
          <w:bCs/>
        </w:rPr>
        <w:fldChar w:fldCharType="end"/>
      </w:r>
      <w:r>
        <w:rPr>
          <w:bCs/>
        </w:rPr>
        <w:t xml:space="preserve">. The tradition of early </w:t>
      </w:r>
      <w:r w:rsidR="00B11DB1">
        <w:rPr>
          <w:bCs/>
        </w:rPr>
        <w:t>marriage, which</w:t>
      </w:r>
      <w:r>
        <w:rPr>
          <w:bCs/>
        </w:rPr>
        <w:t xml:space="preserve"> is in particular established among poor and Tajik women </w:t>
      </w:r>
      <w:r w:rsidR="00E12159">
        <w:rPr>
          <w:bCs/>
        </w:rPr>
        <w:fldChar w:fldCharType="begin"/>
      </w:r>
      <w:r w:rsidR="005C5EAA">
        <w:rPr>
          <w:bCs/>
        </w:rPr>
        <w:instrText xml:space="preserve"> </w:instrText>
      </w:r>
      <w:r w:rsidR="009F7A22">
        <w:rPr>
          <w:bCs/>
        </w:rPr>
        <w:instrText>ADDIN</w:instrText>
      </w:r>
      <w:r w:rsidR="005C5EAA">
        <w:rPr>
          <w:bCs/>
        </w:rPr>
        <w:instrText xml:space="preserve">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rPr>
          <w:bCs/>
        </w:rPr>
        <w:fldChar w:fldCharType="separate"/>
      </w:r>
      <w:r w:rsidR="00860DB7">
        <w:rPr>
          <w:bCs/>
          <w:noProof/>
        </w:rPr>
        <w:t>(</w:t>
      </w:r>
      <w:hyperlink w:anchor="_ENREF_50" w:tooltip="State Committee on Statistics of the Republic of Tajikistan, 2007 #10" w:history="1">
        <w:r w:rsidR="006A1532">
          <w:rPr>
            <w:bCs/>
            <w:noProof/>
          </w:rPr>
          <w:t>State Committee on Statistics of the Republic of Tajikistan, 2007</w:t>
        </w:r>
      </w:hyperlink>
      <w:r w:rsidR="00860DB7">
        <w:rPr>
          <w:bCs/>
          <w:noProof/>
        </w:rPr>
        <w:t>)</w:t>
      </w:r>
      <w:r w:rsidR="00E12159">
        <w:rPr>
          <w:bCs/>
        </w:rPr>
        <w:fldChar w:fldCharType="end"/>
      </w:r>
      <w:r>
        <w:rPr>
          <w:bCs/>
        </w:rPr>
        <w:t xml:space="preserve">, is also problematic in this context </w:t>
      </w:r>
      <w:r w:rsidR="00E12159">
        <w:rPr>
          <w:bCs/>
        </w:rPr>
        <w:fldChar w:fldCharType="begin"/>
      </w:r>
      <w:r w:rsidR="005C7065">
        <w:rPr>
          <w:bCs/>
        </w:rPr>
        <w:instrText xml:space="preserve"> </w:instrText>
      </w:r>
      <w:r w:rsidR="009F7A22">
        <w:rPr>
          <w:bCs/>
        </w:rPr>
        <w:instrText>ADDIN</w:instrText>
      </w:r>
      <w:r w:rsidR="005C7065">
        <w:rPr>
          <w:bCs/>
        </w:rPr>
        <w:instrText xml:space="preserve"> EN.CITE &lt;EndNote&gt;&lt;Cite&gt;&lt;Author&gt;Somach&lt;/Author&gt;&lt;Year&gt;2010&lt;/Year&gt;&lt;RecNum&gt;15&lt;/RecNum&gt;&lt;DisplayText&gt;(Somach &amp;amp; Rubin, 2010)&lt;/DisplayText&gt;&lt;record&gt;&lt;rec-number&gt;15&lt;/rec-number&gt;&lt;foreign-keys&gt;&lt;key app="EN" db-id="wes5dreptvrsr2eeartvxexxftt2tastxrfs"&gt;15&lt;/key&gt;&lt;/foreign-keys&gt;&lt;ref-type name="Book"&gt;6&lt;/ref-type&gt;&lt;contributors&gt;&lt;authors&gt;&lt;author&gt;Susan Somach&lt;/author&gt;&lt;author&gt;Deborah Rubin&lt;/author&gt;&lt;/authors&gt;&lt;/contributors&gt;&lt;titles&gt;&lt;title&gt;Gender Assessment USAID/Central Asian Republic&lt;/title&gt;&lt;/titles&gt;&lt;dates&gt;&lt;year&gt;2010&lt;/year&gt;&lt;/dates&gt;&lt;publisher&gt;United States Agency for International Development Mission in the Central Asian Republics&lt;/publisher&gt;&lt;urls&gt;&lt;/urls&gt;&lt;/record&gt;&lt;/Cite&gt;&lt;/EndNote&gt;</w:instrText>
      </w:r>
      <w:r w:rsidR="00E12159">
        <w:rPr>
          <w:bCs/>
        </w:rPr>
        <w:fldChar w:fldCharType="separate"/>
      </w:r>
      <w:r w:rsidR="005C7065">
        <w:rPr>
          <w:bCs/>
          <w:noProof/>
        </w:rPr>
        <w:t>(</w:t>
      </w:r>
      <w:hyperlink w:anchor="_ENREF_49" w:tooltip="Somach, 2010 #15" w:history="1">
        <w:r w:rsidR="006A1532">
          <w:rPr>
            <w:bCs/>
            <w:noProof/>
          </w:rPr>
          <w:t>Somach &amp; Rubin, 2010</w:t>
        </w:r>
      </w:hyperlink>
      <w:r w:rsidR="005C7065">
        <w:rPr>
          <w:bCs/>
          <w:noProof/>
        </w:rPr>
        <w:t>)</w:t>
      </w:r>
      <w:r w:rsidR="00E12159">
        <w:rPr>
          <w:bCs/>
        </w:rPr>
        <w:fldChar w:fldCharType="end"/>
      </w:r>
      <w:r>
        <w:rPr>
          <w:bCs/>
        </w:rPr>
        <w:t xml:space="preserve">. These observations are all the more worrisome since education decisions in a household are also influenced by a mother’s education, possibly further reinforcing disparities that put girls at a disadvantage in the future </w:t>
      </w:r>
      <w:r w:rsidR="00E12159">
        <w:rPr>
          <w:bCs/>
        </w:rPr>
        <w:fldChar w:fldCharType="begin"/>
      </w:r>
      <w:r w:rsidR="005C5EAA">
        <w:rPr>
          <w:bCs/>
        </w:rPr>
        <w:instrText xml:space="preserve"> </w:instrText>
      </w:r>
      <w:r w:rsidR="009F7A22">
        <w:rPr>
          <w:bCs/>
        </w:rPr>
        <w:instrText>ADDIN</w:instrText>
      </w:r>
      <w:r w:rsidR="005C5EAA">
        <w:rPr>
          <w:bCs/>
        </w:rPr>
        <w:instrText xml:space="preserve"> EN.CITE &lt;EndNote&gt;&lt;Cite&gt;&lt;Author&gt;Republic of Tajikistan/UN&lt;/Author&gt;&lt;Year&gt;2010&lt;/Year&gt;&lt;RecNum&gt;18&lt;/RecNum&gt;&lt;DisplayText&gt;(Republic of Tajikistan/United Nations, 2010)&lt;/DisplayText&gt;&lt;record&gt;&lt;rec-number&gt;18&lt;/rec-number&gt;&lt;foreign-keys&gt;&lt;key app="EN" db-id="wes5dreptvrsr2eeartvxexxftt2tastxrfs"&gt;18&lt;/key&gt;&lt;/foreign-keys&gt;&lt;ref-type name="Book"&gt;6&lt;/ref-type&gt;&lt;contributors&gt;&lt;authors&gt;&lt;author&gt;Republic of Tajikistan/United Nations&lt;/author&gt;&lt;/authors&gt;&lt;/contributors&gt;&lt;titles&gt;&lt;title&gt;Millennium Development Goals Tajikistan Progress Report&lt;/title&gt;&lt;/titles&gt;&lt;dates&gt;&lt;year&gt;2010&lt;/year&gt;&lt;/dates&gt;&lt;pub-location&gt;Dushanbe&lt;/pub-location&gt;&lt;publisher&gt;Republic of Tajikistan/United Nations&lt;/publisher&gt;&lt;urls&gt;&lt;/urls&gt;&lt;/record&gt;&lt;/Cite&gt;&lt;/EndNote&gt;</w:instrText>
      </w:r>
      <w:r w:rsidR="00E12159">
        <w:rPr>
          <w:bCs/>
        </w:rPr>
        <w:fldChar w:fldCharType="separate"/>
      </w:r>
      <w:r w:rsidR="00860DB7">
        <w:rPr>
          <w:bCs/>
          <w:noProof/>
        </w:rPr>
        <w:t>(</w:t>
      </w:r>
      <w:hyperlink w:anchor="_ENREF_44" w:tooltip="Republic of Tajikistan/United Nations, 2010 #18" w:history="1">
        <w:r w:rsidR="006A1532">
          <w:rPr>
            <w:bCs/>
            <w:noProof/>
          </w:rPr>
          <w:t>Republic of Tajikistan/United Nations, 2010</w:t>
        </w:r>
      </w:hyperlink>
      <w:r w:rsidR="00860DB7">
        <w:rPr>
          <w:bCs/>
          <w:noProof/>
        </w:rPr>
        <w:t>)</w:t>
      </w:r>
      <w:r w:rsidR="00E12159">
        <w:rPr>
          <w:bCs/>
        </w:rPr>
        <w:fldChar w:fldCharType="end"/>
      </w:r>
      <w:r>
        <w:rPr>
          <w:bCs/>
        </w:rPr>
        <w:t>.</w:t>
      </w:r>
      <w:r w:rsidR="004C4CA6">
        <w:rPr>
          <w:bCs/>
        </w:rPr>
        <w:t xml:space="preserve"> This i</w:t>
      </w:r>
      <w:r w:rsidR="00375AE2">
        <w:rPr>
          <w:bCs/>
        </w:rPr>
        <w:t xml:space="preserve">s illustrated by the 2005 Multiple </w:t>
      </w:r>
      <w:r w:rsidR="00127C03">
        <w:rPr>
          <w:bCs/>
        </w:rPr>
        <w:t>Indicator Cluster Survey (MICS) showing</w:t>
      </w:r>
      <w:r w:rsidR="004C4CA6">
        <w:rPr>
          <w:bCs/>
        </w:rPr>
        <w:t xml:space="preserve"> that</w:t>
      </w:r>
      <w:r w:rsidR="00375AE2">
        <w:rPr>
          <w:bCs/>
        </w:rPr>
        <w:t xml:space="preserve"> the ratio of female to male secondary enrollment</w:t>
      </w:r>
      <w:r w:rsidR="004C4CA6">
        <w:rPr>
          <w:bCs/>
        </w:rPr>
        <w:t xml:space="preserve"> increases considerably with rising levels of a mother’s education. Taking the average value of 83 percent</w:t>
      </w:r>
      <w:r w:rsidR="0065215D">
        <w:rPr>
          <w:bCs/>
        </w:rPr>
        <w:t xml:space="preserve"> in 2005</w:t>
      </w:r>
      <w:r w:rsidR="004C4CA6">
        <w:rPr>
          <w:bCs/>
        </w:rPr>
        <w:t xml:space="preserve">, it amounts to 57 percent </w:t>
      </w:r>
      <w:r w:rsidR="002A2860">
        <w:rPr>
          <w:bCs/>
        </w:rPr>
        <w:t>if the mother completed primary education</w:t>
      </w:r>
      <w:r w:rsidR="004C4CA6">
        <w:rPr>
          <w:bCs/>
        </w:rPr>
        <w:t xml:space="preserve">, but 97 percent </w:t>
      </w:r>
      <w:r w:rsidR="002A2860">
        <w:rPr>
          <w:bCs/>
        </w:rPr>
        <w:t>in</w:t>
      </w:r>
      <w:r w:rsidR="004C17A3">
        <w:rPr>
          <w:bCs/>
        </w:rPr>
        <w:t xml:space="preserve"> the</w:t>
      </w:r>
      <w:r w:rsidR="002A2860">
        <w:rPr>
          <w:bCs/>
        </w:rPr>
        <w:t xml:space="preserve"> case</w:t>
      </w:r>
      <w:r w:rsidR="004C17A3">
        <w:rPr>
          <w:bCs/>
        </w:rPr>
        <w:t xml:space="preserve"> that</w:t>
      </w:r>
      <w:r w:rsidR="002A2860">
        <w:rPr>
          <w:bCs/>
        </w:rPr>
        <w:t xml:space="preserve"> the mother attained some form of higher education</w:t>
      </w:r>
      <w:r w:rsidR="004C4CA6">
        <w:rPr>
          <w:bCs/>
        </w:rPr>
        <w:t xml:space="preserve"> </w:t>
      </w:r>
      <w:r w:rsidR="00E12159">
        <w:rPr>
          <w:bCs/>
        </w:rPr>
        <w:fldChar w:fldCharType="begin"/>
      </w:r>
      <w:r w:rsidR="002A2860">
        <w:rPr>
          <w:bCs/>
        </w:rPr>
        <w:instrText xml:space="preserve"> </w:instrText>
      </w:r>
      <w:r w:rsidR="009F7A22">
        <w:rPr>
          <w:bCs/>
        </w:rPr>
        <w:instrText>ADDIN</w:instrText>
      </w:r>
      <w:r w:rsidR="002A2860">
        <w:rPr>
          <w:bCs/>
        </w:rPr>
        <w:instrText xml:space="preserve">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rPr>
          <w:bCs/>
        </w:rPr>
        <w:fldChar w:fldCharType="separate"/>
      </w:r>
      <w:r w:rsidR="002A2860">
        <w:rPr>
          <w:bCs/>
          <w:noProof/>
        </w:rPr>
        <w:t>(</w:t>
      </w:r>
      <w:hyperlink w:anchor="_ENREF_50" w:tooltip="State Committee on Statistics of the Republic of Tajikistan, 2007 #10" w:history="1">
        <w:r w:rsidR="006A1532">
          <w:rPr>
            <w:bCs/>
            <w:noProof/>
          </w:rPr>
          <w:t>State Committee on Statistics of the Republic of Tajikistan, 2007</w:t>
        </w:r>
      </w:hyperlink>
      <w:r w:rsidR="002A2860">
        <w:rPr>
          <w:bCs/>
          <w:noProof/>
        </w:rPr>
        <w:t>)</w:t>
      </w:r>
      <w:r w:rsidR="00E12159">
        <w:rPr>
          <w:bCs/>
        </w:rPr>
        <w:fldChar w:fldCharType="end"/>
      </w:r>
      <w:r w:rsidR="002A2860">
        <w:rPr>
          <w:bCs/>
        </w:rPr>
        <w:t>.</w:t>
      </w:r>
    </w:p>
    <w:p w14:paraId="1645D9E5" w14:textId="7434B64C" w:rsidR="00B4751D" w:rsidRDefault="00B4751D" w:rsidP="00450916">
      <w:pPr>
        <w:pStyle w:val="MainParawithChapter"/>
        <w:ind w:left="0" w:firstLine="0"/>
        <w:jc w:val="both"/>
        <w:outlineLvl w:val="9"/>
        <w:rPr>
          <w:bCs/>
        </w:rPr>
      </w:pPr>
      <w:r>
        <w:rPr>
          <w:b/>
          <w:bCs/>
        </w:rPr>
        <w:t xml:space="preserve">The most recent data on child employment suggest that nearly one out of ten children between the ages of 7 and 14 </w:t>
      </w:r>
      <w:r w:rsidRPr="00B4751D">
        <w:rPr>
          <w:b/>
          <w:bCs/>
        </w:rPr>
        <w:t>was economically active in 2005.</w:t>
      </w:r>
      <w:r>
        <w:rPr>
          <w:b/>
          <w:bCs/>
        </w:rPr>
        <w:t xml:space="preserve"> </w:t>
      </w:r>
      <w:r>
        <w:rPr>
          <w:bCs/>
        </w:rPr>
        <w:t>Reliable information on child employment is scarce and no</w:t>
      </w:r>
      <w:r w:rsidR="00450852">
        <w:rPr>
          <w:bCs/>
        </w:rPr>
        <w:t>t disaggregated</w:t>
      </w:r>
      <w:r>
        <w:rPr>
          <w:bCs/>
        </w:rPr>
        <w:t xml:space="preserve"> in terms of s</w:t>
      </w:r>
      <w:r w:rsidR="005F27FB">
        <w:rPr>
          <w:bCs/>
        </w:rPr>
        <w:t>ector of employment</w:t>
      </w:r>
      <w:r>
        <w:rPr>
          <w:bCs/>
        </w:rPr>
        <w:t>. Moreover,</w:t>
      </w:r>
      <w:r w:rsidR="005F27FB">
        <w:rPr>
          <w:bCs/>
        </w:rPr>
        <w:t xml:space="preserve"> the accuracy of data may also be limited. For instance, data may</w:t>
      </w:r>
      <w:r>
        <w:rPr>
          <w:bCs/>
        </w:rPr>
        <w:t xml:space="preserve"> in</w:t>
      </w:r>
      <w:r w:rsidR="00370F31">
        <w:rPr>
          <w:bCs/>
        </w:rPr>
        <w:t xml:space="preserve">sufficiently reflect girls </w:t>
      </w:r>
      <w:r>
        <w:rPr>
          <w:bCs/>
        </w:rPr>
        <w:t>enga</w:t>
      </w:r>
      <w:r w:rsidR="00370F31">
        <w:rPr>
          <w:bCs/>
        </w:rPr>
        <w:t>ging</w:t>
      </w:r>
      <w:r>
        <w:rPr>
          <w:bCs/>
        </w:rPr>
        <w:t xml:space="preserve"> in domestic responsibilities, and unpaid family work in general. Available data suggest that child employment has increased between 1999 and 2005, and more so for girls </w:t>
      </w:r>
      <w:r w:rsidR="00E12159">
        <w:rPr>
          <w:bCs/>
        </w:rPr>
        <w:fldChar w:fldCharType="begin"/>
      </w:r>
      <w:r w:rsidR="004459DC">
        <w:rPr>
          <w:bCs/>
        </w:rPr>
        <w:instrText xml:space="preserve"> ADDIN EN.CITE &lt;EndNote&gt;&lt;Cite&gt;&lt;Author&gt;World Bank&lt;/Author&gt;&lt;Year&gt;2012&lt;/Year&gt;&lt;RecNum&gt;6&lt;/RecNum&gt;&lt;Prefix&gt;from 7 percent to 9 percent for girls`, and from 8 percent to 9 percent for boys`; &lt;/Prefix&gt;&lt;DisplayText&gt;(from 7 percent to 9 percent for girls, and from 8 percent to 9 percent for boys; 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rPr>
          <w:bCs/>
        </w:rPr>
        <w:fldChar w:fldCharType="separate"/>
      </w:r>
      <w:r w:rsidR="004459DC">
        <w:rPr>
          <w:bCs/>
          <w:noProof/>
        </w:rPr>
        <w:t>(</w:t>
      </w:r>
      <w:hyperlink w:anchor="_ENREF_84" w:tooltip="World Bank, 2012 #6" w:history="1">
        <w:r w:rsidR="006A1532">
          <w:rPr>
            <w:bCs/>
            <w:noProof/>
          </w:rPr>
          <w:t>from 7 percent to 9 percent for girls, and from 8 percent to 9 percent for boys; World Bank, 2012c</w:t>
        </w:r>
      </w:hyperlink>
      <w:r w:rsidR="004459DC">
        <w:rPr>
          <w:bCs/>
          <w:noProof/>
        </w:rPr>
        <w:t>)</w:t>
      </w:r>
      <w:r w:rsidR="00E12159">
        <w:rPr>
          <w:bCs/>
        </w:rPr>
        <w:fldChar w:fldCharType="end"/>
      </w:r>
      <w:r>
        <w:rPr>
          <w:bCs/>
        </w:rPr>
        <w:t xml:space="preserve">. Considerable outmigration and poverty in rural areas have likely been contributing to this widening gap in recent years </w:t>
      </w:r>
      <w:r w:rsidR="00E12159">
        <w:rPr>
          <w:bCs/>
        </w:rPr>
        <w:fldChar w:fldCharType="begin"/>
      </w:r>
      <w:r w:rsidR="00D93AAA">
        <w:rPr>
          <w:bCs/>
        </w:rPr>
        <w:instrText xml:space="preserve"> </w:instrText>
      </w:r>
      <w:r w:rsidR="009F7A22">
        <w:rPr>
          <w:bCs/>
        </w:rPr>
        <w:instrText>ADDIN</w:instrText>
      </w:r>
      <w:r w:rsidR="00D93AAA">
        <w:rPr>
          <w:bCs/>
        </w:rPr>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Pr>
          <w:bCs/>
        </w:rPr>
        <w:fldChar w:fldCharType="separate"/>
      </w:r>
      <w:r w:rsidR="00D93AAA">
        <w:rPr>
          <w:bCs/>
          <w:noProof/>
        </w:rPr>
        <w:t>(</w:t>
      </w:r>
      <w:hyperlink w:anchor="_ENREF_45" w:tooltip="Sattar, 2012 #3" w:history="1">
        <w:r w:rsidR="006A1532">
          <w:rPr>
            <w:bCs/>
            <w:noProof/>
          </w:rPr>
          <w:t>Sattar, 2012</w:t>
        </w:r>
      </w:hyperlink>
      <w:r w:rsidR="00D93AAA">
        <w:rPr>
          <w:bCs/>
          <w:noProof/>
        </w:rPr>
        <w:t>)</w:t>
      </w:r>
      <w:r w:rsidR="00E12159">
        <w:rPr>
          <w:bCs/>
        </w:rPr>
        <w:fldChar w:fldCharType="end"/>
      </w:r>
      <w:r>
        <w:rPr>
          <w:bCs/>
        </w:rPr>
        <w:t xml:space="preserve">. Although the Law on Education prohibits hiring students for agricultural activities, it has been reported that children are extensively recruited for cotton harvesting, working for meager wages and missing classes </w:t>
      </w:r>
      <w:r w:rsidR="00E12159">
        <w:rPr>
          <w:bCs/>
        </w:rPr>
        <w:fldChar w:fldCharType="begin"/>
      </w:r>
      <w:r>
        <w:rPr>
          <w:bCs/>
        </w:rPr>
        <w:instrText xml:space="preserve"> </w:instrText>
      </w:r>
      <w:r w:rsidR="009F7A22">
        <w:rPr>
          <w:bCs/>
        </w:rPr>
        <w:instrText>ADDIN</w:instrText>
      </w:r>
      <w:r>
        <w:rPr>
          <w:bCs/>
        </w:rPr>
        <w:instrText xml:space="preserve"> EN.CITE &lt;EndNote&gt;&lt;Cite&gt;&lt;Author&gt;Briller&lt;/Author&gt;&lt;Year&gt;2007&lt;/Year&gt;&lt;RecNum&gt;14&lt;/RecNum&gt;&lt;DisplayText&gt;(Briller, 2007)&lt;/DisplayText&gt;&lt;record&gt;&lt;rec-number&gt;14&lt;/rec-number&gt;&lt;foreign-keys&gt;&lt;key app="EN" db-id="wes5dreptvrsr2eeartvxexxftt2tastxrfs"&gt;14&lt;/key&gt;&lt;/foreign-keys&gt;&lt;ref-type name="Journal Article"&gt;17&lt;/ref-type&gt;&lt;contributors&gt;&lt;authors&gt;&lt;author&gt;Vladimir Briller&lt;/author&gt;&lt;/authors&gt;&lt;/contributors&gt;&lt;titles&gt;&lt;title&gt;Tajikistan country case study&lt;/title&gt;&lt;secondary-title&gt;Country profile prepared for the Education for All Global Monitoring Report 2008&lt;/secondary-title&gt;&lt;/titles&gt;&lt;dates&gt;&lt;year&gt;2007&lt;/year&gt;&lt;/dates&gt;&lt;urls&gt;&lt;/urls&gt;&lt;/record&gt;&lt;/Cite&gt;&lt;/EndNote&gt;</w:instrText>
      </w:r>
      <w:r w:rsidR="00E12159">
        <w:rPr>
          <w:bCs/>
        </w:rPr>
        <w:fldChar w:fldCharType="separate"/>
      </w:r>
      <w:r>
        <w:rPr>
          <w:bCs/>
          <w:noProof/>
        </w:rPr>
        <w:t>(</w:t>
      </w:r>
      <w:hyperlink w:anchor="_ENREF_9" w:tooltip="Briller, 2007 #14" w:history="1">
        <w:r w:rsidR="006A1532">
          <w:rPr>
            <w:bCs/>
            <w:noProof/>
          </w:rPr>
          <w:t>Briller, 2007</w:t>
        </w:r>
      </w:hyperlink>
      <w:r>
        <w:rPr>
          <w:bCs/>
          <w:noProof/>
        </w:rPr>
        <w:t>)</w:t>
      </w:r>
      <w:r w:rsidR="00E12159">
        <w:rPr>
          <w:bCs/>
        </w:rPr>
        <w:fldChar w:fldCharType="end"/>
      </w:r>
      <w:r>
        <w:rPr>
          <w:bCs/>
        </w:rPr>
        <w:t>.</w:t>
      </w:r>
    </w:p>
    <w:p w14:paraId="10C4F458" w14:textId="6949595B" w:rsidR="00B4751D" w:rsidRPr="009B48F7" w:rsidRDefault="00B4751D" w:rsidP="00450916">
      <w:pPr>
        <w:pStyle w:val="MainParawithChapter"/>
        <w:ind w:left="0" w:firstLine="0"/>
        <w:jc w:val="both"/>
        <w:outlineLvl w:val="9"/>
        <w:rPr>
          <w:rFonts w:ascii="Times" w:hAnsi="Times" w:cs="Times"/>
        </w:rPr>
      </w:pPr>
      <w:r w:rsidRPr="009B48F7">
        <w:rPr>
          <w:b/>
          <w:bCs/>
        </w:rPr>
        <w:t xml:space="preserve">While literacy rates are very high in Tajikistan, more extensive data on learning outcomes </w:t>
      </w:r>
      <w:r w:rsidRPr="00450916">
        <w:rPr>
          <w:rFonts w:cstheme="minorHAnsi"/>
          <w:b/>
        </w:rPr>
        <w:t>are</w:t>
      </w:r>
      <w:r w:rsidRPr="009B48F7">
        <w:rPr>
          <w:b/>
          <w:bCs/>
        </w:rPr>
        <w:t xml:space="preserve"> limited.</w:t>
      </w:r>
      <w:r w:rsidRPr="009B48F7">
        <w:rPr>
          <w:bCs/>
        </w:rPr>
        <w:t xml:space="preserve"> Nearly 100 percent of females and males older than 14 are literate </w:t>
      </w:r>
      <w:r w:rsidR="00E12159" w:rsidRPr="009B48F7">
        <w:rPr>
          <w:bCs/>
        </w:rPr>
        <w:fldChar w:fldCharType="begin"/>
      </w:r>
      <w:r w:rsidR="004459DC">
        <w:rPr>
          <w:bCs/>
        </w:rPr>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rsidRPr="009B48F7">
        <w:rPr>
          <w:bCs/>
        </w:rPr>
        <w:fldChar w:fldCharType="separate"/>
      </w:r>
      <w:r w:rsidR="004459DC">
        <w:rPr>
          <w:bCs/>
          <w:noProof/>
        </w:rPr>
        <w:t>(</w:t>
      </w:r>
      <w:hyperlink w:anchor="_ENREF_84" w:tooltip="World Bank, 2012 #6" w:history="1">
        <w:r w:rsidR="006A1532">
          <w:rPr>
            <w:bCs/>
            <w:noProof/>
          </w:rPr>
          <w:t>World Bank, 2012c</w:t>
        </w:r>
      </w:hyperlink>
      <w:r w:rsidR="004459DC">
        <w:rPr>
          <w:bCs/>
          <w:noProof/>
        </w:rPr>
        <w:t>)</w:t>
      </w:r>
      <w:r w:rsidR="00E12159" w:rsidRPr="009B48F7">
        <w:rPr>
          <w:bCs/>
        </w:rPr>
        <w:fldChar w:fldCharType="end"/>
      </w:r>
      <w:r w:rsidR="00674850">
        <w:rPr>
          <w:bCs/>
        </w:rPr>
        <w:t>. At the same time, d</w:t>
      </w:r>
      <w:r w:rsidRPr="009B48F7">
        <w:rPr>
          <w:bCs/>
        </w:rPr>
        <w:t xml:space="preserve">ata on learning outcomes, in particular of a comparative nature, are limited, since Tajikistan has so far not participated in any international assessments of student achievements, such as PIRLS (Progress in International Reading Literacy Study), TIMSS (Trends in International Mathematics and Science Study) or PISA (OECD </w:t>
      </w:r>
      <w:proofErr w:type="spellStart"/>
      <w:r w:rsidRPr="009B48F7">
        <w:rPr>
          <w:bCs/>
        </w:rPr>
        <w:t>Programme</w:t>
      </w:r>
      <w:proofErr w:type="spellEnd"/>
      <w:r w:rsidRPr="009B48F7">
        <w:rPr>
          <w:bCs/>
        </w:rPr>
        <w:t xml:space="preserve"> for International Student Assessment). Recently, however, a National Testing Center was set up to institutionalize the measurement of learning outcomes </w:t>
      </w:r>
      <w:r w:rsidR="00E12159" w:rsidRPr="009B48F7">
        <w:rPr>
          <w:bCs/>
        </w:rPr>
        <w:fldChar w:fldCharType="begin"/>
      </w:r>
      <w:r w:rsidR="00AD2051">
        <w:rPr>
          <w:bCs/>
        </w:rPr>
        <w:instrText xml:space="preserve"> </w:instrText>
      </w:r>
      <w:r w:rsidR="009F7A22">
        <w:rPr>
          <w:bCs/>
        </w:rPr>
        <w:instrText>ADDIN</w:instrText>
      </w:r>
      <w:r w:rsidR="00AD2051">
        <w:rPr>
          <w:bCs/>
        </w:rPr>
        <w:instrText xml:space="preserve"> EN.CITE &lt;EndNote&gt;&lt;Cite&gt;&lt;Author&gt;World Bank&lt;/Author&gt;&lt;Year&gt;2009&lt;/Year&gt;&lt;RecNum&gt;16&lt;/RecNum&gt;&lt;DisplayText&gt;(World Bank, 2009b)&lt;/DisplayText&gt;&lt;record&gt;&lt;rec-number&gt;16&lt;/rec-number&gt;&lt;foreign-keys&gt;&lt;key app="EN" db-id="wes5dreptvrsr2eeartvxexxftt2tastxrfs"&gt;16&lt;/key&gt;&lt;/foreign-keys&gt;&lt;ref-type name="Book"&gt;6&lt;/ref-type&gt;&lt;contributors&gt;&lt;authors&gt;&lt;author&gt;World Bank&lt;/author&gt;&lt;/authors&gt;&lt;/contributors&gt;&lt;titles&gt;&lt;title&gt;Project Appraisal Document on a Proposed Grant in the Amount of US$3.5 Million to the Republic of Tajikistan for the Fast Track Initiative Catalytic Fund Project&lt;/title&gt;&lt;/titles&gt;&lt;dates&gt;&lt;year&gt;2009&lt;/year&gt;&lt;/dates&gt;&lt;pub-location&gt;Washington, DC&lt;/pub-location&gt;&lt;publisher&gt;World Bank&lt;/publisher&gt;&lt;urls&gt;&lt;/urls&gt;&lt;/record&gt;&lt;/Cite&gt;&lt;/EndNote&gt;</w:instrText>
      </w:r>
      <w:r w:rsidR="00E12159" w:rsidRPr="009B48F7">
        <w:rPr>
          <w:bCs/>
        </w:rPr>
        <w:fldChar w:fldCharType="separate"/>
      </w:r>
      <w:r w:rsidR="00AD2051">
        <w:rPr>
          <w:bCs/>
          <w:noProof/>
        </w:rPr>
        <w:t>(</w:t>
      </w:r>
      <w:hyperlink w:anchor="_ENREF_76" w:tooltip="World Bank, 2009 #16" w:history="1">
        <w:r w:rsidR="006A1532">
          <w:rPr>
            <w:bCs/>
            <w:noProof/>
          </w:rPr>
          <w:t>World Bank, 2009b</w:t>
        </w:r>
      </w:hyperlink>
      <w:r w:rsidR="00AD2051">
        <w:rPr>
          <w:bCs/>
          <w:noProof/>
        </w:rPr>
        <w:t>)</w:t>
      </w:r>
      <w:r w:rsidR="00E12159" w:rsidRPr="009B48F7">
        <w:rPr>
          <w:bCs/>
        </w:rPr>
        <w:fldChar w:fldCharType="end"/>
      </w:r>
      <w:r w:rsidRPr="009B48F7">
        <w:rPr>
          <w:bCs/>
        </w:rPr>
        <w:t>.</w:t>
      </w:r>
      <w:r w:rsidR="003450C4" w:rsidRPr="009B48F7">
        <w:rPr>
          <w:bCs/>
        </w:rPr>
        <w:t xml:space="preserve"> </w:t>
      </w:r>
      <w:r w:rsidR="00B11DB1">
        <w:rPr>
          <w:bCs/>
        </w:rPr>
        <w:t>This is especially</w:t>
      </w:r>
      <w:r w:rsidR="009760DB" w:rsidRPr="009B48F7">
        <w:rPr>
          <w:bCs/>
        </w:rPr>
        <w:t xml:space="preserve"> needed as</w:t>
      </w:r>
      <w:r w:rsidR="004B1C94">
        <w:rPr>
          <w:bCs/>
        </w:rPr>
        <w:t>, in addition to access-related issues,</w:t>
      </w:r>
      <w:r w:rsidR="009760DB" w:rsidRPr="009B48F7">
        <w:rPr>
          <w:bCs/>
        </w:rPr>
        <w:t xml:space="preserve"> the poor quality of education</w:t>
      </w:r>
      <w:r w:rsidR="009B48F7" w:rsidRPr="009B48F7">
        <w:rPr>
          <w:bCs/>
        </w:rPr>
        <w:t xml:space="preserve"> has been consistently emphasized, and the MOE has dedicated itself to achieving “</w:t>
      </w:r>
      <w:r w:rsidR="009B48F7" w:rsidRPr="009B48F7">
        <w:t>standards of access and quality in conformity with international norms“</w:t>
      </w:r>
      <w:r w:rsidR="009B48F7">
        <w:t xml:space="preserve"> </w:t>
      </w:r>
      <w:r w:rsidR="00E12159">
        <w:fldChar w:fldCharType="begin"/>
      </w:r>
      <w:r w:rsidR="009B48F7">
        <w:instrText xml:space="preserve"> </w:instrText>
      </w:r>
      <w:r w:rsidR="009F7A22">
        <w:instrText>ADDIN</w:instrText>
      </w:r>
      <w:r w:rsidR="009B48F7">
        <w:instrText xml:space="preserve"> EN.CITE &lt;EndNote&gt;&lt;Cite&gt;&lt;Author&gt;MOE&lt;/Author&gt;&lt;Year&gt;2005&lt;/Year&gt;&lt;RecNum&gt;4&lt;/RecNum&gt;&lt;Pages&gt;23&lt;/Pages&gt;&lt;DisplayText&gt;(MOE, 2005, p. 23)&lt;/DisplayText&gt;&lt;record&gt;&lt;rec-number&gt;4&lt;/rec-number&gt;&lt;foreign-keys&gt;&lt;key app="EN" db-id="wes5dreptvrsr2eeartvxexxftt2tastxrfs"&gt;4&lt;/key&gt;&lt;/foreign-keys&gt;&lt;ref-type name="Book"&gt;6&lt;/ref-type&gt;&lt;contributors&gt;&lt;authors&gt;&lt;author&gt;MOE&lt;/author&gt;&lt;/authors&gt;&lt;/contributors&gt;&lt;titles&gt;&lt;title&gt;National Strategy For Education Development of the Republic of Tajikistan (2006-2015)&lt;/title&gt;&lt;/titles&gt;&lt;dates&gt;&lt;year&gt;2005&lt;/year&gt;&lt;/dates&gt;&lt;pub-location&gt;Dushanbe&lt;/pub-location&gt;&lt;publisher&gt;Ministry of Education of the Republic of Tajikistan&lt;/publisher&gt;&lt;urls&gt;&lt;/urls&gt;&lt;/record&gt;&lt;/Cite&gt;&lt;/EndNote&gt;</w:instrText>
      </w:r>
      <w:r w:rsidR="00E12159">
        <w:fldChar w:fldCharType="separate"/>
      </w:r>
      <w:r w:rsidR="009B48F7">
        <w:rPr>
          <w:noProof/>
        </w:rPr>
        <w:t>(</w:t>
      </w:r>
      <w:hyperlink w:anchor="_ENREF_37" w:tooltip="MOE, 2005 #4" w:history="1">
        <w:r w:rsidR="006A1532">
          <w:rPr>
            <w:noProof/>
          </w:rPr>
          <w:t>MOE, 2005, p. 23</w:t>
        </w:r>
      </w:hyperlink>
      <w:r w:rsidR="009B48F7">
        <w:rPr>
          <w:noProof/>
        </w:rPr>
        <w:t>)</w:t>
      </w:r>
      <w:r w:rsidR="00E12159">
        <w:fldChar w:fldCharType="end"/>
      </w:r>
      <w:r w:rsidR="009B48F7">
        <w:t>.</w:t>
      </w:r>
      <w:r w:rsidR="004B1C94">
        <w:t xml:space="preserve"> </w:t>
      </w:r>
    </w:p>
    <w:p w14:paraId="6EDE98C0" w14:textId="266E44D8" w:rsidR="00B4751D" w:rsidRDefault="00B4751D" w:rsidP="00450916">
      <w:pPr>
        <w:pStyle w:val="MainParawithChapter"/>
        <w:ind w:left="0" w:firstLine="0"/>
        <w:jc w:val="both"/>
        <w:outlineLvl w:val="9"/>
        <w:rPr>
          <w:bCs/>
        </w:rPr>
      </w:pPr>
      <w:r>
        <w:rPr>
          <w:b/>
          <w:bCs/>
        </w:rPr>
        <w:t>Gross tertiary enrollment falls short of other ECA countries, and g</w:t>
      </w:r>
      <w:r w:rsidRPr="00624DFB">
        <w:rPr>
          <w:b/>
          <w:bCs/>
        </w:rPr>
        <w:t xml:space="preserve">ender </w:t>
      </w:r>
      <w:r>
        <w:rPr>
          <w:b/>
          <w:bCs/>
        </w:rPr>
        <w:t xml:space="preserve">disparities favoring males are severe. </w:t>
      </w:r>
      <w:r>
        <w:rPr>
          <w:bCs/>
        </w:rPr>
        <w:t>In 2011, regional averages in gross tertiary educ</w:t>
      </w:r>
      <w:r w:rsidR="005678A1">
        <w:rPr>
          <w:bCs/>
        </w:rPr>
        <w:t>ation enrollment amounted to 61 percent and 51 percent</w:t>
      </w:r>
      <w:r>
        <w:rPr>
          <w:bCs/>
        </w:rPr>
        <w:t xml:space="preserve"> for women and men respectively. Enrollment in tertiary education has been increasing rapidly at the regional level, and this growth has been accompanied by a feminization of tertiary education. In contrast, total gross tertiary enrollment in Tajikistan only grew by six percentage points between 2000 and 2008 (from 14 percent to 20 percent), and has even been declining </w:t>
      </w:r>
      <w:r w:rsidRPr="00CC1298">
        <w:rPr>
          <w:bCs/>
        </w:rPr>
        <w:lastRenderedPageBreak/>
        <w:t>since 2008 (</w:t>
      </w:r>
      <w:r w:rsidR="00E12159" w:rsidRPr="00CC1298">
        <w:rPr>
          <w:bCs/>
        </w:rPr>
        <w:fldChar w:fldCharType="begin"/>
      </w:r>
      <w:r w:rsidR="00CC1298" w:rsidRPr="00CC1298">
        <w:rPr>
          <w:bCs/>
        </w:rPr>
        <w:instrText xml:space="preserve"> </w:instrText>
      </w:r>
      <w:r w:rsidR="009F7A22">
        <w:rPr>
          <w:bCs/>
        </w:rPr>
        <w:instrText>REF</w:instrText>
      </w:r>
      <w:r w:rsidR="00CC1298" w:rsidRPr="00CC1298">
        <w:rPr>
          <w:bCs/>
        </w:rPr>
        <w:instrText xml:space="preserve"> _Ref218918439 \h </w:instrText>
      </w:r>
      <w:r w:rsidR="00E12159" w:rsidRPr="00CC1298">
        <w:rPr>
          <w:bCs/>
        </w:rPr>
      </w:r>
      <w:r w:rsidR="00E12159" w:rsidRPr="00CC1298">
        <w:rPr>
          <w:bCs/>
        </w:rPr>
        <w:fldChar w:fldCharType="separate"/>
      </w:r>
      <w:r w:rsidR="00183FFF" w:rsidRPr="00B4751D">
        <w:rPr>
          <w:b/>
          <w:sz w:val="22"/>
          <w:szCs w:val="22"/>
        </w:rPr>
        <w:t xml:space="preserve">Figure </w:t>
      </w:r>
      <w:r w:rsidR="00183FFF">
        <w:rPr>
          <w:b/>
          <w:noProof/>
          <w:sz w:val="22"/>
          <w:szCs w:val="22"/>
        </w:rPr>
        <w:t>8</w:t>
      </w:r>
      <w:r w:rsidR="00E12159" w:rsidRPr="00CC1298">
        <w:rPr>
          <w:bCs/>
        </w:rPr>
        <w:fldChar w:fldCharType="end"/>
      </w:r>
      <w:r w:rsidR="00CC1298" w:rsidRPr="00CC1298">
        <w:rPr>
          <w:bCs/>
        </w:rPr>
        <w:t xml:space="preserve">). </w:t>
      </w:r>
      <w:r w:rsidRPr="00CC1298">
        <w:rPr>
          <w:bCs/>
        </w:rPr>
        <w:t>In the last decade, the gender bias in favor of males has</w:t>
      </w:r>
      <w:r w:rsidRPr="00867189">
        <w:rPr>
          <w:bCs/>
        </w:rPr>
        <w:t xml:space="preserve"> consistently </w:t>
      </w:r>
      <w:r w:rsidR="00D71464">
        <w:rPr>
          <w:bCs/>
        </w:rPr>
        <w:t>ranged</w:t>
      </w:r>
      <w:r>
        <w:rPr>
          <w:bCs/>
        </w:rPr>
        <w:t xml:space="preserve"> </w:t>
      </w:r>
      <w:r w:rsidRPr="00867189">
        <w:rPr>
          <w:bCs/>
        </w:rPr>
        <w:t>between 14 and 18 percent</w:t>
      </w:r>
      <w:r>
        <w:rPr>
          <w:bCs/>
        </w:rPr>
        <w:t>age points.</w:t>
      </w:r>
      <w:r w:rsidR="00B44CCD">
        <w:rPr>
          <w:bCs/>
        </w:rPr>
        <w:t xml:space="preserve"> </w:t>
      </w:r>
      <w:r w:rsidR="005F1C82">
        <w:rPr>
          <w:bCs/>
        </w:rPr>
        <w:t xml:space="preserve">Nevertheless, gross tertiary enrollment rates for men and women alike are still </w:t>
      </w:r>
      <w:r w:rsidR="00034A38">
        <w:rPr>
          <w:bCs/>
        </w:rPr>
        <w:t xml:space="preserve">well </w:t>
      </w:r>
      <w:r w:rsidR="005F1C82">
        <w:rPr>
          <w:bCs/>
        </w:rPr>
        <w:t xml:space="preserve">above </w:t>
      </w:r>
      <w:r w:rsidR="00034A38">
        <w:rPr>
          <w:bCs/>
        </w:rPr>
        <w:t>the average of LICs (nine and six percent respectively)</w:t>
      </w:r>
      <w:r w:rsidR="00312B39">
        <w:rPr>
          <w:bCs/>
        </w:rPr>
        <w:t xml:space="preserve"> </w:t>
      </w:r>
      <w:r w:rsidR="00E12159">
        <w:rPr>
          <w:bCs/>
        </w:rPr>
        <w:fldChar w:fldCharType="begin"/>
      </w:r>
      <w:r w:rsidR="004459DC">
        <w:rPr>
          <w:bCs/>
        </w:rPr>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rPr>
          <w:bCs/>
        </w:rPr>
        <w:fldChar w:fldCharType="separate"/>
      </w:r>
      <w:r w:rsidR="004459DC">
        <w:rPr>
          <w:bCs/>
          <w:noProof/>
        </w:rPr>
        <w:t>(</w:t>
      </w:r>
      <w:hyperlink w:anchor="_ENREF_84" w:tooltip="World Bank, 2012 #6" w:history="1">
        <w:r w:rsidR="006A1532">
          <w:rPr>
            <w:bCs/>
            <w:noProof/>
          </w:rPr>
          <w:t>World Bank, 2012c</w:t>
        </w:r>
      </w:hyperlink>
      <w:r w:rsidR="004459DC">
        <w:rPr>
          <w:bCs/>
          <w:noProof/>
        </w:rPr>
        <w:t>)</w:t>
      </w:r>
      <w:r w:rsidR="00E12159">
        <w:rPr>
          <w:bCs/>
        </w:rPr>
        <w:fldChar w:fldCharType="end"/>
      </w:r>
      <w:r w:rsidR="00034A38">
        <w:rPr>
          <w:bCs/>
        </w:rPr>
        <w:t>.</w:t>
      </w:r>
    </w:p>
    <w:p w14:paraId="6C96F436" w14:textId="7C11F854" w:rsidR="00E103D8" w:rsidRPr="00E103D8" w:rsidRDefault="00E103D8" w:rsidP="00450916">
      <w:pPr>
        <w:pStyle w:val="MainParawithChapter"/>
        <w:ind w:left="0" w:firstLine="0"/>
        <w:jc w:val="both"/>
        <w:outlineLvl w:val="9"/>
        <w:rPr>
          <w:bCs/>
        </w:rPr>
      </w:pPr>
      <w:r w:rsidRPr="001B6697">
        <w:rPr>
          <w:b/>
          <w:bCs/>
        </w:rPr>
        <w:t xml:space="preserve">The ratio of female to male tertiary enrollment is among the lowest </w:t>
      </w:r>
      <w:r w:rsidR="007F21B9">
        <w:rPr>
          <w:b/>
          <w:bCs/>
        </w:rPr>
        <w:t>worldwide</w:t>
      </w:r>
      <w:r w:rsidRPr="001B6697">
        <w:rPr>
          <w:b/>
          <w:bCs/>
        </w:rPr>
        <w:t xml:space="preserve">, and trends in female and male </w:t>
      </w:r>
      <w:r>
        <w:rPr>
          <w:b/>
          <w:bCs/>
        </w:rPr>
        <w:t xml:space="preserve">tertiary </w:t>
      </w:r>
      <w:r w:rsidRPr="001B6697">
        <w:rPr>
          <w:b/>
          <w:bCs/>
        </w:rPr>
        <w:t xml:space="preserve">enrollment have only modestly contributed to closing the </w:t>
      </w:r>
      <w:r>
        <w:rPr>
          <w:b/>
          <w:bCs/>
        </w:rPr>
        <w:t xml:space="preserve">substantial </w:t>
      </w:r>
      <w:r w:rsidRPr="001B6697">
        <w:rPr>
          <w:b/>
          <w:bCs/>
        </w:rPr>
        <w:t xml:space="preserve">gender gap. </w:t>
      </w:r>
      <w:r w:rsidRPr="0021092B">
        <w:rPr>
          <w:bCs/>
        </w:rPr>
        <w:t>In 2011, the ratio of female to m</w:t>
      </w:r>
      <w:r>
        <w:rPr>
          <w:bCs/>
        </w:rPr>
        <w:t>ale tertiary enrollment was 41 percent</w:t>
      </w:r>
      <w:r w:rsidRPr="0021092B">
        <w:rPr>
          <w:bCs/>
        </w:rPr>
        <w:t xml:space="preserve"> </w:t>
      </w:r>
      <w:r>
        <w:rPr>
          <w:bCs/>
        </w:rPr>
        <w:t>in Tajikistan, representing a clear bias in favor of males: For every 100 male students, there are only 41 women enrolled in higher education. In comparison, the average value of this indicator is 121 percent in ECA countries, i.e. the overall trend in tertiary enrollment clearly favors females. Though there have been modest signs of impro</w:t>
      </w:r>
      <w:r w:rsidR="00312B39">
        <w:rPr>
          <w:bCs/>
        </w:rPr>
        <w:t>vements in Tajikistan, shown</w:t>
      </w:r>
      <w:r>
        <w:rPr>
          <w:bCs/>
        </w:rPr>
        <w:t xml:space="preserve"> by an increase of the value of this indicator compared to ten years ago, this ratio is still among the lowest worldwide</w:t>
      </w:r>
      <w:r w:rsidR="00B44CCD">
        <w:rPr>
          <w:bCs/>
        </w:rPr>
        <w:t xml:space="preserve">, including </w:t>
      </w:r>
      <w:r w:rsidR="00312B39">
        <w:rPr>
          <w:bCs/>
        </w:rPr>
        <w:t>average ratios in</w:t>
      </w:r>
      <w:r w:rsidR="00F13AF7">
        <w:rPr>
          <w:bCs/>
        </w:rPr>
        <w:t xml:space="preserve"> LICs</w:t>
      </w:r>
      <w:r w:rsidR="00B44CCD">
        <w:rPr>
          <w:bCs/>
        </w:rPr>
        <w:t xml:space="preserve"> (64 percent in 2011)</w:t>
      </w:r>
      <w:r w:rsidR="00312B39">
        <w:rPr>
          <w:bCs/>
        </w:rPr>
        <w:t xml:space="preserve"> </w:t>
      </w:r>
      <w:r w:rsidR="00E12159">
        <w:rPr>
          <w:bCs/>
        </w:rPr>
        <w:fldChar w:fldCharType="begin"/>
      </w:r>
      <w:r w:rsidR="004459DC">
        <w:rPr>
          <w:bCs/>
        </w:rPr>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rPr>
          <w:bCs/>
        </w:rPr>
        <w:fldChar w:fldCharType="separate"/>
      </w:r>
      <w:r w:rsidR="004459DC">
        <w:rPr>
          <w:bCs/>
          <w:noProof/>
        </w:rPr>
        <w:t>(</w:t>
      </w:r>
      <w:hyperlink w:anchor="_ENREF_84" w:tooltip="World Bank, 2012 #6" w:history="1">
        <w:r w:rsidR="006A1532">
          <w:rPr>
            <w:bCs/>
            <w:noProof/>
          </w:rPr>
          <w:t>World Bank, 2012c</w:t>
        </w:r>
      </w:hyperlink>
      <w:r w:rsidR="004459DC">
        <w:rPr>
          <w:bCs/>
          <w:noProof/>
        </w:rPr>
        <w:t>)</w:t>
      </w:r>
      <w:r w:rsidR="00E12159">
        <w:rPr>
          <w:bCs/>
        </w:rPr>
        <w:fldChar w:fldCharType="end"/>
      </w:r>
      <w:r w:rsidR="00B44CCD">
        <w:rPr>
          <w:bCs/>
        </w:rPr>
        <w:t>.</w:t>
      </w:r>
      <w:r w:rsidR="005F1C82">
        <w:rPr>
          <w:bCs/>
        </w:rPr>
        <w:t xml:space="preserve"> In this sense, patterns in ter</w:t>
      </w:r>
      <w:r w:rsidR="00D810E9">
        <w:rPr>
          <w:bCs/>
        </w:rPr>
        <w:t>tiary education in Tajikistan</w:t>
      </w:r>
      <w:r w:rsidR="005F1C82">
        <w:rPr>
          <w:bCs/>
        </w:rPr>
        <w:t xml:space="preserve"> neither mirror other countries in Europe and Central Asia, nor refl</w:t>
      </w:r>
      <w:r w:rsidR="00312B39">
        <w:rPr>
          <w:bCs/>
        </w:rPr>
        <w:t xml:space="preserve">ect </w:t>
      </w:r>
      <w:r w:rsidR="00FB2824">
        <w:rPr>
          <w:bCs/>
        </w:rPr>
        <w:t>levels of gender parity found</w:t>
      </w:r>
      <w:r w:rsidR="00312B39">
        <w:rPr>
          <w:bCs/>
        </w:rPr>
        <w:t xml:space="preserve"> in </w:t>
      </w:r>
      <w:r w:rsidR="005F1C82">
        <w:rPr>
          <w:bCs/>
        </w:rPr>
        <w:t>low-income countries.</w:t>
      </w:r>
    </w:p>
    <w:p w14:paraId="76239C32" w14:textId="77777777" w:rsidR="00B4751D" w:rsidRPr="00B4751D" w:rsidRDefault="00B4751D" w:rsidP="008F5C92">
      <w:pPr>
        <w:spacing w:after="60"/>
        <w:jc w:val="center"/>
        <w:rPr>
          <w:b/>
          <w:sz w:val="22"/>
          <w:szCs w:val="22"/>
        </w:rPr>
      </w:pPr>
      <w:bookmarkStart w:id="30" w:name="_Ref218918439"/>
      <w:bookmarkStart w:id="31" w:name="_Toc218923903"/>
      <w:bookmarkStart w:id="32" w:name="_Toc232694746"/>
      <w:proofErr w:type="gramStart"/>
      <w:r w:rsidRPr="00B4751D">
        <w:rPr>
          <w:b/>
          <w:sz w:val="22"/>
          <w:szCs w:val="22"/>
        </w:rPr>
        <w:t xml:space="preserve">Figure </w:t>
      </w:r>
      <w:r w:rsidR="00E12159" w:rsidRPr="00B4751D">
        <w:rPr>
          <w:b/>
          <w:sz w:val="22"/>
          <w:szCs w:val="22"/>
        </w:rPr>
        <w:fldChar w:fldCharType="begin"/>
      </w:r>
      <w:r w:rsidRPr="00B4751D">
        <w:rPr>
          <w:b/>
          <w:sz w:val="22"/>
          <w:szCs w:val="22"/>
        </w:rPr>
        <w:instrText xml:space="preserve"> </w:instrText>
      </w:r>
      <w:r w:rsidR="009F7A22">
        <w:rPr>
          <w:b/>
          <w:sz w:val="22"/>
          <w:szCs w:val="22"/>
        </w:rPr>
        <w:instrText>SEQ</w:instrText>
      </w:r>
      <w:r w:rsidRPr="00B4751D">
        <w:rPr>
          <w:b/>
          <w:sz w:val="22"/>
          <w:szCs w:val="22"/>
        </w:rPr>
        <w:instrText xml:space="preserve"> Figure \* ARABIC </w:instrText>
      </w:r>
      <w:r w:rsidR="00E12159" w:rsidRPr="00B4751D">
        <w:rPr>
          <w:b/>
          <w:sz w:val="22"/>
          <w:szCs w:val="22"/>
        </w:rPr>
        <w:fldChar w:fldCharType="separate"/>
      </w:r>
      <w:r w:rsidR="00183FFF">
        <w:rPr>
          <w:b/>
          <w:noProof/>
          <w:sz w:val="22"/>
          <w:szCs w:val="22"/>
        </w:rPr>
        <w:t>8</w:t>
      </w:r>
      <w:r w:rsidR="00E12159" w:rsidRPr="00B4751D">
        <w:rPr>
          <w:b/>
          <w:sz w:val="22"/>
          <w:szCs w:val="22"/>
        </w:rPr>
        <w:fldChar w:fldCharType="end"/>
      </w:r>
      <w:bookmarkEnd w:id="30"/>
      <w:r w:rsidRPr="00B4751D">
        <w:rPr>
          <w:b/>
          <w:sz w:val="22"/>
          <w:szCs w:val="22"/>
        </w:rPr>
        <w:t>.</w:t>
      </w:r>
      <w:proofErr w:type="gramEnd"/>
      <w:r w:rsidRPr="00B4751D">
        <w:rPr>
          <w:b/>
          <w:sz w:val="22"/>
          <w:szCs w:val="22"/>
        </w:rPr>
        <w:t xml:space="preserve"> Gross enrollment rate in tertiary education (%), by total and </w:t>
      </w:r>
      <w:r w:rsidR="00410BB0">
        <w:rPr>
          <w:b/>
          <w:sz w:val="22"/>
          <w:szCs w:val="22"/>
        </w:rPr>
        <w:t>gender</w:t>
      </w:r>
      <w:r w:rsidRPr="00B4751D">
        <w:rPr>
          <w:b/>
          <w:sz w:val="22"/>
          <w:szCs w:val="22"/>
        </w:rPr>
        <w:t>, and ratio of female to male tertiary enrollment (%), 2000-2011</w:t>
      </w:r>
      <w:bookmarkEnd w:id="31"/>
      <w:bookmarkEnd w:id="32"/>
    </w:p>
    <w:p w14:paraId="4F2C2F9C" w14:textId="77777777" w:rsidR="00CC1298" w:rsidRPr="00081D55" w:rsidRDefault="00B4751D" w:rsidP="008F5C92">
      <w:pPr>
        <w:jc w:val="both"/>
        <w:rPr>
          <w:sz w:val="22"/>
          <w:szCs w:val="22"/>
        </w:rPr>
      </w:pPr>
      <w:r>
        <w:rPr>
          <w:noProof/>
        </w:rPr>
        <w:drawing>
          <wp:inline distT="0" distB="0" distL="0" distR="0" wp14:anchorId="30153FFC" wp14:editId="3A447A3E">
            <wp:extent cx="5486400" cy="2230023"/>
            <wp:effectExtent l="0" t="0" r="25400" b="3111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C1298" w:rsidRPr="00081D55">
        <w:rPr>
          <w:i/>
          <w:sz w:val="22"/>
          <w:szCs w:val="22"/>
        </w:rPr>
        <w:t>Notes:</w:t>
      </w:r>
      <w:r w:rsidR="00CC1298" w:rsidRPr="00081D55">
        <w:rPr>
          <w:sz w:val="22"/>
          <w:szCs w:val="22"/>
        </w:rPr>
        <w:t xml:space="preserve"> Gross enrollment rate in tertiary education is the total enrollment in tertiary education, regardless of age, expressed as a percentage of the total population of the five-year age group following on from secondary school leaving. Ratio of female to male tertiary enrollment is calculated by dividing the female value for the indicator by the male value for the indicator. </w:t>
      </w:r>
    </w:p>
    <w:p w14:paraId="6D2B60D7" w14:textId="77777777" w:rsidR="00CC1298" w:rsidRDefault="00CC1298" w:rsidP="008F5C92">
      <w:pPr>
        <w:jc w:val="both"/>
        <w:rPr>
          <w:sz w:val="22"/>
          <w:szCs w:val="22"/>
        </w:rPr>
      </w:pPr>
      <w:r w:rsidRPr="00081D55">
        <w:rPr>
          <w:i/>
          <w:sz w:val="22"/>
          <w:szCs w:val="22"/>
        </w:rPr>
        <w:t xml:space="preserve">Source: </w:t>
      </w:r>
      <w:r w:rsidRPr="00081D55">
        <w:rPr>
          <w:sz w:val="22"/>
          <w:szCs w:val="22"/>
        </w:rPr>
        <w:t xml:space="preserve">World Development Indicators Database, World Bank, Washington DC, </w:t>
      </w:r>
      <w:hyperlink r:id="rId29" w:history="1">
        <w:r w:rsidRPr="00081D55">
          <w:rPr>
            <w:sz w:val="22"/>
            <w:szCs w:val="22"/>
          </w:rPr>
          <w:t>http://data.worldbank.org/data-catalog/world-development-indicators</w:t>
        </w:r>
      </w:hyperlink>
      <w:r w:rsidRPr="00081D55">
        <w:rPr>
          <w:sz w:val="22"/>
          <w:szCs w:val="22"/>
        </w:rPr>
        <w:t>.</w:t>
      </w:r>
    </w:p>
    <w:p w14:paraId="342F0AE6" w14:textId="77777777" w:rsidR="00F328B2" w:rsidRPr="00081D55" w:rsidRDefault="00F328B2" w:rsidP="008F5C92">
      <w:pPr>
        <w:jc w:val="both"/>
        <w:rPr>
          <w:sz w:val="22"/>
          <w:szCs w:val="22"/>
        </w:rPr>
      </w:pPr>
    </w:p>
    <w:p w14:paraId="0BC1D786" w14:textId="6FA0188F" w:rsidR="00D9104C" w:rsidRPr="00B50F3A" w:rsidRDefault="006D6DC1" w:rsidP="00450916">
      <w:pPr>
        <w:pStyle w:val="MainParawithChapter"/>
        <w:ind w:left="0" w:firstLine="0"/>
        <w:jc w:val="both"/>
        <w:outlineLvl w:val="9"/>
        <w:rPr>
          <w:bCs/>
        </w:rPr>
      </w:pPr>
      <w:bookmarkStart w:id="33" w:name="_Ref218918496"/>
      <w:bookmarkStart w:id="34" w:name="_Toc218923904"/>
      <w:r>
        <w:rPr>
          <w:b/>
          <w:bCs/>
        </w:rPr>
        <w:t>Higher education for females is strongly discouraged by belief</w:t>
      </w:r>
      <w:r w:rsidR="00FB2824">
        <w:rPr>
          <w:b/>
          <w:bCs/>
        </w:rPr>
        <w:t xml:space="preserve">s that more education is </w:t>
      </w:r>
      <w:r w:rsidRPr="00450916">
        <w:rPr>
          <w:rFonts w:cstheme="minorHAnsi"/>
          <w:b/>
        </w:rPr>
        <w:t>detrimental</w:t>
      </w:r>
      <w:r>
        <w:rPr>
          <w:b/>
          <w:bCs/>
        </w:rPr>
        <w:t xml:space="preserve"> </w:t>
      </w:r>
      <w:r w:rsidR="00FB2824">
        <w:rPr>
          <w:b/>
          <w:bCs/>
        </w:rPr>
        <w:t xml:space="preserve">rather </w:t>
      </w:r>
      <w:r>
        <w:rPr>
          <w:b/>
          <w:bCs/>
        </w:rPr>
        <w:t>than beneficial for a girl’s “value”</w:t>
      </w:r>
      <w:r w:rsidR="0023475F">
        <w:rPr>
          <w:b/>
          <w:bCs/>
        </w:rPr>
        <w:t xml:space="preserve"> in society</w:t>
      </w:r>
      <w:r>
        <w:rPr>
          <w:b/>
          <w:bCs/>
        </w:rPr>
        <w:t xml:space="preserve">.  </w:t>
      </w:r>
      <w:r w:rsidR="00D9104C">
        <w:rPr>
          <w:bCs/>
        </w:rPr>
        <w:t>S</w:t>
      </w:r>
      <w:r w:rsidR="00034A38">
        <w:rPr>
          <w:bCs/>
        </w:rPr>
        <w:t>ocial</w:t>
      </w:r>
      <w:r w:rsidR="00D9104C">
        <w:rPr>
          <w:bCs/>
        </w:rPr>
        <w:t xml:space="preserve"> and cultural norms are </w:t>
      </w:r>
      <w:r w:rsidR="00034A38">
        <w:rPr>
          <w:bCs/>
        </w:rPr>
        <w:t>found to contribute to lower secondary enrollment rates for girls than for boys,</w:t>
      </w:r>
      <w:r w:rsidR="00D9104C">
        <w:rPr>
          <w:bCs/>
        </w:rPr>
        <w:t xml:space="preserve"> but </w:t>
      </w:r>
      <w:r w:rsidR="00034A38">
        <w:rPr>
          <w:bCs/>
        </w:rPr>
        <w:t>studies indicate that these realities even more strongly prevent girls from pursuing some form of higher education</w:t>
      </w:r>
      <w:r w:rsidR="00B50F3A">
        <w:rPr>
          <w:bCs/>
        </w:rPr>
        <w:t>.</w:t>
      </w:r>
      <w:r w:rsidR="00034A38">
        <w:rPr>
          <w:bCs/>
        </w:rPr>
        <w:t xml:space="preserve"> </w:t>
      </w:r>
      <w:r w:rsidR="00FB2824">
        <w:rPr>
          <w:bCs/>
        </w:rPr>
        <w:t>W</w:t>
      </w:r>
      <w:r w:rsidR="00D9104C" w:rsidRPr="00D9104C">
        <w:rPr>
          <w:bCs/>
        </w:rPr>
        <w:t>omen with higher education</w:t>
      </w:r>
      <w:r w:rsidR="007F4F56">
        <w:rPr>
          <w:bCs/>
        </w:rPr>
        <w:t xml:space="preserve"> are believed to</w:t>
      </w:r>
      <w:r w:rsidR="00D9104C" w:rsidRPr="00D9104C">
        <w:rPr>
          <w:bCs/>
        </w:rPr>
        <w:t xml:space="preserve"> face more difficulty in finding a husband, as they are </w:t>
      </w:r>
      <w:r w:rsidR="007F4F56">
        <w:rPr>
          <w:bCs/>
        </w:rPr>
        <w:t>considered</w:t>
      </w:r>
      <w:r w:rsidR="00571B13">
        <w:rPr>
          <w:bCs/>
        </w:rPr>
        <w:t xml:space="preserve"> to</w:t>
      </w:r>
      <w:r w:rsidR="007F4F56">
        <w:rPr>
          <w:bCs/>
        </w:rPr>
        <w:t xml:space="preserve"> hav</w:t>
      </w:r>
      <w:r w:rsidR="00571B13">
        <w:rPr>
          <w:bCs/>
        </w:rPr>
        <w:t>e</w:t>
      </w:r>
      <w:r w:rsidR="00D9104C" w:rsidRPr="00D9104C">
        <w:rPr>
          <w:bCs/>
        </w:rPr>
        <w:t xml:space="preserve"> </w:t>
      </w:r>
      <w:r w:rsidR="007F4F56">
        <w:rPr>
          <w:bCs/>
        </w:rPr>
        <w:t>elevated</w:t>
      </w:r>
      <w:r w:rsidR="00D9104C" w:rsidRPr="00D9104C">
        <w:rPr>
          <w:bCs/>
        </w:rPr>
        <w:t xml:space="preserve"> expectations with regard to their </w:t>
      </w:r>
      <w:r w:rsidR="00B25632">
        <w:rPr>
          <w:bCs/>
        </w:rPr>
        <w:t xml:space="preserve">family </w:t>
      </w:r>
      <w:r w:rsidR="006706A2">
        <w:rPr>
          <w:bCs/>
        </w:rPr>
        <w:t>life</w:t>
      </w:r>
      <w:r w:rsidR="00D9104C" w:rsidRPr="00D9104C">
        <w:rPr>
          <w:bCs/>
        </w:rPr>
        <w:t xml:space="preserve"> and </w:t>
      </w:r>
      <w:r w:rsidR="00571B13">
        <w:rPr>
          <w:bCs/>
        </w:rPr>
        <w:t>be</w:t>
      </w:r>
      <w:r w:rsidR="00D9104C" w:rsidRPr="00D9104C">
        <w:rPr>
          <w:bCs/>
        </w:rPr>
        <w:t xml:space="preserve"> more </w:t>
      </w:r>
      <w:r w:rsidR="007F4F56">
        <w:rPr>
          <w:bCs/>
        </w:rPr>
        <w:t xml:space="preserve">self-determined </w:t>
      </w:r>
      <w:r w:rsidR="00B25632">
        <w:rPr>
          <w:bCs/>
        </w:rPr>
        <w:t xml:space="preserve">and </w:t>
      </w:r>
      <w:r w:rsidR="00B25632">
        <w:rPr>
          <w:bCs/>
        </w:rPr>
        <w:lastRenderedPageBreak/>
        <w:t xml:space="preserve">independent </w:t>
      </w:r>
      <w:r w:rsidR="007F4F56">
        <w:rPr>
          <w:bCs/>
        </w:rPr>
        <w:t>than comparatively less well-educated wome</w:t>
      </w:r>
      <w:r w:rsidR="00B50F3A">
        <w:rPr>
          <w:bCs/>
        </w:rPr>
        <w:t xml:space="preserve">n </w:t>
      </w:r>
      <w:r w:rsidR="00E12159">
        <w:rPr>
          <w:bCs/>
        </w:rPr>
        <w:fldChar w:fldCharType="begin"/>
      </w:r>
      <w:r w:rsidR="00B50F3A">
        <w:rPr>
          <w:bCs/>
        </w:rPr>
        <w:instrText xml:space="preserve"> </w:instrText>
      </w:r>
      <w:r w:rsidR="009F7A22">
        <w:rPr>
          <w:bCs/>
        </w:rPr>
        <w:instrText>ADDIN</w:instrText>
      </w:r>
      <w:r w:rsidR="00B50F3A">
        <w:rPr>
          <w:bCs/>
        </w:rPr>
        <w:instrText xml:space="preserve"> EN.CITE &lt;EndNote&gt;&lt;Cite&gt;&lt;Author&gt;Mezentseva&lt;/Author&gt;&lt;Year&gt;2007&lt;/Year&gt;&lt;RecNum&gt;9&lt;/RecNum&gt;&lt;DisplayText&gt;(Mezentseva, 2007)&lt;/DisplayText&gt;&lt;record&gt;&lt;rec-number&gt;9&lt;/rec-number&gt;&lt;foreign-keys&gt;&lt;key app="EN" db-id="wes5dreptvrsr2eeartvxexxftt2tastxrfs"&gt;9&lt;/key&gt;&lt;/foreign-keys&gt;&lt;ref-type name="Book"&gt;6&lt;/ref-type&gt;&lt;contributors&gt;&lt;authors&gt;&lt;author&gt;Elena Mezentseva&lt;/author&gt;&lt;/authors&gt;&lt;/contributors&gt;&lt;titles&gt;&lt;title&gt;Gender Equality in Education&lt;/title&gt;&lt;/titles&gt;&lt;dates&gt;&lt;year&gt;2007&lt;/year&gt;&lt;/dates&gt;&lt;pub-location&gt;Dushanbe&lt;/pub-location&gt;&lt;publisher&gt;United Nations Development Fund for Women&lt;/publisher&gt;&lt;urls&gt;&lt;/urls&gt;&lt;/record&gt;&lt;/Cite&gt;&lt;/EndNote&gt;</w:instrText>
      </w:r>
      <w:r w:rsidR="00E12159">
        <w:rPr>
          <w:bCs/>
        </w:rPr>
        <w:fldChar w:fldCharType="separate"/>
      </w:r>
      <w:r w:rsidR="00B50F3A">
        <w:rPr>
          <w:bCs/>
          <w:noProof/>
        </w:rPr>
        <w:t>(</w:t>
      </w:r>
      <w:hyperlink w:anchor="_ENREF_35" w:tooltip="Mezentseva, 2007 #9" w:history="1">
        <w:r w:rsidR="006A1532">
          <w:rPr>
            <w:bCs/>
            <w:noProof/>
          </w:rPr>
          <w:t>Mezentseva, 2007</w:t>
        </w:r>
      </w:hyperlink>
      <w:r w:rsidR="00B50F3A">
        <w:rPr>
          <w:bCs/>
          <w:noProof/>
        </w:rPr>
        <w:t>)</w:t>
      </w:r>
      <w:r w:rsidR="00E12159">
        <w:rPr>
          <w:bCs/>
        </w:rPr>
        <w:fldChar w:fldCharType="end"/>
      </w:r>
      <w:r w:rsidR="00A520F1">
        <w:rPr>
          <w:bCs/>
        </w:rPr>
        <w:t>. Furthermore</w:t>
      </w:r>
      <w:r w:rsidR="00316050">
        <w:rPr>
          <w:bCs/>
        </w:rPr>
        <w:t>,</w:t>
      </w:r>
      <w:r w:rsidR="00A520F1" w:rsidRPr="00B50F3A">
        <w:rPr>
          <w:bCs/>
        </w:rPr>
        <w:t xml:space="preserve"> </w:t>
      </w:r>
      <w:r w:rsidR="00A520F1">
        <w:rPr>
          <w:bCs/>
        </w:rPr>
        <w:t>t</w:t>
      </w:r>
      <w:r w:rsidR="00B50F3A" w:rsidRPr="00B50F3A">
        <w:rPr>
          <w:bCs/>
        </w:rPr>
        <w:t>here is</w:t>
      </w:r>
      <w:r w:rsidR="00CE57AD">
        <w:rPr>
          <w:bCs/>
        </w:rPr>
        <w:t xml:space="preserve"> </w:t>
      </w:r>
      <w:r w:rsidR="00B50F3A" w:rsidRPr="00B50F3A">
        <w:rPr>
          <w:bCs/>
        </w:rPr>
        <w:t>an app</w:t>
      </w:r>
      <w:r w:rsidR="00B50F3A">
        <w:rPr>
          <w:bCs/>
        </w:rPr>
        <w:t>arent relu</w:t>
      </w:r>
      <w:r w:rsidR="001664C5">
        <w:rPr>
          <w:bCs/>
        </w:rPr>
        <w:t>ctance to allow girls</w:t>
      </w:r>
      <w:r w:rsidR="004C3F85">
        <w:rPr>
          <w:bCs/>
        </w:rPr>
        <w:t xml:space="preserve"> to leave</w:t>
      </w:r>
      <w:r w:rsidR="001664C5">
        <w:rPr>
          <w:bCs/>
        </w:rPr>
        <w:t xml:space="preserve"> village</w:t>
      </w:r>
      <w:r w:rsidR="00EF0BC2">
        <w:rPr>
          <w:bCs/>
        </w:rPr>
        <w:t>s</w:t>
      </w:r>
      <w:r w:rsidR="001664C5">
        <w:rPr>
          <w:bCs/>
        </w:rPr>
        <w:t xml:space="preserve"> to study in </w:t>
      </w:r>
      <w:r w:rsidR="00EF0BC2">
        <w:rPr>
          <w:bCs/>
        </w:rPr>
        <w:t>cities, as they might be</w:t>
      </w:r>
      <w:r w:rsidR="001664C5">
        <w:rPr>
          <w:bCs/>
        </w:rPr>
        <w:t xml:space="preserve"> exposed to ‘negative’ influences</w:t>
      </w:r>
      <w:r w:rsidR="006706A2">
        <w:rPr>
          <w:bCs/>
        </w:rPr>
        <w:t xml:space="preserve">. At the same time, some girls feel that they lack opportunities to </w:t>
      </w:r>
      <w:r w:rsidR="00F90540">
        <w:rPr>
          <w:bCs/>
        </w:rPr>
        <w:t>acquire more education</w:t>
      </w:r>
      <w:r w:rsidR="00127B64">
        <w:rPr>
          <w:bCs/>
        </w:rPr>
        <w:t>. They</w:t>
      </w:r>
      <w:r w:rsidR="00E12C1E">
        <w:rPr>
          <w:bCs/>
        </w:rPr>
        <w:t xml:space="preserve"> call</w:t>
      </w:r>
      <w:r w:rsidR="006706A2">
        <w:rPr>
          <w:bCs/>
        </w:rPr>
        <w:t xml:space="preserve"> for more presidential quotas in institutions of higher education being allocated to women, and for more support in case of missing parents, or sickness, disability or poverty of one or more household members</w:t>
      </w:r>
      <w:r w:rsidR="001664C5">
        <w:rPr>
          <w:bCs/>
        </w:rPr>
        <w:t xml:space="preserve"> </w:t>
      </w:r>
      <w:r w:rsidR="00E12159">
        <w:rPr>
          <w:bCs/>
        </w:rPr>
        <w:fldChar w:fldCharType="begin"/>
      </w:r>
      <w:r w:rsidR="006E42EC">
        <w:rPr>
          <w:bCs/>
        </w:rPr>
        <w:instrText xml:space="preserve"> </w:instrText>
      </w:r>
      <w:r w:rsidR="009F7A22">
        <w:rPr>
          <w:bCs/>
        </w:rPr>
        <w:instrText>ADDIN</w:instrText>
      </w:r>
      <w:r w:rsidR="006E42EC">
        <w:rPr>
          <w:bCs/>
        </w:rPr>
        <w:instrText xml:space="preserve"> EN.CITE &lt;EndNote&gt;&lt;Cite&gt;&lt;Author&gt;UNICEF&lt;/Author&gt;&lt;Year&gt;2012&lt;/Year&gt;&lt;RecNum&gt;2&lt;/RecNum&gt;&lt;Prefix&gt;cf. &lt;/Prefix&gt;&lt;DisplayText&gt;(cf. Baskakova, 2007; UNICEF, 2012b)&lt;/DisplayText&gt;&lt;record&gt;&lt;rec-number&gt;2&lt;/rec-number&gt;&lt;foreign-keys&gt;&lt;key app="EN" db-id="wes5dreptvrsr2eeartvxexxftt2tastxrfs"&gt;2&lt;/key&gt;&lt;/foreign-keys&gt;&lt;ref-type name="Book"&gt;6&lt;/ref-type&gt;&lt;contributors&gt;&lt;authors&gt;&lt;author&gt;UNICEF&lt;/author&gt;&lt;/authors&gt;&lt;/contributors&gt;&lt;titles&gt;&lt;title&gt;Youth Perspectives of Education Quality in Tajikistan: A case study of education quality for youth in the CEECIS region&lt;/title&gt;&lt;/titles&gt;&lt;dates&gt;&lt;year&gt;2012&lt;/year&gt;&lt;/dates&gt;&lt;pub-location&gt;Dushanbe&lt;/pub-location&gt;&lt;publisher&gt;United Nations Childrens&amp;apos; Fund&lt;/publisher&gt;&lt;urls&gt;&lt;/urls&gt;&lt;/record&gt;&lt;/Cite&gt;&lt;Cite&gt;&lt;Author&gt;Baskakova&lt;/Author&gt;&lt;Year&gt;2007&lt;/Year&gt;&lt;RecNum&gt;72&lt;/RecNum&gt;&lt;record&gt;&lt;rec-number&gt;72&lt;/rec-number&gt;&lt;foreign-keys&gt;&lt;key app="EN" db-id="wes5dreptvrsr2eeartvxexxftt2tastxrfs"&gt;72&lt;/key&gt;&lt;/foreign-keys&gt;&lt;ref-type name="Book"&gt;6&lt;/ref-type&gt;&lt;contributors&gt;&lt;authors&gt;&lt;author&gt;Marina Baskakova&lt;/author&gt;&lt;/authors&gt;&lt;/contributors&gt;&lt;titles&gt;&lt;title&gt;Some Aspects of Youth Education, Gender Equality and Employment in the Caucasus and Central Asia&lt;/title&gt;&lt;/titles&gt;&lt;dates&gt;&lt;year&gt;2007&lt;/year&gt;&lt;/dates&gt;&lt;pub-location&gt;Moscow&lt;/pub-location&gt;&lt;publisher&gt;International Labour Organization&lt;/publisher&gt;&lt;urls&gt;&lt;/urls&gt;&lt;/record&gt;&lt;/Cite&gt;&lt;/EndNote&gt;</w:instrText>
      </w:r>
      <w:r w:rsidR="00E12159">
        <w:rPr>
          <w:bCs/>
        </w:rPr>
        <w:fldChar w:fldCharType="separate"/>
      </w:r>
      <w:r w:rsidR="006E42EC">
        <w:rPr>
          <w:bCs/>
          <w:noProof/>
        </w:rPr>
        <w:t xml:space="preserve">(cf. </w:t>
      </w:r>
      <w:hyperlink w:anchor="_ENREF_7" w:tooltip="Baskakova, 2007 #72" w:history="1">
        <w:r w:rsidR="006A1532">
          <w:rPr>
            <w:bCs/>
            <w:noProof/>
          </w:rPr>
          <w:t>Baskakova, 2007</w:t>
        </w:r>
      </w:hyperlink>
      <w:r w:rsidR="006E42EC">
        <w:rPr>
          <w:bCs/>
          <w:noProof/>
        </w:rPr>
        <w:t xml:space="preserve">; </w:t>
      </w:r>
      <w:hyperlink w:anchor="_ENREF_62" w:tooltip="UNICEF, 2012 #2" w:history="1">
        <w:r w:rsidR="006A1532">
          <w:rPr>
            <w:bCs/>
            <w:noProof/>
          </w:rPr>
          <w:t>UNICEF, 2012b</w:t>
        </w:r>
      </w:hyperlink>
      <w:r w:rsidR="006E42EC">
        <w:rPr>
          <w:bCs/>
          <w:noProof/>
        </w:rPr>
        <w:t>)</w:t>
      </w:r>
      <w:r w:rsidR="00E12159">
        <w:rPr>
          <w:bCs/>
        </w:rPr>
        <w:fldChar w:fldCharType="end"/>
      </w:r>
      <w:r w:rsidR="006706A2">
        <w:rPr>
          <w:bCs/>
        </w:rPr>
        <w:t>.</w:t>
      </w:r>
    </w:p>
    <w:p w14:paraId="2675EB79" w14:textId="77777777" w:rsidR="002A04FD" w:rsidRPr="002A04FD" w:rsidRDefault="0056252A" w:rsidP="008F5C92">
      <w:pPr>
        <w:spacing w:after="60"/>
        <w:jc w:val="center"/>
        <w:rPr>
          <w:b/>
          <w:sz w:val="22"/>
          <w:szCs w:val="22"/>
        </w:rPr>
      </w:pPr>
      <w:bookmarkStart w:id="35" w:name="_Ref221632096"/>
      <w:bookmarkStart w:id="36" w:name="_Toc232694747"/>
      <w:r>
        <w:rPr>
          <w:b/>
          <w:noProof/>
          <w:sz w:val="22"/>
          <w:szCs w:val="22"/>
        </w:rPr>
        <mc:AlternateContent>
          <mc:Choice Requires="wps">
            <w:drawing>
              <wp:anchor distT="0" distB="0" distL="114300" distR="114300" simplePos="0" relativeHeight="251659264" behindDoc="0" locked="0" layoutInCell="1" allowOverlap="1" wp14:anchorId="7012723D" wp14:editId="0EB58693">
                <wp:simplePos x="0" y="0"/>
                <wp:positionH relativeFrom="column">
                  <wp:posOffset>2628900</wp:posOffset>
                </wp:positionH>
                <wp:positionV relativeFrom="paragraph">
                  <wp:posOffset>274955</wp:posOffset>
                </wp:positionV>
                <wp:extent cx="2971800" cy="3347720"/>
                <wp:effectExtent l="0" t="0" r="0" b="508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3347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797E4C" w14:textId="77777777" w:rsidR="00E44497" w:rsidRDefault="00E44497" w:rsidP="002A04FD">
                            <w:r>
                              <w:rPr>
                                <w:noProof/>
                              </w:rPr>
                              <w:drawing>
                                <wp:inline distT="0" distB="0" distL="0" distR="0" wp14:anchorId="3BDC9496" wp14:editId="183D15C9">
                                  <wp:extent cx="2699825" cy="3239770"/>
                                  <wp:effectExtent l="0" t="0" r="18415" b="3683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left:0;text-align:left;margin-left:207pt;margin-top:21.65pt;width:234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" filled="f" stroked="f">
                <v:path arrowok="t"/>
                <v:textbox>
                  <w:txbxContent>
                    <w:p w14:paraId="07797E4C" w14:textId="77777777" w:rsidR="00E44497" w:rsidRDefault="00E44497" w:rsidP="002A04FD">
                      <w:r>
                        <w:rPr>
                          <w:noProof/>
                        </w:rPr>
                        <w:drawing>
                          <wp:inline distT="0" distB="0" distL="0" distR="0" wp14:anchorId="3BDC9496" wp14:editId="183D15C9">
                            <wp:extent cx="2699825" cy="3239770"/>
                            <wp:effectExtent l="0" t="0" r="18415" b="3683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w10:wrap type="square"/>
              </v:shape>
            </w:pict>
          </mc:Fallback>
        </mc:AlternateContent>
      </w:r>
      <w:r>
        <w:rPr>
          <w:b/>
          <w:noProof/>
          <w:sz w:val="22"/>
          <w:szCs w:val="22"/>
        </w:rPr>
        <mc:AlternateContent>
          <mc:Choice Requires="wps">
            <w:drawing>
              <wp:anchor distT="0" distB="0" distL="114300" distR="114300" simplePos="0" relativeHeight="251660288" behindDoc="0" locked="0" layoutInCell="1" allowOverlap="1" wp14:anchorId="64F864FB" wp14:editId="2846D823">
                <wp:simplePos x="0" y="0"/>
                <wp:positionH relativeFrom="column">
                  <wp:posOffset>-113665</wp:posOffset>
                </wp:positionH>
                <wp:positionV relativeFrom="paragraph">
                  <wp:posOffset>274955</wp:posOffset>
                </wp:positionV>
                <wp:extent cx="2856865" cy="3347720"/>
                <wp:effectExtent l="0" t="0" r="0" b="508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865" cy="3347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84458F" w14:textId="77777777" w:rsidR="00E44497" w:rsidRDefault="00E44497" w:rsidP="002A04FD">
                            <w:r>
                              <w:rPr>
                                <w:noProof/>
                              </w:rPr>
                              <w:drawing>
                                <wp:inline distT="0" distB="0" distL="0" distR="0" wp14:anchorId="7A798AF2" wp14:editId="23D45855">
                                  <wp:extent cx="2664000" cy="3239770"/>
                                  <wp:effectExtent l="0" t="0" r="18415" b="3683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9" type="#_x0000_t202" style="position:absolute;left:0;text-align:left;margin-left:-8.95pt;margin-top:21.65pt;width:224.95pt;height:2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" filled="f" stroked="f">
                <v:path arrowok="t"/>
                <v:textbox>
                  <w:txbxContent>
                    <w:p w14:paraId="1B84458F" w14:textId="77777777" w:rsidR="00E44497" w:rsidRDefault="00E44497" w:rsidP="002A04FD">
                      <w:r>
                        <w:rPr>
                          <w:noProof/>
                        </w:rPr>
                        <w:drawing>
                          <wp:inline distT="0" distB="0" distL="0" distR="0" wp14:anchorId="7A798AF2" wp14:editId="23D45855">
                            <wp:extent cx="2664000" cy="3239770"/>
                            <wp:effectExtent l="0" t="0" r="18415" b="3683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w10:wrap type="square"/>
              </v:shape>
            </w:pict>
          </mc:Fallback>
        </mc:AlternateContent>
      </w:r>
      <w:proofErr w:type="gramStart"/>
      <w:r w:rsidR="002A04FD" w:rsidRPr="002A04FD">
        <w:rPr>
          <w:b/>
          <w:sz w:val="22"/>
          <w:szCs w:val="22"/>
        </w:rPr>
        <w:t xml:space="preserve">Figure </w:t>
      </w:r>
      <w:r w:rsidR="00E12159" w:rsidRPr="002A04FD">
        <w:rPr>
          <w:b/>
          <w:sz w:val="22"/>
          <w:szCs w:val="22"/>
        </w:rPr>
        <w:fldChar w:fldCharType="begin"/>
      </w:r>
      <w:r w:rsidR="002A04FD" w:rsidRPr="002A04FD">
        <w:rPr>
          <w:b/>
          <w:sz w:val="22"/>
          <w:szCs w:val="22"/>
        </w:rPr>
        <w:instrText xml:space="preserve"> </w:instrText>
      </w:r>
      <w:r w:rsidR="009F7A22">
        <w:rPr>
          <w:b/>
          <w:sz w:val="22"/>
          <w:szCs w:val="22"/>
        </w:rPr>
        <w:instrText>SEQ</w:instrText>
      </w:r>
      <w:r w:rsidR="002A04FD" w:rsidRPr="002A04FD">
        <w:rPr>
          <w:b/>
          <w:sz w:val="22"/>
          <w:szCs w:val="22"/>
        </w:rPr>
        <w:instrText xml:space="preserve"> Figure \* ARABIC </w:instrText>
      </w:r>
      <w:r w:rsidR="00E12159" w:rsidRPr="002A04FD">
        <w:rPr>
          <w:b/>
          <w:sz w:val="22"/>
          <w:szCs w:val="22"/>
        </w:rPr>
        <w:fldChar w:fldCharType="separate"/>
      </w:r>
      <w:r w:rsidR="00183FFF">
        <w:rPr>
          <w:b/>
          <w:noProof/>
          <w:sz w:val="22"/>
          <w:szCs w:val="22"/>
        </w:rPr>
        <w:t>9</w:t>
      </w:r>
      <w:r w:rsidR="00E12159" w:rsidRPr="002A04FD">
        <w:rPr>
          <w:b/>
          <w:sz w:val="22"/>
          <w:szCs w:val="22"/>
        </w:rPr>
        <w:fldChar w:fldCharType="end"/>
      </w:r>
      <w:bookmarkEnd w:id="33"/>
      <w:bookmarkEnd w:id="35"/>
      <w:r w:rsidR="002A04FD" w:rsidRPr="002A04FD">
        <w:rPr>
          <w:b/>
          <w:sz w:val="22"/>
          <w:szCs w:val="22"/>
        </w:rPr>
        <w:t>.</w:t>
      </w:r>
      <w:proofErr w:type="gramEnd"/>
      <w:r w:rsidR="002A04FD" w:rsidRPr="002A04FD">
        <w:rPr>
          <w:b/>
          <w:sz w:val="22"/>
          <w:szCs w:val="22"/>
        </w:rPr>
        <w:t xml:space="preserve"> Fields of study in tertiary education</w:t>
      </w:r>
      <w:r w:rsidR="00410BB0">
        <w:rPr>
          <w:b/>
          <w:sz w:val="22"/>
          <w:szCs w:val="22"/>
        </w:rPr>
        <w:t xml:space="preserve"> (%), by gender</w:t>
      </w:r>
      <w:r w:rsidR="002A04FD" w:rsidRPr="002A04FD">
        <w:rPr>
          <w:b/>
          <w:sz w:val="22"/>
          <w:szCs w:val="22"/>
        </w:rPr>
        <w:t>, 2011</w:t>
      </w:r>
      <w:bookmarkEnd w:id="34"/>
      <w:bookmarkEnd w:id="36"/>
    </w:p>
    <w:p w14:paraId="14D758DA" w14:textId="77777777" w:rsidR="002A04FD" w:rsidRDefault="002A04FD" w:rsidP="008F5C92">
      <w:pPr>
        <w:rPr>
          <w:sz w:val="22"/>
          <w:szCs w:val="22"/>
        </w:rPr>
      </w:pPr>
      <w:r w:rsidRPr="002A04FD">
        <w:rPr>
          <w:i/>
          <w:sz w:val="22"/>
          <w:szCs w:val="22"/>
        </w:rPr>
        <w:t xml:space="preserve">Source: </w:t>
      </w:r>
      <w:r w:rsidRPr="00345B01">
        <w:rPr>
          <w:sz w:val="22"/>
          <w:szCs w:val="22"/>
        </w:rPr>
        <w:t>Data Centre, UNESCO Institute for Statistics,</w:t>
      </w:r>
      <w:r w:rsidR="00E12159" w:rsidRPr="00345B01">
        <w:rPr>
          <w:sz w:val="22"/>
          <w:szCs w:val="22"/>
        </w:rPr>
        <w:fldChar w:fldCharType="begin"/>
      </w:r>
      <w:r w:rsidR="00860DB7">
        <w:rPr>
          <w:sz w:val="22"/>
          <w:szCs w:val="22"/>
        </w:rPr>
        <w:instrText xml:space="preserve"> </w:instrText>
      </w:r>
      <w:r w:rsidR="009F7A22">
        <w:rPr>
          <w:sz w:val="22"/>
          <w:szCs w:val="22"/>
        </w:rPr>
        <w:instrText>ADDIN</w:instrText>
      </w:r>
      <w:r w:rsidR="00860DB7">
        <w:rPr>
          <w:sz w:val="22"/>
          <w:szCs w:val="22"/>
        </w:rPr>
        <w:instrText xml:space="preserve"> EN.CITE &lt;EndNote&gt;&lt;Cite ExcludeAuth="1" ExcludeYear="1"&gt;&lt;Author&gt;UNESCO Institute for Statistics&lt;/Author&gt;&lt;Year&gt;2012&lt;/Year&gt;&lt;RecNum&gt;13&lt;/RecNum&gt;&lt;record&gt;&lt;rec-number&gt;13&lt;/rec-number&gt;&lt;foreign-keys&gt;&lt;key app="EN" db-id="wes5dreptvrsr2eeartvxexxftt2tastxrfs"&gt;13&lt;/key&gt;&lt;/foreign-keys&gt;&lt;ref-type name="Book"&gt;6&lt;/ref-type&gt;&lt;contributors&gt;&lt;authors&gt;&lt;author&gt;UNESCO Institute for Statistics&lt;/author&gt;&lt;/authors&gt;&lt;/contributors&gt;&lt;titles&gt;&lt;title&gt;Data Centre&lt;/title&gt;&lt;/titles&gt;&lt;dates&gt;&lt;year&gt;2012&lt;/year&gt;&lt;/dates&gt;&lt;pub-location&gt;Montreal&lt;/pub-location&gt;&lt;publisher&gt;UNESCO Institute for Statistics&lt;/publisher&gt;&lt;urls&gt;&lt;/urls&gt;&lt;/record&gt;&lt;/Cite&gt;&lt;/EndNote&gt;</w:instrText>
      </w:r>
      <w:r w:rsidR="00E12159" w:rsidRPr="00345B01">
        <w:rPr>
          <w:sz w:val="22"/>
          <w:szCs w:val="22"/>
        </w:rPr>
        <w:fldChar w:fldCharType="end"/>
      </w:r>
      <w:r w:rsidR="00860DB7" w:rsidRPr="00345B01">
        <w:rPr>
          <w:sz w:val="22"/>
          <w:szCs w:val="22"/>
        </w:rPr>
        <w:t xml:space="preserve"> </w:t>
      </w:r>
      <w:r w:rsidRPr="00345B01">
        <w:rPr>
          <w:sz w:val="22"/>
          <w:szCs w:val="22"/>
        </w:rPr>
        <w:t xml:space="preserve"> Montreal, </w:t>
      </w:r>
      <w:hyperlink r:id="rId32" w:history="1">
        <w:r w:rsidRPr="00345B01">
          <w:rPr>
            <w:sz w:val="22"/>
            <w:szCs w:val="22"/>
          </w:rPr>
          <w:t>http://www.uis.unesco.org/Pages/default.aspx</w:t>
        </w:r>
      </w:hyperlink>
      <w:r w:rsidRPr="00345B01">
        <w:rPr>
          <w:sz w:val="22"/>
          <w:szCs w:val="22"/>
        </w:rPr>
        <w:t>.</w:t>
      </w:r>
    </w:p>
    <w:p w14:paraId="24785925" w14:textId="77777777" w:rsidR="00345B01" w:rsidRPr="00345B01" w:rsidRDefault="00345B01" w:rsidP="008F5C92">
      <w:pPr>
        <w:rPr>
          <w:sz w:val="22"/>
          <w:szCs w:val="22"/>
        </w:rPr>
      </w:pPr>
    </w:p>
    <w:p w14:paraId="3800B1E4" w14:textId="19094B6D" w:rsidR="00A23902" w:rsidRPr="0014182C" w:rsidRDefault="00345B01" w:rsidP="00450916">
      <w:pPr>
        <w:pStyle w:val="MainParawithChapter"/>
        <w:ind w:left="0" w:firstLine="0"/>
        <w:jc w:val="both"/>
        <w:outlineLvl w:val="9"/>
        <w:rPr>
          <w:bCs/>
          <w:color w:val="000000" w:themeColor="text1"/>
        </w:rPr>
      </w:pPr>
      <w:r w:rsidRPr="00345B01">
        <w:rPr>
          <w:b/>
          <w:bCs/>
          <w:color w:val="000000" w:themeColor="text1"/>
        </w:rPr>
        <w:t xml:space="preserve">Gender-specific education choices in tertiary education are likely to affect future labor </w:t>
      </w:r>
      <w:r w:rsidRPr="00450916">
        <w:rPr>
          <w:rFonts w:cstheme="minorHAnsi"/>
          <w:b/>
        </w:rPr>
        <w:t>market</w:t>
      </w:r>
      <w:r w:rsidRPr="00345B01">
        <w:rPr>
          <w:b/>
          <w:bCs/>
          <w:color w:val="000000" w:themeColor="text1"/>
        </w:rPr>
        <w:t xml:space="preserve"> outcomes, which have been less favorable for women. </w:t>
      </w:r>
      <w:r w:rsidRPr="00345B01">
        <w:rPr>
          <w:bCs/>
          <w:color w:val="000000" w:themeColor="text1"/>
        </w:rPr>
        <w:t xml:space="preserve">The observed patterns in specialization choices are in line with results of a background study for the World Development Report 2012 by </w:t>
      </w:r>
      <w:r w:rsidR="00E12159" w:rsidRPr="00345B01">
        <w:rPr>
          <w:bCs/>
          <w:color w:val="000000" w:themeColor="text1"/>
        </w:rPr>
        <w:fldChar w:fldCharType="begin"/>
      </w:r>
      <w:r w:rsidR="00860DB7">
        <w:rPr>
          <w:bCs/>
          <w:color w:val="000000" w:themeColor="text1"/>
        </w:rPr>
        <w:instrText xml:space="preserve"> </w:instrText>
      </w:r>
      <w:r w:rsidR="009F7A22">
        <w:rPr>
          <w:bCs/>
          <w:color w:val="000000" w:themeColor="text1"/>
        </w:rPr>
        <w:instrText>ADDIN</w:instrText>
      </w:r>
      <w:r w:rsidR="00860DB7">
        <w:rPr>
          <w:bCs/>
          <w:color w:val="000000" w:themeColor="text1"/>
        </w:rPr>
        <w:instrText xml:space="preserve"> EN.CITE &lt;EndNote&gt;&lt;Cite AuthorYear="1"&gt;&lt;Author&gt;Flabbi&lt;/Author&gt;&lt;Year&gt;2011&lt;/Year&gt;&lt;RecNum&gt;12&lt;/RecNum&gt;&lt;DisplayText&gt;Flabbi (2011)&lt;/DisplayText&gt;&lt;record&gt;&lt;rec-number&gt;12&lt;/rec-number&gt;&lt;foreign-keys&gt;&lt;key app="EN" db-id="wes5dreptvrsr2eeartvxexxftt2tastxrfs"&gt;12&lt;/key&gt;&lt;/foreign-keys&gt;&lt;ref-type name="Journal Article"&gt;17&lt;/ref-type&gt;&lt;contributors&gt;&lt;authors&gt;&lt;author&gt;Luca Flabbi&lt;/author&gt;&lt;/authors&gt;&lt;/contributors&gt;&lt;titles&gt;&lt;title&gt;Gender Differences in Education, Career Choices, and Labor Market Outcomes on a Sample of OECD Countries&lt;/title&gt;&lt;secondary-title&gt;Background paper prepared for the World Development Report 2012&lt;/secondary-title&gt;&lt;/titles&gt;&lt;periodical&gt;&lt;full-title&gt;Background Paper prepared for the World Development Report 2012&lt;/full-title&gt;&lt;/periodical&gt;&lt;dates&gt;&lt;year&gt;2011&lt;/year&gt;&lt;/dates&gt;&lt;urls&gt;&lt;/urls&gt;&lt;/record&gt;&lt;/Cite&gt;&lt;/EndNote&gt;</w:instrText>
      </w:r>
      <w:r w:rsidR="00E12159" w:rsidRPr="00345B01">
        <w:rPr>
          <w:bCs/>
          <w:color w:val="000000" w:themeColor="text1"/>
        </w:rPr>
        <w:fldChar w:fldCharType="separate"/>
      </w:r>
      <w:hyperlink w:anchor="_ENREF_18" w:tooltip="Flabbi, 2011 #12" w:history="1">
        <w:r w:rsidR="006A1532" w:rsidRPr="00345B01">
          <w:rPr>
            <w:bCs/>
            <w:noProof/>
            <w:color w:val="000000" w:themeColor="text1"/>
          </w:rPr>
          <w:t>Flabbi (2011</w:t>
        </w:r>
      </w:hyperlink>
      <w:r w:rsidRPr="00345B01">
        <w:rPr>
          <w:bCs/>
          <w:noProof/>
          <w:color w:val="000000" w:themeColor="text1"/>
        </w:rPr>
        <w:t>)</w:t>
      </w:r>
      <w:r w:rsidR="00E12159" w:rsidRPr="00345B01">
        <w:rPr>
          <w:bCs/>
          <w:color w:val="000000" w:themeColor="text1"/>
        </w:rPr>
        <w:fldChar w:fldCharType="end"/>
      </w:r>
      <w:r w:rsidRPr="00345B01">
        <w:rPr>
          <w:bCs/>
          <w:color w:val="000000" w:themeColor="text1"/>
        </w:rPr>
        <w:t xml:space="preserve"> that analyzes education </w:t>
      </w:r>
      <w:r w:rsidRPr="00345B01">
        <w:rPr>
          <w:bCs/>
        </w:rPr>
        <w:t>choices</w:t>
      </w:r>
      <w:r w:rsidRPr="00345B01">
        <w:rPr>
          <w:bCs/>
          <w:color w:val="000000" w:themeColor="text1"/>
        </w:rPr>
        <w:t xml:space="preserve"> and labor market outcomes in a sample of OECD countries, including Estonia and the Czech Republic. It also concludes that these gender differentials in choice are not associated to any other observable individual characteristics. The study further finds that </w:t>
      </w:r>
      <w:r w:rsidR="00B762DB">
        <w:rPr>
          <w:bCs/>
          <w:color w:val="000000" w:themeColor="text1"/>
        </w:rPr>
        <w:t xml:space="preserve">the </w:t>
      </w:r>
      <w:r w:rsidRPr="00345B01">
        <w:rPr>
          <w:bCs/>
          <w:color w:val="000000" w:themeColor="text1"/>
        </w:rPr>
        <w:t>field of study subsequently has an effect on labor markets, namely occupational segregation and the gender wage gap. It therefore appears that the decision of women to not pursue education well matched to the demands of the labor market reinforces employment inequalities.</w:t>
      </w:r>
    </w:p>
    <w:p w14:paraId="0DB53C51" w14:textId="77777777" w:rsidR="00B5234E" w:rsidRDefault="003C3C3F" w:rsidP="00B5234E">
      <w:pPr>
        <w:pStyle w:val="Heading2"/>
      </w:pPr>
      <w:bookmarkStart w:id="37" w:name="_Toc226957248"/>
      <w:r>
        <w:lastRenderedPageBreak/>
        <w:t>Demography</w:t>
      </w:r>
      <w:bookmarkEnd w:id="37"/>
    </w:p>
    <w:p w14:paraId="7CD7A3A6" w14:textId="4B8D5C9C" w:rsidR="0014182C" w:rsidRPr="00503E27" w:rsidRDefault="00AA5C2B" w:rsidP="00450916">
      <w:pPr>
        <w:pStyle w:val="MainParawithChapter"/>
        <w:ind w:left="0" w:firstLine="0"/>
        <w:jc w:val="both"/>
        <w:outlineLvl w:val="9"/>
        <w:rPr>
          <w:bCs/>
          <w:color w:val="000000" w:themeColor="text1"/>
        </w:rPr>
      </w:pPr>
      <w:r>
        <w:rPr>
          <w:b/>
          <w:bCs/>
          <w:color w:val="000000" w:themeColor="text1"/>
        </w:rPr>
        <w:t xml:space="preserve">The </w:t>
      </w:r>
      <w:r w:rsidR="004E7EEC" w:rsidRPr="00503E27">
        <w:rPr>
          <w:b/>
          <w:bCs/>
          <w:color w:val="000000" w:themeColor="text1"/>
        </w:rPr>
        <w:t>far-</w:t>
      </w:r>
      <w:r w:rsidR="004E7EEC" w:rsidRPr="00450916">
        <w:rPr>
          <w:rFonts w:cstheme="minorHAnsi"/>
          <w:b/>
        </w:rPr>
        <w:t>reaching</w:t>
      </w:r>
      <w:r w:rsidR="004E7EEC" w:rsidRPr="00503E27">
        <w:rPr>
          <w:b/>
          <w:bCs/>
          <w:color w:val="000000" w:themeColor="text1"/>
        </w:rPr>
        <w:t xml:space="preserve"> </w:t>
      </w:r>
      <w:r w:rsidR="00C84FFF" w:rsidRPr="00503E27">
        <w:rPr>
          <w:b/>
          <w:bCs/>
          <w:color w:val="000000" w:themeColor="text1"/>
        </w:rPr>
        <w:t xml:space="preserve">political and economic changes </w:t>
      </w:r>
      <w:r>
        <w:rPr>
          <w:b/>
          <w:bCs/>
          <w:color w:val="000000" w:themeColor="text1"/>
        </w:rPr>
        <w:t xml:space="preserve">in Europe and Central Asia </w:t>
      </w:r>
      <w:r w:rsidR="00C84FFF" w:rsidRPr="00503E27">
        <w:rPr>
          <w:b/>
          <w:bCs/>
          <w:color w:val="000000" w:themeColor="text1"/>
        </w:rPr>
        <w:t>have been accompanied by a</w:t>
      </w:r>
      <w:r w:rsidR="004E7EEC" w:rsidRPr="00503E27">
        <w:rPr>
          <w:b/>
          <w:bCs/>
          <w:color w:val="000000" w:themeColor="text1"/>
        </w:rPr>
        <w:t xml:space="preserve"> “third tra</w:t>
      </w:r>
      <w:r w:rsidR="00F86C76">
        <w:rPr>
          <w:b/>
          <w:bCs/>
          <w:color w:val="000000" w:themeColor="text1"/>
        </w:rPr>
        <w:t>nsition” of a significantly “gre</w:t>
      </w:r>
      <w:r w:rsidR="004E7EEC" w:rsidRPr="00503E27">
        <w:rPr>
          <w:b/>
          <w:bCs/>
          <w:color w:val="000000" w:themeColor="text1"/>
        </w:rPr>
        <w:t xml:space="preserve">ying” population. </w:t>
      </w:r>
      <w:r w:rsidR="00082EEF">
        <w:rPr>
          <w:bCs/>
          <w:color w:val="000000" w:themeColor="text1"/>
        </w:rPr>
        <w:t>Many</w:t>
      </w:r>
      <w:r w:rsidR="00503E27" w:rsidRPr="00503E27">
        <w:rPr>
          <w:bCs/>
          <w:color w:val="000000" w:themeColor="text1"/>
        </w:rPr>
        <w:t xml:space="preserve"> ECA countries face the </w:t>
      </w:r>
      <w:r w:rsidR="00B0451F">
        <w:rPr>
          <w:bCs/>
          <w:color w:val="000000" w:themeColor="text1"/>
        </w:rPr>
        <w:t xml:space="preserve">common </w:t>
      </w:r>
      <w:r w:rsidR="00503E27" w:rsidRPr="00503E27">
        <w:rPr>
          <w:bCs/>
          <w:color w:val="000000" w:themeColor="text1"/>
        </w:rPr>
        <w:t>challenge of rapid</w:t>
      </w:r>
      <w:r>
        <w:rPr>
          <w:bCs/>
          <w:color w:val="000000" w:themeColor="text1"/>
        </w:rPr>
        <w:t>ly</w:t>
      </w:r>
      <w:r w:rsidR="00503E27" w:rsidRPr="00503E27">
        <w:rPr>
          <w:bCs/>
          <w:color w:val="000000" w:themeColor="text1"/>
        </w:rPr>
        <w:t xml:space="preserve"> aging</w:t>
      </w:r>
      <w:r>
        <w:rPr>
          <w:bCs/>
          <w:color w:val="000000" w:themeColor="text1"/>
        </w:rPr>
        <w:t xml:space="preserve"> societies</w:t>
      </w:r>
      <w:r w:rsidR="00503E27" w:rsidRPr="00503E27">
        <w:rPr>
          <w:bCs/>
          <w:color w:val="000000" w:themeColor="text1"/>
        </w:rPr>
        <w:t xml:space="preserve">, and a large majority also has to deal with shrinking populations. </w:t>
      </w:r>
      <w:r w:rsidR="00F1028B" w:rsidRPr="00503E27">
        <w:rPr>
          <w:bCs/>
          <w:color w:val="000000" w:themeColor="text1"/>
        </w:rPr>
        <w:t>The size and composition of a country’s population impacts greatly on its economy and society</w:t>
      </w:r>
      <w:r w:rsidR="00E87ED3">
        <w:rPr>
          <w:bCs/>
          <w:color w:val="000000" w:themeColor="text1"/>
        </w:rPr>
        <w:t>, as it affects for instance</w:t>
      </w:r>
      <w:r w:rsidR="00503E27">
        <w:rPr>
          <w:bCs/>
          <w:color w:val="000000" w:themeColor="text1"/>
        </w:rPr>
        <w:t xml:space="preserve"> the size of the labor force, the leve</w:t>
      </w:r>
      <w:r w:rsidR="00BD6541">
        <w:rPr>
          <w:bCs/>
          <w:color w:val="000000" w:themeColor="text1"/>
        </w:rPr>
        <w:t>l of savings and investments, and</w:t>
      </w:r>
      <w:r w:rsidR="00503E27">
        <w:rPr>
          <w:bCs/>
          <w:color w:val="000000" w:themeColor="text1"/>
        </w:rPr>
        <w:t xml:space="preserve"> the budget shares allocated to education and health </w:t>
      </w:r>
      <w:r w:rsidR="00E12159">
        <w:rPr>
          <w:bCs/>
          <w:color w:val="000000" w:themeColor="text1"/>
        </w:rPr>
        <w:fldChar w:fldCharType="begin"/>
      </w:r>
      <w:r w:rsidR="00503E27">
        <w:rPr>
          <w:bCs/>
          <w:color w:val="000000" w:themeColor="text1"/>
        </w:rPr>
        <w:instrText xml:space="preserve"> </w:instrText>
      </w:r>
      <w:r w:rsidR="009F7A22">
        <w:rPr>
          <w:bCs/>
          <w:color w:val="000000" w:themeColor="text1"/>
        </w:rPr>
        <w:instrText>ADDIN</w:instrText>
      </w:r>
      <w:r w:rsidR="00503E27">
        <w:rPr>
          <w:bCs/>
          <w:color w:val="000000" w:themeColor="text1"/>
        </w:rPr>
        <w:instrText xml:space="preserve"> EN.CITE &lt;EndNote&gt;&lt;Cite&gt;&lt;Author&gt;Chawla&lt;/Author&gt;&lt;Year&gt;2007&lt;/Year&gt;&lt;RecNum&gt;19&lt;/RecNum&gt;&lt;DisplayText&gt;(Chawla, Betcherman, &amp;amp; Banerji, 2007)&lt;/DisplayText&gt;&lt;record&gt;&lt;rec-number&gt;19&lt;/rec-number&gt;&lt;foreign-keys&gt;&lt;key app="EN" db-id="wes5dreptvrsr2eeartvxexxftt2tastxrfs"&gt;19&lt;/key&gt;&lt;/foreign-keys&gt;&lt;ref-type name="Book"&gt;6&lt;/ref-type&gt;&lt;contributors&gt;&lt;authors&gt;&lt;author&gt;Mukesh Chawla&lt;/author&gt;&lt;author&gt;Gordon Betcherman&lt;/author&gt;&lt;author&gt;Arup Banerji&lt;/author&gt;&lt;/authors&gt;&lt;/contributors&gt;&lt;titles&gt;&lt;title&gt;From Red to Grey. The &amp;quot;Third Transition&amp;quot; of Aging Populations in Eastern Europe and the former Soviet Union&lt;/title&gt;&lt;/titles&gt;&lt;dates&gt;&lt;year&gt;2007&lt;/year&gt;&lt;/dates&gt;&lt;pub-location&gt;Washington, DC&lt;/pub-location&gt;&lt;publisher&gt;World Bank&lt;/publisher&gt;&lt;urls&gt;&lt;/urls&gt;&lt;/record&gt;&lt;/Cite&gt;&lt;/EndNote&gt;</w:instrText>
      </w:r>
      <w:r w:rsidR="00E12159">
        <w:rPr>
          <w:bCs/>
          <w:color w:val="000000" w:themeColor="text1"/>
        </w:rPr>
        <w:fldChar w:fldCharType="separate"/>
      </w:r>
      <w:r w:rsidR="00503E27">
        <w:rPr>
          <w:bCs/>
          <w:noProof/>
          <w:color w:val="000000" w:themeColor="text1"/>
        </w:rPr>
        <w:t>(</w:t>
      </w:r>
      <w:hyperlink w:anchor="_ENREF_10" w:tooltip="Chawla, 2007 #19" w:history="1">
        <w:r w:rsidR="006A1532">
          <w:rPr>
            <w:bCs/>
            <w:noProof/>
            <w:color w:val="000000" w:themeColor="text1"/>
          </w:rPr>
          <w:t>Chawla, Betcherman, &amp; Banerji, 2007</w:t>
        </w:r>
      </w:hyperlink>
      <w:r w:rsidR="00503E27">
        <w:rPr>
          <w:bCs/>
          <w:noProof/>
          <w:color w:val="000000" w:themeColor="text1"/>
        </w:rPr>
        <w:t>)</w:t>
      </w:r>
      <w:r w:rsidR="00E12159">
        <w:rPr>
          <w:bCs/>
          <w:color w:val="000000" w:themeColor="text1"/>
        </w:rPr>
        <w:fldChar w:fldCharType="end"/>
      </w:r>
      <w:r w:rsidR="00F1028B" w:rsidRPr="00503E27">
        <w:rPr>
          <w:bCs/>
          <w:color w:val="000000" w:themeColor="text1"/>
        </w:rPr>
        <w:t xml:space="preserve">. </w:t>
      </w:r>
      <w:r w:rsidR="00503E27">
        <w:rPr>
          <w:bCs/>
          <w:color w:val="000000" w:themeColor="text1"/>
        </w:rPr>
        <w:t>This section briefly summarizes Tajikistan’s demographic profile and population trends.</w:t>
      </w:r>
    </w:p>
    <w:p w14:paraId="77AE084B" w14:textId="63E8868F" w:rsidR="003273C4" w:rsidRPr="003273C4" w:rsidRDefault="0014182C" w:rsidP="00450916">
      <w:pPr>
        <w:pStyle w:val="MainParawithChapter"/>
        <w:ind w:left="0" w:firstLine="0"/>
        <w:jc w:val="both"/>
        <w:outlineLvl w:val="9"/>
        <w:rPr>
          <w:bCs/>
          <w:color w:val="000000" w:themeColor="text1"/>
        </w:rPr>
      </w:pPr>
      <w:r w:rsidRPr="0014182C">
        <w:rPr>
          <w:b/>
          <w:bCs/>
          <w:color w:val="000000" w:themeColor="text1"/>
        </w:rPr>
        <w:t xml:space="preserve">In contrast to declining </w:t>
      </w:r>
      <w:r w:rsidR="00B0451F">
        <w:rPr>
          <w:b/>
          <w:bCs/>
          <w:color w:val="000000" w:themeColor="text1"/>
        </w:rPr>
        <w:t>populations in a majority of</w:t>
      </w:r>
      <w:r w:rsidRPr="0014182C">
        <w:rPr>
          <w:b/>
          <w:bCs/>
          <w:color w:val="000000" w:themeColor="text1"/>
        </w:rPr>
        <w:t xml:space="preserve"> countries</w:t>
      </w:r>
      <w:r w:rsidR="00B0451F">
        <w:rPr>
          <w:b/>
          <w:bCs/>
          <w:color w:val="000000" w:themeColor="text1"/>
        </w:rPr>
        <w:t xml:space="preserve"> in Europe and Central Asia</w:t>
      </w:r>
      <w:r w:rsidRPr="0014182C">
        <w:rPr>
          <w:b/>
          <w:bCs/>
          <w:color w:val="000000" w:themeColor="text1"/>
        </w:rPr>
        <w:t xml:space="preserve">, Tajikistan’s population growth will continue for the next decades. </w:t>
      </w:r>
      <w:r w:rsidRPr="0014182C">
        <w:rPr>
          <w:bCs/>
          <w:color w:val="000000" w:themeColor="text1"/>
        </w:rPr>
        <w:t xml:space="preserve">At present, Tajikistan has a comparatively young population that is </w:t>
      </w:r>
      <w:r w:rsidR="00AA5C2B">
        <w:rPr>
          <w:bCs/>
          <w:color w:val="000000" w:themeColor="text1"/>
        </w:rPr>
        <w:t>depicted</w:t>
      </w:r>
      <w:r w:rsidRPr="0014182C">
        <w:rPr>
          <w:bCs/>
          <w:color w:val="000000" w:themeColor="text1"/>
        </w:rPr>
        <w:t xml:space="preserve"> by a population pyramid with a large base and a skinny top (see left panel in </w:t>
      </w:r>
      <w:r w:rsidR="00E12159" w:rsidRPr="0014182C">
        <w:rPr>
          <w:bCs/>
          <w:color w:val="000000" w:themeColor="text1"/>
        </w:rPr>
        <w:fldChar w:fldCharType="begin"/>
      </w:r>
      <w:r w:rsidRPr="0014182C">
        <w:rPr>
          <w:bCs/>
          <w:color w:val="000000" w:themeColor="text1"/>
        </w:rPr>
        <w:instrText xml:space="preserve"> </w:instrText>
      </w:r>
      <w:r w:rsidR="009F7A22">
        <w:rPr>
          <w:bCs/>
          <w:color w:val="000000" w:themeColor="text1"/>
        </w:rPr>
        <w:instrText>REF</w:instrText>
      </w:r>
      <w:r w:rsidRPr="0014182C">
        <w:rPr>
          <w:bCs/>
          <w:color w:val="000000" w:themeColor="text1"/>
        </w:rPr>
        <w:instrText xml:space="preserve"> _Ref219191789 \h </w:instrText>
      </w:r>
      <w:r w:rsidR="00E12159" w:rsidRPr="0014182C">
        <w:rPr>
          <w:bCs/>
          <w:color w:val="000000" w:themeColor="text1"/>
        </w:rPr>
      </w:r>
      <w:r w:rsidR="00E12159" w:rsidRPr="0014182C">
        <w:rPr>
          <w:bCs/>
          <w:color w:val="000000" w:themeColor="text1"/>
        </w:rPr>
        <w:fldChar w:fldCharType="separate"/>
      </w:r>
      <w:r w:rsidR="00183FFF" w:rsidRPr="0014182C">
        <w:rPr>
          <w:b/>
          <w:noProof/>
          <w:sz w:val="22"/>
          <w:szCs w:val="22"/>
          <w:lang w:val="de-DE" w:eastAsia="de-DE"/>
        </w:rPr>
        <w:t xml:space="preserve">Figure </w:t>
      </w:r>
      <w:r w:rsidR="00183FFF">
        <w:rPr>
          <w:b/>
          <w:noProof/>
          <w:sz w:val="22"/>
          <w:szCs w:val="22"/>
          <w:lang w:val="de-DE" w:eastAsia="de-DE"/>
        </w:rPr>
        <w:t>10</w:t>
      </w:r>
      <w:r w:rsidR="00E12159" w:rsidRPr="0014182C">
        <w:rPr>
          <w:bCs/>
          <w:color w:val="000000" w:themeColor="text1"/>
        </w:rPr>
        <w:fldChar w:fldCharType="end"/>
      </w:r>
      <w:r w:rsidRPr="0014182C">
        <w:rPr>
          <w:bCs/>
          <w:color w:val="000000" w:themeColor="text1"/>
        </w:rPr>
        <w:t xml:space="preserve">). It is now rapidly </w:t>
      </w:r>
      <w:r w:rsidR="00B66310">
        <w:rPr>
          <w:bCs/>
          <w:color w:val="000000" w:themeColor="text1"/>
        </w:rPr>
        <w:t>developing</w:t>
      </w:r>
      <w:r w:rsidRPr="0014182C">
        <w:rPr>
          <w:bCs/>
          <w:color w:val="000000" w:themeColor="text1"/>
        </w:rPr>
        <w:t xml:space="preserve"> towards the window of opportunity phase that i</w:t>
      </w:r>
      <w:r w:rsidR="00B22BDA">
        <w:rPr>
          <w:bCs/>
          <w:color w:val="000000" w:themeColor="text1"/>
        </w:rPr>
        <w:t>s</w:t>
      </w:r>
      <w:r w:rsidR="00D75258">
        <w:rPr>
          <w:bCs/>
          <w:color w:val="000000" w:themeColor="text1"/>
        </w:rPr>
        <w:t xml:space="preserve"> characterized by an increase in the portion o</w:t>
      </w:r>
      <w:r w:rsidRPr="0014182C">
        <w:rPr>
          <w:bCs/>
          <w:color w:val="000000" w:themeColor="text1"/>
        </w:rPr>
        <w:t xml:space="preserve">f the population </w:t>
      </w:r>
      <w:r w:rsidR="00D75258">
        <w:rPr>
          <w:bCs/>
          <w:color w:val="000000" w:themeColor="text1"/>
        </w:rPr>
        <w:t xml:space="preserve">that is </w:t>
      </w:r>
      <w:r w:rsidR="00B22BDA">
        <w:rPr>
          <w:bCs/>
          <w:color w:val="000000" w:themeColor="text1"/>
        </w:rPr>
        <w:t>of prime age and</w:t>
      </w:r>
      <w:r w:rsidRPr="0014182C">
        <w:rPr>
          <w:bCs/>
          <w:color w:val="000000" w:themeColor="text1"/>
        </w:rPr>
        <w:t xml:space="preserve"> </w:t>
      </w:r>
      <w:r w:rsidR="00B0451F">
        <w:rPr>
          <w:bCs/>
          <w:color w:val="000000" w:themeColor="text1"/>
        </w:rPr>
        <w:t xml:space="preserve">potentially economically active. This evolution opens up important </w:t>
      </w:r>
      <w:r w:rsidRPr="0014182C">
        <w:rPr>
          <w:bCs/>
          <w:color w:val="000000" w:themeColor="text1"/>
        </w:rPr>
        <w:t>opportunities for greater economic growth</w:t>
      </w:r>
      <w:r w:rsidR="00B0451F">
        <w:rPr>
          <w:bCs/>
          <w:color w:val="000000" w:themeColor="text1"/>
        </w:rPr>
        <w:t xml:space="preserve"> </w:t>
      </w:r>
      <w:r w:rsidRPr="0014182C">
        <w:rPr>
          <w:bCs/>
          <w:color w:val="000000" w:themeColor="text1"/>
        </w:rPr>
        <w:t xml:space="preserve">(panel on the right hand side). </w:t>
      </w:r>
      <w:r w:rsidR="0067556A">
        <w:rPr>
          <w:bCs/>
          <w:color w:val="000000" w:themeColor="text1"/>
        </w:rPr>
        <w:t>Based on a medium-fertility variant, it</w:t>
      </w:r>
      <w:r w:rsidR="00B0451F">
        <w:rPr>
          <w:bCs/>
          <w:color w:val="000000" w:themeColor="text1"/>
        </w:rPr>
        <w:t xml:space="preserve"> is expected that – opposed to the</w:t>
      </w:r>
      <w:r w:rsidR="0067556A">
        <w:rPr>
          <w:bCs/>
          <w:color w:val="000000" w:themeColor="text1"/>
        </w:rPr>
        <w:t xml:space="preserve"> large majority of ECA cou</w:t>
      </w:r>
      <w:r w:rsidR="00AA5C2B">
        <w:rPr>
          <w:bCs/>
          <w:color w:val="000000" w:themeColor="text1"/>
        </w:rPr>
        <w:t xml:space="preserve">ntries – </w:t>
      </w:r>
      <w:r w:rsidR="0067556A">
        <w:rPr>
          <w:bCs/>
          <w:color w:val="000000" w:themeColor="text1"/>
        </w:rPr>
        <w:t xml:space="preserve">Tajikistan’s population will continue growing </w:t>
      </w:r>
      <w:r w:rsidR="00293514">
        <w:rPr>
          <w:bCs/>
          <w:color w:val="000000" w:themeColor="text1"/>
        </w:rPr>
        <w:t>until 2080, though at continuously decreasing</w:t>
      </w:r>
      <w:r w:rsidR="00B0451F">
        <w:rPr>
          <w:bCs/>
          <w:color w:val="000000" w:themeColor="text1"/>
        </w:rPr>
        <w:t xml:space="preserve"> growth</w:t>
      </w:r>
      <w:r w:rsidR="00293514">
        <w:rPr>
          <w:bCs/>
          <w:color w:val="000000" w:themeColor="text1"/>
        </w:rPr>
        <w:t xml:space="preserve"> rates</w:t>
      </w:r>
      <w:r w:rsidR="000716C6">
        <w:rPr>
          <w:bCs/>
          <w:color w:val="000000" w:themeColor="text1"/>
        </w:rPr>
        <w:t xml:space="preserve"> </w:t>
      </w:r>
      <w:r w:rsidR="00E12159">
        <w:rPr>
          <w:bCs/>
          <w:color w:val="000000" w:themeColor="text1"/>
        </w:rPr>
        <w:fldChar w:fldCharType="begin"/>
      </w:r>
      <w:r w:rsidR="006805E8">
        <w:rPr>
          <w:bCs/>
          <w:color w:val="000000" w:themeColor="text1"/>
        </w:rPr>
        <w:instrText xml:space="preserve"> </w:instrText>
      </w:r>
      <w:r w:rsidR="009F7A22">
        <w:rPr>
          <w:bCs/>
          <w:color w:val="000000" w:themeColor="text1"/>
        </w:rPr>
        <w:instrText>ADDIN</w:instrText>
      </w:r>
      <w:r w:rsidR="006805E8">
        <w:rPr>
          <w:bCs/>
          <w:color w:val="000000" w:themeColor="text1"/>
        </w:rPr>
        <w:instrText xml:space="preserve"> EN.CITE &lt;EndNote&gt;&lt;Cite&gt;&lt;Author&gt;United Nations&lt;/Author&gt;&lt;Year&gt;2011&lt;/Year&gt;&lt;RecNum&gt;20&lt;/RecNum&gt;&lt;DisplayText&gt;(United Nations, 2011b)&lt;/DisplayText&gt;&lt;record&gt;&lt;rec-number&gt;20&lt;/rec-number&gt;&lt;foreign-keys&gt;&lt;key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00E12159">
        <w:rPr>
          <w:bCs/>
          <w:color w:val="000000" w:themeColor="text1"/>
        </w:rPr>
        <w:fldChar w:fldCharType="separate"/>
      </w:r>
      <w:r w:rsidR="006805E8">
        <w:rPr>
          <w:bCs/>
          <w:noProof/>
          <w:color w:val="000000" w:themeColor="text1"/>
        </w:rPr>
        <w:t>(</w:t>
      </w:r>
      <w:hyperlink w:anchor="_ENREF_65" w:tooltip="United Nations, 2011 #20" w:history="1">
        <w:r w:rsidR="006A1532">
          <w:rPr>
            <w:bCs/>
            <w:noProof/>
            <w:color w:val="000000" w:themeColor="text1"/>
          </w:rPr>
          <w:t>United Nations, 2011b</w:t>
        </w:r>
      </w:hyperlink>
      <w:r w:rsidR="006805E8">
        <w:rPr>
          <w:bCs/>
          <w:noProof/>
          <w:color w:val="000000" w:themeColor="text1"/>
        </w:rPr>
        <w:t>)</w:t>
      </w:r>
      <w:r w:rsidR="00E12159">
        <w:rPr>
          <w:bCs/>
          <w:color w:val="000000" w:themeColor="text1"/>
        </w:rPr>
        <w:fldChar w:fldCharType="end"/>
      </w:r>
      <w:r w:rsidR="00293514">
        <w:rPr>
          <w:bCs/>
          <w:color w:val="000000" w:themeColor="text1"/>
        </w:rPr>
        <w:t>.</w:t>
      </w:r>
      <w:r w:rsidR="003273C4" w:rsidRPr="003273C4">
        <w:rPr>
          <w:b/>
          <w:bCs/>
          <w:color w:val="000000" w:themeColor="text1"/>
        </w:rPr>
        <w:t xml:space="preserve"> </w:t>
      </w:r>
    </w:p>
    <w:p w14:paraId="6A812226" w14:textId="5323F4ED" w:rsidR="0014182C" w:rsidRDefault="0056252A" w:rsidP="008F5C92">
      <w:pPr>
        <w:spacing w:after="60"/>
        <w:jc w:val="center"/>
        <w:rPr>
          <w:b/>
        </w:rPr>
      </w:pPr>
      <w:bookmarkStart w:id="38" w:name="_Ref219191789"/>
      <w:bookmarkStart w:id="39" w:name="_Toc219987860"/>
      <w:bookmarkStart w:id="40" w:name="_Toc232694748"/>
      <w:r>
        <w:rPr>
          <w:b/>
          <w:bCs/>
          <w:i/>
          <w:caps/>
          <w:noProof/>
          <w:sz w:val="22"/>
          <w:szCs w:val="22"/>
        </w:rPr>
        <mc:AlternateContent>
          <mc:Choice Requires="wps">
            <w:drawing>
              <wp:anchor distT="0" distB="0" distL="114300" distR="114300" simplePos="0" relativeHeight="251662336" behindDoc="0" locked="0" layoutInCell="1" allowOverlap="1" wp14:anchorId="40DE8038" wp14:editId="32E9C574">
                <wp:simplePos x="0" y="0"/>
                <wp:positionH relativeFrom="column">
                  <wp:posOffset>2743200</wp:posOffset>
                </wp:positionH>
                <wp:positionV relativeFrom="paragraph">
                  <wp:posOffset>256540</wp:posOffset>
                </wp:positionV>
                <wp:extent cx="2971800" cy="2303780"/>
                <wp:effectExtent l="0" t="0" r="0" b="1270"/>
                <wp:wrapTopAndBottom/>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3037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02F0F0" w14:textId="77777777" w:rsidR="00E44497" w:rsidRDefault="00E44497" w:rsidP="0014182C">
                            <w:r>
                              <w:rPr>
                                <w:noProof/>
                              </w:rPr>
                              <w:drawing>
                                <wp:inline distT="0" distB="0" distL="0" distR="0" wp14:anchorId="244D7671" wp14:editId="4AC5A46B">
                                  <wp:extent cx="2749156" cy="2179697"/>
                                  <wp:effectExtent l="0" t="0" r="0" b="5080"/>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06" b="-1"/>
                                          <a:stretch/>
                                        </pic:blipFill>
                                        <pic:spPr bwMode="auto">
                                          <a:xfrm>
                                            <a:off x="0" y="0"/>
                                            <a:ext cx="2749707" cy="21801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0" type="#_x0000_t202" style="position:absolute;left:0;text-align:left;margin-left:3in;margin-top:20.2pt;width:234pt;height:18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" filled="f" stroked="f">
                <v:path arrowok="t"/>
                <v:textbox>
                  <w:txbxContent>
                    <w:p w14:paraId="4702F0F0" w14:textId="77777777" w:rsidR="00E44497" w:rsidRDefault="00E44497" w:rsidP="0014182C">
                      <w:r>
                        <w:rPr>
                          <w:noProof/>
                        </w:rPr>
                        <w:drawing>
                          <wp:inline distT="0" distB="0" distL="0" distR="0" wp14:anchorId="244D7671" wp14:editId="4AC5A46B">
                            <wp:extent cx="2749156" cy="2179697"/>
                            <wp:effectExtent l="0" t="0" r="0" b="5080"/>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06" b="-1"/>
                                    <a:stretch/>
                                  </pic:blipFill>
                                  <pic:spPr bwMode="auto">
                                    <a:xfrm>
                                      <a:off x="0" y="0"/>
                                      <a:ext cx="2749707" cy="21801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Pr>
          <w:b/>
          <w:noProof/>
          <w:sz w:val="22"/>
          <w:szCs w:val="22"/>
        </w:rPr>
        <mc:AlternateContent>
          <mc:Choice Requires="wps">
            <w:drawing>
              <wp:anchor distT="0" distB="0" distL="114300" distR="114300" simplePos="0" relativeHeight="251663360" behindDoc="0" locked="0" layoutInCell="1" allowOverlap="1" wp14:anchorId="4D48B633" wp14:editId="7982B22B">
                <wp:simplePos x="0" y="0"/>
                <wp:positionH relativeFrom="column">
                  <wp:posOffset>-114300</wp:posOffset>
                </wp:positionH>
                <wp:positionV relativeFrom="paragraph">
                  <wp:posOffset>228600</wp:posOffset>
                </wp:positionV>
                <wp:extent cx="2879725" cy="2286000"/>
                <wp:effectExtent l="0" t="0" r="0" b="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11B26C" w14:textId="77777777" w:rsidR="00E44497" w:rsidRDefault="00E44497" w:rsidP="0014182C">
                            <w:r>
                              <w:rPr>
                                <w:noProof/>
                              </w:rPr>
                              <w:drawing>
                                <wp:inline distT="0" distB="0" distL="0" distR="0" wp14:anchorId="1B416EC5" wp14:editId="38434380">
                                  <wp:extent cx="2766352" cy="2195830"/>
                                  <wp:effectExtent l="0" t="0" r="254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211"/>
                                          <a:stretch/>
                                        </pic:blipFill>
                                        <pic:spPr bwMode="auto">
                                          <a:xfrm>
                                            <a:off x="0" y="0"/>
                                            <a:ext cx="2766352" cy="2195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1" type="#_x0000_t202" style="position:absolute;left:0;text-align:left;margin-left:-9pt;margin-top:18pt;width:226.75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" filled="f" stroked="f">
                <v:path arrowok="t"/>
                <v:textbox>
                  <w:txbxContent>
                    <w:p w14:paraId="3811B26C" w14:textId="77777777" w:rsidR="00E44497" w:rsidRDefault="00E44497" w:rsidP="0014182C">
                      <w:r>
                        <w:rPr>
                          <w:noProof/>
                        </w:rPr>
                        <w:drawing>
                          <wp:inline distT="0" distB="0" distL="0" distR="0" wp14:anchorId="1B416EC5" wp14:editId="38434380">
                            <wp:extent cx="2766352" cy="2195830"/>
                            <wp:effectExtent l="0" t="0" r="254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211"/>
                                    <a:stretch/>
                                  </pic:blipFill>
                                  <pic:spPr bwMode="auto">
                                    <a:xfrm>
                                      <a:off x="0" y="0"/>
                                      <a:ext cx="2766352" cy="2195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4182C" w:rsidRPr="0014182C">
        <w:rPr>
          <w:b/>
          <w:noProof/>
          <w:sz w:val="22"/>
          <w:szCs w:val="22"/>
          <w:lang w:val="de-DE" w:eastAsia="de-DE"/>
        </w:rPr>
        <w:t xml:space="preserve">Figure </w:t>
      </w:r>
      <w:r w:rsidR="00E12159" w:rsidRPr="0014182C">
        <w:rPr>
          <w:b/>
          <w:noProof/>
          <w:sz w:val="22"/>
          <w:szCs w:val="22"/>
          <w:lang w:val="de-DE" w:eastAsia="de-DE"/>
        </w:rPr>
        <w:fldChar w:fldCharType="begin"/>
      </w:r>
      <w:r w:rsidR="0014182C" w:rsidRPr="0014182C">
        <w:rPr>
          <w:b/>
          <w:noProof/>
          <w:sz w:val="22"/>
          <w:szCs w:val="22"/>
          <w:lang w:val="de-DE" w:eastAsia="de-DE"/>
        </w:rPr>
        <w:instrText xml:space="preserve"> </w:instrText>
      </w:r>
      <w:r w:rsidR="009F7A22">
        <w:rPr>
          <w:b/>
          <w:noProof/>
          <w:sz w:val="22"/>
          <w:szCs w:val="22"/>
          <w:lang w:val="de-DE" w:eastAsia="de-DE"/>
        </w:rPr>
        <w:instrText>SEQ</w:instrText>
      </w:r>
      <w:r w:rsidR="0014182C" w:rsidRPr="0014182C">
        <w:rPr>
          <w:b/>
          <w:noProof/>
          <w:sz w:val="22"/>
          <w:szCs w:val="22"/>
          <w:lang w:val="de-DE" w:eastAsia="de-DE"/>
        </w:rPr>
        <w:instrText xml:space="preserve"> Figure \* ARABIC </w:instrText>
      </w:r>
      <w:r w:rsidR="00E12159" w:rsidRPr="0014182C">
        <w:rPr>
          <w:b/>
          <w:noProof/>
          <w:sz w:val="22"/>
          <w:szCs w:val="22"/>
          <w:lang w:val="de-DE" w:eastAsia="de-DE"/>
        </w:rPr>
        <w:fldChar w:fldCharType="separate"/>
      </w:r>
      <w:r w:rsidR="00183FFF">
        <w:rPr>
          <w:b/>
          <w:noProof/>
          <w:sz w:val="22"/>
          <w:szCs w:val="22"/>
          <w:lang w:val="de-DE" w:eastAsia="de-DE"/>
        </w:rPr>
        <w:t>10</w:t>
      </w:r>
      <w:r w:rsidR="00E12159" w:rsidRPr="0014182C">
        <w:rPr>
          <w:b/>
          <w:noProof/>
          <w:sz w:val="22"/>
          <w:szCs w:val="22"/>
          <w:lang w:val="de-DE" w:eastAsia="de-DE"/>
        </w:rPr>
        <w:fldChar w:fldCharType="end"/>
      </w:r>
      <w:bookmarkEnd w:id="38"/>
      <w:r w:rsidR="0014182C" w:rsidRPr="0014182C">
        <w:rPr>
          <w:b/>
          <w:noProof/>
          <w:sz w:val="22"/>
          <w:szCs w:val="22"/>
          <w:lang w:val="de-DE" w:eastAsia="de-DE"/>
        </w:rPr>
        <w:t xml:space="preserve">. Population </w:t>
      </w:r>
      <w:r w:rsidR="006A1532">
        <w:rPr>
          <w:noProof/>
          <w:lang w:val="de-DE" w:eastAsia="de-DE"/>
        </w:rPr>
        <w:t>by age groups and sex (absolute numbers)</w:t>
      </w:r>
      <w:r w:rsidR="0014182C" w:rsidRPr="0014182C">
        <w:rPr>
          <w:b/>
          <w:noProof/>
          <w:sz w:val="22"/>
          <w:szCs w:val="22"/>
          <w:lang w:val="de-DE" w:eastAsia="de-DE"/>
        </w:rPr>
        <w:t>, 2010 and 2050</w:t>
      </w:r>
      <w:bookmarkEnd w:id="39"/>
      <w:bookmarkEnd w:id="40"/>
    </w:p>
    <w:p w14:paraId="77080436" w14:textId="319E4B65" w:rsidR="0014182C" w:rsidRPr="002A6065" w:rsidRDefault="0014182C" w:rsidP="00F07E07">
      <w:pPr>
        <w:jc w:val="both"/>
        <w:rPr>
          <w:i/>
          <w:sz w:val="22"/>
          <w:szCs w:val="22"/>
        </w:rPr>
      </w:pPr>
      <w:r w:rsidRPr="002A6065">
        <w:rPr>
          <w:i/>
          <w:sz w:val="22"/>
          <w:szCs w:val="22"/>
        </w:rPr>
        <w:t xml:space="preserve">Notes: </w:t>
      </w:r>
      <w:r w:rsidRPr="002A6065">
        <w:rPr>
          <w:sz w:val="22"/>
          <w:szCs w:val="22"/>
        </w:rPr>
        <w:t xml:space="preserve">Data are in thousands. </w:t>
      </w:r>
      <w:r w:rsidR="006A1532">
        <w:rPr>
          <w:sz w:val="22"/>
          <w:szCs w:val="22"/>
        </w:rPr>
        <w:t>Total population is estimated to amount to 6</w:t>
      </w:r>
      <w:r w:rsidR="00EE5586">
        <w:rPr>
          <w:sz w:val="22"/>
          <w:szCs w:val="22"/>
        </w:rPr>
        <w:t>,879 thousands in 2010 and 10,745 thousands</w:t>
      </w:r>
      <w:r w:rsidR="006A1532">
        <w:rPr>
          <w:sz w:val="22"/>
          <w:szCs w:val="22"/>
        </w:rPr>
        <w:t xml:space="preserve"> in 2050. </w:t>
      </w:r>
      <w:r w:rsidRPr="002A6065">
        <w:rPr>
          <w:sz w:val="22"/>
          <w:szCs w:val="22"/>
        </w:rPr>
        <w:t>The dotted lines indicate the excess male or female population in certain age groups. Projections are based on a medium-fertility variant. Men are indicated in blue; women are indicated in brown.</w:t>
      </w:r>
    </w:p>
    <w:p w14:paraId="099687DA" w14:textId="7FDAC880" w:rsidR="0014182C" w:rsidRDefault="0014182C" w:rsidP="008F5C92">
      <w:pPr>
        <w:rPr>
          <w:sz w:val="22"/>
          <w:szCs w:val="22"/>
        </w:rPr>
      </w:pPr>
      <w:r w:rsidRPr="002A6065">
        <w:rPr>
          <w:i/>
          <w:sz w:val="22"/>
          <w:szCs w:val="22"/>
        </w:rPr>
        <w:t xml:space="preserve">Source: </w:t>
      </w:r>
      <w:r w:rsidR="00E12159" w:rsidRPr="002A6065">
        <w:rPr>
          <w:sz w:val="22"/>
          <w:szCs w:val="22"/>
        </w:rPr>
        <w:fldChar w:fldCharType="begin"/>
      </w:r>
      <w:r w:rsidR="006A1532">
        <w:rPr>
          <w:sz w:val="22"/>
          <w:szCs w:val="22"/>
        </w:rPr>
        <w:instrText xml:space="preserve"> ADDIN EN.CITE &lt;EndNote&gt;&lt;Cite AuthorYear="1"&gt;&lt;Author&gt;United Nations&lt;/Author&gt;&lt;Year&gt;2011&lt;/Year&gt;&lt;RecNum&gt;20&lt;/RecNum&gt;&lt;Pages&gt;869`, 871&lt;/Pages&gt;&lt;DisplayText&gt;United Nations (2011b, pp. 869, 871)&lt;/DisplayText&gt;&lt;record&gt;&lt;rec-number&gt;20&lt;/rec-number&gt;&lt;foreign-keys&gt;&lt;key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00E12159" w:rsidRPr="002A6065">
        <w:rPr>
          <w:sz w:val="22"/>
          <w:szCs w:val="22"/>
        </w:rPr>
        <w:fldChar w:fldCharType="separate"/>
      </w:r>
      <w:hyperlink w:anchor="_ENREF_65" w:tooltip="United Nations, 2011 #20" w:history="1">
        <w:r w:rsidR="006A1532">
          <w:rPr>
            <w:noProof/>
            <w:sz w:val="22"/>
            <w:szCs w:val="22"/>
          </w:rPr>
          <w:t>United Nations (2011b, pp. 869, 871</w:t>
        </w:r>
      </w:hyperlink>
      <w:r w:rsidR="006A1532">
        <w:rPr>
          <w:noProof/>
          <w:sz w:val="22"/>
          <w:szCs w:val="22"/>
        </w:rPr>
        <w:t>)</w:t>
      </w:r>
      <w:r w:rsidR="00E12159" w:rsidRPr="002A6065">
        <w:rPr>
          <w:sz w:val="22"/>
          <w:szCs w:val="22"/>
        </w:rPr>
        <w:fldChar w:fldCharType="end"/>
      </w:r>
      <w:r w:rsidRPr="002A6065">
        <w:rPr>
          <w:sz w:val="22"/>
          <w:szCs w:val="22"/>
        </w:rPr>
        <w:t>.</w:t>
      </w:r>
    </w:p>
    <w:p w14:paraId="6EE66FF6" w14:textId="77777777" w:rsidR="000145E6" w:rsidRDefault="000145E6" w:rsidP="008F5C92">
      <w:pPr>
        <w:rPr>
          <w:sz w:val="22"/>
          <w:szCs w:val="22"/>
        </w:rPr>
      </w:pPr>
    </w:p>
    <w:p w14:paraId="1962324C" w14:textId="77777777" w:rsidR="00BE1B6C" w:rsidRDefault="00BE1B6C" w:rsidP="00BE1B6C">
      <w:pPr>
        <w:spacing w:after="60"/>
        <w:jc w:val="center"/>
        <w:rPr>
          <w:sz w:val="22"/>
          <w:szCs w:val="22"/>
        </w:rPr>
      </w:pPr>
      <w:bookmarkStart w:id="41" w:name="_Ref220929595"/>
      <w:bookmarkStart w:id="42" w:name="_Toc232694749"/>
      <w:r w:rsidRPr="0014182C">
        <w:rPr>
          <w:b/>
          <w:noProof/>
          <w:sz w:val="22"/>
          <w:szCs w:val="22"/>
          <w:lang w:val="de-DE" w:eastAsia="de-DE"/>
        </w:rPr>
        <w:t xml:space="preserve">Figure </w:t>
      </w:r>
      <w:r w:rsidR="00E12159" w:rsidRPr="0014182C">
        <w:rPr>
          <w:b/>
          <w:noProof/>
          <w:sz w:val="22"/>
          <w:szCs w:val="22"/>
          <w:lang w:val="de-DE" w:eastAsia="de-DE"/>
        </w:rPr>
        <w:fldChar w:fldCharType="begin"/>
      </w:r>
      <w:r w:rsidRPr="0014182C">
        <w:rPr>
          <w:b/>
          <w:noProof/>
          <w:sz w:val="22"/>
          <w:szCs w:val="22"/>
          <w:lang w:val="de-DE" w:eastAsia="de-DE"/>
        </w:rPr>
        <w:instrText xml:space="preserve"> </w:instrText>
      </w:r>
      <w:r w:rsidR="009F7A22">
        <w:rPr>
          <w:b/>
          <w:noProof/>
          <w:sz w:val="22"/>
          <w:szCs w:val="22"/>
          <w:lang w:val="de-DE" w:eastAsia="de-DE"/>
        </w:rPr>
        <w:instrText>SEQ</w:instrText>
      </w:r>
      <w:r w:rsidRPr="0014182C">
        <w:rPr>
          <w:b/>
          <w:noProof/>
          <w:sz w:val="22"/>
          <w:szCs w:val="22"/>
          <w:lang w:val="de-DE" w:eastAsia="de-DE"/>
        </w:rPr>
        <w:instrText xml:space="preserve"> Figure \* ARABIC </w:instrText>
      </w:r>
      <w:r w:rsidR="00E12159" w:rsidRPr="0014182C">
        <w:rPr>
          <w:b/>
          <w:noProof/>
          <w:sz w:val="22"/>
          <w:szCs w:val="22"/>
          <w:lang w:val="de-DE" w:eastAsia="de-DE"/>
        </w:rPr>
        <w:fldChar w:fldCharType="separate"/>
      </w:r>
      <w:r w:rsidR="00183FFF">
        <w:rPr>
          <w:b/>
          <w:noProof/>
          <w:sz w:val="22"/>
          <w:szCs w:val="22"/>
          <w:lang w:val="de-DE" w:eastAsia="de-DE"/>
        </w:rPr>
        <w:t>11</w:t>
      </w:r>
      <w:r w:rsidR="00E12159" w:rsidRPr="0014182C">
        <w:rPr>
          <w:b/>
          <w:noProof/>
          <w:sz w:val="22"/>
          <w:szCs w:val="22"/>
          <w:lang w:val="de-DE" w:eastAsia="de-DE"/>
        </w:rPr>
        <w:fldChar w:fldCharType="end"/>
      </w:r>
      <w:bookmarkEnd w:id="41"/>
      <w:r w:rsidRPr="0014182C">
        <w:rPr>
          <w:b/>
          <w:noProof/>
          <w:sz w:val="22"/>
          <w:szCs w:val="22"/>
          <w:lang w:val="de-DE" w:eastAsia="de-DE"/>
        </w:rPr>
        <w:t xml:space="preserve">. </w:t>
      </w:r>
      <w:r>
        <w:rPr>
          <w:b/>
          <w:noProof/>
          <w:sz w:val="22"/>
          <w:szCs w:val="22"/>
          <w:lang w:val="de-DE" w:eastAsia="de-DE"/>
        </w:rPr>
        <w:t>Population by age groups</w:t>
      </w:r>
      <w:r w:rsidR="000E13A2">
        <w:rPr>
          <w:b/>
          <w:noProof/>
          <w:sz w:val="22"/>
          <w:szCs w:val="22"/>
          <w:lang w:val="de-DE" w:eastAsia="de-DE"/>
        </w:rPr>
        <w:t xml:space="preserve"> (%</w:t>
      </w:r>
      <w:r w:rsidR="00E87ED3">
        <w:rPr>
          <w:b/>
          <w:noProof/>
          <w:sz w:val="22"/>
          <w:szCs w:val="22"/>
          <w:lang w:val="de-DE" w:eastAsia="de-DE"/>
        </w:rPr>
        <w:t xml:space="preserve"> of total population)</w:t>
      </w:r>
      <w:r w:rsidRPr="0014182C">
        <w:rPr>
          <w:b/>
          <w:noProof/>
          <w:sz w:val="22"/>
          <w:szCs w:val="22"/>
          <w:lang w:val="de-DE" w:eastAsia="de-DE"/>
        </w:rPr>
        <w:t xml:space="preserve">, </w:t>
      </w:r>
      <w:r>
        <w:rPr>
          <w:b/>
          <w:noProof/>
          <w:sz w:val="22"/>
          <w:szCs w:val="22"/>
          <w:lang w:val="de-DE" w:eastAsia="de-DE"/>
        </w:rPr>
        <w:t>2010-</w:t>
      </w:r>
      <w:r w:rsidRPr="0014182C">
        <w:rPr>
          <w:b/>
          <w:noProof/>
          <w:sz w:val="22"/>
          <w:szCs w:val="22"/>
          <w:lang w:val="de-DE" w:eastAsia="de-DE"/>
        </w:rPr>
        <w:t>2050</w:t>
      </w:r>
      <w:bookmarkEnd w:id="42"/>
    </w:p>
    <w:p w14:paraId="67303FE2" w14:textId="77777777" w:rsidR="00B55341" w:rsidRPr="002A6065" w:rsidRDefault="00B55341" w:rsidP="008F5C92">
      <w:pPr>
        <w:rPr>
          <w:i/>
          <w:sz w:val="22"/>
          <w:szCs w:val="22"/>
        </w:rPr>
      </w:pPr>
      <w:r>
        <w:rPr>
          <w:noProof/>
        </w:rPr>
        <w:lastRenderedPageBreak/>
        <w:drawing>
          <wp:inline distT="0" distB="0" distL="0" distR="0" wp14:anchorId="25FA0E30" wp14:editId="733D1B63">
            <wp:extent cx="5486400" cy="1800000"/>
            <wp:effectExtent l="0" t="0" r="25400" b="2921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0FBCBC" w14:textId="77777777" w:rsidR="0014182C" w:rsidRPr="00DB32E8" w:rsidRDefault="00E87ED3" w:rsidP="00DB32E8">
      <w:pPr>
        <w:rPr>
          <w:sz w:val="22"/>
          <w:szCs w:val="22"/>
        </w:rPr>
      </w:pPr>
      <w:r w:rsidRPr="00DB32E8">
        <w:rPr>
          <w:i/>
          <w:sz w:val="22"/>
          <w:szCs w:val="22"/>
        </w:rPr>
        <w:t>Notes:</w:t>
      </w:r>
      <w:r w:rsidRPr="00DB32E8">
        <w:rPr>
          <w:sz w:val="22"/>
          <w:szCs w:val="22"/>
        </w:rPr>
        <w:t xml:space="preserve"> </w:t>
      </w:r>
      <w:r w:rsidR="00B70232" w:rsidRPr="00DB32E8">
        <w:rPr>
          <w:sz w:val="22"/>
          <w:szCs w:val="22"/>
        </w:rPr>
        <w:t>Projections are based on a medium-fertility variant.</w:t>
      </w:r>
    </w:p>
    <w:p w14:paraId="13C846E6" w14:textId="77777777" w:rsidR="00E87ED3" w:rsidRDefault="00E87ED3" w:rsidP="00F94601">
      <w:pPr>
        <w:jc w:val="both"/>
        <w:rPr>
          <w:sz w:val="22"/>
          <w:szCs w:val="22"/>
        </w:rPr>
      </w:pPr>
      <w:r w:rsidRPr="00B70232">
        <w:rPr>
          <w:i/>
          <w:sz w:val="22"/>
          <w:szCs w:val="22"/>
        </w:rPr>
        <w:t>Source:</w:t>
      </w:r>
      <w:r w:rsidR="00B70232">
        <w:rPr>
          <w:b/>
          <w:bCs/>
          <w:caps/>
          <w:sz w:val="22"/>
          <w:szCs w:val="22"/>
        </w:rPr>
        <w:t xml:space="preserve"> </w:t>
      </w:r>
      <w:r w:rsidR="00B70232" w:rsidRPr="00081D55">
        <w:rPr>
          <w:sz w:val="22"/>
          <w:szCs w:val="22"/>
        </w:rPr>
        <w:t xml:space="preserve">World Population Prospects, the 2010 Revision, United Nations, Department of </w:t>
      </w:r>
      <w:r w:rsidR="00B70232" w:rsidRPr="00F94601">
        <w:rPr>
          <w:sz w:val="22"/>
          <w:szCs w:val="22"/>
        </w:rPr>
        <w:t xml:space="preserve">Economic and Social Affairs/Population Division, New York, </w:t>
      </w:r>
      <w:hyperlink r:id="rId34" w:history="1">
        <w:r w:rsidR="00F94601" w:rsidRPr="005F3F9A">
          <w:rPr>
            <w:rStyle w:val="Hyperlink"/>
            <w:sz w:val="22"/>
            <w:szCs w:val="22"/>
          </w:rPr>
          <w:t>http://esa.un.org/unpd/wpp/Excel-Data/population.htm</w:t>
        </w:r>
      </w:hyperlink>
      <w:r w:rsidR="00F94601">
        <w:rPr>
          <w:sz w:val="22"/>
          <w:szCs w:val="22"/>
        </w:rPr>
        <w:t>.</w:t>
      </w:r>
    </w:p>
    <w:p w14:paraId="0554ADCA" w14:textId="77777777" w:rsidR="00F94601" w:rsidRPr="00F94601" w:rsidRDefault="00F94601" w:rsidP="00F94601">
      <w:pPr>
        <w:jc w:val="both"/>
        <w:rPr>
          <w:sz w:val="22"/>
          <w:szCs w:val="22"/>
        </w:rPr>
      </w:pPr>
    </w:p>
    <w:p w14:paraId="1C9BD5C2" w14:textId="42C5BF68" w:rsidR="00B0451F" w:rsidRPr="000145E6" w:rsidRDefault="00B0451F" w:rsidP="00B0451F">
      <w:pPr>
        <w:pStyle w:val="MainParawithChapter"/>
        <w:ind w:left="0" w:firstLine="0"/>
        <w:jc w:val="both"/>
        <w:outlineLvl w:val="9"/>
        <w:rPr>
          <w:bCs/>
          <w:color w:val="000000" w:themeColor="text1"/>
        </w:rPr>
      </w:pPr>
      <w:r w:rsidRPr="00450916">
        <w:rPr>
          <w:rFonts w:cstheme="minorHAnsi"/>
          <w:b/>
        </w:rPr>
        <w:t>Tajikistan’s</w:t>
      </w:r>
      <w:r>
        <w:rPr>
          <w:b/>
          <w:bCs/>
          <w:color w:val="000000" w:themeColor="text1"/>
        </w:rPr>
        <w:t xml:space="preserve"> challenge is to make</w:t>
      </w:r>
      <w:r w:rsidRPr="003A77BE">
        <w:rPr>
          <w:b/>
          <w:bCs/>
          <w:color w:val="000000" w:themeColor="text1"/>
        </w:rPr>
        <w:t xml:space="preserve"> best use of the demographic window of opportunity, which implies opening up economic opportunities for women.</w:t>
      </w:r>
      <w:r>
        <w:rPr>
          <w:bCs/>
          <w:color w:val="000000" w:themeColor="text1"/>
        </w:rPr>
        <w:t xml:space="preserve"> A majority of ECA countries is confronted with negative population growth rates, resulting in a decline of the share of people of working age and </w:t>
      </w:r>
      <w:r w:rsidR="00B6439A">
        <w:rPr>
          <w:bCs/>
          <w:color w:val="000000" w:themeColor="text1"/>
        </w:rPr>
        <w:t>a</w:t>
      </w:r>
      <w:r>
        <w:rPr>
          <w:bCs/>
          <w:color w:val="000000" w:themeColor="text1"/>
        </w:rPr>
        <w:t xml:space="preserve"> risk of economic contraction. This puts remarkable pressure on these nations to incentivize economically inactive women to enter the labor force, and to retain working women for a l</w:t>
      </w:r>
      <w:r w:rsidR="00AD4161">
        <w:rPr>
          <w:bCs/>
          <w:color w:val="000000" w:themeColor="text1"/>
        </w:rPr>
        <w:t xml:space="preserve">onger period of time by increasing </w:t>
      </w:r>
      <w:r>
        <w:rPr>
          <w:bCs/>
          <w:color w:val="000000" w:themeColor="text1"/>
        </w:rPr>
        <w:t xml:space="preserve">the retirement age </w:t>
      </w:r>
      <w:r w:rsidR="00E12159">
        <w:rPr>
          <w:bCs/>
          <w:color w:val="000000" w:themeColor="text1"/>
        </w:rPr>
        <w:fldChar w:fldCharType="begin"/>
      </w:r>
      <w:r>
        <w:rPr>
          <w:bCs/>
          <w:color w:val="000000" w:themeColor="text1"/>
        </w:rPr>
        <w:instrText xml:space="preserve"> ADDIN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Pr>
          <w:bCs/>
          <w:color w:val="000000" w:themeColor="text1"/>
        </w:rPr>
        <w:fldChar w:fldCharType="separate"/>
      </w:r>
      <w:r>
        <w:rPr>
          <w:bCs/>
          <w:noProof/>
          <w:color w:val="000000" w:themeColor="text1"/>
        </w:rPr>
        <w:t>(</w:t>
      </w:r>
      <w:hyperlink w:anchor="_ENREF_45" w:tooltip="Sattar, 2012 #3" w:history="1">
        <w:r w:rsidR="006A1532">
          <w:rPr>
            <w:bCs/>
            <w:noProof/>
            <w:color w:val="000000" w:themeColor="text1"/>
          </w:rPr>
          <w:t>Sattar, 2012</w:t>
        </w:r>
      </w:hyperlink>
      <w:r>
        <w:rPr>
          <w:bCs/>
          <w:noProof/>
          <w:color w:val="000000" w:themeColor="text1"/>
        </w:rPr>
        <w:t>)</w:t>
      </w:r>
      <w:r w:rsidR="00E12159">
        <w:rPr>
          <w:bCs/>
          <w:color w:val="000000" w:themeColor="text1"/>
        </w:rPr>
        <w:fldChar w:fldCharType="end"/>
      </w:r>
      <w:r>
        <w:rPr>
          <w:bCs/>
          <w:color w:val="000000" w:themeColor="text1"/>
        </w:rPr>
        <w:t xml:space="preserve">. Tajikistan faces different demographic trends insofar as the share of people between the ages of 15 and 64 is projected to constantly increase until 2050 (see </w:t>
      </w:r>
      <w:r w:rsidR="00E12159">
        <w:rPr>
          <w:bCs/>
          <w:color w:val="000000" w:themeColor="text1"/>
        </w:rPr>
        <w:fldChar w:fldCharType="begin"/>
      </w:r>
      <w:r>
        <w:rPr>
          <w:bCs/>
          <w:color w:val="000000" w:themeColor="text1"/>
        </w:rPr>
        <w:instrText xml:space="preserve"> REF _Ref220929595 \h </w:instrText>
      </w:r>
      <w:r w:rsidR="00E12159">
        <w:rPr>
          <w:bCs/>
          <w:color w:val="000000" w:themeColor="text1"/>
        </w:rPr>
      </w:r>
      <w:r w:rsidR="00E12159">
        <w:rPr>
          <w:bCs/>
          <w:color w:val="000000" w:themeColor="text1"/>
        </w:rPr>
        <w:fldChar w:fldCharType="separate"/>
      </w:r>
      <w:r w:rsidR="00183FFF" w:rsidRPr="0014182C">
        <w:rPr>
          <w:b/>
          <w:noProof/>
          <w:sz w:val="22"/>
          <w:szCs w:val="22"/>
          <w:lang w:val="de-DE" w:eastAsia="de-DE"/>
        </w:rPr>
        <w:t xml:space="preserve">Figure </w:t>
      </w:r>
      <w:r w:rsidR="00183FFF">
        <w:rPr>
          <w:b/>
          <w:noProof/>
          <w:sz w:val="22"/>
          <w:szCs w:val="22"/>
          <w:lang w:val="de-DE" w:eastAsia="de-DE"/>
        </w:rPr>
        <w:t>11</w:t>
      </w:r>
      <w:r w:rsidR="00E12159">
        <w:rPr>
          <w:bCs/>
          <w:color w:val="000000" w:themeColor="text1"/>
        </w:rPr>
        <w:fldChar w:fldCharType="end"/>
      </w:r>
      <w:r>
        <w:rPr>
          <w:bCs/>
          <w:color w:val="000000" w:themeColor="text1"/>
        </w:rPr>
        <w:t xml:space="preserve">). Nevertheless, in order to make best use of the window of opportunity, and in light of its lower level of economic development </w:t>
      </w:r>
      <w:r w:rsidR="00206925">
        <w:rPr>
          <w:bCs/>
          <w:color w:val="000000" w:themeColor="text1"/>
        </w:rPr>
        <w:t>as compared to</w:t>
      </w:r>
      <w:r>
        <w:rPr>
          <w:bCs/>
          <w:color w:val="000000" w:themeColor="text1"/>
        </w:rPr>
        <w:t xml:space="preserve"> most countries in</w:t>
      </w:r>
      <w:r w:rsidR="00A12359">
        <w:rPr>
          <w:bCs/>
          <w:color w:val="000000" w:themeColor="text1"/>
        </w:rPr>
        <w:t xml:space="preserve"> Europe and Central Asia</w:t>
      </w:r>
      <w:r>
        <w:rPr>
          <w:bCs/>
          <w:color w:val="000000" w:themeColor="text1"/>
        </w:rPr>
        <w:t xml:space="preserve">, Tajikistan similarly faces the challenge to attract more women into the labor force, in particular into productive jobs </w:t>
      </w:r>
      <w:r w:rsidR="00E12159">
        <w:rPr>
          <w:bCs/>
          <w:color w:val="000000" w:themeColor="text1"/>
        </w:rPr>
        <w:fldChar w:fldCharType="begin"/>
      </w:r>
      <w:r>
        <w:rPr>
          <w:bCs/>
          <w:color w:val="000000" w:themeColor="text1"/>
        </w:rPr>
        <w:instrText xml:space="preserve"> ADDIN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Pr>
          <w:bCs/>
          <w:color w:val="000000" w:themeColor="text1"/>
        </w:rPr>
        <w:fldChar w:fldCharType="separate"/>
      </w:r>
      <w:r>
        <w:rPr>
          <w:bCs/>
          <w:noProof/>
          <w:color w:val="000000" w:themeColor="text1"/>
        </w:rPr>
        <w:t>(</w:t>
      </w:r>
      <w:hyperlink w:anchor="_ENREF_45" w:tooltip="Sattar, 2012 #3" w:history="1">
        <w:r w:rsidR="006A1532">
          <w:rPr>
            <w:bCs/>
            <w:noProof/>
            <w:color w:val="000000" w:themeColor="text1"/>
          </w:rPr>
          <w:t>Sattar, 2012</w:t>
        </w:r>
      </w:hyperlink>
      <w:r>
        <w:rPr>
          <w:bCs/>
          <w:noProof/>
          <w:color w:val="000000" w:themeColor="text1"/>
        </w:rPr>
        <w:t>)</w:t>
      </w:r>
      <w:r w:rsidR="00E12159">
        <w:rPr>
          <w:bCs/>
          <w:color w:val="000000" w:themeColor="text1"/>
        </w:rPr>
        <w:fldChar w:fldCharType="end"/>
      </w:r>
      <w:r>
        <w:rPr>
          <w:bCs/>
          <w:color w:val="000000" w:themeColor="text1"/>
        </w:rPr>
        <w:t>.</w:t>
      </w:r>
    </w:p>
    <w:p w14:paraId="21642FDF" w14:textId="0FD70D9D" w:rsidR="0014182C" w:rsidRDefault="0014182C" w:rsidP="00450916">
      <w:pPr>
        <w:pStyle w:val="MainParawithChapter"/>
        <w:ind w:left="0" w:firstLine="0"/>
        <w:jc w:val="both"/>
        <w:outlineLvl w:val="9"/>
        <w:rPr>
          <w:bCs/>
          <w:color w:val="000000" w:themeColor="text1"/>
        </w:rPr>
      </w:pPr>
      <w:r w:rsidRPr="0014182C">
        <w:rPr>
          <w:b/>
          <w:bCs/>
          <w:color w:val="000000" w:themeColor="text1"/>
        </w:rPr>
        <w:t xml:space="preserve">Elderly women outnumber elderly men, and this imbalance will </w:t>
      </w:r>
      <w:r w:rsidR="008E45E6">
        <w:rPr>
          <w:b/>
          <w:bCs/>
          <w:color w:val="000000" w:themeColor="text1"/>
        </w:rPr>
        <w:t>grow</w:t>
      </w:r>
      <w:r w:rsidRPr="0014182C">
        <w:rPr>
          <w:b/>
          <w:bCs/>
          <w:color w:val="000000" w:themeColor="text1"/>
        </w:rPr>
        <w:t xml:space="preserve"> in</w:t>
      </w:r>
      <w:r w:rsidR="008E45E6">
        <w:rPr>
          <w:b/>
          <w:bCs/>
          <w:color w:val="000000" w:themeColor="text1"/>
        </w:rPr>
        <w:t xml:space="preserve"> the</w:t>
      </w:r>
      <w:r w:rsidRPr="0014182C">
        <w:rPr>
          <w:b/>
          <w:bCs/>
          <w:color w:val="000000" w:themeColor="text1"/>
        </w:rPr>
        <w:t xml:space="preserve"> future and entail important policy implications.</w:t>
      </w:r>
      <w:r w:rsidRPr="0014182C">
        <w:rPr>
          <w:bCs/>
          <w:color w:val="000000" w:themeColor="text1"/>
        </w:rPr>
        <w:t xml:space="preserve"> Population statistics indicate that men </w:t>
      </w:r>
      <w:r w:rsidRPr="00450916">
        <w:rPr>
          <w:bCs/>
          <w:color w:val="000000" w:themeColor="text1"/>
        </w:rPr>
        <w:t>outnumber</w:t>
      </w:r>
      <w:r w:rsidR="00EE30FE">
        <w:rPr>
          <w:bCs/>
          <w:color w:val="000000" w:themeColor="text1"/>
        </w:rPr>
        <w:t>ed</w:t>
      </w:r>
      <w:r w:rsidRPr="00450916">
        <w:rPr>
          <w:bCs/>
          <w:color w:val="000000" w:themeColor="text1"/>
        </w:rPr>
        <w:t xml:space="preserve"> </w:t>
      </w:r>
      <w:r w:rsidRPr="00450916">
        <w:rPr>
          <w:rFonts w:cstheme="minorHAnsi"/>
        </w:rPr>
        <w:t>women</w:t>
      </w:r>
      <w:r w:rsidRPr="00450916">
        <w:rPr>
          <w:bCs/>
          <w:color w:val="000000" w:themeColor="text1"/>
        </w:rPr>
        <w:t xml:space="preserve"> up to the age of approximately 20 </w:t>
      </w:r>
      <w:r w:rsidR="000145E6" w:rsidRPr="00450916">
        <w:rPr>
          <w:bCs/>
          <w:color w:val="000000" w:themeColor="text1"/>
        </w:rPr>
        <w:t xml:space="preserve">years in 2010, </w:t>
      </w:r>
      <w:r w:rsidRPr="00450916">
        <w:rPr>
          <w:bCs/>
          <w:color w:val="000000" w:themeColor="text1"/>
        </w:rPr>
        <w:t>and</w:t>
      </w:r>
      <w:r w:rsidR="000145E6" w:rsidRPr="00450916">
        <w:rPr>
          <w:bCs/>
          <w:color w:val="000000" w:themeColor="text1"/>
        </w:rPr>
        <w:t xml:space="preserve"> </w:t>
      </w:r>
      <w:r w:rsidR="000F5873">
        <w:rPr>
          <w:bCs/>
          <w:color w:val="000000" w:themeColor="text1"/>
        </w:rPr>
        <w:t xml:space="preserve">will outnumber women </w:t>
      </w:r>
      <w:r w:rsidR="000145E6" w:rsidRPr="00450916">
        <w:rPr>
          <w:bCs/>
          <w:color w:val="000000" w:themeColor="text1"/>
        </w:rPr>
        <w:t>up to the age of</w:t>
      </w:r>
      <w:r w:rsidRPr="0014182C">
        <w:rPr>
          <w:bCs/>
          <w:color w:val="000000" w:themeColor="text1"/>
        </w:rPr>
        <w:t xml:space="preserve"> 30</w:t>
      </w:r>
      <w:r w:rsidR="000145E6">
        <w:rPr>
          <w:bCs/>
          <w:color w:val="000000" w:themeColor="text1"/>
        </w:rPr>
        <w:t xml:space="preserve"> years in 2050,</w:t>
      </w:r>
      <w:r w:rsidRPr="0014182C">
        <w:rPr>
          <w:bCs/>
          <w:color w:val="000000" w:themeColor="text1"/>
        </w:rPr>
        <w:t xml:space="preserve"> before the pattern reverses for older age groups. In </w:t>
      </w:r>
      <w:r w:rsidR="000145E6">
        <w:rPr>
          <w:bCs/>
          <w:color w:val="000000" w:themeColor="text1"/>
        </w:rPr>
        <w:t xml:space="preserve">the </w:t>
      </w:r>
      <w:r w:rsidRPr="0014182C">
        <w:rPr>
          <w:bCs/>
          <w:color w:val="000000" w:themeColor="text1"/>
        </w:rPr>
        <w:t xml:space="preserve">future, </w:t>
      </w:r>
      <w:r w:rsidR="000145E6">
        <w:rPr>
          <w:bCs/>
          <w:color w:val="000000" w:themeColor="text1"/>
        </w:rPr>
        <w:t xml:space="preserve">population </w:t>
      </w:r>
      <w:r w:rsidRPr="0014182C">
        <w:rPr>
          <w:bCs/>
          <w:color w:val="000000" w:themeColor="text1"/>
        </w:rPr>
        <w:t>projections suggest that the ratio of elderly females to males will continue</w:t>
      </w:r>
      <w:r w:rsidR="00F50CD8">
        <w:rPr>
          <w:bCs/>
          <w:color w:val="000000" w:themeColor="text1"/>
        </w:rPr>
        <w:t xml:space="preserve"> to increase</w:t>
      </w:r>
      <w:r w:rsidRPr="0014182C">
        <w:rPr>
          <w:bCs/>
          <w:color w:val="000000" w:themeColor="text1"/>
        </w:rPr>
        <w:t xml:space="preserve"> </w:t>
      </w:r>
      <w:r w:rsidR="00E12159" w:rsidRPr="0014182C">
        <w:rPr>
          <w:bCs/>
          <w:color w:val="000000" w:themeColor="text1"/>
        </w:rPr>
        <w:fldChar w:fldCharType="begin"/>
      </w:r>
      <w:r w:rsidR="006805E8">
        <w:rPr>
          <w:bCs/>
          <w:color w:val="000000" w:themeColor="text1"/>
        </w:rPr>
        <w:instrText xml:space="preserve"> </w:instrText>
      </w:r>
      <w:r w:rsidR="009F7A22">
        <w:rPr>
          <w:bCs/>
          <w:color w:val="000000" w:themeColor="text1"/>
        </w:rPr>
        <w:instrText>ADDIN</w:instrText>
      </w:r>
      <w:r w:rsidR="006805E8">
        <w:rPr>
          <w:bCs/>
          <w:color w:val="000000" w:themeColor="text1"/>
        </w:rPr>
        <w:instrText xml:space="preserve"> EN.CITE &lt;EndNote&gt;&lt;Cite&gt;&lt;Author&gt;United Nations&lt;/Author&gt;&lt;Year&gt;2011&lt;/Year&gt;&lt;RecNum&gt;20&lt;/RecNum&gt;&lt;DisplayText&gt;(United Nations, 2011b)&lt;/DisplayText&gt;&lt;record&gt;&lt;rec-number&gt;20&lt;/rec-number&gt;&lt;foreign-keys&gt;&lt;key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00E12159" w:rsidRPr="0014182C">
        <w:rPr>
          <w:bCs/>
          <w:color w:val="000000" w:themeColor="text1"/>
        </w:rPr>
        <w:fldChar w:fldCharType="separate"/>
      </w:r>
      <w:r w:rsidR="006805E8">
        <w:rPr>
          <w:bCs/>
          <w:noProof/>
          <w:color w:val="000000" w:themeColor="text1"/>
        </w:rPr>
        <w:t>(</w:t>
      </w:r>
      <w:hyperlink w:anchor="_ENREF_65" w:tooltip="United Nations, 2011 #20" w:history="1">
        <w:r w:rsidR="006A1532">
          <w:rPr>
            <w:bCs/>
            <w:noProof/>
            <w:color w:val="000000" w:themeColor="text1"/>
          </w:rPr>
          <w:t>United Nations, 2011b</w:t>
        </w:r>
      </w:hyperlink>
      <w:r w:rsidR="006805E8">
        <w:rPr>
          <w:bCs/>
          <w:noProof/>
          <w:color w:val="000000" w:themeColor="text1"/>
        </w:rPr>
        <w:t>)</w:t>
      </w:r>
      <w:r w:rsidR="00E12159" w:rsidRPr="0014182C">
        <w:rPr>
          <w:bCs/>
          <w:color w:val="000000" w:themeColor="text1"/>
        </w:rPr>
        <w:fldChar w:fldCharType="end"/>
      </w:r>
      <w:r w:rsidR="003D741A">
        <w:rPr>
          <w:bCs/>
          <w:color w:val="000000" w:themeColor="text1"/>
        </w:rPr>
        <w:t>. T</w:t>
      </w:r>
      <w:r w:rsidRPr="0014182C">
        <w:rPr>
          <w:bCs/>
          <w:color w:val="000000" w:themeColor="text1"/>
        </w:rPr>
        <w:t>his wi</w:t>
      </w:r>
      <w:r w:rsidR="000145E6">
        <w:rPr>
          <w:bCs/>
          <w:color w:val="000000" w:themeColor="text1"/>
        </w:rPr>
        <w:t xml:space="preserve">ll involve important policy implications with regard to </w:t>
      </w:r>
      <w:r w:rsidRPr="0014182C">
        <w:rPr>
          <w:bCs/>
          <w:color w:val="000000" w:themeColor="text1"/>
        </w:rPr>
        <w:t>pensions and the social protection system due to diverging life courses of men and women.</w:t>
      </w:r>
      <w:r w:rsidR="007F570F">
        <w:rPr>
          <w:bCs/>
          <w:color w:val="000000" w:themeColor="text1"/>
        </w:rPr>
        <w:t xml:space="preserve"> Women are at a higher risk of falling into old age poverty than men for a variety of reasons, including the frequent lack of independent sources of income such as pensions, or lower pension levels due to earlier retirement age</w:t>
      </w:r>
      <w:r w:rsidR="0012414C">
        <w:rPr>
          <w:rStyle w:val="FootnoteReference"/>
          <w:bCs/>
          <w:color w:val="000000" w:themeColor="text1"/>
        </w:rPr>
        <w:footnoteReference w:id="8"/>
      </w:r>
      <w:r w:rsidR="007F570F">
        <w:rPr>
          <w:bCs/>
          <w:color w:val="000000" w:themeColor="text1"/>
        </w:rPr>
        <w:t xml:space="preserve"> and higher life expectancy.</w:t>
      </w:r>
      <w:r w:rsidR="004205BB">
        <w:rPr>
          <w:bCs/>
          <w:color w:val="000000" w:themeColor="text1"/>
        </w:rPr>
        <w:t xml:space="preserve"> Additionally, older women will have fewer children who could assist them informally </w:t>
      </w:r>
      <w:r w:rsidR="00E12159">
        <w:rPr>
          <w:bCs/>
          <w:color w:val="000000" w:themeColor="text1"/>
        </w:rPr>
        <w:fldChar w:fldCharType="begin"/>
      </w:r>
      <w:r w:rsidR="00D93AAA">
        <w:rPr>
          <w:bCs/>
          <w:color w:val="000000" w:themeColor="text1"/>
        </w:rPr>
        <w:instrText xml:space="preserve"> </w:instrText>
      </w:r>
      <w:r w:rsidR="009F7A22">
        <w:rPr>
          <w:bCs/>
          <w:color w:val="000000" w:themeColor="text1"/>
        </w:rPr>
        <w:instrText>ADDIN</w:instrText>
      </w:r>
      <w:r w:rsidR="00D93AAA">
        <w:rPr>
          <w:bCs/>
          <w:color w:val="000000" w:themeColor="text1"/>
        </w:rPr>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Pr>
          <w:bCs/>
          <w:color w:val="000000" w:themeColor="text1"/>
        </w:rPr>
        <w:fldChar w:fldCharType="separate"/>
      </w:r>
      <w:r w:rsidR="00D93AAA">
        <w:rPr>
          <w:bCs/>
          <w:noProof/>
          <w:color w:val="000000" w:themeColor="text1"/>
        </w:rPr>
        <w:t>(</w:t>
      </w:r>
      <w:hyperlink w:anchor="_ENREF_45" w:tooltip="Sattar, 2012 #3" w:history="1">
        <w:r w:rsidR="006A1532">
          <w:rPr>
            <w:bCs/>
            <w:noProof/>
            <w:color w:val="000000" w:themeColor="text1"/>
          </w:rPr>
          <w:t>Sattar, 2012</w:t>
        </w:r>
      </w:hyperlink>
      <w:r w:rsidR="00D93AAA">
        <w:rPr>
          <w:bCs/>
          <w:noProof/>
          <w:color w:val="000000" w:themeColor="text1"/>
        </w:rPr>
        <w:t>)</w:t>
      </w:r>
      <w:r w:rsidR="00E12159">
        <w:rPr>
          <w:bCs/>
          <w:color w:val="000000" w:themeColor="text1"/>
        </w:rPr>
        <w:fldChar w:fldCharType="end"/>
      </w:r>
      <w:r w:rsidR="004205BB">
        <w:rPr>
          <w:bCs/>
          <w:color w:val="000000" w:themeColor="text1"/>
        </w:rPr>
        <w:t>.</w:t>
      </w:r>
    </w:p>
    <w:p w14:paraId="1B8D40ED" w14:textId="77777777" w:rsidR="00B5234E" w:rsidRDefault="003C3C3F" w:rsidP="00B5234E">
      <w:pPr>
        <w:pStyle w:val="Heading2"/>
      </w:pPr>
      <w:bookmarkStart w:id="43" w:name="_Toc226957249"/>
      <w:r>
        <w:lastRenderedPageBreak/>
        <w:t>Health</w:t>
      </w:r>
      <w:bookmarkEnd w:id="43"/>
    </w:p>
    <w:p w14:paraId="15007F72" w14:textId="2683674B" w:rsidR="0014182C" w:rsidRPr="0014182C" w:rsidRDefault="0014182C" w:rsidP="00450916">
      <w:pPr>
        <w:pStyle w:val="MainParawithChapter"/>
        <w:ind w:left="0" w:firstLine="0"/>
        <w:jc w:val="both"/>
        <w:outlineLvl w:val="9"/>
        <w:rPr>
          <w:bCs/>
          <w:color w:val="000000" w:themeColor="text1"/>
        </w:rPr>
      </w:pPr>
      <w:r w:rsidRPr="0014182C">
        <w:rPr>
          <w:b/>
          <w:bCs/>
          <w:color w:val="000000" w:themeColor="text1"/>
        </w:rPr>
        <w:t xml:space="preserve">The economic collapse after independence and the </w:t>
      </w:r>
      <w:r w:rsidR="00D12564">
        <w:rPr>
          <w:b/>
          <w:bCs/>
          <w:color w:val="000000" w:themeColor="text1"/>
        </w:rPr>
        <w:t>subsequent</w:t>
      </w:r>
      <w:r w:rsidRPr="0014182C">
        <w:rPr>
          <w:b/>
          <w:bCs/>
          <w:color w:val="000000" w:themeColor="text1"/>
        </w:rPr>
        <w:t xml:space="preserve"> years of civil war and unrest have had devastating effects on the health situation in Tajikistan. </w:t>
      </w:r>
      <w:r w:rsidRPr="0014182C">
        <w:rPr>
          <w:bCs/>
          <w:color w:val="000000" w:themeColor="text1"/>
        </w:rPr>
        <w:t>The collapse of the public infrastr</w:t>
      </w:r>
      <w:r w:rsidR="00D12564">
        <w:rPr>
          <w:bCs/>
          <w:color w:val="000000" w:themeColor="text1"/>
        </w:rPr>
        <w:t xml:space="preserve">ucture, in particular </w:t>
      </w:r>
      <w:r w:rsidRPr="0014182C">
        <w:rPr>
          <w:bCs/>
          <w:color w:val="000000" w:themeColor="text1"/>
        </w:rPr>
        <w:t xml:space="preserve">water supply and health services, in the aftermath of independence and the years of civil war led to a sudden resurgence of </w:t>
      </w:r>
      <w:r w:rsidR="00A12359">
        <w:rPr>
          <w:bCs/>
          <w:color w:val="000000" w:themeColor="text1"/>
        </w:rPr>
        <w:t xml:space="preserve">many </w:t>
      </w:r>
      <w:r w:rsidRPr="0014182C">
        <w:rPr>
          <w:bCs/>
          <w:color w:val="000000" w:themeColor="text1"/>
        </w:rPr>
        <w:t>communicable diseases such as malaria,</w:t>
      </w:r>
      <w:r w:rsidR="00F50CD8">
        <w:rPr>
          <w:bCs/>
          <w:color w:val="000000" w:themeColor="text1"/>
        </w:rPr>
        <w:t xml:space="preserve"> typhoid fever, and</w:t>
      </w:r>
      <w:r w:rsidRPr="0014182C">
        <w:rPr>
          <w:bCs/>
          <w:color w:val="000000" w:themeColor="text1"/>
        </w:rPr>
        <w:t xml:space="preserve"> measles</w:t>
      </w:r>
      <w:r w:rsidR="00F174E2">
        <w:rPr>
          <w:bCs/>
          <w:color w:val="000000" w:themeColor="text1"/>
        </w:rPr>
        <w:t>. Furthermore, diseases</w:t>
      </w:r>
      <w:r w:rsidRPr="0014182C">
        <w:rPr>
          <w:bCs/>
          <w:color w:val="000000" w:themeColor="text1"/>
        </w:rPr>
        <w:t xml:space="preserve"> caused by micronutrient deficiencies gained ground. </w:t>
      </w:r>
      <w:r w:rsidR="00934A45">
        <w:rPr>
          <w:bCs/>
          <w:color w:val="000000" w:themeColor="text1"/>
        </w:rPr>
        <w:t>Additionally, t</w:t>
      </w:r>
      <w:r w:rsidRPr="0014182C">
        <w:rPr>
          <w:bCs/>
          <w:color w:val="000000" w:themeColor="text1"/>
        </w:rPr>
        <w:t xml:space="preserve">he health system as inherited from the Soviet era, with a highly segmented, specialized and hierarchical structure, did not </w:t>
      </w:r>
      <w:r w:rsidR="00E16506">
        <w:rPr>
          <w:bCs/>
          <w:color w:val="000000" w:themeColor="text1"/>
        </w:rPr>
        <w:t>fulfill</w:t>
      </w:r>
      <w:r w:rsidRPr="0014182C">
        <w:rPr>
          <w:bCs/>
          <w:color w:val="000000" w:themeColor="text1"/>
        </w:rPr>
        <w:t xml:space="preserve"> modern standards of cost-effective and patient-centered health care. </w:t>
      </w:r>
      <w:r w:rsidR="00F174E2">
        <w:rPr>
          <w:bCs/>
          <w:color w:val="000000" w:themeColor="text1"/>
        </w:rPr>
        <w:t xml:space="preserve">A further challenge arose from considerable </w:t>
      </w:r>
      <w:r w:rsidRPr="0014182C">
        <w:rPr>
          <w:bCs/>
          <w:color w:val="000000" w:themeColor="text1"/>
        </w:rPr>
        <w:t xml:space="preserve">outmigration of health professionals </w:t>
      </w:r>
      <w:r w:rsidR="00F174E2">
        <w:rPr>
          <w:bCs/>
          <w:color w:val="000000" w:themeColor="text1"/>
        </w:rPr>
        <w:t xml:space="preserve">that </w:t>
      </w:r>
      <w:r w:rsidRPr="0014182C">
        <w:rPr>
          <w:bCs/>
          <w:color w:val="000000" w:themeColor="text1"/>
        </w:rPr>
        <w:t>left the sector</w:t>
      </w:r>
      <w:r w:rsidR="00F174E2">
        <w:rPr>
          <w:bCs/>
          <w:color w:val="000000" w:themeColor="text1"/>
        </w:rPr>
        <w:t xml:space="preserve"> severely</w:t>
      </w:r>
      <w:r w:rsidRPr="0014182C">
        <w:rPr>
          <w:bCs/>
          <w:color w:val="000000" w:themeColor="text1"/>
        </w:rPr>
        <w:t xml:space="preserve"> understaffed </w:t>
      </w:r>
      <w:r w:rsidR="00E12159" w:rsidRPr="0014182C">
        <w:rPr>
          <w:bCs/>
          <w:color w:val="000000" w:themeColor="text1"/>
        </w:rPr>
        <w:fldChar w:fldCharType="begin"/>
      </w:r>
      <w:r w:rsidR="005C5EAA">
        <w:rPr>
          <w:bCs/>
          <w:color w:val="000000" w:themeColor="text1"/>
        </w:rPr>
        <w:instrText xml:space="preserve"> </w:instrText>
      </w:r>
      <w:r w:rsidR="009F7A22">
        <w:rPr>
          <w:bCs/>
          <w:color w:val="000000" w:themeColor="text1"/>
        </w:rPr>
        <w:instrText>ADDIN</w:instrText>
      </w:r>
      <w:r w:rsidR="005C5EAA">
        <w:rPr>
          <w:bCs/>
          <w:color w:val="000000" w:themeColor="text1"/>
        </w:rPr>
        <w:instrText xml:space="preserve"> EN.CITE &lt;EndNote&gt;&lt;Cite&gt;&lt;Author&gt;World Bank&lt;/Author&gt;&lt;Year&gt;2005&lt;/Year&gt;&lt;RecNum&gt;22&lt;/RecNum&gt;&lt;DisplayText&gt;(Khodjamurodov &amp;amp; Rechel, 2010; World Bank, 2005)&lt;/DisplayText&gt;&lt;record&gt;&lt;rec-number&gt;22&lt;/rec-number&gt;&lt;foreign-keys&gt;&lt;key app="EN" db-id="wes5dreptvrsr2eeartvxexxftt2tastxrfs"&gt;22&lt;/key&gt;&lt;/foreign-keys&gt;&lt;ref-type name="Book"&gt;6&lt;/ref-type&gt;&lt;contributors&gt;&lt;authors&gt;&lt;author&gt;World Bank&lt;/author&gt;&lt;/authors&gt;&lt;/contributors&gt;&lt;titles&gt;&lt;title&gt;Republic of Tajikistan: Health Sector Note&lt;/title&gt;&lt;/titles&gt;&lt;dates&gt;&lt;year&gt;2005&lt;/year&gt;&lt;/dates&gt;&lt;pub-location&gt;Washington, DC&lt;/pub-location&gt;&lt;publisher&gt;World Bank&lt;/publisher&gt;&lt;urls&gt;&lt;/urls&gt;&lt;/record&gt;&lt;/Cite&gt;&lt;Cite&gt;&lt;Author&gt;Khodjamurodov&lt;/Author&gt;&lt;Year&gt;2010&lt;/Year&gt;&lt;RecNum&gt;24&lt;/RecNum&gt;&lt;record&gt;&lt;rec-number&gt;24&lt;/rec-number&gt;&lt;foreign-keys&gt;&lt;key app="EN" db-id="wes5dreptvrsr2eeartvxexxftt2tastxrfs"&gt;24&lt;/key&gt;&lt;/foreign-keys&gt;&lt;ref-type name="Journal Article"&gt;17&lt;/ref-type&gt;&lt;contributors&gt;&lt;authors&gt;&lt;author&gt;Ghafur Khodjamurodov&lt;/author&gt;&lt;author&gt;Bernd Rechel&lt;/author&gt;&lt;/authors&gt;&lt;/contributors&gt;&lt;titles&gt;&lt;title&gt;Tajikistan Health system review&lt;/title&gt;&lt;secondary-title&gt;Health Systems in Transition&lt;/secondary-title&gt;&lt;/titles&gt;&lt;periodical&gt;&lt;full-title&gt;Health Systems in Transition&lt;/full-title&gt;&lt;/periodical&gt;&lt;pages&gt;1-154&lt;/pages&gt;&lt;volume&gt;12&lt;/volume&gt;&lt;number&gt;2&lt;/number&gt;&lt;dates&gt;&lt;year&gt;2010&lt;/year&gt;&lt;/dates&gt;&lt;urls&gt;&lt;/urls&gt;&lt;/record&gt;&lt;/Cite&gt;&lt;/EndNote&gt;</w:instrText>
      </w:r>
      <w:r w:rsidR="00E12159" w:rsidRPr="0014182C">
        <w:rPr>
          <w:bCs/>
          <w:color w:val="000000" w:themeColor="text1"/>
        </w:rPr>
        <w:fldChar w:fldCharType="separate"/>
      </w:r>
      <w:r w:rsidRPr="0014182C">
        <w:rPr>
          <w:bCs/>
          <w:noProof/>
          <w:color w:val="000000" w:themeColor="text1"/>
        </w:rPr>
        <w:t>(</w:t>
      </w:r>
      <w:hyperlink w:anchor="_ENREF_31" w:tooltip="Khodjamurodov, 2010 #24" w:history="1">
        <w:r w:rsidR="006A1532" w:rsidRPr="0014182C">
          <w:rPr>
            <w:bCs/>
            <w:noProof/>
            <w:color w:val="000000" w:themeColor="text1"/>
          </w:rPr>
          <w:t>Khodjamurodov &amp; Rechel, 2010</w:t>
        </w:r>
      </w:hyperlink>
      <w:r w:rsidRPr="0014182C">
        <w:rPr>
          <w:bCs/>
          <w:noProof/>
          <w:color w:val="000000" w:themeColor="text1"/>
        </w:rPr>
        <w:t xml:space="preserve">; </w:t>
      </w:r>
      <w:hyperlink w:anchor="_ENREF_73" w:tooltip="World Bank, 2005 #22" w:history="1">
        <w:r w:rsidR="006A1532" w:rsidRPr="0014182C">
          <w:rPr>
            <w:bCs/>
            <w:noProof/>
            <w:color w:val="000000" w:themeColor="text1"/>
          </w:rPr>
          <w:t>World Bank, 2005</w:t>
        </w:r>
      </w:hyperlink>
      <w:r w:rsidRPr="0014182C">
        <w:rPr>
          <w:bCs/>
          <w:noProof/>
          <w:color w:val="000000" w:themeColor="text1"/>
        </w:rPr>
        <w:t>)</w:t>
      </w:r>
      <w:r w:rsidR="00E12159" w:rsidRPr="0014182C">
        <w:rPr>
          <w:bCs/>
          <w:color w:val="000000" w:themeColor="text1"/>
        </w:rPr>
        <w:fldChar w:fldCharType="end"/>
      </w:r>
      <w:r w:rsidRPr="0014182C">
        <w:rPr>
          <w:bCs/>
          <w:color w:val="000000" w:themeColor="text1"/>
        </w:rPr>
        <w:t>.</w:t>
      </w:r>
      <w:r w:rsidR="00EB31A9">
        <w:rPr>
          <w:bCs/>
          <w:color w:val="000000" w:themeColor="text1"/>
        </w:rPr>
        <w:t xml:space="preserve"> The following </w:t>
      </w:r>
      <w:r w:rsidR="004E46D6">
        <w:rPr>
          <w:bCs/>
          <w:color w:val="000000" w:themeColor="text1"/>
        </w:rPr>
        <w:t>section looks at</w:t>
      </w:r>
      <w:r w:rsidR="00E66C6D">
        <w:rPr>
          <w:bCs/>
          <w:color w:val="000000" w:themeColor="text1"/>
        </w:rPr>
        <w:t xml:space="preserve"> the current health situation in Tajikistan through a gender lens. It</w:t>
      </w:r>
      <w:r w:rsidR="004E46D6">
        <w:rPr>
          <w:bCs/>
          <w:color w:val="000000" w:themeColor="text1"/>
        </w:rPr>
        <w:t xml:space="preserve"> </w:t>
      </w:r>
      <w:r w:rsidR="00D002B7">
        <w:rPr>
          <w:bCs/>
          <w:color w:val="000000" w:themeColor="text1"/>
        </w:rPr>
        <w:t xml:space="preserve">summarizes trends in </w:t>
      </w:r>
      <w:r w:rsidR="00EB31A9">
        <w:rPr>
          <w:bCs/>
          <w:color w:val="000000" w:themeColor="text1"/>
        </w:rPr>
        <w:t>life expectancy, mortality and fertility, with a specific focus on m</w:t>
      </w:r>
      <w:r w:rsidR="00D002B7">
        <w:rPr>
          <w:bCs/>
          <w:color w:val="000000" w:themeColor="text1"/>
        </w:rPr>
        <w:t>aternal and infant mortality, and</w:t>
      </w:r>
      <w:r w:rsidR="00EB31A9">
        <w:rPr>
          <w:bCs/>
          <w:color w:val="000000" w:themeColor="text1"/>
        </w:rPr>
        <w:t xml:space="preserve"> further</w:t>
      </w:r>
      <w:r w:rsidR="00BC4808">
        <w:rPr>
          <w:bCs/>
          <w:color w:val="000000" w:themeColor="text1"/>
        </w:rPr>
        <w:t xml:space="preserve"> briefly</w:t>
      </w:r>
      <w:r w:rsidR="00EB31A9">
        <w:rPr>
          <w:bCs/>
          <w:color w:val="000000" w:themeColor="text1"/>
        </w:rPr>
        <w:t xml:space="preserve"> discusses</w:t>
      </w:r>
      <w:r w:rsidR="00BC4808">
        <w:rPr>
          <w:bCs/>
          <w:color w:val="000000" w:themeColor="text1"/>
        </w:rPr>
        <w:t xml:space="preserve"> the prevalence of communicable and non-communicable diseases and</w:t>
      </w:r>
      <w:r w:rsidR="00EB31A9">
        <w:rPr>
          <w:bCs/>
          <w:color w:val="000000" w:themeColor="text1"/>
        </w:rPr>
        <w:t xml:space="preserve"> the issue of domestic violence.</w:t>
      </w:r>
    </w:p>
    <w:p w14:paraId="4F25E67F" w14:textId="20387AE9" w:rsidR="004205BB" w:rsidRPr="00B7362A" w:rsidRDefault="0014182C" w:rsidP="00450916">
      <w:pPr>
        <w:pStyle w:val="MainParawithChapter"/>
        <w:ind w:left="0" w:firstLine="0"/>
        <w:jc w:val="both"/>
        <w:outlineLvl w:val="9"/>
        <w:rPr>
          <w:bCs/>
          <w:color w:val="000000" w:themeColor="text1"/>
        </w:rPr>
      </w:pPr>
      <w:r>
        <w:rPr>
          <w:b/>
          <w:bCs/>
          <w:color w:val="000000" w:themeColor="text1"/>
        </w:rPr>
        <w:t>H</w:t>
      </w:r>
      <w:r w:rsidRPr="0014182C">
        <w:rPr>
          <w:b/>
          <w:bCs/>
          <w:color w:val="000000" w:themeColor="text1"/>
        </w:rPr>
        <w:t>ealth statistics warrant caution in interpretation since indicators stemming from different sources vary</w:t>
      </w:r>
      <w:r w:rsidR="00D002B7">
        <w:rPr>
          <w:b/>
          <w:bCs/>
          <w:color w:val="000000" w:themeColor="text1"/>
        </w:rPr>
        <w:t xml:space="preserve"> </w:t>
      </w:r>
      <w:r w:rsidR="00EF54A2">
        <w:rPr>
          <w:b/>
          <w:bCs/>
          <w:color w:val="000000" w:themeColor="text1"/>
        </w:rPr>
        <w:t>greatly</w:t>
      </w:r>
      <w:r w:rsidRPr="0014182C">
        <w:rPr>
          <w:b/>
          <w:bCs/>
          <w:color w:val="000000" w:themeColor="text1"/>
        </w:rPr>
        <w:t xml:space="preserve">. </w:t>
      </w:r>
      <w:r w:rsidRPr="0014182C">
        <w:rPr>
          <w:bCs/>
          <w:color w:val="000000" w:themeColor="text1"/>
        </w:rPr>
        <w:t>Official government statistics and dat</w:t>
      </w:r>
      <w:r w:rsidR="00D002B7">
        <w:rPr>
          <w:bCs/>
          <w:color w:val="000000" w:themeColor="text1"/>
        </w:rPr>
        <w:t>a from independent sources (e.g.</w:t>
      </w:r>
      <w:r w:rsidRPr="0014182C">
        <w:rPr>
          <w:bCs/>
          <w:color w:val="000000" w:themeColor="text1"/>
        </w:rPr>
        <w:t xml:space="preserve"> nationally representative surveys) differ substantial</w:t>
      </w:r>
      <w:r w:rsidR="00D002B7">
        <w:rPr>
          <w:bCs/>
          <w:color w:val="000000" w:themeColor="text1"/>
        </w:rPr>
        <w:t>ly</w:t>
      </w:r>
      <w:r w:rsidR="00B25841">
        <w:rPr>
          <w:bCs/>
          <w:color w:val="000000" w:themeColor="text1"/>
        </w:rPr>
        <w:t xml:space="preserve"> in some indicators</w:t>
      </w:r>
      <w:r w:rsidRPr="0014182C">
        <w:rPr>
          <w:bCs/>
          <w:color w:val="000000" w:themeColor="text1"/>
        </w:rPr>
        <w:t>, for instance for infant mortality. Reasons for this wide divergence include differing definitions of ‘live birt</w:t>
      </w:r>
      <w:r w:rsidR="00D002B7">
        <w:rPr>
          <w:bCs/>
          <w:color w:val="000000" w:themeColor="text1"/>
        </w:rPr>
        <w:t>h’ that are not in line with</w:t>
      </w:r>
      <w:r w:rsidRPr="0014182C">
        <w:rPr>
          <w:bCs/>
          <w:color w:val="000000" w:themeColor="text1"/>
        </w:rPr>
        <w:t xml:space="preserve"> recommendations</w:t>
      </w:r>
      <w:r w:rsidR="00D002B7">
        <w:rPr>
          <w:bCs/>
          <w:color w:val="000000" w:themeColor="text1"/>
        </w:rPr>
        <w:t xml:space="preserve"> of the World Health Organization (WHO)</w:t>
      </w:r>
      <w:r w:rsidRPr="0014182C">
        <w:rPr>
          <w:bCs/>
          <w:color w:val="000000" w:themeColor="text1"/>
        </w:rPr>
        <w:t xml:space="preserve">, a large number of home deliveries, birth certificates that are only available at a charge, and apparent reluctance of health care providers to report deaths </w:t>
      </w:r>
      <w:r w:rsidR="00E12159" w:rsidRPr="0014182C">
        <w:rPr>
          <w:bCs/>
          <w:color w:val="000000" w:themeColor="text1"/>
        </w:rPr>
        <w:fldChar w:fldCharType="begin"/>
      </w:r>
      <w:r w:rsidR="005C5EAA">
        <w:rPr>
          <w:bCs/>
          <w:color w:val="000000" w:themeColor="text1"/>
        </w:rPr>
        <w:instrText xml:space="preserve"> </w:instrText>
      </w:r>
      <w:r w:rsidR="009F7A22">
        <w:rPr>
          <w:bCs/>
          <w:color w:val="000000" w:themeColor="text1"/>
        </w:rPr>
        <w:instrText>ADDIN</w:instrText>
      </w:r>
      <w:r w:rsidR="005C5EAA">
        <w:rPr>
          <w:bCs/>
          <w:color w:val="000000" w:themeColor="text1"/>
        </w:rPr>
        <w:instrText xml:space="preserve"> EN.CITE &lt;EndNote&gt;&lt;Cite&gt;&lt;Author&gt;World Bank&lt;/Author&gt;&lt;Year&gt;2005&lt;/Year&gt;&lt;RecNum&gt;22&lt;/RecNum&gt;&lt;Prefix&gt;cf. &lt;/Prefix&gt;&lt;DisplayText&gt;(cf. World Bank, 2005)&lt;/DisplayText&gt;&lt;record&gt;&lt;rec-number&gt;22&lt;/rec-number&gt;&lt;foreign-keys&gt;&lt;key app="EN" db-id="wes5dreptvrsr2eeartvxexxftt2tastxrfs"&gt;22&lt;/key&gt;&lt;/foreign-keys&gt;&lt;ref-type name="Book"&gt;6&lt;/ref-type&gt;&lt;contributors&gt;&lt;authors&gt;&lt;author&gt;World Bank&lt;/author&gt;&lt;/authors&gt;&lt;/contributors&gt;&lt;titles&gt;&lt;title&gt;Republic of Tajikistan: Health Sector Note&lt;/title&gt;&lt;/titles&gt;&lt;dates&gt;&lt;year&gt;2005&lt;/year&gt;&lt;/dates&gt;&lt;pub-location&gt;Washington, DC&lt;/pub-location&gt;&lt;publisher&gt;World Bank&lt;/publisher&gt;&lt;urls&gt;&lt;/urls&gt;&lt;/record&gt;&lt;/Cite&gt;&lt;/EndNote&gt;</w:instrText>
      </w:r>
      <w:r w:rsidR="00E12159" w:rsidRPr="0014182C">
        <w:rPr>
          <w:bCs/>
          <w:color w:val="000000" w:themeColor="text1"/>
        </w:rPr>
        <w:fldChar w:fldCharType="separate"/>
      </w:r>
      <w:r w:rsidRPr="0014182C">
        <w:rPr>
          <w:bCs/>
          <w:noProof/>
          <w:color w:val="000000" w:themeColor="text1"/>
        </w:rPr>
        <w:t>(</w:t>
      </w:r>
      <w:hyperlink w:anchor="_ENREF_73" w:tooltip="World Bank, 2005 #22" w:history="1">
        <w:r w:rsidR="006A1532" w:rsidRPr="0014182C">
          <w:rPr>
            <w:bCs/>
            <w:noProof/>
            <w:color w:val="000000" w:themeColor="text1"/>
          </w:rPr>
          <w:t>cf. World Bank, 2005</w:t>
        </w:r>
      </w:hyperlink>
      <w:r w:rsidRPr="0014182C">
        <w:rPr>
          <w:bCs/>
          <w:noProof/>
          <w:color w:val="000000" w:themeColor="text1"/>
        </w:rPr>
        <w:t>)</w:t>
      </w:r>
      <w:r w:rsidR="00E12159" w:rsidRPr="0014182C">
        <w:rPr>
          <w:bCs/>
          <w:color w:val="000000" w:themeColor="text1"/>
        </w:rPr>
        <w:fldChar w:fldCharType="end"/>
      </w:r>
      <w:r w:rsidRPr="0014182C">
        <w:rPr>
          <w:bCs/>
          <w:color w:val="000000" w:themeColor="text1"/>
        </w:rPr>
        <w:t xml:space="preserve">. </w:t>
      </w:r>
      <w:r w:rsidR="00D002B7">
        <w:rPr>
          <w:bCs/>
          <w:color w:val="000000" w:themeColor="text1"/>
        </w:rPr>
        <w:t>Recognizing this, t</w:t>
      </w:r>
      <w:r w:rsidRPr="0014182C">
        <w:rPr>
          <w:bCs/>
          <w:color w:val="000000" w:themeColor="text1"/>
        </w:rPr>
        <w:t>he Government of Tajikistan has recently acknowledged in its National Health Sector Strategy 2010-2020 the need to improve health statistics in order to enhance evidence-based policy-making, since the magnitude of problems appears very different</w:t>
      </w:r>
      <w:r w:rsidR="00D002B7">
        <w:rPr>
          <w:bCs/>
          <w:color w:val="000000" w:themeColor="text1"/>
        </w:rPr>
        <w:t>ly</w:t>
      </w:r>
      <w:r w:rsidRPr="0014182C">
        <w:rPr>
          <w:bCs/>
          <w:color w:val="000000" w:themeColor="text1"/>
        </w:rPr>
        <w:t xml:space="preserve"> depending on the respective data source </w:t>
      </w:r>
      <w:r w:rsidR="00E12159" w:rsidRPr="0014182C">
        <w:rPr>
          <w:bCs/>
          <w:color w:val="000000" w:themeColor="text1"/>
        </w:rPr>
        <w:fldChar w:fldCharType="begin"/>
      </w:r>
      <w:r w:rsidR="005538C3">
        <w:rPr>
          <w:bCs/>
          <w:color w:val="000000" w:themeColor="text1"/>
        </w:rPr>
        <w:instrText xml:space="preserve"> ADDIN EN.CITE &lt;EndNote&gt;&lt;Cite&gt;&lt;Author&gt;World Bank&lt;/Author&gt;&lt;Year&gt;2011&lt;/Year&gt;&lt;RecNum&gt;23&lt;/RecNum&gt;&lt;DisplayText&gt;(World Bank, 2011c)&lt;/DisplayText&gt;&lt;record&gt;&lt;rec-number&gt;23&lt;/rec-number&gt;&lt;foreign-keys&gt;&lt;key app="EN" db-id="wes5dreptvrsr2eeartvxexxftt2tastxrfs"&gt;23&lt;/key&gt;&lt;/foreign-keys&gt;&lt;ref-type name="Book"&gt;6&lt;/ref-type&gt;&lt;contributors&gt;&lt;authors&gt;&lt;author&gt;World Bank&lt;/author&gt;&lt;/authors&gt;&lt;/contributors&gt;&lt;titles&gt;&lt;title&gt;Republic of Tajikistan: Improving Statistics for Children&amp;apos;s Births and Deaths&lt;/title&gt;&lt;/titles&gt;&lt;dates&gt;&lt;year&gt;2011&lt;/year&gt;&lt;/dates&gt;&lt;pub-location&gt;Washington, DC&lt;/pub-location&gt;&lt;publisher&gt;World Bank&lt;/publisher&gt;&lt;urls&gt;&lt;/urls&gt;&lt;/record&gt;&lt;/Cite&gt;&lt;/EndNote&gt;</w:instrText>
      </w:r>
      <w:r w:rsidR="00E12159" w:rsidRPr="0014182C">
        <w:rPr>
          <w:bCs/>
          <w:color w:val="000000" w:themeColor="text1"/>
        </w:rPr>
        <w:fldChar w:fldCharType="separate"/>
      </w:r>
      <w:r w:rsidR="005538C3">
        <w:rPr>
          <w:bCs/>
          <w:noProof/>
          <w:color w:val="000000" w:themeColor="text1"/>
        </w:rPr>
        <w:t>(</w:t>
      </w:r>
      <w:hyperlink w:anchor="_ENREF_80" w:tooltip="World Bank, 2011 #23" w:history="1">
        <w:r w:rsidR="006A1532">
          <w:rPr>
            <w:bCs/>
            <w:noProof/>
            <w:color w:val="000000" w:themeColor="text1"/>
          </w:rPr>
          <w:t>World Bank, 2011c</w:t>
        </w:r>
      </w:hyperlink>
      <w:r w:rsidR="005538C3">
        <w:rPr>
          <w:bCs/>
          <w:noProof/>
          <w:color w:val="000000" w:themeColor="text1"/>
        </w:rPr>
        <w:t>)</w:t>
      </w:r>
      <w:r w:rsidR="00E12159" w:rsidRPr="0014182C">
        <w:rPr>
          <w:bCs/>
          <w:color w:val="000000" w:themeColor="text1"/>
        </w:rPr>
        <w:fldChar w:fldCharType="end"/>
      </w:r>
      <w:r w:rsidRPr="0014182C">
        <w:rPr>
          <w:bCs/>
          <w:color w:val="000000" w:themeColor="text1"/>
        </w:rPr>
        <w:t>.</w:t>
      </w:r>
    </w:p>
    <w:p w14:paraId="7C0864CF" w14:textId="77777777" w:rsidR="0014182C" w:rsidRDefault="0014182C" w:rsidP="008F5C92">
      <w:pPr>
        <w:spacing w:after="60"/>
        <w:jc w:val="center"/>
        <w:rPr>
          <w:b/>
          <w:sz w:val="22"/>
          <w:szCs w:val="22"/>
        </w:rPr>
      </w:pPr>
      <w:bookmarkStart w:id="44" w:name="_Toc219987861"/>
      <w:bookmarkStart w:id="45" w:name="_Toc232694750"/>
      <w:proofErr w:type="gramStart"/>
      <w:r w:rsidRPr="0014182C">
        <w:rPr>
          <w:b/>
          <w:sz w:val="22"/>
          <w:szCs w:val="22"/>
        </w:rPr>
        <w:t xml:space="preserve">Figure </w:t>
      </w:r>
      <w:r w:rsidR="00E12159" w:rsidRPr="0014182C">
        <w:rPr>
          <w:b/>
          <w:sz w:val="22"/>
          <w:szCs w:val="22"/>
        </w:rPr>
        <w:fldChar w:fldCharType="begin"/>
      </w:r>
      <w:r w:rsidRPr="0014182C">
        <w:rPr>
          <w:b/>
          <w:sz w:val="22"/>
          <w:szCs w:val="22"/>
        </w:rPr>
        <w:instrText xml:space="preserve"> </w:instrText>
      </w:r>
      <w:r w:rsidR="009F7A22">
        <w:rPr>
          <w:b/>
          <w:sz w:val="22"/>
          <w:szCs w:val="22"/>
        </w:rPr>
        <w:instrText>SEQ</w:instrText>
      </w:r>
      <w:r w:rsidRPr="0014182C">
        <w:rPr>
          <w:b/>
          <w:sz w:val="22"/>
          <w:szCs w:val="22"/>
        </w:rPr>
        <w:instrText xml:space="preserve"> Figure \* ARABIC </w:instrText>
      </w:r>
      <w:r w:rsidR="00E12159" w:rsidRPr="0014182C">
        <w:rPr>
          <w:b/>
          <w:sz w:val="22"/>
          <w:szCs w:val="22"/>
        </w:rPr>
        <w:fldChar w:fldCharType="separate"/>
      </w:r>
      <w:r w:rsidR="00183FFF">
        <w:rPr>
          <w:b/>
          <w:noProof/>
          <w:sz w:val="22"/>
          <w:szCs w:val="22"/>
        </w:rPr>
        <w:t>12</w:t>
      </w:r>
      <w:r w:rsidR="00E12159" w:rsidRPr="0014182C">
        <w:rPr>
          <w:b/>
          <w:sz w:val="22"/>
          <w:szCs w:val="22"/>
        </w:rPr>
        <w:fldChar w:fldCharType="end"/>
      </w:r>
      <w:r w:rsidRPr="0014182C">
        <w:rPr>
          <w:b/>
          <w:sz w:val="22"/>
          <w:szCs w:val="22"/>
        </w:rPr>
        <w:t>.</w:t>
      </w:r>
      <w:proofErr w:type="gramEnd"/>
      <w:r w:rsidRPr="0014182C">
        <w:rPr>
          <w:b/>
          <w:sz w:val="22"/>
          <w:szCs w:val="22"/>
        </w:rPr>
        <w:t xml:space="preserve"> Women's advantage in life expectancy (in years), 1950-2050</w:t>
      </w:r>
      <w:bookmarkEnd w:id="44"/>
      <w:bookmarkEnd w:id="45"/>
    </w:p>
    <w:p w14:paraId="69104EC2" w14:textId="77777777" w:rsidR="0014182C" w:rsidRDefault="00FB758E" w:rsidP="008F5C92">
      <w:pPr>
        <w:spacing w:after="60"/>
        <w:jc w:val="center"/>
        <w:rPr>
          <w:b/>
          <w:sz w:val="22"/>
          <w:szCs w:val="22"/>
        </w:rPr>
      </w:pPr>
      <w:r>
        <w:rPr>
          <w:noProof/>
        </w:rPr>
        <w:drawing>
          <wp:inline distT="0" distB="0" distL="0" distR="0" wp14:anchorId="491FC450" wp14:editId="62BB03B5">
            <wp:extent cx="5486400" cy="1619055"/>
            <wp:effectExtent l="0" t="0" r="25400" b="32385"/>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AA6888" w14:textId="77777777" w:rsidR="00FB758E" w:rsidRPr="00081D55" w:rsidRDefault="00FB758E" w:rsidP="008F5C92">
      <w:pPr>
        <w:jc w:val="both"/>
        <w:rPr>
          <w:i/>
          <w:sz w:val="22"/>
          <w:szCs w:val="22"/>
        </w:rPr>
      </w:pPr>
      <w:r w:rsidRPr="00081D55">
        <w:rPr>
          <w:i/>
          <w:sz w:val="22"/>
          <w:szCs w:val="22"/>
        </w:rPr>
        <w:t xml:space="preserve">Notes: </w:t>
      </w:r>
      <w:r w:rsidRPr="00081D55">
        <w:rPr>
          <w:sz w:val="22"/>
          <w:szCs w:val="22"/>
        </w:rPr>
        <w:t>Estimations for 2010-2050 are based on a medium-fertility variant.</w:t>
      </w:r>
    </w:p>
    <w:p w14:paraId="7178ED24" w14:textId="77777777" w:rsidR="00FB758E" w:rsidRDefault="00FB758E" w:rsidP="004205BB">
      <w:pPr>
        <w:jc w:val="both"/>
        <w:rPr>
          <w:sz w:val="22"/>
          <w:szCs w:val="22"/>
        </w:rPr>
      </w:pPr>
      <w:r w:rsidRPr="00081D55">
        <w:rPr>
          <w:i/>
          <w:sz w:val="22"/>
          <w:szCs w:val="22"/>
        </w:rPr>
        <w:t xml:space="preserve">Source: </w:t>
      </w:r>
      <w:r w:rsidRPr="00081D55">
        <w:rPr>
          <w:sz w:val="22"/>
          <w:szCs w:val="22"/>
        </w:rPr>
        <w:t xml:space="preserve">World Population Prospects, the 2010 Revision, United Nations, Department of Economic and Social Affairs/Population Division, New York, </w:t>
      </w:r>
      <w:hyperlink r:id="rId36" w:history="1">
        <w:r w:rsidRPr="00081D55">
          <w:rPr>
            <w:sz w:val="22"/>
            <w:szCs w:val="22"/>
          </w:rPr>
          <w:t>http://esa.un.org/unpd/wpp/Excel-Data/mortality.htm</w:t>
        </w:r>
      </w:hyperlink>
      <w:r w:rsidRPr="00081D55">
        <w:rPr>
          <w:sz w:val="22"/>
          <w:szCs w:val="22"/>
        </w:rPr>
        <w:t>.</w:t>
      </w:r>
    </w:p>
    <w:p w14:paraId="472E5FB6" w14:textId="77777777" w:rsidR="00B7362A" w:rsidRDefault="00B7362A" w:rsidP="004205BB">
      <w:pPr>
        <w:jc w:val="both"/>
        <w:rPr>
          <w:sz w:val="22"/>
          <w:szCs w:val="22"/>
        </w:rPr>
      </w:pPr>
    </w:p>
    <w:p w14:paraId="591A96AB" w14:textId="7EEA9F88" w:rsidR="004205BB" w:rsidRPr="00424B53" w:rsidRDefault="00B7362A" w:rsidP="00450916">
      <w:pPr>
        <w:pStyle w:val="MainParawithChapter"/>
        <w:ind w:left="0" w:firstLine="0"/>
        <w:jc w:val="both"/>
        <w:outlineLvl w:val="9"/>
        <w:rPr>
          <w:b/>
          <w:bCs/>
          <w:color w:val="000000" w:themeColor="text1"/>
        </w:rPr>
      </w:pPr>
      <w:r w:rsidRPr="0014182C">
        <w:rPr>
          <w:b/>
          <w:bCs/>
          <w:color w:val="000000" w:themeColor="text1"/>
        </w:rPr>
        <w:lastRenderedPageBreak/>
        <w:t xml:space="preserve">The gender gap in life expectancy in favor of women is larger than the global average, but is expected to decline gradually. </w:t>
      </w:r>
      <w:r w:rsidRPr="0014182C">
        <w:rPr>
          <w:bCs/>
          <w:color w:val="000000" w:themeColor="text1"/>
        </w:rPr>
        <w:t xml:space="preserve">Prior to independence, women’s advantage in life expectancy amounted to approximately five years. </w:t>
      </w:r>
      <w:r>
        <w:rPr>
          <w:bCs/>
          <w:color w:val="000000" w:themeColor="text1"/>
        </w:rPr>
        <w:t>A</w:t>
      </w:r>
      <w:r w:rsidRPr="0014182C">
        <w:rPr>
          <w:bCs/>
          <w:color w:val="000000" w:themeColor="text1"/>
        </w:rPr>
        <w:t xml:space="preserve"> sudden widening of the gap </w:t>
      </w:r>
      <w:r>
        <w:rPr>
          <w:bCs/>
          <w:color w:val="000000" w:themeColor="text1"/>
        </w:rPr>
        <w:t xml:space="preserve">emerged </w:t>
      </w:r>
      <w:r w:rsidRPr="0014182C">
        <w:rPr>
          <w:bCs/>
          <w:color w:val="000000" w:themeColor="text1"/>
        </w:rPr>
        <w:t>in the 1990s and the beginning of the new millennium</w:t>
      </w:r>
      <w:r w:rsidR="002713B0">
        <w:rPr>
          <w:bCs/>
          <w:color w:val="000000" w:themeColor="text1"/>
        </w:rPr>
        <w:t xml:space="preserve"> (</w:t>
      </w:r>
      <w:r w:rsidR="00E3486A">
        <w:rPr>
          <w:bCs/>
          <w:color w:val="000000" w:themeColor="text1"/>
        </w:rPr>
        <w:t xml:space="preserve">see </w:t>
      </w:r>
      <w:r w:rsidR="002713B0" w:rsidRPr="00E3486A">
        <w:rPr>
          <w:b/>
          <w:bCs/>
          <w:color w:val="000000" w:themeColor="text1"/>
        </w:rPr>
        <w:t>Figure 9</w:t>
      </w:r>
      <w:r w:rsidR="002713B0">
        <w:rPr>
          <w:bCs/>
          <w:color w:val="000000" w:themeColor="text1"/>
        </w:rPr>
        <w:t>)</w:t>
      </w:r>
      <w:r w:rsidRPr="0014182C">
        <w:rPr>
          <w:bCs/>
          <w:color w:val="000000" w:themeColor="text1"/>
        </w:rPr>
        <w:t xml:space="preserve">, possibly linked to increased male mortality </w:t>
      </w:r>
      <w:r w:rsidR="002713B0">
        <w:rPr>
          <w:bCs/>
          <w:color w:val="000000" w:themeColor="text1"/>
        </w:rPr>
        <w:t>on account of</w:t>
      </w:r>
      <w:r w:rsidRPr="0014182C">
        <w:rPr>
          <w:bCs/>
          <w:color w:val="000000" w:themeColor="text1"/>
        </w:rPr>
        <w:t xml:space="preserve"> the</w:t>
      </w:r>
      <w:r>
        <w:rPr>
          <w:bCs/>
          <w:color w:val="000000" w:themeColor="text1"/>
        </w:rPr>
        <w:t xml:space="preserve"> civil war. In the coming decades</w:t>
      </w:r>
      <w:r w:rsidRPr="0014182C">
        <w:rPr>
          <w:bCs/>
          <w:color w:val="000000" w:themeColor="text1"/>
        </w:rPr>
        <w:t xml:space="preserve">, a continuous closing of the current gender gap in favor of </w:t>
      </w:r>
      <w:r w:rsidR="00A12359">
        <w:rPr>
          <w:bCs/>
          <w:color w:val="000000" w:themeColor="text1"/>
        </w:rPr>
        <w:t>women is expected, but b</w:t>
      </w:r>
      <w:r>
        <w:rPr>
          <w:bCs/>
          <w:color w:val="000000" w:themeColor="text1"/>
        </w:rPr>
        <w:t>ased on</w:t>
      </w:r>
      <w:r w:rsidRPr="0014182C">
        <w:rPr>
          <w:bCs/>
          <w:color w:val="000000" w:themeColor="text1"/>
        </w:rPr>
        <w:t xml:space="preserve"> these projections</w:t>
      </w:r>
      <w:r>
        <w:rPr>
          <w:bCs/>
          <w:color w:val="000000" w:themeColor="text1"/>
        </w:rPr>
        <w:t>,</w:t>
      </w:r>
      <w:r w:rsidRPr="0014182C">
        <w:rPr>
          <w:bCs/>
          <w:color w:val="000000" w:themeColor="text1"/>
        </w:rPr>
        <w:t xml:space="preserve"> women would still outlive men by five and a half years in 2050</w:t>
      </w:r>
      <w:r>
        <w:rPr>
          <w:bCs/>
          <w:color w:val="000000" w:themeColor="text1"/>
        </w:rPr>
        <w:t xml:space="preserve"> </w:t>
      </w:r>
      <w:r w:rsidR="00E12159" w:rsidRPr="0014182C">
        <w:rPr>
          <w:bCs/>
          <w:color w:val="000000" w:themeColor="text1"/>
        </w:rPr>
        <w:fldChar w:fldCharType="begin"/>
      </w:r>
      <w:r w:rsidRPr="0014182C">
        <w:rPr>
          <w:bCs/>
          <w:color w:val="000000" w:themeColor="text1"/>
        </w:rPr>
        <w:instrText xml:space="preserve"> </w:instrText>
      </w:r>
      <w:r w:rsidR="009F7A22">
        <w:rPr>
          <w:bCs/>
          <w:color w:val="000000" w:themeColor="text1"/>
        </w:rPr>
        <w:instrText>ADDIN</w:instrText>
      </w:r>
      <w:r w:rsidRPr="0014182C">
        <w:rPr>
          <w:bCs/>
          <w:color w:val="000000" w:themeColor="text1"/>
        </w:rPr>
        <w:instrText xml:space="preserve"> EN.CITE &lt;EndNote&gt;&lt;Cite&gt;&lt;Author&gt;United Nations&lt;/Author&gt;&lt;Year&gt;2012&lt;/Year&gt;&lt;RecNum&gt;21&lt;/RecNum&gt;&lt;DisplayText&gt;(United Nations, 2012)&lt;/DisplayText&gt;&lt;record&gt;&lt;rec-number&gt;21&lt;/rec-number&gt;&lt;foreign-keys&gt;&lt;key app="EN" db-id="wes5dreptvrsr2eeartvxexxftt2tastxrfs"&gt;21&lt;/key&gt;&lt;/foreign-keys&gt;&lt;ref-type name="Book"&gt;6&lt;/ref-type&gt;&lt;contributors&gt;&lt;authors&gt;&lt;author&gt;United Nations&lt;/author&gt;&lt;/authors&gt;&lt;/contributors&gt;&lt;titles&gt;&lt;title&gt;World Population Prospects: the 2010 Revision, Online database&lt;/title&gt;&lt;/titles&gt;&lt;dates&gt;&lt;year&gt;2012&lt;/year&gt;&lt;/dates&gt;&lt;pub-location&gt;New York&lt;/pub-location&gt;&lt;publisher&gt;United Nations&lt;/publisher&gt;&lt;urls&gt;&lt;/urls&gt;&lt;/record&gt;&lt;/Cite&gt;&lt;/EndNote&gt;</w:instrText>
      </w:r>
      <w:r w:rsidR="00E12159" w:rsidRPr="0014182C">
        <w:rPr>
          <w:bCs/>
          <w:color w:val="000000" w:themeColor="text1"/>
        </w:rPr>
        <w:fldChar w:fldCharType="separate"/>
      </w:r>
      <w:r w:rsidRPr="0014182C">
        <w:rPr>
          <w:bCs/>
          <w:noProof/>
          <w:color w:val="000000" w:themeColor="text1"/>
        </w:rPr>
        <w:t>(</w:t>
      </w:r>
      <w:hyperlink w:anchor="_ENREF_66" w:tooltip="United Nations, 2012 #21" w:history="1">
        <w:r w:rsidR="006A1532" w:rsidRPr="0014182C">
          <w:rPr>
            <w:bCs/>
            <w:noProof/>
            <w:color w:val="000000" w:themeColor="text1"/>
          </w:rPr>
          <w:t>United Nations, 2012</w:t>
        </w:r>
      </w:hyperlink>
      <w:r w:rsidRPr="0014182C">
        <w:rPr>
          <w:bCs/>
          <w:noProof/>
          <w:color w:val="000000" w:themeColor="text1"/>
        </w:rPr>
        <w:t>)</w:t>
      </w:r>
      <w:r w:rsidR="00E12159" w:rsidRPr="0014182C">
        <w:rPr>
          <w:bCs/>
          <w:color w:val="000000" w:themeColor="text1"/>
        </w:rPr>
        <w:fldChar w:fldCharType="end"/>
      </w:r>
      <w:r w:rsidRPr="0014182C">
        <w:rPr>
          <w:bCs/>
          <w:color w:val="000000" w:themeColor="text1"/>
        </w:rPr>
        <w:t>. Whereas life expec</w:t>
      </w:r>
      <w:r>
        <w:rPr>
          <w:bCs/>
          <w:color w:val="000000" w:themeColor="text1"/>
        </w:rPr>
        <w:t>tancy at birth currently is 65 years for men and 71 years for women</w:t>
      </w:r>
      <w:r w:rsidRPr="0014182C">
        <w:rPr>
          <w:bCs/>
          <w:color w:val="000000" w:themeColor="text1"/>
        </w:rPr>
        <w:t>, i</w:t>
      </w:r>
      <w:r>
        <w:rPr>
          <w:bCs/>
          <w:color w:val="000000" w:themeColor="text1"/>
        </w:rPr>
        <w:t>t is estimated to amount to 72 and 78</w:t>
      </w:r>
      <w:r w:rsidRPr="0014182C">
        <w:rPr>
          <w:bCs/>
          <w:color w:val="000000" w:themeColor="text1"/>
        </w:rPr>
        <w:t xml:space="preserve"> years </w:t>
      </w:r>
      <w:r>
        <w:rPr>
          <w:bCs/>
          <w:color w:val="000000" w:themeColor="text1"/>
        </w:rPr>
        <w:t xml:space="preserve">respectively </w:t>
      </w:r>
      <w:r w:rsidRPr="0014182C">
        <w:rPr>
          <w:bCs/>
          <w:color w:val="000000" w:themeColor="text1"/>
        </w:rPr>
        <w:t>in 2045-50. These figures are well below the EC</w:t>
      </w:r>
      <w:r>
        <w:rPr>
          <w:bCs/>
          <w:color w:val="000000" w:themeColor="text1"/>
        </w:rPr>
        <w:t>A regional average in 2012 (71 years for men and 76</w:t>
      </w:r>
      <w:r w:rsidRPr="0014182C">
        <w:rPr>
          <w:bCs/>
          <w:color w:val="000000" w:themeColor="text1"/>
        </w:rPr>
        <w:t xml:space="preserve"> year</w:t>
      </w:r>
      <w:r>
        <w:rPr>
          <w:bCs/>
          <w:color w:val="000000" w:themeColor="text1"/>
        </w:rPr>
        <w:t>s for women</w:t>
      </w:r>
      <w:r w:rsidRPr="0014182C">
        <w:rPr>
          <w:bCs/>
          <w:color w:val="000000" w:themeColor="text1"/>
        </w:rPr>
        <w:t>), and in the long-run</w:t>
      </w:r>
      <w:r>
        <w:rPr>
          <w:bCs/>
          <w:color w:val="000000" w:themeColor="text1"/>
        </w:rPr>
        <w:t>, m</w:t>
      </w:r>
      <w:r w:rsidR="00A12359">
        <w:rPr>
          <w:bCs/>
          <w:color w:val="000000" w:themeColor="text1"/>
        </w:rPr>
        <w:t xml:space="preserve">ale life expectancy at birth is </w:t>
      </w:r>
      <w:r>
        <w:rPr>
          <w:bCs/>
          <w:color w:val="000000" w:themeColor="text1"/>
        </w:rPr>
        <w:t>projected to fall below</w:t>
      </w:r>
      <w:r w:rsidRPr="0014182C">
        <w:rPr>
          <w:bCs/>
          <w:color w:val="000000" w:themeColor="text1"/>
        </w:rPr>
        <w:t xml:space="preserve"> the average of less developed regions</w:t>
      </w:r>
      <w:r w:rsidRPr="0014182C">
        <w:rPr>
          <w:rStyle w:val="FootnoteReference"/>
          <w:bCs/>
          <w:color w:val="000000" w:themeColor="text1"/>
        </w:rPr>
        <w:footnoteReference w:id="9"/>
      </w:r>
      <w:r>
        <w:rPr>
          <w:bCs/>
          <w:color w:val="000000" w:themeColor="text1"/>
        </w:rPr>
        <w:t xml:space="preserve"> in the world (73 and 77 </w:t>
      </w:r>
      <w:r w:rsidRPr="0014182C">
        <w:rPr>
          <w:bCs/>
          <w:color w:val="000000" w:themeColor="text1"/>
        </w:rPr>
        <w:t xml:space="preserve">years </w:t>
      </w:r>
      <w:r>
        <w:rPr>
          <w:bCs/>
          <w:color w:val="000000" w:themeColor="text1"/>
        </w:rPr>
        <w:t xml:space="preserve">for men and women </w:t>
      </w:r>
      <w:r w:rsidRPr="0014182C">
        <w:rPr>
          <w:bCs/>
          <w:color w:val="000000" w:themeColor="text1"/>
        </w:rPr>
        <w:t>respectively</w:t>
      </w:r>
      <w:r>
        <w:rPr>
          <w:bCs/>
          <w:color w:val="000000" w:themeColor="text1"/>
        </w:rPr>
        <w:t xml:space="preserve"> in 2045-2050</w:t>
      </w:r>
      <w:r w:rsidRPr="0014182C">
        <w:rPr>
          <w:bCs/>
          <w:color w:val="000000" w:themeColor="text1"/>
        </w:rPr>
        <w:t xml:space="preserve">) </w:t>
      </w:r>
      <w:r w:rsidR="00E12159" w:rsidRPr="0014182C">
        <w:rPr>
          <w:bCs/>
          <w:color w:val="000000" w:themeColor="text1"/>
        </w:rPr>
        <w:fldChar w:fldCharType="begin"/>
      </w:r>
      <w:r>
        <w:rPr>
          <w:bCs/>
          <w:color w:val="000000" w:themeColor="text1"/>
        </w:rPr>
        <w:instrText xml:space="preserve"> </w:instrText>
      </w:r>
      <w:r w:rsidR="009F7A22">
        <w:rPr>
          <w:bCs/>
          <w:color w:val="000000" w:themeColor="text1"/>
        </w:rPr>
        <w:instrText>ADDIN</w:instrText>
      </w:r>
      <w:r>
        <w:rPr>
          <w:bCs/>
          <w:color w:val="000000" w:themeColor="text1"/>
        </w:rPr>
        <w:instrText xml:space="preserve"> EN.CITE &lt;EndNote&gt;&lt;Cite&gt;&lt;Author&gt;United Nations&lt;/Author&gt;&lt;Year&gt;2011&lt;/Year&gt;&lt;RecNum&gt;20&lt;/RecNum&gt;&lt;DisplayText&gt;(United Nations, 2011b)&lt;/DisplayText&gt;&lt;record&gt;&lt;rec-number&gt;20&lt;/rec-number&gt;&lt;foreign-keys&gt;&lt;key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00E12159" w:rsidRPr="0014182C">
        <w:rPr>
          <w:bCs/>
          <w:color w:val="000000" w:themeColor="text1"/>
        </w:rPr>
        <w:fldChar w:fldCharType="separate"/>
      </w:r>
      <w:r>
        <w:rPr>
          <w:bCs/>
          <w:noProof/>
          <w:color w:val="000000" w:themeColor="text1"/>
        </w:rPr>
        <w:t>(</w:t>
      </w:r>
      <w:hyperlink w:anchor="_ENREF_65" w:tooltip="United Nations, 2011 #20" w:history="1">
        <w:r w:rsidR="006A1532">
          <w:rPr>
            <w:bCs/>
            <w:noProof/>
            <w:color w:val="000000" w:themeColor="text1"/>
          </w:rPr>
          <w:t>United Nations, 2011b</w:t>
        </w:r>
      </w:hyperlink>
      <w:r>
        <w:rPr>
          <w:bCs/>
          <w:noProof/>
          <w:color w:val="000000" w:themeColor="text1"/>
        </w:rPr>
        <w:t>)</w:t>
      </w:r>
      <w:r w:rsidR="00E12159" w:rsidRPr="0014182C">
        <w:rPr>
          <w:bCs/>
          <w:color w:val="000000" w:themeColor="text1"/>
        </w:rPr>
        <w:fldChar w:fldCharType="end"/>
      </w:r>
      <w:r w:rsidRPr="0014182C">
        <w:rPr>
          <w:bCs/>
          <w:color w:val="000000" w:themeColor="text1"/>
        </w:rPr>
        <w:t>.</w:t>
      </w:r>
    </w:p>
    <w:p w14:paraId="6C12F7E2" w14:textId="77777777" w:rsidR="00FB758E" w:rsidRDefault="00FB758E" w:rsidP="008F5C92">
      <w:pPr>
        <w:spacing w:after="60"/>
        <w:jc w:val="center"/>
        <w:rPr>
          <w:b/>
          <w:sz w:val="22"/>
          <w:szCs w:val="22"/>
        </w:rPr>
      </w:pPr>
      <w:bookmarkStart w:id="46" w:name="_Ref220386518"/>
      <w:bookmarkStart w:id="47" w:name="_Toc232694737"/>
      <w:proofErr w:type="gramStart"/>
      <w:r w:rsidRPr="00FB758E">
        <w:rPr>
          <w:b/>
          <w:sz w:val="22"/>
          <w:szCs w:val="22"/>
        </w:rPr>
        <w:t xml:space="preserve">Table </w:t>
      </w:r>
      <w:r w:rsidR="00E12159" w:rsidRPr="00FB758E">
        <w:rPr>
          <w:b/>
          <w:sz w:val="22"/>
          <w:szCs w:val="22"/>
        </w:rPr>
        <w:fldChar w:fldCharType="begin"/>
      </w:r>
      <w:r w:rsidRPr="00FB758E">
        <w:rPr>
          <w:b/>
          <w:sz w:val="22"/>
          <w:szCs w:val="22"/>
        </w:rPr>
        <w:instrText xml:space="preserve"> </w:instrText>
      </w:r>
      <w:r w:rsidR="009F7A22">
        <w:rPr>
          <w:b/>
          <w:sz w:val="22"/>
          <w:szCs w:val="22"/>
        </w:rPr>
        <w:instrText>SEQ</w:instrText>
      </w:r>
      <w:r w:rsidRPr="00FB758E">
        <w:rPr>
          <w:b/>
          <w:sz w:val="22"/>
          <w:szCs w:val="22"/>
        </w:rPr>
        <w:instrText xml:space="preserve"> Table \* ARABIC </w:instrText>
      </w:r>
      <w:r w:rsidR="00E12159" w:rsidRPr="00FB758E">
        <w:rPr>
          <w:b/>
          <w:sz w:val="22"/>
          <w:szCs w:val="22"/>
        </w:rPr>
        <w:fldChar w:fldCharType="separate"/>
      </w:r>
      <w:r w:rsidR="00183FFF">
        <w:rPr>
          <w:b/>
          <w:noProof/>
          <w:sz w:val="22"/>
          <w:szCs w:val="22"/>
        </w:rPr>
        <w:t>1</w:t>
      </w:r>
      <w:r w:rsidR="00E12159" w:rsidRPr="00FB758E">
        <w:rPr>
          <w:b/>
          <w:sz w:val="22"/>
          <w:szCs w:val="22"/>
        </w:rPr>
        <w:fldChar w:fldCharType="end"/>
      </w:r>
      <w:bookmarkEnd w:id="46"/>
      <w:r w:rsidRPr="00FB758E">
        <w:rPr>
          <w:b/>
          <w:sz w:val="22"/>
          <w:szCs w:val="22"/>
        </w:rPr>
        <w:t>.</w:t>
      </w:r>
      <w:proofErr w:type="gramEnd"/>
      <w:r w:rsidRPr="00FB758E">
        <w:rPr>
          <w:b/>
          <w:sz w:val="22"/>
          <w:szCs w:val="22"/>
        </w:rPr>
        <w:t xml:space="preserve"> Life expectancy and mortality rates, 2000-2010</w:t>
      </w:r>
      <w:bookmarkEnd w:id="47"/>
    </w:p>
    <w:tbl>
      <w:tblPr>
        <w:tblStyle w:val="TableGrid"/>
        <w:tblW w:w="89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670"/>
        <w:gridCol w:w="670"/>
        <w:gridCol w:w="670"/>
        <w:gridCol w:w="670"/>
        <w:gridCol w:w="670"/>
        <w:gridCol w:w="670"/>
        <w:gridCol w:w="670"/>
        <w:gridCol w:w="670"/>
        <w:gridCol w:w="670"/>
        <w:gridCol w:w="670"/>
        <w:gridCol w:w="671"/>
      </w:tblGrid>
      <w:tr w:rsidR="00FB758E" w:rsidRPr="00FB758E" w14:paraId="23C69A7C" w14:textId="77777777" w:rsidTr="00D72B30">
        <w:tc>
          <w:tcPr>
            <w:tcW w:w="1560" w:type="dxa"/>
            <w:tcBorders>
              <w:top w:val="single" w:sz="4" w:space="0" w:color="auto"/>
              <w:bottom w:val="single" w:sz="4" w:space="0" w:color="auto"/>
            </w:tcBorders>
          </w:tcPr>
          <w:p w14:paraId="2EBC8A2B" w14:textId="77777777" w:rsidR="00FB758E" w:rsidRPr="00FB758E" w:rsidRDefault="00FB758E" w:rsidP="00D72B30">
            <w:pPr>
              <w:spacing w:before="60" w:after="60"/>
              <w:ind w:left="176"/>
              <w:jc w:val="right"/>
              <w:rPr>
                <w:sz w:val="22"/>
                <w:szCs w:val="22"/>
              </w:rPr>
            </w:pPr>
          </w:p>
        </w:tc>
        <w:tc>
          <w:tcPr>
            <w:tcW w:w="670" w:type="dxa"/>
            <w:tcBorders>
              <w:top w:val="single" w:sz="4" w:space="0" w:color="auto"/>
              <w:bottom w:val="single" w:sz="4" w:space="0" w:color="auto"/>
            </w:tcBorders>
          </w:tcPr>
          <w:p w14:paraId="120D7136" w14:textId="77777777" w:rsidR="00FB758E" w:rsidRPr="00FB758E" w:rsidRDefault="00FB758E" w:rsidP="008F5C92">
            <w:pPr>
              <w:spacing w:before="60" w:after="60"/>
              <w:jc w:val="right"/>
              <w:rPr>
                <w:sz w:val="22"/>
                <w:szCs w:val="22"/>
              </w:rPr>
            </w:pPr>
            <w:r w:rsidRPr="00FB758E">
              <w:rPr>
                <w:sz w:val="22"/>
                <w:szCs w:val="22"/>
              </w:rPr>
              <w:t>2000</w:t>
            </w:r>
          </w:p>
        </w:tc>
        <w:tc>
          <w:tcPr>
            <w:tcW w:w="670" w:type="dxa"/>
            <w:tcBorders>
              <w:top w:val="single" w:sz="4" w:space="0" w:color="auto"/>
              <w:bottom w:val="single" w:sz="4" w:space="0" w:color="auto"/>
            </w:tcBorders>
          </w:tcPr>
          <w:p w14:paraId="28BCD313" w14:textId="77777777" w:rsidR="00FB758E" w:rsidRPr="00FB758E" w:rsidRDefault="00FB758E" w:rsidP="008F5C92">
            <w:pPr>
              <w:spacing w:before="60" w:after="60"/>
              <w:jc w:val="right"/>
              <w:rPr>
                <w:sz w:val="22"/>
                <w:szCs w:val="22"/>
              </w:rPr>
            </w:pPr>
            <w:r w:rsidRPr="00FB758E">
              <w:rPr>
                <w:sz w:val="22"/>
                <w:szCs w:val="22"/>
              </w:rPr>
              <w:t>2001</w:t>
            </w:r>
          </w:p>
        </w:tc>
        <w:tc>
          <w:tcPr>
            <w:tcW w:w="670" w:type="dxa"/>
            <w:tcBorders>
              <w:top w:val="single" w:sz="4" w:space="0" w:color="auto"/>
              <w:bottom w:val="single" w:sz="4" w:space="0" w:color="auto"/>
            </w:tcBorders>
          </w:tcPr>
          <w:p w14:paraId="6EFA4B0E" w14:textId="77777777" w:rsidR="00FB758E" w:rsidRPr="00FB758E" w:rsidRDefault="00FB758E" w:rsidP="008F5C92">
            <w:pPr>
              <w:spacing w:before="60" w:after="60"/>
              <w:jc w:val="right"/>
              <w:rPr>
                <w:sz w:val="22"/>
                <w:szCs w:val="22"/>
              </w:rPr>
            </w:pPr>
            <w:r w:rsidRPr="00FB758E">
              <w:rPr>
                <w:sz w:val="22"/>
                <w:szCs w:val="22"/>
              </w:rPr>
              <w:t>2002</w:t>
            </w:r>
          </w:p>
        </w:tc>
        <w:tc>
          <w:tcPr>
            <w:tcW w:w="670" w:type="dxa"/>
            <w:tcBorders>
              <w:top w:val="single" w:sz="4" w:space="0" w:color="auto"/>
              <w:bottom w:val="single" w:sz="4" w:space="0" w:color="auto"/>
            </w:tcBorders>
          </w:tcPr>
          <w:p w14:paraId="131E390C" w14:textId="77777777" w:rsidR="00FB758E" w:rsidRPr="00FB758E" w:rsidRDefault="00FB758E" w:rsidP="008F5C92">
            <w:pPr>
              <w:spacing w:before="60" w:after="60"/>
              <w:jc w:val="right"/>
              <w:rPr>
                <w:sz w:val="22"/>
                <w:szCs w:val="22"/>
              </w:rPr>
            </w:pPr>
            <w:r w:rsidRPr="00FB758E">
              <w:rPr>
                <w:sz w:val="22"/>
                <w:szCs w:val="22"/>
              </w:rPr>
              <w:t>2003</w:t>
            </w:r>
          </w:p>
        </w:tc>
        <w:tc>
          <w:tcPr>
            <w:tcW w:w="670" w:type="dxa"/>
            <w:tcBorders>
              <w:top w:val="single" w:sz="4" w:space="0" w:color="auto"/>
              <w:bottom w:val="single" w:sz="4" w:space="0" w:color="auto"/>
            </w:tcBorders>
          </w:tcPr>
          <w:p w14:paraId="097F36A3" w14:textId="77777777" w:rsidR="00FB758E" w:rsidRPr="00FB758E" w:rsidRDefault="00FB758E" w:rsidP="008F5C92">
            <w:pPr>
              <w:spacing w:before="60" w:after="60"/>
              <w:jc w:val="right"/>
              <w:rPr>
                <w:sz w:val="22"/>
                <w:szCs w:val="22"/>
              </w:rPr>
            </w:pPr>
            <w:r w:rsidRPr="00FB758E">
              <w:rPr>
                <w:sz w:val="22"/>
                <w:szCs w:val="22"/>
              </w:rPr>
              <w:t>2004</w:t>
            </w:r>
          </w:p>
        </w:tc>
        <w:tc>
          <w:tcPr>
            <w:tcW w:w="670" w:type="dxa"/>
            <w:tcBorders>
              <w:top w:val="single" w:sz="4" w:space="0" w:color="auto"/>
              <w:bottom w:val="single" w:sz="4" w:space="0" w:color="auto"/>
            </w:tcBorders>
          </w:tcPr>
          <w:p w14:paraId="705FC44F" w14:textId="77777777" w:rsidR="00FB758E" w:rsidRPr="00FB758E" w:rsidRDefault="00FB758E" w:rsidP="008F5C92">
            <w:pPr>
              <w:spacing w:before="60" w:after="60"/>
              <w:jc w:val="right"/>
              <w:rPr>
                <w:sz w:val="22"/>
                <w:szCs w:val="22"/>
              </w:rPr>
            </w:pPr>
            <w:r w:rsidRPr="00FB758E">
              <w:rPr>
                <w:sz w:val="22"/>
                <w:szCs w:val="22"/>
              </w:rPr>
              <w:t>2005</w:t>
            </w:r>
          </w:p>
        </w:tc>
        <w:tc>
          <w:tcPr>
            <w:tcW w:w="670" w:type="dxa"/>
            <w:tcBorders>
              <w:top w:val="single" w:sz="4" w:space="0" w:color="auto"/>
              <w:bottom w:val="single" w:sz="4" w:space="0" w:color="auto"/>
            </w:tcBorders>
          </w:tcPr>
          <w:p w14:paraId="24FAF446" w14:textId="77777777" w:rsidR="00FB758E" w:rsidRPr="00FB758E" w:rsidRDefault="00FB758E" w:rsidP="008F5C92">
            <w:pPr>
              <w:spacing w:before="60" w:after="60"/>
              <w:jc w:val="right"/>
              <w:rPr>
                <w:sz w:val="22"/>
                <w:szCs w:val="22"/>
              </w:rPr>
            </w:pPr>
            <w:r w:rsidRPr="00FB758E">
              <w:rPr>
                <w:sz w:val="22"/>
                <w:szCs w:val="22"/>
              </w:rPr>
              <w:t>2006</w:t>
            </w:r>
          </w:p>
        </w:tc>
        <w:tc>
          <w:tcPr>
            <w:tcW w:w="670" w:type="dxa"/>
            <w:tcBorders>
              <w:top w:val="single" w:sz="4" w:space="0" w:color="auto"/>
              <w:bottom w:val="single" w:sz="4" w:space="0" w:color="auto"/>
            </w:tcBorders>
          </w:tcPr>
          <w:p w14:paraId="4A79F8B9" w14:textId="77777777" w:rsidR="00FB758E" w:rsidRPr="00FB758E" w:rsidRDefault="00FB758E" w:rsidP="008F5C92">
            <w:pPr>
              <w:spacing w:before="60" w:after="60"/>
              <w:jc w:val="right"/>
              <w:rPr>
                <w:sz w:val="22"/>
                <w:szCs w:val="22"/>
              </w:rPr>
            </w:pPr>
            <w:r w:rsidRPr="00FB758E">
              <w:rPr>
                <w:sz w:val="22"/>
                <w:szCs w:val="22"/>
              </w:rPr>
              <w:t>2007</w:t>
            </w:r>
          </w:p>
        </w:tc>
        <w:tc>
          <w:tcPr>
            <w:tcW w:w="670" w:type="dxa"/>
            <w:tcBorders>
              <w:top w:val="single" w:sz="4" w:space="0" w:color="auto"/>
              <w:bottom w:val="single" w:sz="4" w:space="0" w:color="auto"/>
            </w:tcBorders>
          </w:tcPr>
          <w:p w14:paraId="44479C23" w14:textId="77777777" w:rsidR="00FB758E" w:rsidRPr="00FB758E" w:rsidRDefault="00FB758E" w:rsidP="008F5C92">
            <w:pPr>
              <w:spacing w:before="60" w:after="60"/>
              <w:jc w:val="right"/>
              <w:rPr>
                <w:sz w:val="22"/>
                <w:szCs w:val="22"/>
              </w:rPr>
            </w:pPr>
            <w:r w:rsidRPr="00FB758E">
              <w:rPr>
                <w:sz w:val="22"/>
                <w:szCs w:val="22"/>
              </w:rPr>
              <w:t>2008</w:t>
            </w:r>
          </w:p>
        </w:tc>
        <w:tc>
          <w:tcPr>
            <w:tcW w:w="670" w:type="dxa"/>
            <w:tcBorders>
              <w:top w:val="single" w:sz="4" w:space="0" w:color="auto"/>
              <w:bottom w:val="single" w:sz="4" w:space="0" w:color="auto"/>
            </w:tcBorders>
          </w:tcPr>
          <w:p w14:paraId="0A3DB6C5" w14:textId="77777777" w:rsidR="00FB758E" w:rsidRPr="00FB758E" w:rsidRDefault="00FB758E" w:rsidP="008F5C92">
            <w:pPr>
              <w:spacing w:before="60" w:after="60"/>
              <w:jc w:val="right"/>
              <w:rPr>
                <w:sz w:val="22"/>
                <w:szCs w:val="22"/>
              </w:rPr>
            </w:pPr>
            <w:r w:rsidRPr="00FB758E">
              <w:rPr>
                <w:sz w:val="22"/>
                <w:szCs w:val="22"/>
              </w:rPr>
              <w:t>2009</w:t>
            </w:r>
          </w:p>
        </w:tc>
        <w:tc>
          <w:tcPr>
            <w:tcW w:w="671" w:type="dxa"/>
            <w:tcBorders>
              <w:top w:val="single" w:sz="4" w:space="0" w:color="auto"/>
              <w:bottom w:val="single" w:sz="4" w:space="0" w:color="auto"/>
            </w:tcBorders>
          </w:tcPr>
          <w:p w14:paraId="7C99650D" w14:textId="77777777" w:rsidR="00FB758E" w:rsidRPr="00FB758E" w:rsidRDefault="00FB758E" w:rsidP="008F5C92">
            <w:pPr>
              <w:spacing w:before="60" w:after="60"/>
              <w:jc w:val="right"/>
              <w:rPr>
                <w:sz w:val="22"/>
                <w:szCs w:val="22"/>
              </w:rPr>
            </w:pPr>
            <w:r w:rsidRPr="00FB758E">
              <w:rPr>
                <w:sz w:val="22"/>
                <w:szCs w:val="22"/>
              </w:rPr>
              <w:t>2010</w:t>
            </w:r>
          </w:p>
        </w:tc>
      </w:tr>
      <w:tr w:rsidR="00FB758E" w:rsidRPr="00FB758E" w14:paraId="05240269" w14:textId="77777777" w:rsidTr="00D72B30">
        <w:tc>
          <w:tcPr>
            <w:tcW w:w="1560" w:type="dxa"/>
            <w:tcBorders>
              <w:top w:val="single" w:sz="4" w:space="0" w:color="auto"/>
            </w:tcBorders>
          </w:tcPr>
          <w:p w14:paraId="15215D24" w14:textId="77777777" w:rsidR="00FB758E" w:rsidRPr="00FB758E" w:rsidRDefault="00FB758E" w:rsidP="008F5C92">
            <w:pPr>
              <w:rPr>
                <w:sz w:val="22"/>
                <w:szCs w:val="22"/>
              </w:rPr>
            </w:pPr>
            <w:r w:rsidRPr="00FB758E">
              <w:rPr>
                <w:sz w:val="22"/>
                <w:szCs w:val="22"/>
              </w:rPr>
              <w:t xml:space="preserve">Life expectancy at birth, female </w:t>
            </w:r>
          </w:p>
        </w:tc>
        <w:tc>
          <w:tcPr>
            <w:tcW w:w="670" w:type="dxa"/>
            <w:tcBorders>
              <w:top w:val="single" w:sz="4" w:space="0" w:color="auto"/>
            </w:tcBorders>
            <w:vAlign w:val="center"/>
          </w:tcPr>
          <w:p w14:paraId="3BFEFC9B" w14:textId="77777777" w:rsidR="00FB758E" w:rsidRPr="00FB758E" w:rsidRDefault="00FB758E" w:rsidP="008F5C92">
            <w:pPr>
              <w:jc w:val="center"/>
              <w:rPr>
                <w:sz w:val="22"/>
                <w:szCs w:val="22"/>
              </w:rPr>
            </w:pPr>
            <w:r w:rsidRPr="00FB758E">
              <w:rPr>
                <w:color w:val="000000"/>
                <w:sz w:val="22"/>
                <w:szCs w:val="22"/>
              </w:rPr>
              <w:t>67.7</w:t>
            </w:r>
          </w:p>
        </w:tc>
        <w:tc>
          <w:tcPr>
            <w:tcW w:w="670" w:type="dxa"/>
            <w:tcBorders>
              <w:top w:val="single" w:sz="4" w:space="0" w:color="auto"/>
            </w:tcBorders>
            <w:vAlign w:val="center"/>
          </w:tcPr>
          <w:p w14:paraId="402D8792" w14:textId="77777777" w:rsidR="00FB758E" w:rsidRPr="00FB758E" w:rsidRDefault="00FB758E" w:rsidP="008F5C92">
            <w:pPr>
              <w:jc w:val="center"/>
              <w:rPr>
                <w:sz w:val="22"/>
                <w:szCs w:val="22"/>
              </w:rPr>
            </w:pPr>
            <w:r w:rsidRPr="00FB758E">
              <w:rPr>
                <w:color w:val="000000"/>
                <w:sz w:val="22"/>
                <w:szCs w:val="22"/>
              </w:rPr>
              <w:t>68.1</w:t>
            </w:r>
          </w:p>
        </w:tc>
        <w:tc>
          <w:tcPr>
            <w:tcW w:w="670" w:type="dxa"/>
            <w:tcBorders>
              <w:top w:val="single" w:sz="4" w:space="0" w:color="auto"/>
            </w:tcBorders>
            <w:vAlign w:val="center"/>
          </w:tcPr>
          <w:p w14:paraId="2DB6CDE6" w14:textId="77777777" w:rsidR="00FB758E" w:rsidRPr="00FB758E" w:rsidRDefault="00FB758E" w:rsidP="008F5C92">
            <w:pPr>
              <w:jc w:val="center"/>
              <w:rPr>
                <w:sz w:val="22"/>
                <w:szCs w:val="22"/>
              </w:rPr>
            </w:pPr>
            <w:r w:rsidRPr="00FB758E">
              <w:rPr>
                <w:color w:val="000000"/>
                <w:sz w:val="22"/>
                <w:szCs w:val="22"/>
              </w:rPr>
              <w:t>68.4</w:t>
            </w:r>
          </w:p>
        </w:tc>
        <w:tc>
          <w:tcPr>
            <w:tcW w:w="670" w:type="dxa"/>
            <w:tcBorders>
              <w:top w:val="single" w:sz="4" w:space="0" w:color="auto"/>
            </w:tcBorders>
            <w:vAlign w:val="center"/>
          </w:tcPr>
          <w:p w14:paraId="5905AC92" w14:textId="77777777" w:rsidR="00FB758E" w:rsidRPr="00FB758E" w:rsidRDefault="00FB758E" w:rsidP="008F5C92">
            <w:pPr>
              <w:jc w:val="center"/>
              <w:rPr>
                <w:sz w:val="22"/>
                <w:szCs w:val="22"/>
              </w:rPr>
            </w:pPr>
            <w:r w:rsidRPr="00FB758E">
              <w:rPr>
                <w:color w:val="000000"/>
                <w:sz w:val="22"/>
                <w:szCs w:val="22"/>
              </w:rPr>
              <w:t>68.7</w:t>
            </w:r>
          </w:p>
        </w:tc>
        <w:tc>
          <w:tcPr>
            <w:tcW w:w="670" w:type="dxa"/>
            <w:tcBorders>
              <w:top w:val="single" w:sz="4" w:space="0" w:color="auto"/>
            </w:tcBorders>
            <w:vAlign w:val="center"/>
          </w:tcPr>
          <w:p w14:paraId="49BA49D6" w14:textId="77777777" w:rsidR="00FB758E" w:rsidRPr="00FB758E" w:rsidRDefault="00FB758E" w:rsidP="008F5C92">
            <w:pPr>
              <w:jc w:val="center"/>
              <w:rPr>
                <w:sz w:val="22"/>
                <w:szCs w:val="22"/>
              </w:rPr>
            </w:pPr>
            <w:r w:rsidRPr="00FB758E">
              <w:rPr>
                <w:color w:val="000000"/>
                <w:sz w:val="22"/>
                <w:szCs w:val="22"/>
              </w:rPr>
              <w:t>69.0</w:t>
            </w:r>
          </w:p>
        </w:tc>
        <w:tc>
          <w:tcPr>
            <w:tcW w:w="670" w:type="dxa"/>
            <w:tcBorders>
              <w:top w:val="single" w:sz="4" w:space="0" w:color="auto"/>
            </w:tcBorders>
            <w:vAlign w:val="center"/>
          </w:tcPr>
          <w:p w14:paraId="0AAF66B2" w14:textId="77777777" w:rsidR="00FB758E" w:rsidRPr="00FB758E" w:rsidRDefault="00FB758E" w:rsidP="008F5C92">
            <w:pPr>
              <w:jc w:val="center"/>
              <w:rPr>
                <w:sz w:val="22"/>
                <w:szCs w:val="22"/>
              </w:rPr>
            </w:pPr>
            <w:r w:rsidRPr="00FB758E">
              <w:rPr>
                <w:color w:val="000000"/>
                <w:sz w:val="22"/>
                <w:szCs w:val="22"/>
              </w:rPr>
              <w:t>69.3</w:t>
            </w:r>
          </w:p>
        </w:tc>
        <w:tc>
          <w:tcPr>
            <w:tcW w:w="670" w:type="dxa"/>
            <w:tcBorders>
              <w:top w:val="single" w:sz="4" w:space="0" w:color="auto"/>
            </w:tcBorders>
            <w:vAlign w:val="center"/>
          </w:tcPr>
          <w:p w14:paraId="060366E0" w14:textId="77777777" w:rsidR="00FB758E" w:rsidRPr="00FB758E" w:rsidRDefault="00FB758E" w:rsidP="008F5C92">
            <w:pPr>
              <w:jc w:val="center"/>
              <w:rPr>
                <w:sz w:val="22"/>
                <w:szCs w:val="22"/>
              </w:rPr>
            </w:pPr>
            <w:r w:rsidRPr="00FB758E">
              <w:rPr>
                <w:color w:val="000000"/>
                <w:sz w:val="22"/>
                <w:szCs w:val="22"/>
              </w:rPr>
              <w:t>69.5</w:t>
            </w:r>
          </w:p>
        </w:tc>
        <w:tc>
          <w:tcPr>
            <w:tcW w:w="670" w:type="dxa"/>
            <w:tcBorders>
              <w:top w:val="single" w:sz="4" w:space="0" w:color="auto"/>
            </w:tcBorders>
            <w:vAlign w:val="center"/>
          </w:tcPr>
          <w:p w14:paraId="4B8E594B" w14:textId="77777777" w:rsidR="00FB758E" w:rsidRPr="00FB758E" w:rsidRDefault="00FB758E" w:rsidP="008F5C92">
            <w:pPr>
              <w:jc w:val="center"/>
              <w:rPr>
                <w:sz w:val="22"/>
                <w:szCs w:val="22"/>
              </w:rPr>
            </w:pPr>
            <w:r w:rsidRPr="00FB758E">
              <w:rPr>
                <w:color w:val="000000"/>
                <w:sz w:val="22"/>
                <w:szCs w:val="22"/>
              </w:rPr>
              <w:t>69.8</w:t>
            </w:r>
          </w:p>
        </w:tc>
        <w:tc>
          <w:tcPr>
            <w:tcW w:w="670" w:type="dxa"/>
            <w:tcBorders>
              <w:top w:val="single" w:sz="4" w:space="0" w:color="auto"/>
            </w:tcBorders>
            <w:vAlign w:val="center"/>
          </w:tcPr>
          <w:p w14:paraId="2F047BBF" w14:textId="77777777" w:rsidR="00FB758E" w:rsidRPr="00FB758E" w:rsidRDefault="00FB758E" w:rsidP="008F5C92">
            <w:pPr>
              <w:jc w:val="center"/>
              <w:rPr>
                <w:sz w:val="22"/>
                <w:szCs w:val="22"/>
              </w:rPr>
            </w:pPr>
            <w:r w:rsidRPr="00FB758E">
              <w:rPr>
                <w:color w:val="000000"/>
                <w:sz w:val="22"/>
                <w:szCs w:val="22"/>
              </w:rPr>
              <w:t>70.1</w:t>
            </w:r>
          </w:p>
        </w:tc>
        <w:tc>
          <w:tcPr>
            <w:tcW w:w="670" w:type="dxa"/>
            <w:tcBorders>
              <w:top w:val="single" w:sz="4" w:space="0" w:color="auto"/>
            </w:tcBorders>
            <w:vAlign w:val="center"/>
          </w:tcPr>
          <w:p w14:paraId="5A0C1EA2" w14:textId="77777777" w:rsidR="00FB758E" w:rsidRPr="00FB758E" w:rsidRDefault="00FB758E" w:rsidP="008F5C92">
            <w:pPr>
              <w:jc w:val="center"/>
              <w:rPr>
                <w:sz w:val="22"/>
                <w:szCs w:val="22"/>
              </w:rPr>
            </w:pPr>
            <w:r w:rsidRPr="00FB758E">
              <w:rPr>
                <w:color w:val="000000"/>
                <w:sz w:val="22"/>
                <w:szCs w:val="22"/>
              </w:rPr>
              <w:t>70.3</w:t>
            </w:r>
          </w:p>
        </w:tc>
        <w:tc>
          <w:tcPr>
            <w:tcW w:w="671" w:type="dxa"/>
            <w:tcBorders>
              <w:top w:val="single" w:sz="4" w:space="0" w:color="auto"/>
            </w:tcBorders>
            <w:vAlign w:val="center"/>
          </w:tcPr>
          <w:p w14:paraId="1E001B4C" w14:textId="77777777" w:rsidR="00FB758E" w:rsidRPr="00FB758E" w:rsidRDefault="00FB758E" w:rsidP="008F5C92">
            <w:pPr>
              <w:jc w:val="center"/>
              <w:rPr>
                <w:color w:val="000000"/>
                <w:sz w:val="22"/>
                <w:szCs w:val="22"/>
              </w:rPr>
            </w:pPr>
            <w:r w:rsidRPr="00FB758E">
              <w:rPr>
                <w:color w:val="000000"/>
                <w:sz w:val="22"/>
                <w:szCs w:val="22"/>
              </w:rPr>
              <w:t>70.6</w:t>
            </w:r>
          </w:p>
        </w:tc>
      </w:tr>
      <w:tr w:rsidR="00FB758E" w:rsidRPr="00FB758E" w14:paraId="2CEBF673" w14:textId="77777777" w:rsidTr="00D72B30">
        <w:tc>
          <w:tcPr>
            <w:tcW w:w="1560" w:type="dxa"/>
            <w:shd w:val="clear" w:color="auto" w:fill="E6E6E6"/>
          </w:tcPr>
          <w:p w14:paraId="517D3AC7" w14:textId="77777777" w:rsidR="00FB758E" w:rsidRPr="00FB758E" w:rsidRDefault="00FB758E" w:rsidP="008F5C92">
            <w:pPr>
              <w:rPr>
                <w:sz w:val="22"/>
                <w:szCs w:val="22"/>
              </w:rPr>
            </w:pPr>
            <w:r w:rsidRPr="00FB758E">
              <w:rPr>
                <w:sz w:val="22"/>
                <w:szCs w:val="22"/>
              </w:rPr>
              <w:t>Life expectancy at birth, male</w:t>
            </w:r>
          </w:p>
        </w:tc>
        <w:tc>
          <w:tcPr>
            <w:tcW w:w="670" w:type="dxa"/>
            <w:shd w:val="clear" w:color="auto" w:fill="E6E6E6"/>
            <w:vAlign w:val="center"/>
          </w:tcPr>
          <w:p w14:paraId="4C44CCD1" w14:textId="77777777" w:rsidR="00FB758E" w:rsidRPr="00FB758E" w:rsidRDefault="00FB758E" w:rsidP="008F5C92">
            <w:pPr>
              <w:jc w:val="center"/>
              <w:rPr>
                <w:sz w:val="22"/>
                <w:szCs w:val="22"/>
              </w:rPr>
            </w:pPr>
            <w:r w:rsidRPr="00FB758E">
              <w:rPr>
                <w:color w:val="000000"/>
                <w:sz w:val="22"/>
                <w:szCs w:val="22"/>
              </w:rPr>
              <w:t>60.0</w:t>
            </w:r>
          </w:p>
        </w:tc>
        <w:tc>
          <w:tcPr>
            <w:tcW w:w="670" w:type="dxa"/>
            <w:shd w:val="clear" w:color="auto" w:fill="E6E6E6"/>
            <w:vAlign w:val="center"/>
          </w:tcPr>
          <w:p w14:paraId="067256AE" w14:textId="77777777" w:rsidR="00FB758E" w:rsidRPr="00FB758E" w:rsidRDefault="00FB758E" w:rsidP="008F5C92">
            <w:pPr>
              <w:jc w:val="center"/>
              <w:rPr>
                <w:sz w:val="22"/>
                <w:szCs w:val="22"/>
              </w:rPr>
            </w:pPr>
            <w:r w:rsidRPr="00FB758E">
              <w:rPr>
                <w:color w:val="000000"/>
                <w:sz w:val="22"/>
                <w:szCs w:val="22"/>
              </w:rPr>
              <w:t>60.3</w:t>
            </w:r>
          </w:p>
        </w:tc>
        <w:tc>
          <w:tcPr>
            <w:tcW w:w="670" w:type="dxa"/>
            <w:shd w:val="clear" w:color="auto" w:fill="E6E6E6"/>
            <w:vAlign w:val="center"/>
          </w:tcPr>
          <w:p w14:paraId="6B740223" w14:textId="77777777" w:rsidR="00FB758E" w:rsidRPr="00FB758E" w:rsidRDefault="00FB758E" w:rsidP="008F5C92">
            <w:pPr>
              <w:jc w:val="center"/>
              <w:rPr>
                <w:sz w:val="22"/>
                <w:szCs w:val="22"/>
              </w:rPr>
            </w:pPr>
            <w:r w:rsidRPr="00FB758E">
              <w:rPr>
                <w:color w:val="000000"/>
                <w:sz w:val="22"/>
                <w:szCs w:val="22"/>
              </w:rPr>
              <w:t>60.7</w:t>
            </w:r>
          </w:p>
        </w:tc>
        <w:tc>
          <w:tcPr>
            <w:tcW w:w="670" w:type="dxa"/>
            <w:shd w:val="clear" w:color="auto" w:fill="E6E6E6"/>
            <w:vAlign w:val="center"/>
          </w:tcPr>
          <w:p w14:paraId="5C82EA01" w14:textId="77777777" w:rsidR="00FB758E" w:rsidRPr="00FB758E" w:rsidRDefault="00FB758E" w:rsidP="008F5C92">
            <w:pPr>
              <w:jc w:val="center"/>
              <w:rPr>
                <w:sz w:val="22"/>
                <w:szCs w:val="22"/>
              </w:rPr>
            </w:pPr>
            <w:r w:rsidRPr="00FB758E">
              <w:rPr>
                <w:color w:val="000000"/>
                <w:sz w:val="22"/>
                <w:szCs w:val="22"/>
              </w:rPr>
              <w:t>61.2</w:t>
            </w:r>
          </w:p>
        </w:tc>
        <w:tc>
          <w:tcPr>
            <w:tcW w:w="670" w:type="dxa"/>
            <w:shd w:val="clear" w:color="auto" w:fill="E6E6E6"/>
            <w:vAlign w:val="center"/>
          </w:tcPr>
          <w:p w14:paraId="25581AC8" w14:textId="77777777" w:rsidR="00FB758E" w:rsidRPr="00FB758E" w:rsidRDefault="00FB758E" w:rsidP="008F5C92">
            <w:pPr>
              <w:jc w:val="center"/>
              <w:rPr>
                <w:sz w:val="22"/>
                <w:szCs w:val="22"/>
              </w:rPr>
            </w:pPr>
            <w:r w:rsidRPr="00FB758E">
              <w:rPr>
                <w:color w:val="000000"/>
                <w:sz w:val="22"/>
                <w:szCs w:val="22"/>
              </w:rPr>
              <w:t>61.7</w:t>
            </w:r>
          </w:p>
        </w:tc>
        <w:tc>
          <w:tcPr>
            <w:tcW w:w="670" w:type="dxa"/>
            <w:shd w:val="clear" w:color="auto" w:fill="E6E6E6"/>
            <w:vAlign w:val="center"/>
          </w:tcPr>
          <w:p w14:paraId="40082C25" w14:textId="77777777" w:rsidR="00FB758E" w:rsidRPr="00FB758E" w:rsidRDefault="00FB758E" w:rsidP="008F5C92">
            <w:pPr>
              <w:jc w:val="center"/>
              <w:rPr>
                <w:sz w:val="22"/>
                <w:szCs w:val="22"/>
              </w:rPr>
            </w:pPr>
            <w:r w:rsidRPr="00FB758E">
              <w:rPr>
                <w:color w:val="000000"/>
                <w:sz w:val="22"/>
                <w:szCs w:val="22"/>
              </w:rPr>
              <w:t>62.1</w:t>
            </w:r>
          </w:p>
        </w:tc>
        <w:tc>
          <w:tcPr>
            <w:tcW w:w="670" w:type="dxa"/>
            <w:shd w:val="clear" w:color="auto" w:fill="E6E6E6"/>
            <w:vAlign w:val="center"/>
          </w:tcPr>
          <w:p w14:paraId="149257D8" w14:textId="77777777" w:rsidR="00FB758E" w:rsidRPr="00FB758E" w:rsidRDefault="00FB758E" w:rsidP="008F5C92">
            <w:pPr>
              <w:jc w:val="center"/>
              <w:rPr>
                <w:sz w:val="22"/>
                <w:szCs w:val="22"/>
              </w:rPr>
            </w:pPr>
            <w:r w:rsidRPr="00FB758E">
              <w:rPr>
                <w:color w:val="000000"/>
                <w:sz w:val="22"/>
                <w:szCs w:val="22"/>
              </w:rPr>
              <w:t>62.6</w:t>
            </w:r>
          </w:p>
        </w:tc>
        <w:tc>
          <w:tcPr>
            <w:tcW w:w="670" w:type="dxa"/>
            <w:shd w:val="clear" w:color="auto" w:fill="E6E6E6"/>
            <w:vAlign w:val="center"/>
          </w:tcPr>
          <w:p w14:paraId="4D40A91F" w14:textId="77777777" w:rsidR="00FB758E" w:rsidRPr="00FB758E" w:rsidRDefault="00FB758E" w:rsidP="008F5C92">
            <w:pPr>
              <w:jc w:val="center"/>
              <w:rPr>
                <w:sz w:val="22"/>
                <w:szCs w:val="22"/>
              </w:rPr>
            </w:pPr>
            <w:r w:rsidRPr="00FB758E">
              <w:rPr>
                <w:color w:val="000000"/>
                <w:sz w:val="22"/>
                <w:szCs w:val="22"/>
              </w:rPr>
              <w:t>63.0</w:t>
            </w:r>
          </w:p>
        </w:tc>
        <w:tc>
          <w:tcPr>
            <w:tcW w:w="670" w:type="dxa"/>
            <w:shd w:val="clear" w:color="auto" w:fill="E6E6E6"/>
            <w:vAlign w:val="center"/>
          </w:tcPr>
          <w:p w14:paraId="44A4F82E" w14:textId="77777777" w:rsidR="00FB758E" w:rsidRPr="00FB758E" w:rsidRDefault="00FB758E" w:rsidP="008F5C92">
            <w:pPr>
              <w:jc w:val="center"/>
              <w:rPr>
                <w:sz w:val="22"/>
                <w:szCs w:val="22"/>
              </w:rPr>
            </w:pPr>
            <w:r w:rsidRPr="00FB758E">
              <w:rPr>
                <w:color w:val="000000"/>
                <w:sz w:val="22"/>
                <w:szCs w:val="22"/>
              </w:rPr>
              <w:t>63.4</w:t>
            </w:r>
          </w:p>
        </w:tc>
        <w:tc>
          <w:tcPr>
            <w:tcW w:w="670" w:type="dxa"/>
            <w:shd w:val="clear" w:color="auto" w:fill="E6E6E6"/>
            <w:vAlign w:val="center"/>
          </w:tcPr>
          <w:p w14:paraId="07D1E876" w14:textId="77777777" w:rsidR="00FB758E" w:rsidRPr="00FB758E" w:rsidRDefault="00FB758E" w:rsidP="008F5C92">
            <w:pPr>
              <w:jc w:val="center"/>
              <w:rPr>
                <w:sz w:val="22"/>
                <w:szCs w:val="22"/>
              </w:rPr>
            </w:pPr>
            <w:r w:rsidRPr="00FB758E">
              <w:rPr>
                <w:color w:val="000000"/>
                <w:sz w:val="22"/>
                <w:szCs w:val="22"/>
              </w:rPr>
              <w:t>63.8</w:t>
            </w:r>
          </w:p>
        </w:tc>
        <w:tc>
          <w:tcPr>
            <w:tcW w:w="671" w:type="dxa"/>
            <w:shd w:val="clear" w:color="auto" w:fill="E6E6E6"/>
            <w:vAlign w:val="center"/>
          </w:tcPr>
          <w:p w14:paraId="1ACFB1FD" w14:textId="77777777" w:rsidR="00FB758E" w:rsidRPr="00FB758E" w:rsidRDefault="00FB758E" w:rsidP="008F5C92">
            <w:pPr>
              <w:jc w:val="center"/>
              <w:rPr>
                <w:color w:val="000000"/>
                <w:sz w:val="22"/>
                <w:szCs w:val="22"/>
              </w:rPr>
            </w:pPr>
            <w:r w:rsidRPr="00FB758E">
              <w:rPr>
                <w:color w:val="000000"/>
                <w:sz w:val="22"/>
                <w:szCs w:val="22"/>
              </w:rPr>
              <w:t>64.1</w:t>
            </w:r>
          </w:p>
        </w:tc>
      </w:tr>
      <w:tr w:rsidR="00FB758E" w:rsidRPr="00FB758E" w14:paraId="1EBAEC28" w14:textId="77777777" w:rsidTr="00D72B30">
        <w:tc>
          <w:tcPr>
            <w:tcW w:w="1560" w:type="dxa"/>
            <w:shd w:val="clear" w:color="auto" w:fill="auto"/>
          </w:tcPr>
          <w:p w14:paraId="735A74D0" w14:textId="77777777" w:rsidR="00FB758E" w:rsidRPr="00FB758E" w:rsidRDefault="00FB758E" w:rsidP="008F5C92">
            <w:pPr>
              <w:rPr>
                <w:sz w:val="22"/>
                <w:szCs w:val="22"/>
              </w:rPr>
            </w:pPr>
            <w:r w:rsidRPr="00FB758E">
              <w:rPr>
                <w:sz w:val="22"/>
                <w:szCs w:val="22"/>
              </w:rPr>
              <w:t>Mortality rate, adult, female</w:t>
            </w:r>
          </w:p>
        </w:tc>
        <w:tc>
          <w:tcPr>
            <w:tcW w:w="670" w:type="dxa"/>
            <w:shd w:val="clear" w:color="auto" w:fill="auto"/>
            <w:vAlign w:val="center"/>
          </w:tcPr>
          <w:p w14:paraId="70404400" w14:textId="77777777" w:rsidR="00FB758E" w:rsidRPr="00FB758E" w:rsidRDefault="00FB758E" w:rsidP="008F5C92">
            <w:pPr>
              <w:jc w:val="center"/>
              <w:rPr>
                <w:sz w:val="22"/>
                <w:szCs w:val="22"/>
              </w:rPr>
            </w:pPr>
            <w:r w:rsidRPr="00FB758E">
              <w:rPr>
                <w:color w:val="000000"/>
                <w:sz w:val="22"/>
                <w:szCs w:val="22"/>
              </w:rPr>
              <w:t>147</w:t>
            </w:r>
          </w:p>
        </w:tc>
        <w:tc>
          <w:tcPr>
            <w:tcW w:w="670" w:type="dxa"/>
            <w:shd w:val="clear" w:color="auto" w:fill="auto"/>
            <w:vAlign w:val="center"/>
          </w:tcPr>
          <w:p w14:paraId="6C7D9854" w14:textId="77777777" w:rsidR="00FB758E" w:rsidRPr="00FB758E" w:rsidRDefault="00FB758E" w:rsidP="008F5C92">
            <w:pPr>
              <w:jc w:val="center"/>
              <w:rPr>
                <w:sz w:val="22"/>
                <w:szCs w:val="22"/>
              </w:rPr>
            </w:pPr>
            <w:r w:rsidRPr="00FB758E">
              <w:rPr>
                <w:color w:val="000000"/>
                <w:sz w:val="22"/>
                <w:szCs w:val="22"/>
              </w:rPr>
              <w:t>147</w:t>
            </w:r>
          </w:p>
        </w:tc>
        <w:tc>
          <w:tcPr>
            <w:tcW w:w="670" w:type="dxa"/>
            <w:shd w:val="clear" w:color="auto" w:fill="auto"/>
            <w:vAlign w:val="center"/>
          </w:tcPr>
          <w:p w14:paraId="2949B0C0" w14:textId="77777777" w:rsidR="00FB758E" w:rsidRPr="00FB758E" w:rsidRDefault="00FB758E" w:rsidP="008F5C92">
            <w:pPr>
              <w:jc w:val="center"/>
              <w:rPr>
                <w:sz w:val="22"/>
                <w:szCs w:val="22"/>
              </w:rPr>
            </w:pPr>
            <w:r w:rsidRPr="00FB758E">
              <w:rPr>
                <w:color w:val="000000"/>
                <w:sz w:val="22"/>
                <w:szCs w:val="22"/>
              </w:rPr>
              <w:t>147</w:t>
            </w:r>
          </w:p>
        </w:tc>
        <w:tc>
          <w:tcPr>
            <w:tcW w:w="670" w:type="dxa"/>
            <w:shd w:val="clear" w:color="auto" w:fill="auto"/>
            <w:vAlign w:val="center"/>
          </w:tcPr>
          <w:p w14:paraId="0B0E6E53" w14:textId="77777777" w:rsidR="00FB758E" w:rsidRPr="00FB758E" w:rsidRDefault="00FB758E" w:rsidP="008F5C92">
            <w:pPr>
              <w:jc w:val="center"/>
              <w:rPr>
                <w:sz w:val="22"/>
                <w:szCs w:val="22"/>
              </w:rPr>
            </w:pPr>
            <w:r w:rsidRPr="00FB758E">
              <w:rPr>
                <w:color w:val="000000"/>
                <w:sz w:val="22"/>
                <w:szCs w:val="22"/>
              </w:rPr>
              <w:t>144</w:t>
            </w:r>
          </w:p>
        </w:tc>
        <w:tc>
          <w:tcPr>
            <w:tcW w:w="670" w:type="dxa"/>
            <w:shd w:val="clear" w:color="auto" w:fill="auto"/>
            <w:vAlign w:val="center"/>
          </w:tcPr>
          <w:p w14:paraId="43AB1EF3" w14:textId="77777777" w:rsidR="00FB758E" w:rsidRPr="00FB758E" w:rsidRDefault="00FB758E" w:rsidP="008F5C92">
            <w:pPr>
              <w:jc w:val="center"/>
              <w:rPr>
                <w:sz w:val="22"/>
                <w:szCs w:val="22"/>
              </w:rPr>
            </w:pPr>
            <w:r w:rsidRPr="00FB758E">
              <w:rPr>
                <w:color w:val="000000"/>
                <w:sz w:val="22"/>
                <w:szCs w:val="22"/>
              </w:rPr>
              <w:t>142</w:t>
            </w:r>
          </w:p>
        </w:tc>
        <w:tc>
          <w:tcPr>
            <w:tcW w:w="670" w:type="dxa"/>
            <w:shd w:val="clear" w:color="auto" w:fill="auto"/>
            <w:vAlign w:val="center"/>
          </w:tcPr>
          <w:p w14:paraId="16CF1DFB" w14:textId="77777777" w:rsidR="00FB758E" w:rsidRPr="00FB758E" w:rsidRDefault="00FB758E" w:rsidP="008F5C92">
            <w:pPr>
              <w:jc w:val="center"/>
              <w:rPr>
                <w:sz w:val="22"/>
                <w:szCs w:val="22"/>
              </w:rPr>
            </w:pPr>
            <w:r w:rsidRPr="00FB758E">
              <w:rPr>
                <w:color w:val="000000"/>
                <w:sz w:val="22"/>
                <w:szCs w:val="22"/>
              </w:rPr>
              <w:t>139</w:t>
            </w:r>
          </w:p>
        </w:tc>
        <w:tc>
          <w:tcPr>
            <w:tcW w:w="670" w:type="dxa"/>
            <w:shd w:val="clear" w:color="auto" w:fill="auto"/>
            <w:vAlign w:val="center"/>
          </w:tcPr>
          <w:p w14:paraId="22BDE786" w14:textId="77777777" w:rsidR="00FB758E" w:rsidRPr="00FB758E" w:rsidRDefault="00FB758E" w:rsidP="008F5C92">
            <w:pPr>
              <w:jc w:val="center"/>
              <w:rPr>
                <w:sz w:val="22"/>
                <w:szCs w:val="22"/>
              </w:rPr>
            </w:pPr>
            <w:r w:rsidRPr="00FB758E">
              <w:rPr>
                <w:color w:val="000000"/>
                <w:sz w:val="22"/>
                <w:szCs w:val="22"/>
              </w:rPr>
              <w:t>137</w:t>
            </w:r>
          </w:p>
        </w:tc>
        <w:tc>
          <w:tcPr>
            <w:tcW w:w="670" w:type="dxa"/>
            <w:shd w:val="clear" w:color="auto" w:fill="auto"/>
            <w:vAlign w:val="center"/>
          </w:tcPr>
          <w:p w14:paraId="6A67C224" w14:textId="77777777" w:rsidR="00FB758E" w:rsidRPr="00FB758E" w:rsidRDefault="00FB758E" w:rsidP="008F5C92">
            <w:pPr>
              <w:jc w:val="center"/>
              <w:rPr>
                <w:sz w:val="22"/>
                <w:szCs w:val="22"/>
              </w:rPr>
            </w:pPr>
            <w:r w:rsidRPr="00FB758E">
              <w:rPr>
                <w:color w:val="000000"/>
                <w:sz w:val="22"/>
                <w:szCs w:val="22"/>
              </w:rPr>
              <w:t>135</w:t>
            </w:r>
          </w:p>
        </w:tc>
        <w:tc>
          <w:tcPr>
            <w:tcW w:w="670" w:type="dxa"/>
            <w:shd w:val="clear" w:color="auto" w:fill="auto"/>
            <w:vAlign w:val="center"/>
          </w:tcPr>
          <w:p w14:paraId="298FBD57" w14:textId="77777777" w:rsidR="00FB758E" w:rsidRPr="00FB758E" w:rsidRDefault="00FB758E" w:rsidP="008F5C92">
            <w:pPr>
              <w:jc w:val="center"/>
              <w:rPr>
                <w:sz w:val="22"/>
                <w:szCs w:val="22"/>
              </w:rPr>
            </w:pPr>
            <w:r w:rsidRPr="00FB758E">
              <w:rPr>
                <w:color w:val="000000"/>
                <w:sz w:val="22"/>
                <w:szCs w:val="22"/>
              </w:rPr>
              <w:t>132</w:t>
            </w:r>
          </w:p>
        </w:tc>
        <w:tc>
          <w:tcPr>
            <w:tcW w:w="670" w:type="dxa"/>
            <w:shd w:val="clear" w:color="auto" w:fill="auto"/>
            <w:vAlign w:val="center"/>
          </w:tcPr>
          <w:p w14:paraId="0A5F796B" w14:textId="77777777" w:rsidR="00FB758E" w:rsidRPr="00FB758E" w:rsidRDefault="00FB758E" w:rsidP="008F5C92">
            <w:pPr>
              <w:jc w:val="center"/>
              <w:rPr>
                <w:sz w:val="22"/>
                <w:szCs w:val="22"/>
              </w:rPr>
            </w:pPr>
            <w:r w:rsidRPr="00FB758E">
              <w:rPr>
                <w:color w:val="000000"/>
                <w:sz w:val="22"/>
                <w:szCs w:val="22"/>
              </w:rPr>
              <w:t>130</w:t>
            </w:r>
          </w:p>
        </w:tc>
        <w:tc>
          <w:tcPr>
            <w:tcW w:w="671" w:type="dxa"/>
            <w:shd w:val="clear" w:color="auto" w:fill="auto"/>
            <w:vAlign w:val="center"/>
          </w:tcPr>
          <w:p w14:paraId="0BC1A3F0" w14:textId="77777777" w:rsidR="00FB758E" w:rsidRPr="00FB758E" w:rsidRDefault="00FB758E" w:rsidP="008F5C92">
            <w:pPr>
              <w:jc w:val="center"/>
              <w:rPr>
                <w:color w:val="000000"/>
                <w:sz w:val="22"/>
                <w:szCs w:val="22"/>
              </w:rPr>
            </w:pPr>
            <w:r w:rsidRPr="00FB758E">
              <w:rPr>
                <w:color w:val="000000"/>
                <w:sz w:val="22"/>
                <w:szCs w:val="22"/>
              </w:rPr>
              <w:t>128</w:t>
            </w:r>
          </w:p>
        </w:tc>
      </w:tr>
      <w:tr w:rsidR="00FB758E" w:rsidRPr="00FB758E" w14:paraId="07C0423C" w14:textId="77777777" w:rsidTr="00D72B30">
        <w:tc>
          <w:tcPr>
            <w:tcW w:w="1560" w:type="dxa"/>
            <w:shd w:val="clear" w:color="auto" w:fill="E6E6E6"/>
          </w:tcPr>
          <w:p w14:paraId="04027654" w14:textId="77777777" w:rsidR="00FB758E" w:rsidRPr="00FB758E" w:rsidRDefault="00FB758E" w:rsidP="008F5C92">
            <w:pPr>
              <w:rPr>
                <w:sz w:val="22"/>
                <w:szCs w:val="22"/>
              </w:rPr>
            </w:pPr>
            <w:r w:rsidRPr="00FB758E">
              <w:rPr>
                <w:sz w:val="22"/>
                <w:szCs w:val="22"/>
              </w:rPr>
              <w:t xml:space="preserve">Mortality rate, adult, male </w:t>
            </w:r>
          </w:p>
        </w:tc>
        <w:tc>
          <w:tcPr>
            <w:tcW w:w="670" w:type="dxa"/>
            <w:shd w:val="clear" w:color="auto" w:fill="E6E6E6"/>
            <w:vAlign w:val="center"/>
          </w:tcPr>
          <w:p w14:paraId="6D82260A" w14:textId="77777777" w:rsidR="00FB758E" w:rsidRPr="00FB758E" w:rsidRDefault="00FB758E" w:rsidP="008F5C92">
            <w:pPr>
              <w:jc w:val="center"/>
              <w:rPr>
                <w:sz w:val="22"/>
                <w:szCs w:val="22"/>
              </w:rPr>
            </w:pPr>
            <w:r w:rsidRPr="00FB758E">
              <w:rPr>
                <w:color w:val="000000"/>
                <w:sz w:val="22"/>
                <w:szCs w:val="22"/>
              </w:rPr>
              <w:t>266</w:t>
            </w:r>
          </w:p>
        </w:tc>
        <w:tc>
          <w:tcPr>
            <w:tcW w:w="670" w:type="dxa"/>
            <w:shd w:val="clear" w:color="auto" w:fill="E6E6E6"/>
            <w:vAlign w:val="center"/>
          </w:tcPr>
          <w:p w14:paraId="34FA504F" w14:textId="77777777" w:rsidR="00FB758E" w:rsidRPr="00FB758E" w:rsidRDefault="00FB758E" w:rsidP="008F5C92">
            <w:pPr>
              <w:jc w:val="center"/>
              <w:rPr>
                <w:sz w:val="22"/>
                <w:szCs w:val="22"/>
              </w:rPr>
            </w:pPr>
            <w:r w:rsidRPr="00FB758E">
              <w:rPr>
                <w:color w:val="000000"/>
                <w:sz w:val="22"/>
                <w:szCs w:val="22"/>
              </w:rPr>
              <w:t>266</w:t>
            </w:r>
          </w:p>
        </w:tc>
        <w:tc>
          <w:tcPr>
            <w:tcW w:w="670" w:type="dxa"/>
            <w:shd w:val="clear" w:color="auto" w:fill="E6E6E6"/>
            <w:vAlign w:val="center"/>
          </w:tcPr>
          <w:p w14:paraId="01E7B826" w14:textId="77777777" w:rsidR="00FB758E" w:rsidRPr="00FB758E" w:rsidRDefault="00FB758E" w:rsidP="008F5C92">
            <w:pPr>
              <w:jc w:val="center"/>
              <w:rPr>
                <w:sz w:val="22"/>
                <w:szCs w:val="22"/>
              </w:rPr>
            </w:pPr>
            <w:r w:rsidRPr="00FB758E">
              <w:rPr>
                <w:color w:val="000000"/>
                <w:sz w:val="22"/>
                <w:szCs w:val="22"/>
              </w:rPr>
              <w:t>265</w:t>
            </w:r>
          </w:p>
        </w:tc>
        <w:tc>
          <w:tcPr>
            <w:tcW w:w="670" w:type="dxa"/>
            <w:shd w:val="clear" w:color="auto" w:fill="E6E6E6"/>
            <w:vAlign w:val="center"/>
          </w:tcPr>
          <w:p w14:paraId="31904E4A" w14:textId="77777777" w:rsidR="00FB758E" w:rsidRPr="00FB758E" w:rsidRDefault="00FB758E" w:rsidP="008F5C92">
            <w:pPr>
              <w:jc w:val="center"/>
              <w:rPr>
                <w:sz w:val="22"/>
                <w:szCs w:val="22"/>
              </w:rPr>
            </w:pPr>
            <w:r w:rsidRPr="00FB758E">
              <w:rPr>
                <w:color w:val="000000"/>
                <w:sz w:val="22"/>
                <w:szCs w:val="22"/>
              </w:rPr>
              <w:t>259</w:t>
            </w:r>
          </w:p>
        </w:tc>
        <w:tc>
          <w:tcPr>
            <w:tcW w:w="670" w:type="dxa"/>
            <w:shd w:val="clear" w:color="auto" w:fill="E6E6E6"/>
            <w:vAlign w:val="center"/>
          </w:tcPr>
          <w:p w14:paraId="0818477A" w14:textId="77777777" w:rsidR="00FB758E" w:rsidRPr="00FB758E" w:rsidRDefault="00FB758E" w:rsidP="008F5C92">
            <w:pPr>
              <w:jc w:val="center"/>
              <w:rPr>
                <w:sz w:val="22"/>
                <w:szCs w:val="22"/>
              </w:rPr>
            </w:pPr>
            <w:r w:rsidRPr="00FB758E">
              <w:rPr>
                <w:color w:val="000000"/>
                <w:sz w:val="22"/>
                <w:szCs w:val="22"/>
              </w:rPr>
              <w:t>253</w:t>
            </w:r>
          </w:p>
        </w:tc>
        <w:tc>
          <w:tcPr>
            <w:tcW w:w="670" w:type="dxa"/>
            <w:shd w:val="clear" w:color="auto" w:fill="E6E6E6"/>
            <w:vAlign w:val="center"/>
          </w:tcPr>
          <w:p w14:paraId="267ACE97" w14:textId="77777777" w:rsidR="00FB758E" w:rsidRPr="00FB758E" w:rsidRDefault="00FB758E" w:rsidP="008F5C92">
            <w:pPr>
              <w:jc w:val="center"/>
              <w:rPr>
                <w:sz w:val="22"/>
                <w:szCs w:val="22"/>
              </w:rPr>
            </w:pPr>
            <w:r w:rsidRPr="00FB758E">
              <w:rPr>
                <w:color w:val="000000"/>
                <w:sz w:val="22"/>
                <w:szCs w:val="22"/>
              </w:rPr>
              <w:t>247</w:t>
            </w:r>
          </w:p>
        </w:tc>
        <w:tc>
          <w:tcPr>
            <w:tcW w:w="670" w:type="dxa"/>
            <w:shd w:val="clear" w:color="auto" w:fill="E6E6E6"/>
            <w:vAlign w:val="center"/>
          </w:tcPr>
          <w:p w14:paraId="50544455" w14:textId="77777777" w:rsidR="00FB758E" w:rsidRPr="00FB758E" w:rsidRDefault="00FB758E" w:rsidP="008F5C92">
            <w:pPr>
              <w:jc w:val="center"/>
              <w:rPr>
                <w:sz w:val="22"/>
                <w:szCs w:val="22"/>
              </w:rPr>
            </w:pPr>
            <w:r w:rsidRPr="00FB758E">
              <w:rPr>
                <w:color w:val="000000"/>
                <w:sz w:val="22"/>
                <w:szCs w:val="22"/>
              </w:rPr>
              <w:t>241</w:t>
            </w:r>
          </w:p>
        </w:tc>
        <w:tc>
          <w:tcPr>
            <w:tcW w:w="670" w:type="dxa"/>
            <w:shd w:val="clear" w:color="auto" w:fill="E6E6E6"/>
            <w:vAlign w:val="center"/>
          </w:tcPr>
          <w:p w14:paraId="4BCE43AD" w14:textId="77777777" w:rsidR="00FB758E" w:rsidRPr="00FB758E" w:rsidRDefault="00FB758E" w:rsidP="008F5C92">
            <w:pPr>
              <w:jc w:val="center"/>
              <w:rPr>
                <w:sz w:val="22"/>
                <w:szCs w:val="22"/>
              </w:rPr>
            </w:pPr>
            <w:r w:rsidRPr="00FB758E">
              <w:rPr>
                <w:color w:val="000000"/>
                <w:sz w:val="22"/>
                <w:szCs w:val="22"/>
              </w:rPr>
              <w:t>235</w:t>
            </w:r>
          </w:p>
        </w:tc>
        <w:tc>
          <w:tcPr>
            <w:tcW w:w="670" w:type="dxa"/>
            <w:shd w:val="clear" w:color="auto" w:fill="E6E6E6"/>
            <w:vAlign w:val="center"/>
          </w:tcPr>
          <w:p w14:paraId="430712AC" w14:textId="77777777" w:rsidR="00FB758E" w:rsidRPr="00FB758E" w:rsidRDefault="00FB758E" w:rsidP="008F5C92">
            <w:pPr>
              <w:jc w:val="center"/>
              <w:rPr>
                <w:sz w:val="22"/>
                <w:szCs w:val="22"/>
              </w:rPr>
            </w:pPr>
            <w:r w:rsidRPr="00FB758E">
              <w:rPr>
                <w:color w:val="000000"/>
                <w:sz w:val="22"/>
                <w:szCs w:val="22"/>
              </w:rPr>
              <w:t>232</w:t>
            </w:r>
          </w:p>
        </w:tc>
        <w:tc>
          <w:tcPr>
            <w:tcW w:w="670" w:type="dxa"/>
            <w:shd w:val="clear" w:color="auto" w:fill="E6E6E6"/>
            <w:vAlign w:val="center"/>
          </w:tcPr>
          <w:p w14:paraId="01642DA0" w14:textId="77777777" w:rsidR="00FB758E" w:rsidRPr="00FB758E" w:rsidRDefault="00FB758E" w:rsidP="008F5C92">
            <w:pPr>
              <w:jc w:val="center"/>
              <w:rPr>
                <w:sz w:val="22"/>
                <w:szCs w:val="22"/>
              </w:rPr>
            </w:pPr>
            <w:r w:rsidRPr="00FB758E">
              <w:rPr>
                <w:color w:val="000000"/>
                <w:sz w:val="22"/>
                <w:szCs w:val="22"/>
              </w:rPr>
              <w:t>228</w:t>
            </w:r>
          </w:p>
        </w:tc>
        <w:tc>
          <w:tcPr>
            <w:tcW w:w="671" w:type="dxa"/>
            <w:shd w:val="clear" w:color="auto" w:fill="E6E6E6"/>
            <w:vAlign w:val="center"/>
          </w:tcPr>
          <w:p w14:paraId="7B36FE21" w14:textId="77777777" w:rsidR="00FB758E" w:rsidRPr="00FB758E" w:rsidRDefault="00FB758E" w:rsidP="008F5C92">
            <w:pPr>
              <w:jc w:val="center"/>
              <w:rPr>
                <w:color w:val="000000"/>
                <w:sz w:val="22"/>
                <w:szCs w:val="22"/>
              </w:rPr>
            </w:pPr>
            <w:r w:rsidRPr="00FB758E">
              <w:rPr>
                <w:color w:val="000000"/>
                <w:sz w:val="22"/>
                <w:szCs w:val="22"/>
              </w:rPr>
              <w:t>224</w:t>
            </w:r>
          </w:p>
        </w:tc>
      </w:tr>
      <w:tr w:rsidR="00FB758E" w:rsidRPr="00FB758E" w14:paraId="12AE1778" w14:textId="77777777" w:rsidTr="00D72B30">
        <w:tc>
          <w:tcPr>
            <w:tcW w:w="1560" w:type="dxa"/>
            <w:shd w:val="clear" w:color="auto" w:fill="auto"/>
          </w:tcPr>
          <w:p w14:paraId="75B9BBC1" w14:textId="77777777" w:rsidR="00FB758E" w:rsidRPr="00FB758E" w:rsidRDefault="00FB758E" w:rsidP="008F5C92">
            <w:pPr>
              <w:rPr>
                <w:sz w:val="22"/>
                <w:szCs w:val="22"/>
              </w:rPr>
            </w:pPr>
            <w:r w:rsidRPr="00FB758E">
              <w:rPr>
                <w:sz w:val="22"/>
                <w:szCs w:val="22"/>
              </w:rPr>
              <w:t>Mortality rate, infant</w:t>
            </w:r>
          </w:p>
        </w:tc>
        <w:tc>
          <w:tcPr>
            <w:tcW w:w="670" w:type="dxa"/>
            <w:shd w:val="clear" w:color="auto" w:fill="auto"/>
            <w:vAlign w:val="center"/>
          </w:tcPr>
          <w:p w14:paraId="7164D1A6" w14:textId="77777777" w:rsidR="00FB758E" w:rsidRPr="00FB758E" w:rsidRDefault="00FB758E" w:rsidP="008F5C92">
            <w:pPr>
              <w:jc w:val="center"/>
              <w:rPr>
                <w:sz w:val="22"/>
                <w:szCs w:val="22"/>
              </w:rPr>
            </w:pPr>
            <w:r w:rsidRPr="00FB758E">
              <w:rPr>
                <w:color w:val="000000"/>
                <w:sz w:val="22"/>
                <w:szCs w:val="22"/>
              </w:rPr>
              <w:t>76</w:t>
            </w:r>
          </w:p>
        </w:tc>
        <w:tc>
          <w:tcPr>
            <w:tcW w:w="670" w:type="dxa"/>
            <w:shd w:val="clear" w:color="auto" w:fill="auto"/>
            <w:vAlign w:val="center"/>
          </w:tcPr>
          <w:p w14:paraId="43CBB4EE" w14:textId="77777777" w:rsidR="00FB758E" w:rsidRPr="00FB758E" w:rsidRDefault="00FB758E" w:rsidP="008F5C92">
            <w:pPr>
              <w:jc w:val="center"/>
              <w:rPr>
                <w:sz w:val="22"/>
                <w:szCs w:val="22"/>
              </w:rPr>
            </w:pPr>
            <w:r w:rsidRPr="00FB758E">
              <w:rPr>
                <w:color w:val="000000"/>
                <w:sz w:val="22"/>
                <w:szCs w:val="22"/>
              </w:rPr>
              <w:t>73</w:t>
            </w:r>
          </w:p>
        </w:tc>
        <w:tc>
          <w:tcPr>
            <w:tcW w:w="670" w:type="dxa"/>
            <w:shd w:val="clear" w:color="auto" w:fill="auto"/>
            <w:vAlign w:val="center"/>
          </w:tcPr>
          <w:p w14:paraId="78E8F064" w14:textId="77777777" w:rsidR="00FB758E" w:rsidRPr="00FB758E" w:rsidRDefault="00FB758E" w:rsidP="008F5C92">
            <w:pPr>
              <w:jc w:val="center"/>
              <w:rPr>
                <w:sz w:val="22"/>
                <w:szCs w:val="22"/>
              </w:rPr>
            </w:pPr>
            <w:r w:rsidRPr="00FB758E">
              <w:rPr>
                <w:color w:val="000000"/>
                <w:sz w:val="22"/>
                <w:szCs w:val="22"/>
              </w:rPr>
              <w:t>71</w:t>
            </w:r>
          </w:p>
        </w:tc>
        <w:tc>
          <w:tcPr>
            <w:tcW w:w="670" w:type="dxa"/>
            <w:shd w:val="clear" w:color="auto" w:fill="auto"/>
            <w:vAlign w:val="center"/>
          </w:tcPr>
          <w:p w14:paraId="1B5B15AE" w14:textId="77777777" w:rsidR="00FB758E" w:rsidRPr="00FB758E" w:rsidRDefault="00FB758E" w:rsidP="008F5C92">
            <w:pPr>
              <w:jc w:val="center"/>
              <w:rPr>
                <w:sz w:val="22"/>
                <w:szCs w:val="22"/>
              </w:rPr>
            </w:pPr>
            <w:r w:rsidRPr="00FB758E">
              <w:rPr>
                <w:color w:val="000000"/>
                <w:sz w:val="22"/>
                <w:szCs w:val="22"/>
              </w:rPr>
              <w:t>69</w:t>
            </w:r>
          </w:p>
        </w:tc>
        <w:tc>
          <w:tcPr>
            <w:tcW w:w="670" w:type="dxa"/>
            <w:shd w:val="clear" w:color="auto" w:fill="auto"/>
            <w:vAlign w:val="center"/>
          </w:tcPr>
          <w:p w14:paraId="105B76AD" w14:textId="77777777" w:rsidR="00FB758E" w:rsidRPr="00FB758E" w:rsidRDefault="00FB758E" w:rsidP="008F5C92">
            <w:pPr>
              <w:jc w:val="center"/>
              <w:rPr>
                <w:sz w:val="22"/>
                <w:szCs w:val="22"/>
              </w:rPr>
            </w:pPr>
            <w:r w:rsidRPr="00FB758E">
              <w:rPr>
                <w:color w:val="000000"/>
                <w:sz w:val="22"/>
                <w:szCs w:val="22"/>
              </w:rPr>
              <w:t>66</w:t>
            </w:r>
          </w:p>
        </w:tc>
        <w:tc>
          <w:tcPr>
            <w:tcW w:w="670" w:type="dxa"/>
            <w:shd w:val="clear" w:color="auto" w:fill="auto"/>
            <w:vAlign w:val="center"/>
          </w:tcPr>
          <w:p w14:paraId="1FE482BF" w14:textId="77777777" w:rsidR="00FB758E" w:rsidRPr="00FB758E" w:rsidRDefault="00FB758E" w:rsidP="008F5C92">
            <w:pPr>
              <w:jc w:val="center"/>
              <w:rPr>
                <w:sz w:val="22"/>
                <w:szCs w:val="22"/>
              </w:rPr>
            </w:pPr>
            <w:r w:rsidRPr="00FB758E">
              <w:rPr>
                <w:color w:val="000000"/>
                <w:sz w:val="22"/>
                <w:szCs w:val="22"/>
              </w:rPr>
              <w:t>64</w:t>
            </w:r>
          </w:p>
        </w:tc>
        <w:tc>
          <w:tcPr>
            <w:tcW w:w="670" w:type="dxa"/>
            <w:shd w:val="clear" w:color="auto" w:fill="auto"/>
            <w:vAlign w:val="center"/>
          </w:tcPr>
          <w:p w14:paraId="1C78A032" w14:textId="77777777" w:rsidR="00FB758E" w:rsidRPr="00FB758E" w:rsidRDefault="00FB758E" w:rsidP="008F5C92">
            <w:pPr>
              <w:jc w:val="center"/>
              <w:rPr>
                <w:sz w:val="22"/>
                <w:szCs w:val="22"/>
              </w:rPr>
            </w:pPr>
            <w:r w:rsidRPr="00FB758E">
              <w:rPr>
                <w:color w:val="000000"/>
                <w:sz w:val="22"/>
                <w:szCs w:val="22"/>
              </w:rPr>
              <w:t>62</w:t>
            </w:r>
          </w:p>
        </w:tc>
        <w:tc>
          <w:tcPr>
            <w:tcW w:w="670" w:type="dxa"/>
            <w:shd w:val="clear" w:color="auto" w:fill="auto"/>
            <w:vAlign w:val="center"/>
          </w:tcPr>
          <w:p w14:paraId="5AA66A97" w14:textId="77777777" w:rsidR="00FB758E" w:rsidRPr="00FB758E" w:rsidRDefault="00FB758E" w:rsidP="008F5C92">
            <w:pPr>
              <w:jc w:val="center"/>
              <w:rPr>
                <w:sz w:val="22"/>
                <w:szCs w:val="22"/>
              </w:rPr>
            </w:pPr>
            <w:r w:rsidRPr="00FB758E">
              <w:rPr>
                <w:color w:val="000000"/>
                <w:sz w:val="22"/>
                <w:szCs w:val="22"/>
              </w:rPr>
              <w:t>60</w:t>
            </w:r>
          </w:p>
        </w:tc>
        <w:tc>
          <w:tcPr>
            <w:tcW w:w="670" w:type="dxa"/>
            <w:shd w:val="clear" w:color="auto" w:fill="auto"/>
            <w:vAlign w:val="center"/>
          </w:tcPr>
          <w:p w14:paraId="3D54072F" w14:textId="77777777" w:rsidR="00FB758E" w:rsidRPr="00FB758E" w:rsidRDefault="00FB758E" w:rsidP="008F5C92">
            <w:pPr>
              <w:jc w:val="center"/>
              <w:rPr>
                <w:sz w:val="22"/>
                <w:szCs w:val="22"/>
              </w:rPr>
            </w:pPr>
            <w:r w:rsidRPr="00FB758E">
              <w:rPr>
                <w:color w:val="000000"/>
                <w:sz w:val="22"/>
                <w:szCs w:val="22"/>
              </w:rPr>
              <w:t>58</w:t>
            </w:r>
          </w:p>
        </w:tc>
        <w:tc>
          <w:tcPr>
            <w:tcW w:w="670" w:type="dxa"/>
            <w:shd w:val="clear" w:color="auto" w:fill="auto"/>
            <w:vAlign w:val="center"/>
          </w:tcPr>
          <w:p w14:paraId="5BA4783B" w14:textId="77777777" w:rsidR="00FB758E" w:rsidRPr="00FB758E" w:rsidRDefault="00FB758E" w:rsidP="008F5C92">
            <w:pPr>
              <w:jc w:val="center"/>
              <w:rPr>
                <w:sz w:val="22"/>
                <w:szCs w:val="22"/>
              </w:rPr>
            </w:pPr>
            <w:r w:rsidRPr="00FB758E">
              <w:rPr>
                <w:color w:val="000000"/>
                <w:sz w:val="22"/>
                <w:szCs w:val="22"/>
              </w:rPr>
              <w:t>56</w:t>
            </w:r>
          </w:p>
        </w:tc>
        <w:tc>
          <w:tcPr>
            <w:tcW w:w="671" w:type="dxa"/>
            <w:shd w:val="clear" w:color="auto" w:fill="auto"/>
            <w:vAlign w:val="center"/>
          </w:tcPr>
          <w:p w14:paraId="4FA54753" w14:textId="77777777" w:rsidR="00FB758E" w:rsidRPr="00FB758E" w:rsidRDefault="00FB758E" w:rsidP="008F5C92">
            <w:pPr>
              <w:jc w:val="center"/>
              <w:rPr>
                <w:color w:val="000000"/>
                <w:sz w:val="22"/>
                <w:szCs w:val="22"/>
              </w:rPr>
            </w:pPr>
            <w:r w:rsidRPr="00FB758E">
              <w:rPr>
                <w:color w:val="000000"/>
                <w:sz w:val="22"/>
                <w:szCs w:val="22"/>
              </w:rPr>
              <w:t>55</w:t>
            </w:r>
          </w:p>
        </w:tc>
      </w:tr>
      <w:tr w:rsidR="00FB758E" w:rsidRPr="00FB758E" w14:paraId="4F47BA97" w14:textId="77777777" w:rsidTr="00D72B30">
        <w:tc>
          <w:tcPr>
            <w:tcW w:w="1560" w:type="dxa"/>
            <w:shd w:val="clear" w:color="auto" w:fill="E6E6E6"/>
          </w:tcPr>
          <w:p w14:paraId="3BC701AE" w14:textId="77777777" w:rsidR="00FB758E" w:rsidRPr="00FB758E" w:rsidRDefault="00FB758E" w:rsidP="008F5C92">
            <w:pPr>
              <w:rPr>
                <w:sz w:val="22"/>
                <w:szCs w:val="22"/>
              </w:rPr>
            </w:pPr>
            <w:r w:rsidRPr="00FB758E">
              <w:rPr>
                <w:sz w:val="22"/>
                <w:szCs w:val="22"/>
              </w:rPr>
              <w:t>Mortality rate, child under 5</w:t>
            </w:r>
          </w:p>
        </w:tc>
        <w:tc>
          <w:tcPr>
            <w:tcW w:w="670" w:type="dxa"/>
            <w:shd w:val="clear" w:color="auto" w:fill="E6E6E6"/>
            <w:vAlign w:val="center"/>
          </w:tcPr>
          <w:p w14:paraId="5C9834B2" w14:textId="77777777" w:rsidR="00FB758E" w:rsidRPr="00FB758E" w:rsidRDefault="00FB758E" w:rsidP="008F5C92">
            <w:pPr>
              <w:jc w:val="center"/>
              <w:rPr>
                <w:sz w:val="22"/>
                <w:szCs w:val="22"/>
              </w:rPr>
            </w:pPr>
            <w:r w:rsidRPr="00FB758E">
              <w:rPr>
                <w:color w:val="000000"/>
                <w:sz w:val="22"/>
                <w:szCs w:val="22"/>
              </w:rPr>
              <w:t>95</w:t>
            </w:r>
          </w:p>
        </w:tc>
        <w:tc>
          <w:tcPr>
            <w:tcW w:w="670" w:type="dxa"/>
            <w:shd w:val="clear" w:color="auto" w:fill="E6E6E6"/>
            <w:vAlign w:val="center"/>
          </w:tcPr>
          <w:p w14:paraId="562A6B40" w14:textId="77777777" w:rsidR="00FB758E" w:rsidRPr="00FB758E" w:rsidRDefault="00FB758E" w:rsidP="008F5C92">
            <w:pPr>
              <w:jc w:val="center"/>
              <w:rPr>
                <w:sz w:val="22"/>
                <w:szCs w:val="22"/>
              </w:rPr>
            </w:pPr>
            <w:r w:rsidRPr="00FB758E">
              <w:rPr>
                <w:color w:val="000000"/>
                <w:sz w:val="22"/>
                <w:szCs w:val="22"/>
              </w:rPr>
              <w:t>92</w:t>
            </w:r>
          </w:p>
        </w:tc>
        <w:tc>
          <w:tcPr>
            <w:tcW w:w="670" w:type="dxa"/>
            <w:shd w:val="clear" w:color="auto" w:fill="E6E6E6"/>
            <w:vAlign w:val="center"/>
          </w:tcPr>
          <w:p w14:paraId="3461673E" w14:textId="77777777" w:rsidR="00FB758E" w:rsidRPr="00FB758E" w:rsidRDefault="00FB758E" w:rsidP="008F5C92">
            <w:pPr>
              <w:jc w:val="center"/>
              <w:rPr>
                <w:sz w:val="22"/>
                <w:szCs w:val="22"/>
              </w:rPr>
            </w:pPr>
            <w:r w:rsidRPr="00FB758E">
              <w:rPr>
                <w:color w:val="000000"/>
                <w:sz w:val="22"/>
                <w:szCs w:val="22"/>
              </w:rPr>
              <w:t>88</w:t>
            </w:r>
          </w:p>
        </w:tc>
        <w:tc>
          <w:tcPr>
            <w:tcW w:w="670" w:type="dxa"/>
            <w:shd w:val="clear" w:color="auto" w:fill="E6E6E6"/>
            <w:vAlign w:val="center"/>
          </w:tcPr>
          <w:p w14:paraId="17C28C12" w14:textId="77777777" w:rsidR="00FB758E" w:rsidRPr="00FB758E" w:rsidRDefault="00FB758E" w:rsidP="008F5C92">
            <w:pPr>
              <w:jc w:val="center"/>
              <w:rPr>
                <w:sz w:val="22"/>
                <w:szCs w:val="22"/>
              </w:rPr>
            </w:pPr>
            <w:r w:rsidRPr="00FB758E">
              <w:rPr>
                <w:color w:val="000000"/>
                <w:sz w:val="22"/>
                <w:szCs w:val="22"/>
              </w:rPr>
              <w:t>85</w:t>
            </w:r>
          </w:p>
        </w:tc>
        <w:tc>
          <w:tcPr>
            <w:tcW w:w="670" w:type="dxa"/>
            <w:shd w:val="clear" w:color="auto" w:fill="E6E6E6"/>
            <w:vAlign w:val="center"/>
          </w:tcPr>
          <w:p w14:paraId="1D843A26" w14:textId="77777777" w:rsidR="00FB758E" w:rsidRPr="00FB758E" w:rsidRDefault="00FB758E" w:rsidP="008F5C92">
            <w:pPr>
              <w:jc w:val="center"/>
              <w:rPr>
                <w:sz w:val="22"/>
                <w:szCs w:val="22"/>
              </w:rPr>
            </w:pPr>
            <w:r w:rsidRPr="00FB758E">
              <w:rPr>
                <w:color w:val="000000"/>
                <w:sz w:val="22"/>
                <w:szCs w:val="22"/>
              </w:rPr>
              <w:t>82</w:t>
            </w:r>
          </w:p>
        </w:tc>
        <w:tc>
          <w:tcPr>
            <w:tcW w:w="670" w:type="dxa"/>
            <w:shd w:val="clear" w:color="auto" w:fill="E6E6E6"/>
            <w:vAlign w:val="center"/>
          </w:tcPr>
          <w:p w14:paraId="74B792B4" w14:textId="77777777" w:rsidR="00FB758E" w:rsidRPr="00FB758E" w:rsidRDefault="00FB758E" w:rsidP="008F5C92">
            <w:pPr>
              <w:jc w:val="center"/>
              <w:rPr>
                <w:sz w:val="22"/>
                <w:szCs w:val="22"/>
              </w:rPr>
            </w:pPr>
            <w:r w:rsidRPr="00FB758E">
              <w:rPr>
                <w:color w:val="000000"/>
                <w:sz w:val="22"/>
                <w:szCs w:val="22"/>
              </w:rPr>
              <w:t>79</w:t>
            </w:r>
          </w:p>
        </w:tc>
        <w:tc>
          <w:tcPr>
            <w:tcW w:w="670" w:type="dxa"/>
            <w:shd w:val="clear" w:color="auto" w:fill="E6E6E6"/>
            <w:vAlign w:val="center"/>
          </w:tcPr>
          <w:p w14:paraId="4183E77F" w14:textId="77777777" w:rsidR="00FB758E" w:rsidRPr="00FB758E" w:rsidRDefault="00FB758E" w:rsidP="008F5C92">
            <w:pPr>
              <w:jc w:val="center"/>
              <w:rPr>
                <w:sz w:val="22"/>
                <w:szCs w:val="22"/>
              </w:rPr>
            </w:pPr>
            <w:r w:rsidRPr="00FB758E">
              <w:rPr>
                <w:color w:val="000000"/>
                <w:sz w:val="22"/>
                <w:szCs w:val="22"/>
              </w:rPr>
              <w:t>76</w:t>
            </w:r>
          </w:p>
        </w:tc>
        <w:tc>
          <w:tcPr>
            <w:tcW w:w="670" w:type="dxa"/>
            <w:shd w:val="clear" w:color="auto" w:fill="E6E6E6"/>
            <w:vAlign w:val="center"/>
          </w:tcPr>
          <w:p w14:paraId="7C54C062" w14:textId="77777777" w:rsidR="00FB758E" w:rsidRPr="00FB758E" w:rsidRDefault="00FB758E" w:rsidP="008F5C92">
            <w:pPr>
              <w:jc w:val="center"/>
              <w:rPr>
                <w:sz w:val="22"/>
                <w:szCs w:val="22"/>
              </w:rPr>
            </w:pPr>
            <w:r w:rsidRPr="00FB758E">
              <w:rPr>
                <w:color w:val="000000"/>
                <w:sz w:val="22"/>
                <w:szCs w:val="22"/>
              </w:rPr>
              <w:t>73</w:t>
            </w:r>
          </w:p>
        </w:tc>
        <w:tc>
          <w:tcPr>
            <w:tcW w:w="670" w:type="dxa"/>
            <w:shd w:val="clear" w:color="auto" w:fill="E6E6E6"/>
            <w:vAlign w:val="center"/>
          </w:tcPr>
          <w:p w14:paraId="5A657A38" w14:textId="77777777" w:rsidR="00FB758E" w:rsidRPr="00FB758E" w:rsidRDefault="00FB758E" w:rsidP="008F5C92">
            <w:pPr>
              <w:jc w:val="center"/>
              <w:rPr>
                <w:sz w:val="22"/>
                <w:szCs w:val="22"/>
              </w:rPr>
            </w:pPr>
            <w:r w:rsidRPr="00FB758E">
              <w:rPr>
                <w:color w:val="000000"/>
                <w:sz w:val="22"/>
                <w:szCs w:val="22"/>
              </w:rPr>
              <w:t>71</w:t>
            </w:r>
          </w:p>
        </w:tc>
        <w:tc>
          <w:tcPr>
            <w:tcW w:w="670" w:type="dxa"/>
            <w:shd w:val="clear" w:color="auto" w:fill="E6E6E6"/>
            <w:vAlign w:val="center"/>
          </w:tcPr>
          <w:p w14:paraId="020E91AF" w14:textId="77777777" w:rsidR="00FB758E" w:rsidRPr="00FB758E" w:rsidRDefault="00FB758E" w:rsidP="008F5C92">
            <w:pPr>
              <w:jc w:val="center"/>
              <w:rPr>
                <w:sz w:val="22"/>
                <w:szCs w:val="22"/>
              </w:rPr>
            </w:pPr>
            <w:r w:rsidRPr="00FB758E">
              <w:rPr>
                <w:color w:val="000000"/>
                <w:sz w:val="22"/>
                <w:szCs w:val="22"/>
              </w:rPr>
              <w:t>68</w:t>
            </w:r>
          </w:p>
        </w:tc>
        <w:tc>
          <w:tcPr>
            <w:tcW w:w="671" w:type="dxa"/>
            <w:shd w:val="clear" w:color="auto" w:fill="E6E6E6"/>
            <w:vAlign w:val="center"/>
          </w:tcPr>
          <w:p w14:paraId="03F7AA2A" w14:textId="77777777" w:rsidR="00FB758E" w:rsidRPr="00FB758E" w:rsidRDefault="00FB758E" w:rsidP="008F5C92">
            <w:pPr>
              <w:jc w:val="center"/>
              <w:rPr>
                <w:color w:val="000000"/>
                <w:sz w:val="22"/>
                <w:szCs w:val="22"/>
              </w:rPr>
            </w:pPr>
            <w:r w:rsidRPr="00FB758E">
              <w:rPr>
                <w:color w:val="000000"/>
                <w:sz w:val="22"/>
                <w:szCs w:val="22"/>
              </w:rPr>
              <w:t>66</w:t>
            </w:r>
          </w:p>
        </w:tc>
      </w:tr>
      <w:tr w:rsidR="00FB758E" w:rsidRPr="00FB758E" w14:paraId="706FA2C2" w14:textId="77777777" w:rsidTr="00D72B30">
        <w:tc>
          <w:tcPr>
            <w:tcW w:w="1560" w:type="dxa"/>
            <w:shd w:val="clear" w:color="auto" w:fill="auto"/>
          </w:tcPr>
          <w:p w14:paraId="0DCE1F92" w14:textId="77777777" w:rsidR="00FB758E" w:rsidRPr="00FB758E" w:rsidRDefault="00FB758E" w:rsidP="008F5C92">
            <w:pPr>
              <w:rPr>
                <w:sz w:val="22"/>
                <w:szCs w:val="22"/>
              </w:rPr>
            </w:pPr>
            <w:r w:rsidRPr="00FB758E">
              <w:rPr>
                <w:sz w:val="22"/>
                <w:szCs w:val="22"/>
              </w:rPr>
              <w:t xml:space="preserve">Maternal mortality </w:t>
            </w:r>
            <w:proofErr w:type="spellStart"/>
            <w:r w:rsidRPr="00FB758E">
              <w:rPr>
                <w:sz w:val="22"/>
                <w:szCs w:val="22"/>
              </w:rPr>
              <w:t>rate</w:t>
            </w:r>
            <w:r w:rsidRPr="00FB758E">
              <w:rPr>
                <w:sz w:val="22"/>
                <w:szCs w:val="22"/>
                <w:vertAlign w:val="superscript"/>
              </w:rPr>
              <w:t>a</w:t>
            </w:r>
            <w:proofErr w:type="spellEnd"/>
          </w:p>
        </w:tc>
        <w:tc>
          <w:tcPr>
            <w:tcW w:w="670" w:type="dxa"/>
            <w:shd w:val="clear" w:color="auto" w:fill="auto"/>
            <w:vAlign w:val="center"/>
          </w:tcPr>
          <w:p w14:paraId="379DDDBC" w14:textId="77777777" w:rsidR="00FB758E" w:rsidRPr="00FB758E" w:rsidRDefault="00FB758E" w:rsidP="008F5C92">
            <w:pPr>
              <w:jc w:val="center"/>
              <w:rPr>
                <w:sz w:val="22"/>
                <w:szCs w:val="22"/>
              </w:rPr>
            </w:pPr>
            <w:r w:rsidRPr="00FB758E">
              <w:rPr>
                <w:sz w:val="22"/>
                <w:szCs w:val="22"/>
              </w:rPr>
              <w:t>120</w:t>
            </w:r>
          </w:p>
        </w:tc>
        <w:tc>
          <w:tcPr>
            <w:tcW w:w="670" w:type="dxa"/>
            <w:shd w:val="clear" w:color="auto" w:fill="auto"/>
            <w:vAlign w:val="center"/>
          </w:tcPr>
          <w:p w14:paraId="3E5049E4" w14:textId="77777777" w:rsidR="00FB758E" w:rsidRPr="00FB758E" w:rsidRDefault="00FB758E" w:rsidP="008F5C92">
            <w:pPr>
              <w:jc w:val="center"/>
              <w:rPr>
                <w:sz w:val="22"/>
                <w:szCs w:val="22"/>
              </w:rPr>
            </w:pPr>
            <w:r w:rsidRPr="00FB758E">
              <w:rPr>
                <w:sz w:val="22"/>
                <w:szCs w:val="22"/>
              </w:rPr>
              <w:t>-</w:t>
            </w:r>
          </w:p>
        </w:tc>
        <w:tc>
          <w:tcPr>
            <w:tcW w:w="670" w:type="dxa"/>
            <w:shd w:val="clear" w:color="auto" w:fill="auto"/>
            <w:vAlign w:val="center"/>
          </w:tcPr>
          <w:p w14:paraId="292F8C71" w14:textId="77777777" w:rsidR="00FB758E" w:rsidRPr="00FB758E" w:rsidRDefault="00FB758E" w:rsidP="008F5C92">
            <w:pPr>
              <w:jc w:val="center"/>
              <w:rPr>
                <w:sz w:val="22"/>
                <w:szCs w:val="22"/>
              </w:rPr>
            </w:pPr>
            <w:r w:rsidRPr="00FB758E">
              <w:rPr>
                <w:sz w:val="22"/>
                <w:szCs w:val="22"/>
              </w:rPr>
              <w:t>-</w:t>
            </w:r>
          </w:p>
        </w:tc>
        <w:tc>
          <w:tcPr>
            <w:tcW w:w="670" w:type="dxa"/>
            <w:shd w:val="clear" w:color="auto" w:fill="auto"/>
            <w:vAlign w:val="center"/>
          </w:tcPr>
          <w:p w14:paraId="202B9203" w14:textId="77777777" w:rsidR="00FB758E" w:rsidRPr="00FB758E" w:rsidRDefault="00FB758E" w:rsidP="008F5C92">
            <w:pPr>
              <w:jc w:val="center"/>
              <w:rPr>
                <w:sz w:val="22"/>
                <w:szCs w:val="22"/>
              </w:rPr>
            </w:pPr>
            <w:r w:rsidRPr="00FB758E">
              <w:rPr>
                <w:sz w:val="22"/>
                <w:szCs w:val="22"/>
              </w:rPr>
              <w:t>-</w:t>
            </w:r>
          </w:p>
        </w:tc>
        <w:tc>
          <w:tcPr>
            <w:tcW w:w="670" w:type="dxa"/>
            <w:shd w:val="clear" w:color="auto" w:fill="auto"/>
            <w:vAlign w:val="center"/>
          </w:tcPr>
          <w:p w14:paraId="428D3117" w14:textId="77777777" w:rsidR="00FB758E" w:rsidRPr="00FB758E" w:rsidRDefault="00FB758E" w:rsidP="008F5C92">
            <w:pPr>
              <w:jc w:val="center"/>
              <w:rPr>
                <w:sz w:val="22"/>
                <w:szCs w:val="22"/>
              </w:rPr>
            </w:pPr>
            <w:r w:rsidRPr="00FB758E">
              <w:rPr>
                <w:sz w:val="22"/>
                <w:szCs w:val="22"/>
              </w:rPr>
              <w:t>-</w:t>
            </w:r>
          </w:p>
        </w:tc>
        <w:tc>
          <w:tcPr>
            <w:tcW w:w="670" w:type="dxa"/>
            <w:shd w:val="clear" w:color="auto" w:fill="auto"/>
            <w:vAlign w:val="center"/>
          </w:tcPr>
          <w:p w14:paraId="3DA11B71" w14:textId="77777777" w:rsidR="00FB758E" w:rsidRPr="00FB758E" w:rsidRDefault="00FB758E" w:rsidP="008F5C92">
            <w:pPr>
              <w:jc w:val="center"/>
              <w:rPr>
                <w:sz w:val="22"/>
                <w:szCs w:val="22"/>
              </w:rPr>
            </w:pPr>
            <w:r w:rsidRPr="00FB758E">
              <w:rPr>
                <w:sz w:val="22"/>
                <w:szCs w:val="22"/>
              </w:rPr>
              <w:t>79</w:t>
            </w:r>
          </w:p>
        </w:tc>
        <w:tc>
          <w:tcPr>
            <w:tcW w:w="670" w:type="dxa"/>
            <w:shd w:val="clear" w:color="auto" w:fill="auto"/>
            <w:vAlign w:val="center"/>
          </w:tcPr>
          <w:p w14:paraId="68A6A0F4" w14:textId="77777777" w:rsidR="00FB758E" w:rsidRPr="00FB758E" w:rsidRDefault="00FB758E" w:rsidP="008F5C92">
            <w:pPr>
              <w:jc w:val="center"/>
              <w:rPr>
                <w:sz w:val="22"/>
                <w:szCs w:val="22"/>
              </w:rPr>
            </w:pPr>
            <w:r w:rsidRPr="00FB758E">
              <w:rPr>
                <w:sz w:val="22"/>
                <w:szCs w:val="22"/>
              </w:rPr>
              <w:t>-</w:t>
            </w:r>
          </w:p>
        </w:tc>
        <w:tc>
          <w:tcPr>
            <w:tcW w:w="670" w:type="dxa"/>
            <w:shd w:val="clear" w:color="auto" w:fill="auto"/>
            <w:vAlign w:val="center"/>
          </w:tcPr>
          <w:p w14:paraId="5B79A7DA" w14:textId="77777777" w:rsidR="00FB758E" w:rsidRPr="00FB758E" w:rsidRDefault="00FB758E" w:rsidP="008F5C92">
            <w:pPr>
              <w:jc w:val="center"/>
              <w:rPr>
                <w:sz w:val="22"/>
                <w:szCs w:val="22"/>
              </w:rPr>
            </w:pPr>
            <w:r w:rsidRPr="00FB758E">
              <w:rPr>
                <w:sz w:val="22"/>
                <w:szCs w:val="22"/>
              </w:rPr>
              <w:t>-</w:t>
            </w:r>
          </w:p>
        </w:tc>
        <w:tc>
          <w:tcPr>
            <w:tcW w:w="670" w:type="dxa"/>
            <w:shd w:val="clear" w:color="auto" w:fill="auto"/>
            <w:vAlign w:val="center"/>
          </w:tcPr>
          <w:p w14:paraId="65292FA8" w14:textId="77777777" w:rsidR="00FB758E" w:rsidRPr="00FB758E" w:rsidRDefault="00FB758E" w:rsidP="008F5C92">
            <w:pPr>
              <w:jc w:val="center"/>
              <w:rPr>
                <w:sz w:val="22"/>
                <w:szCs w:val="22"/>
              </w:rPr>
            </w:pPr>
            <w:r w:rsidRPr="00FB758E">
              <w:rPr>
                <w:sz w:val="22"/>
                <w:szCs w:val="22"/>
              </w:rPr>
              <w:t>-</w:t>
            </w:r>
          </w:p>
        </w:tc>
        <w:tc>
          <w:tcPr>
            <w:tcW w:w="670" w:type="dxa"/>
            <w:shd w:val="clear" w:color="auto" w:fill="auto"/>
            <w:vAlign w:val="center"/>
          </w:tcPr>
          <w:p w14:paraId="78163B96" w14:textId="77777777" w:rsidR="00FB758E" w:rsidRPr="00FB758E" w:rsidRDefault="00FB758E" w:rsidP="008F5C92">
            <w:pPr>
              <w:jc w:val="center"/>
              <w:rPr>
                <w:sz w:val="22"/>
                <w:szCs w:val="22"/>
              </w:rPr>
            </w:pPr>
            <w:r w:rsidRPr="00FB758E">
              <w:rPr>
                <w:sz w:val="22"/>
                <w:szCs w:val="22"/>
              </w:rPr>
              <w:t>-</w:t>
            </w:r>
          </w:p>
        </w:tc>
        <w:tc>
          <w:tcPr>
            <w:tcW w:w="671" w:type="dxa"/>
            <w:shd w:val="clear" w:color="auto" w:fill="auto"/>
            <w:vAlign w:val="center"/>
          </w:tcPr>
          <w:p w14:paraId="07F8D77E" w14:textId="77777777" w:rsidR="00FB758E" w:rsidRPr="00FB758E" w:rsidRDefault="00FB758E" w:rsidP="008F5C92">
            <w:pPr>
              <w:jc w:val="center"/>
              <w:rPr>
                <w:sz w:val="22"/>
                <w:szCs w:val="22"/>
              </w:rPr>
            </w:pPr>
            <w:r w:rsidRPr="00FB758E">
              <w:rPr>
                <w:sz w:val="22"/>
                <w:szCs w:val="22"/>
              </w:rPr>
              <w:t>65</w:t>
            </w:r>
          </w:p>
        </w:tc>
      </w:tr>
      <w:tr w:rsidR="00FB758E" w:rsidRPr="00FB758E" w14:paraId="63D9040C" w14:textId="77777777" w:rsidTr="00D72B30">
        <w:tc>
          <w:tcPr>
            <w:tcW w:w="1560" w:type="dxa"/>
            <w:tcBorders>
              <w:bottom w:val="single" w:sz="4" w:space="0" w:color="auto"/>
            </w:tcBorders>
            <w:shd w:val="clear" w:color="auto" w:fill="E6E6E6"/>
          </w:tcPr>
          <w:p w14:paraId="05C3F034" w14:textId="77777777" w:rsidR="00FB758E" w:rsidRPr="00FB758E" w:rsidRDefault="00FB758E" w:rsidP="008F5C92">
            <w:pPr>
              <w:rPr>
                <w:sz w:val="22"/>
                <w:szCs w:val="22"/>
              </w:rPr>
            </w:pPr>
            <w:r w:rsidRPr="00FB758E">
              <w:rPr>
                <w:sz w:val="22"/>
                <w:szCs w:val="22"/>
              </w:rPr>
              <w:t xml:space="preserve">Maternal mortality </w:t>
            </w:r>
            <w:proofErr w:type="spellStart"/>
            <w:r w:rsidRPr="00FB758E">
              <w:rPr>
                <w:sz w:val="22"/>
                <w:szCs w:val="22"/>
              </w:rPr>
              <w:t>rate</w:t>
            </w:r>
            <w:r w:rsidRPr="00FB758E">
              <w:rPr>
                <w:sz w:val="22"/>
                <w:szCs w:val="22"/>
                <w:vertAlign w:val="superscript"/>
              </w:rPr>
              <w:t>b</w:t>
            </w:r>
            <w:proofErr w:type="spellEnd"/>
          </w:p>
        </w:tc>
        <w:tc>
          <w:tcPr>
            <w:tcW w:w="670" w:type="dxa"/>
            <w:tcBorders>
              <w:bottom w:val="single" w:sz="4" w:space="0" w:color="auto"/>
            </w:tcBorders>
            <w:shd w:val="clear" w:color="auto" w:fill="E6E6E6"/>
            <w:vAlign w:val="center"/>
          </w:tcPr>
          <w:p w14:paraId="48E2BAF4" w14:textId="77777777" w:rsidR="00FB758E" w:rsidRPr="00FB758E" w:rsidRDefault="00FB758E" w:rsidP="008F5C92">
            <w:pPr>
              <w:jc w:val="center"/>
              <w:rPr>
                <w:sz w:val="22"/>
                <w:szCs w:val="22"/>
              </w:rPr>
            </w:pPr>
            <w:r w:rsidRPr="00FB758E">
              <w:rPr>
                <w:sz w:val="22"/>
                <w:szCs w:val="22"/>
              </w:rPr>
              <w:t>-</w:t>
            </w:r>
          </w:p>
        </w:tc>
        <w:tc>
          <w:tcPr>
            <w:tcW w:w="670" w:type="dxa"/>
            <w:tcBorders>
              <w:bottom w:val="single" w:sz="4" w:space="0" w:color="auto"/>
            </w:tcBorders>
            <w:shd w:val="clear" w:color="auto" w:fill="E6E6E6"/>
            <w:vAlign w:val="center"/>
          </w:tcPr>
          <w:p w14:paraId="3D2B0818" w14:textId="77777777" w:rsidR="00FB758E" w:rsidRPr="00FB758E" w:rsidRDefault="00FB758E" w:rsidP="008F5C92">
            <w:pPr>
              <w:jc w:val="center"/>
              <w:rPr>
                <w:sz w:val="22"/>
                <w:szCs w:val="22"/>
              </w:rPr>
            </w:pPr>
            <w:r w:rsidRPr="00FB758E">
              <w:rPr>
                <w:sz w:val="22"/>
                <w:szCs w:val="22"/>
              </w:rPr>
              <w:t>45</w:t>
            </w:r>
          </w:p>
        </w:tc>
        <w:tc>
          <w:tcPr>
            <w:tcW w:w="670" w:type="dxa"/>
            <w:tcBorders>
              <w:bottom w:val="single" w:sz="4" w:space="0" w:color="auto"/>
            </w:tcBorders>
            <w:shd w:val="clear" w:color="auto" w:fill="E6E6E6"/>
            <w:vAlign w:val="center"/>
          </w:tcPr>
          <w:p w14:paraId="36E25850" w14:textId="77777777" w:rsidR="00FB758E" w:rsidRPr="00FB758E" w:rsidRDefault="00FB758E" w:rsidP="008F5C92">
            <w:pPr>
              <w:jc w:val="center"/>
              <w:rPr>
                <w:sz w:val="22"/>
                <w:szCs w:val="22"/>
              </w:rPr>
            </w:pPr>
            <w:r w:rsidRPr="00FB758E">
              <w:rPr>
                <w:sz w:val="22"/>
                <w:szCs w:val="22"/>
              </w:rPr>
              <w:t>-</w:t>
            </w:r>
          </w:p>
        </w:tc>
        <w:tc>
          <w:tcPr>
            <w:tcW w:w="670" w:type="dxa"/>
            <w:tcBorders>
              <w:bottom w:val="single" w:sz="4" w:space="0" w:color="auto"/>
            </w:tcBorders>
            <w:shd w:val="clear" w:color="auto" w:fill="E6E6E6"/>
            <w:vAlign w:val="center"/>
          </w:tcPr>
          <w:p w14:paraId="2462B581" w14:textId="77777777" w:rsidR="00FB758E" w:rsidRPr="00FB758E" w:rsidRDefault="00FB758E" w:rsidP="008F5C92">
            <w:pPr>
              <w:jc w:val="center"/>
              <w:rPr>
                <w:sz w:val="22"/>
                <w:szCs w:val="22"/>
              </w:rPr>
            </w:pPr>
            <w:r w:rsidRPr="00FB758E">
              <w:rPr>
                <w:sz w:val="22"/>
                <w:szCs w:val="22"/>
              </w:rPr>
              <w:t>37</w:t>
            </w:r>
          </w:p>
        </w:tc>
        <w:tc>
          <w:tcPr>
            <w:tcW w:w="670" w:type="dxa"/>
            <w:tcBorders>
              <w:bottom w:val="single" w:sz="4" w:space="0" w:color="auto"/>
            </w:tcBorders>
            <w:shd w:val="clear" w:color="auto" w:fill="E6E6E6"/>
            <w:vAlign w:val="center"/>
          </w:tcPr>
          <w:p w14:paraId="79D9D16E" w14:textId="77777777" w:rsidR="00FB758E" w:rsidRPr="00FB758E" w:rsidRDefault="00FB758E" w:rsidP="008F5C92">
            <w:pPr>
              <w:jc w:val="center"/>
              <w:rPr>
                <w:sz w:val="22"/>
                <w:szCs w:val="22"/>
              </w:rPr>
            </w:pPr>
            <w:r w:rsidRPr="00FB758E">
              <w:rPr>
                <w:sz w:val="22"/>
                <w:szCs w:val="22"/>
              </w:rPr>
              <w:t>-</w:t>
            </w:r>
          </w:p>
        </w:tc>
        <w:tc>
          <w:tcPr>
            <w:tcW w:w="670" w:type="dxa"/>
            <w:tcBorders>
              <w:bottom w:val="single" w:sz="4" w:space="0" w:color="auto"/>
            </w:tcBorders>
            <w:shd w:val="clear" w:color="auto" w:fill="E6E6E6"/>
            <w:vAlign w:val="center"/>
          </w:tcPr>
          <w:p w14:paraId="34445250" w14:textId="77777777" w:rsidR="00FB758E" w:rsidRPr="00FB758E" w:rsidRDefault="00FB758E" w:rsidP="008F5C92">
            <w:pPr>
              <w:jc w:val="center"/>
              <w:rPr>
                <w:sz w:val="22"/>
                <w:szCs w:val="22"/>
              </w:rPr>
            </w:pPr>
            <w:r w:rsidRPr="00FB758E">
              <w:rPr>
                <w:sz w:val="22"/>
                <w:szCs w:val="22"/>
              </w:rPr>
              <w:t>97</w:t>
            </w:r>
          </w:p>
        </w:tc>
        <w:tc>
          <w:tcPr>
            <w:tcW w:w="670" w:type="dxa"/>
            <w:tcBorders>
              <w:bottom w:val="single" w:sz="4" w:space="0" w:color="auto"/>
            </w:tcBorders>
            <w:shd w:val="clear" w:color="auto" w:fill="E6E6E6"/>
            <w:vAlign w:val="center"/>
          </w:tcPr>
          <w:p w14:paraId="3C168986" w14:textId="77777777" w:rsidR="00FB758E" w:rsidRPr="00FB758E" w:rsidRDefault="00FB758E" w:rsidP="008F5C92">
            <w:pPr>
              <w:jc w:val="center"/>
              <w:rPr>
                <w:sz w:val="22"/>
                <w:szCs w:val="22"/>
              </w:rPr>
            </w:pPr>
            <w:r w:rsidRPr="00FB758E">
              <w:rPr>
                <w:sz w:val="22"/>
                <w:szCs w:val="22"/>
              </w:rPr>
              <w:t>-</w:t>
            </w:r>
          </w:p>
        </w:tc>
        <w:tc>
          <w:tcPr>
            <w:tcW w:w="670" w:type="dxa"/>
            <w:tcBorders>
              <w:bottom w:val="single" w:sz="4" w:space="0" w:color="auto"/>
            </w:tcBorders>
            <w:shd w:val="clear" w:color="auto" w:fill="E6E6E6"/>
            <w:vAlign w:val="center"/>
          </w:tcPr>
          <w:p w14:paraId="47A6B7F0" w14:textId="77777777" w:rsidR="00FB758E" w:rsidRPr="00FB758E" w:rsidRDefault="00FB758E" w:rsidP="008F5C92">
            <w:pPr>
              <w:jc w:val="center"/>
              <w:rPr>
                <w:sz w:val="22"/>
                <w:szCs w:val="22"/>
              </w:rPr>
            </w:pPr>
            <w:r w:rsidRPr="00FB758E">
              <w:rPr>
                <w:sz w:val="22"/>
                <w:szCs w:val="22"/>
              </w:rPr>
              <w:t>-</w:t>
            </w:r>
          </w:p>
        </w:tc>
        <w:tc>
          <w:tcPr>
            <w:tcW w:w="670" w:type="dxa"/>
            <w:tcBorders>
              <w:bottom w:val="single" w:sz="4" w:space="0" w:color="auto"/>
            </w:tcBorders>
            <w:shd w:val="clear" w:color="auto" w:fill="E6E6E6"/>
            <w:vAlign w:val="center"/>
          </w:tcPr>
          <w:p w14:paraId="61EB5F5B" w14:textId="77777777" w:rsidR="00FB758E" w:rsidRPr="00FB758E" w:rsidRDefault="00FB758E" w:rsidP="008F5C92">
            <w:pPr>
              <w:jc w:val="center"/>
              <w:rPr>
                <w:sz w:val="22"/>
                <w:szCs w:val="22"/>
              </w:rPr>
            </w:pPr>
            <w:r w:rsidRPr="00FB758E">
              <w:rPr>
                <w:sz w:val="22"/>
                <w:szCs w:val="22"/>
              </w:rPr>
              <w:t>38</w:t>
            </w:r>
          </w:p>
        </w:tc>
        <w:tc>
          <w:tcPr>
            <w:tcW w:w="670" w:type="dxa"/>
            <w:tcBorders>
              <w:bottom w:val="single" w:sz="4" w:space="0" w:color="auto"/>
            </w:tcBorders>
            <w:shd w:val="clear" w:color="auto" w:fill="E6E6E6"/>
            <w:vAlign w:val="center"/>
          </w:tcPr>
          <w:p w14:paraId="1DB618DA" w14:textId="77777777" w:rsidR="00FB758E" w:rsidRPr="00FB758E" w:rsidRDefault="00FB758E" w:rsidP="008F5C92">
            <w:pPr>
              <w:jc w:val="center"/>
              <w:rPr>
                <w:sz w:val="22"/>
                <w:szCs w:val="22"/>
              </w:rPr>
            </w:pPr>
            <w:r w:rsidRPr="00FB758E">
              <w:rPr>
                <w:sz w:val="22"/>
                <w:szCs w:val="22"/>
              </w:rPr>
              <w:t>-</w:t>
            </w:r>
          </w:p>
        </w:tc>
        <w:tc>
          <w:tcPr>
            <w:tcW w:w="671" w:type="dxa"/>
            <w:tcBorders>
              <w:bottom w:val="single" w:sz="4" w:space="0" w:color="auto"/>
            </w:tcBorders>
            <w:shd w:val="clear" w:color="auto" w:fill="E6E6E6"/>
            <w:vAlign w:val="center"/>
          </w:tcPr>
          <w:p w14:paraId="6DE42129" w14:textId="77777777" w:rsidR="00FB758E" w:rsidRPr="00FB758E" w:rsidRDefault="00FB758E" w:rsidP="008F5C92">
            <w:pPr>
              <w:jc w:val="center"/>
              <w:rPr>
                <w:sz w:val="22"/>
                <w:szCs w:val="22"/>
              </w:rPr>
            </w:pPr>
            <w:r w:rsidRPr="00FB758E">
              <w:rPr>
                <w:sz w:val="22"/>
                <w:szCs w:val="22"/>
              </w:rPr>
              <w:t>86</w:t>
            </w:r>
          </w:p>
        </w:tc>
      </w:tr>
    </w:tbl>
    <w:p w14:paraId="177D3EC4" w14:textId="77777777" w:rsidR="00FB758E" w:rsidRPr="00081D55" w:rsidRDefault="00FB758E" w:rsidP="008F5C92">
      <w:pPr>
        <w:jc w:val="both"/>
        <w:rPr>
          <w:sz w:val="22"/>
          <w:szCs w:val="22"/>
        </w:rPr>
      </w:pPr>
      <w:r w:rsidRPr="00081D55">
        <w:rPr>
          <w:i/>
          <w:sz w:val="22"/>
          <w:szCs w:val="22"/>
        </w:rPr>
        <w:t>Notes</w:t>
      </w:r>
      <w:r w:rsidRPr="00081D55">
        <w:rPr>
          <w:sz w:val="22"/>
          <w:szCs w:val="22"/>
        </w:rPr>
        <w:t>: Life expectancy is in years. Mortality rates are per 1,000 of the respective age group</w:t>
      </w:r>
      <w:r w:rsidR="00410BB0">
        <w:rPr>
          <w:sz w:val="22"/>
          <w:szCs w:val="22"/>
        </w:rPr>
        <w:t>/gender</w:t>
      </w:r>
      <w:r w:rsidRPr="00081D55">
        <w:rPr>
          <w:sz w:val="22"/>
          <w:szCs w:val="22"/>
        </w:rPr>
        <w:t xml:space="preserve">. Adult refers to age group 15-60. Maternal mortality ratio is the number of women who die during pregnancy and childbirth, per 100,000 live births. </w:t>
      </w:r>
    </w:p>
    <w:p w14:paraId="3ADDA917" w14:textId="77777777" w:rsidR="00FB758E" w:rsidRPr="00081D55" w:rsidRDefault="00FB758E" w:rsidP="008F5C92">
      <w:pPr>
        <w:jc w:val="both"/>
        <w:rPr>
          <w:sz w:val="22"/>
          <w:szCs w:val="22"/>
        </w:rPr>
      </w:pPr>
      <w:proofErr w:type="gramStart"/>
      <w:r w:rsidRPr="00081D55">
        <w:rPr>
          <w:sz w:val="22"/>
          <w:szCs w:val="22"/>
          <w:vertAlign w:val="superscript"/>
        </w:rPr>
        <w:t>a</w:t>
      </w:r>
      <w:proofErr w:type="gramEnd"/>
      <w:r w:rsidRPr="00081D55">
        <w:rPr>
          <w:sz w:val="22"/>
          <w:szCs w:val="22"/>
        </w:rPr>
        <w:t xml:space="preserve"> Modeled estimate that is determined with a regression model using information on fertility, birth attendants, and HIV prevalence; </w:t>
      </w:r>
      <w:r w:rsidRPr="00081D55">
        <w:rPr>
          <w:sz w:val="22"/>
          <w:szCs w:val="22"/>
          <w:vertAlign w:val="superscript"/>
        </w:rPr>
        <w:t>b</w:t>
      </w:r>
      <w:r w:rsidRPr="00081D55">
        <w:rPr>
          <w:sz w:val="22"/>
          <w:szCs w:val="22"/>
        </w:rPr>
        <w:t xml:space="preserve"> National estimate; - not available.</w:t>
      </w:r>
    </w:p>
    <w:p w14:paraId="64ACA08F" w14:textId="77777777" w:rsidR="00FB758E" w:rsidRPr="00081D55" w:rsidRDefault="00FB758E" w:rsidP="008F5C92">
      <w:pPr>
        <w:jc w:val="both"/>
        <w:rPr>
          <w:sz w:val="22"/>
          <w:szCs w:val="22"/>
        </w:rPr>
      </w:pPr>
      <w:r w:rsidRPr="00081D55">
        <w:rPr>
          <w:i/>
          <w:sz w:val="22"/>
          <w:szCs w:val="22"/>
        </w:rPr>
        <w:t xml:space="preserve">Source: </w:t>
      </w:r>
      <w:r w:rsidRPr="00081D55">
        <w:rPr>
          <w:sz w:val="22"/>
          <w:szCs w:val="22"/>
        </w:rPr>
        <w:t xml:space="preserve">World Development Indicators Database, World Bank, Washington DC, </w:t>
      </w:r>
      <w:hyperlink r:id="rId37" w:history="1">
        <w:r w:rsidRPr="00081D55">
          <w:rPr>
            <w:sz w:val="22"/>
            <w:szCs w:val="22"/>
          </w:rPr>
          <w:t>http://data.worldbank.org/data-catalog/world-development-indicators</w:t>
        </w:r>
      </w:hyperlink>
      <w:r w:rsidRPr="00081D55">
        <w:rPr>
          <w:sz w:val="22"/>
          <w:szCs w:val="22"/>
        </w:rPr>
        <w:t>.</w:t>
      </w:r>
    </w:p>
    <w:p w14:paraId="4D98798C" w14:textId="77777777" w:rsidR="00FB758E" w:rsidRPr="00FB758E" w:rsidRDefault="00FB758E" w:rsidP="008F5C92">
      <w:pPr>
        <w:spacing w:after="60"/>
        <w:rPr>
          <w:b/>
          <w:sz w:val="22"/>
          <w:szCs w:val="22"/>
        </w:rPr>
      </w:pPr>
    </w:p>
    <w:p w14:paraId="6D7BC367" w14:textId="41E8035F" w:rsidR="00424B53" w:rsidRDefault="00424B53" w:rsidP="00450916">
      <w:pPr>
        <w:pStyle w:val="MainParawithChapter"/>
        <w:ind w:left="0" w:firstLine="0"/>
        <w:jc w:val="both"/>
        <w:outlineLvl w:val="9"/>
        <w:rPr>
          <w:bCs/>
        </w:rPr>
      </w:pPr>
      <w:r w:rsidRPr="0030741C">
        <w:rPr>
          <w:b/>
          <w:bCs/>
        </w:rPr>
        <w:t xml:space="preserve">Adult </w:t>
      </w:r>
      <w:r w:rsidRPr="00450916">
        <w:rPr>
          <w:b/>
          <w:bCs/>
          <w:color w:val="000000" w:themeColor="text1"/>
        </w:rPr>
        <w:t>mortality</w:t>
      </w:r>
      <w:r w:rsidRPr="0030741C">
        <w:rPr>
          <w:b/>
          <w:bCs/>
        </w:rPr>
        <w:t xml:space="preserve"> rates for males exceed those for females; the disparities, however, are smaller than in many other countries in Europe and Central Asia. </w:t>
      </w:r>
      <w:r w:rsidRPr="0030741C">
        <w:rPr>
          <w:bCs/>
        </w:rPr>
        <w:t xml:space="preserve">While adult </w:t>
      </w:r>
      <w:r w:rsidRPr="0030741C">
        <w:rPr>
          <w:bCs/>
          <w:color w:val="000000" w:themeColor="text1"/>
        </w:rPr>
        <w:t>mortality</w:t>
      </w:r>
      <w:r w:rsidRPr="0030741C">
        <w:rPr>
          <w:bCs/>
        </w:rPr>
        <w:t xml:space="preserve"> rates for men are below the ECA average (228 as compared to 273 </w:t>
      </w:r>
      <w:r w:rsidRPr="0030741C">
        <w:rPr>
          <w:bCs/>
        </w:rPr>
        <w:lastRenderedPageBreak/>
        <w:t>per 1,000 in 2009), they exceed the regional average for women (130 as compared to 116 per 1,000). The latter observation is at least partly driven by extreme maternal mortality rates in Tajikistan that are more than twice as high as the average in the ECA region (see below). In contrast, alcohol abuse, which has been suggested as an important reason for high male mortality rates in other ECA countries (e.g. the Russian Federation), is appa</w:t>
      </w:r>
      <w:r w:rsidR="004E248D">
        <w:rPr>
          <w:bCs/>
        </w:rPr>
        <w:t>rently of much lesser concern. Annual p</w:t>
      </w:r>
      <w:r w:rsidRPr="0030741C">
        <w:rPr>
          <w:bCs/>
        </w:rPr>
        <w:t xml:space="preserve">er capita alcohol consumption by adults older than 15, in liters of pure alcohol, averaged 3.4 between 2003 and 2005, compared to 12.2 in the WHO European Region </w:t>
      </w:r>
      <w:r w:rsidR="00E12159" w:rsidRPr="0030741C">
        <w:rPr>
          <w:bCs/>
        </w:rPr>
        <w:fldChar w:fldCharType="begin"/>
      </w:r>
      <w:r w:rsidRPr="0030741C">
        <w:rPr>
          <w:bCs/>
        </w:rPr>
        <w:instrText xml:space="preserve"> </w:instrText>
      </w:r>
      <w:r w:rsidR="009F7A22">
        <w:rPr>
          <w:bCs/>
        </w:rPr>
        <w:instrText>ADDIN</w:instrText>
      </w:r>
      <w:r w:rsidRPr="0030741C">
        <w:rPr>
          <w:bCs/>
        </w:rPr>
        <w:instrText xml:space="preserve"> EN.CITE &lt;EndNote&gt;&lt;Cite&gt;&lt;Author&gt;WHO&lt;/Author&gt;&lt;Year&gt;2011&lt;/Year&gt;&lt;RecNum&gt;25&lt;/RecNum&gt;&lt;DisplayText&gt;(WHO, 2011)&lt;/DisplayText&gt;&lt;record&gt;&lt;rec-number&gt;25&lt;/rec-number&gt;&lt;foreign-keys&gt;&lt;key app="EN" db-id="wes5dreptvrsr2eeartvxexxftt2tastxrfs"&gt;25&lt;/key&gt;&lt;/foreign-keys&gt;&lt;ref-type name="Web Page"&gt;12&lt;/ref-type&gt;&lt;contributors&gt;&lt;authors&gt;&lt;author&gt;WHO&lt;/author&gt;&lt;/authors&gt;&lt;/contributors&gt;&lt;titles&gt;&lt;title&gt;Country profile Tajikistan - Risk factor alcohol&lt;/title&gt;&lt;/titles&gt;&lt;number&gt;08/01/2013&lt;/number&gt;&lt;dates&gt;&lt;year&gt;2011&lt;/year&gt;&lt;/dates&gt;&lt;publisher&gt;World Health Organization&lt;/publisher&gt;&lt;urls&gt;&lt;related-urls&gt;&lt;url&gt;http://www.who.int/countries/tjk/en/&lt;/url&gt;&lt;/related-urls&gt;&lt;/urls&gt;&lt;/record&gt;&lt;/Cite&gt;&lt;/EndNote&gt;</w:instrText>
      </w:r>
      <w:r w:rsidR="00E12159" w:rsidRPr="0030741C">
        <w:rPr>
          <w:bCs/>
        </w:rPr>
        <w:fldChar w:fldCharType="separate"/>
      </w:r>
      <w:r w:rsidRPr="0030741C">
        <w:rPr>
          <w:bCs/>
          <w:noProof/>
        </w:rPr>
        <w:t>(</w:t>
      </w:r>
      <w:hyperlink w:anchor="_ENREF_67" w:tooltip="WHO, 2011 #25" w:history="1">
        <w:r w:rsidR="006A1532" w:rsidRPr="0030741C">
          <w:rPr>
            <w:bCs/>
            <w:noProof/>
          </w:rPr>
          <w:t>WHO, 2011</w:t>
        </w:r>
      </w:hyperlink>
      <w:r w:rsidRPr="0030741C">
        <w:rPr>
          <w:bCs/>
          <w:noProof/>
        </w:rPr>
        <w:t>)</w:t>
      </w:r>
      <w:r w:rsidR="00E12159" w:rsidRPr="0030741C">
        <w:rPr>
          <w:bCs/>
        </w:rPr>
        <w:fldChar w:fldCharType="end"/>
      </w:r>
      <w:r w:rsidRPr="0030741C">
        <w:rPr>
          <w:bCs/>
        </w:rPr>
        <w:t>. The main causes of death (apart from co</w:t>
      </w:r>
      <w:r w:rsidR="002505A8">
        <w:rPr>
          <w:bCs/>
        </w:rPr>
        <w:t>nditions originating in the pre</w:t>
      </w:r>
      <w:r w:rsidRPr="0030741C">
        <w:rPr>
          <w:bCs/>
        </w:rPr>
        <w:t xml:space="preserve">natal period) for both men and women are diseases of the circulatory system, </w:t>
      </w:r>
      <w:proofErr w:type="spellStart"/>
      <w:r w:rsidRPr="0030741C">
        <w:rPr>
          <w:bCs/>
        </w:rPr>
        <w:t>ischaemic</w:t>
      </w:r>
      <w:proofErr w:type="spellEnd"/>
      <w:r w:rsidRPr="0030741C">
        <w:rPr>
          <w:bCs/>
        </w:rPr>
        <w:t xml:space="preserve"> heart diseases, and diseases of the respiratory system </w:t>
      </w:r>
      <w:r w:rsidR="00E12159" w:rsidRPr="0030741C">
        <w:rPr>
          <w:bCs/>
        </w:rPr>
        <w:fldChar w:fldCharType="begin"/>
      </w:r>
      <w:r w:rsidRPr="0030741C">
        <w:rPr>
          <w:bCs/>
        </w:rPr>
        <w:instrText xml:space="preserve"> </w:instrText>
      </w:r>
      <w:r w:rsidR="009F7A22">
        <w:rPr>
          <w:bCs/>
        </w:rPr>
        <w:instrText>ADDIN</w:instrText>
      </w:r>
      <w:r w:rsidRPr="0030741C">
        <w:rPr>
          <w:bCs/>
        </w:rPr>
        <w:instrText xml:space="preserve">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rsidR="00E12159" w:rsidRPr="0030741C">
        <w:rPr>
          <w:bCs/>
        </w:rPr>
        <w:fldChar w:fldCharType="separate"/>
      </w:r>
      <w:r w:rsidRPr="0030741C">
        <w:rPr>
          <w:bCs/>
          <w:noProof/>
        </w:rPr>
        <w:t>(</w:t>
      </w:r>
      <w:hyperlink w:anchor="_ENREF_58" w:tooltip="UNECE, 2012 #33" w:history="1">
        <w:r w:rsidR="006A1532" w:rsidRPr="0030741C">
          <w:rPr>
            <w:bCs/>
            <w:noProof/>
          </w:rPr>
          <w:t>UNECE, 2012</w:t>
        </w:r>
      </w:hyperlink>
      <w:r w:rsidRPr="0030741C">
        <w:rPr>
          <w:bCs/>
          <w:noProof/>
        </w:rPr>
        <w:t>)</w:t>
      </w:r>
      <w:r w:rsidR="00E12159" w:rsidRPr="0030741C">
        <w:rPr>
          <w:bCs/>
        </w:rPr>
        <w:fldChar w:fldCharType="end"/>
      </w:r>
      <w:r w:rsidRPr="0030741C">
        <w:rPr>
          <w:bCs/>
        </w:rPr>
        <w:t>.</w:t>
      </w:r>
    </w:p>
    <w:p w14:paraId="40043490" w14:textId="1D8D776C" w:rsidR="00B34B38" w:rsidRDefault="00B34B38" w:rsidP="00450916">
      <w:pPr>
        <w:pStyle w:val="MainParawithChapter"/>
        <w:ind w:left="0" w:firstLine="0"/>
        <w:jc w:val="both"/>
        <w:outlineLvl w:val="9"/>
        <w:rPr>
          <w:bCs/>
        </w:rPr>
      </w:pPr>
      <w:r>
        <w:rPr>
          <w:b/>
          <w:bCs/>
        </w:rPr>
        <w:t>While the maternal mortality ratio has declined in the last decade, it remains at an unacceptable level</w:t>
      </w:r>
      <w:r w:rsidR="00424B53">
        <w:rPr>
          <w:b/>
          <w:bCs/>
        </w:rPr>
        <w:t xml:space="preserve"> that</w:t>
      </w:r>
      <w:r w:rsidR="001942A5">
        <w:rPr>
          <w:b/>
          <w:bCs/>
        </w:rPr>
        <w:t xml:space="preserve"> has been</w:t>
      </w:r>
      <w:r w:rsidR="00C34952">
        <w:rPr>
          <w:b/>
          <w:bCs/>
        </w:rPr>
        <w:t xml:space="preserve"> attributed </w:t>
      </w:r>
      <w:r w:rsidR="00A51D79">
        <w:rPr>
          <w:b/>
          <w:bCs/>
        </w:rPr>
        <w:t xml:space="preserve">to inferior quality of health care services and </w:t>
      </w:r>
      <w:r w:rsidR="00A51D79" w:rsidRPr="00450916">
        <w:rPr>
          <w:b/>
          <w:bCs/>
          <w:color w:val="000000" w:themeColor="text1"/>
        </w:rPr>
        <w:t>limited</w:t>
      </w:r>
      <w:r w:rsidR="00A51D79">
        <w:rPr>
          <w:b/>
          <w:bCs/>
        </w:rPr>
        <w:t xml:space="preserve"> access to them</w:t>
      </w:r>
      <w:r>
        <w:rPr>
          <w:b/>
          <w:bCs/>
        </w:rPr>
        <w:t xml:space="preserve">. </w:t>
      </w:r>
      <w:r w:rsidRPr="00A74990">
        <w:rPr>
          <w:bCs/>
        </w:rPr>
        <w:t>The number of women who die during pregnancy or childbirth per 100,000 live births exceeds the ECA re</w:t>
      </w:r>
      <w:r w:rsidR="005310B9">
        <w:rPr>
          <w:bCs/>
        </w:rPr>
        <w:t>gional average by more than 100 percent (65 as compared to 32 per 100,000 live births in 2010)</w:t>
      </w:r>
      <w:r w:rsidRPr="00A74990">
        <w:rPr>
          <w:bCs/>
        </w:rPr>
        <w:t>.</w:t>
      </w:r>
      <w:r>
        <w:rPr>
          <w:b/>
          <w:bCs/>
        </w:rPr>
        <w:t xml:space="preserve"> </w:t>
      </w:r>
      <w:r>
        <w:rPr>
          <w:bCs/>
        </w:rPr>
        <w:t>Severa</w:t>
      </w:r>
      <w:r w:rsidR="00E142AD">
        <w:rPr>
          <w:bCs/>
        </w:rPr>
        <w:t>l factors have been suggested as</w:t>
      </w:r>
      <w:r>
        <w:rPr>
          <w:bCs/>
        </w:rPr>
        <w:t xml:space="preserve"> cont</w:t>
      </w:r>
      <w:r w:rsidR="00E142AD">
        <w:rPr>
          <w:bCs/>
        </w:rPr>
        <w:t>ributing</w:t>
      </w:r>
      <w:r>
        <w:rPr>
          <w:bCs/>
        </w:rPr>
        <w:t xml:space="preserve"> to high maternal mortality rates in Tajikistan</w:t>
      </w:r>
      <w:r w:rsidR="00665E1F">
        <w:rPr>
          <w:bCs/>
        </w:rPr>
        <w:t xml:space="preserve"> </w:t>
      </w:r>
      <w:r w:rsidR="00E12159">
        <w:rPr>
          <w:bCs/>
        </w:rPr>
        <w:fldChar w:fldCharType="begin"/>
      </w:r>
      <w:r w:rsidR="00665E1F">
        <w:rPr>
          <w:bCs/>
        </w:rPr>
        <w:instrText xml:space="preserve"> </w:instrText>
      </w:r>
      <w:r w:rsidR="009F7A22">
        <w:rPr>
          <w:bCs/>
        </w:rPr>
        <w:instrText>ADDIN</w:instrText>
      </w:r>
      <w:r w:rsidR="00665E1F">
        <w:rPr>
          <w:bCs/>
        </w:rPr>
        <w:instrText xml:space="preserve"> EN.CITE &lt;EndNote&gt;&lt;Cite&gt;&lt;Author&gt;Skinnider&lt;/Author&gt;&lt;Year&gt;2000&lt;/Year&gt;&lt;RecNum&gt;26&lt;/RecNum&gt;&lt;DisplayText&gt;(cf. Guerra, Ferrelli, Coclite, &amp;amp; Napoletano, 2004, in Khodjamurodov &amp;amp; Rechel, 2010; Skinnider, 2000)&lt;/DisplayText&gt;&lt;record&gt;&lt;rec-number&gt;26&lt;/rec-number&gt;&lt;foreign-keys&gt;&lt;key app="EN" db-id="wes5dreptvrsr2eeartvxexxftt2tastxrfs"&gt;26&lt;/key&gt;&lt;/foreign-keys&gt;&lt;ref-type name="Journal Article"&gt;17&lt;/ref-type&gt;&lt;contributors&gt;&lt;authors&gt;&lt;author&gt;Marie Skinnider&lt;/author&gt;&lt;/authors&gt;&lt;/contributors&gt;&lt;titles&gt;&lt;title&gt;Dispatches from abroad: fighting maternal mortality in a former Soviet republic&lt;/title&gt;&lt;secondary-title&gt;Canadian Medical Association Journal&lt;/secondary-title&gt;&lt;/titles&gt;&lt;periodical&gt;&lt;full-title&gt;Canadian Medical Association Journal&lt;/full-title&gt;&lt;/periodical&gt;&lt;pages&gt;1605&lt;/pages&gt;&lt;volume&gt;163&lt;/volume&gt;&lt;number&gt;12&lt;/number&gt;&lt;dates&gt;&lt;year&gt;2000&lt;/year&gt;&lt;/dates&gt;&lt;urls&gt;&lt;/urls&gt;&lt;/record&gt;&lt;/Cite&gt;&lt;Cite&gt;&lt;Author&gt;Guerra&lt;/Author&gt;&lt;Year&gt;2004&lt;/Year&gt;&lt;RecNum&gt;27&lt;/RecNum&gt;&lt;Prefix&gt;cf. &lt;/Prefix&gt;&lt;Suffix&gt;`, in Khodjamurodov &amp;amp; Rechel`, 2010&lt;/Suffix&gt;&lt;record&gt;&lt;rec-number&gt;27&lt;/rec-number&gt;&lt;foreign-keys&gt;&lt;key app="EN" db-id="wes5dreptvrsr2eeartvxexxftt2tastxrfs"&gt;27&lt;/key&gt;&lt;/foreign-keys&gt;&lt;ref-type name="Book"&gt;6&lt;/ref-type&gt;&lt;contributors&gt;&lt;authors&gt;&lt;author&gt;R. Guerra&lt;/author&gt;&lt;author&gt;R. Ferrelli&lt;/author&gt;&lt;author&gt;D. Coclite&lt;/author&gt;&lt;author&gt;A. Napoletano&lt;/author&gt;&lt;/authors&gt;&lt;/contributors&gt;&lt;titles&gt;&lt;title&gt;Using Verbal Autopsy to Assess the Path to Infant and Maternal Death; A synthesis of two studies conducted in Tajikistan in 2002 and 2003&lt;/title&gt;&lt;/titles&gt;&lt;dates&gt;&lt;year&gt;2004&lt;/year&gt;&lt;/dates&gt;&lt;pub-location&gt;Dushanbe&lt;/pub-location&gt;&lt;publisher&gt;Ministry of Health, Intituto Superiore di Sanita, &amp;amp; UNICEF Tajikistan&lt;/publisher&gt;&lt;urls&gt;&lt;/urls&gt;&lt;/record&gt;&lt;/Cite&gt;&lt;/EndNote&gt;</w:instrText>
      </w:r>
      <w:r w:rsidR="00E12159">
        <w:rPr>
          <w:bCs/>
        </w:rPr>
        <w:fldChar w:fldCharType="separate"/>
      </w:r>
      <w:r w:rsidR="00665E1F">
        <w:rPr>
          <w:bCs/>
          <w:noProof/>
        </w:rPr>
        <w:t>(</w:t>
      </w:r>
      <w:hyperlink w:anchor="_ENREF_20" w:tooltip="Guerra, 2004 #27" w:history="1">
        <w:r w:rsidR="006A1532">
          <w:rPr>
            <w:bCs/>
            <w:noProof/>
          </w:rPr>
          <w:t>cf. Guerra, Ferrelli, Coclite, &amp; Napoletano, 2004, in Khodjamurodov &amp; Rechel, 2010</w:t>
        </w:r>
      </w:hyperlink>
      <w:r w:rsidR="00665E1F">
        <w:rPr>
          <w:bCs/>
          <w:noProof/>
        </w:rPr>
        <w:t xml:space="preserve">; </w:t>
      </w:r>
      <w:hyperlink w:anchor="_ENREF_48" w:tooltip="Skinnider, 2000 #26" w:history="1">
        <w:r w:rsidR="006A1532">
          <w:rPr>
            <w:bCs/>
            <w:noProof/>
          </w:rPr>
          <w:t>Skinnider, 2000</w:t>
        </w:r>
      </w:hyperlink>
      <w:r w:rsidR="00665E1F">
        <w:rPr>
          <w:bCs/>
          <w:noProof/>
        </w:rPr>
        <w:t>)</w:t>
      </w:r>
      <w:r w:rsidR="00E12159">
        <w:rPr>
          <w:bCs/>
        </w:rPr>
        <w:fldChar w:fldCharType="end"/>
      </w:r>
      <w:r>
        <w:rPr>
          <w:bCs/>
        </w:rPr>
        <w:t xml:space="preserve">. On the one hand, antenatal and delivery care have been judged insufficient, and this has been attributed to lack of materials, equipment, and inadequate training of health professionals. On the other hand, a large share of births is carried out under </w:t>
      </w:r>
      <w:r w:rsidR="001942A5">
        <w:rPr>
          <w:bCs/>
        </w:rPr>
        <w:t xml:space="preserve">riskier conditions at home, as </w:t>
      </w:r>
      <w:r>
        <w:rPr>
          <w:bCs/>
        </w:rPr>
        <w:t>estimates for 2009 indicate that 17</w:t>
      </w:r>
      <w:r w:rsidR="005310B9">
        <w:rPr>
          <w:bCs/>
        </w:rPr>
        <w:t xml:space="preserve"> percent</w:t>
      </w:r>
      <w:r>
        <w:rPr>
          <w:bCs/>
        </w:rPr>
        <w:t xml:space="preserve"> of births were not attended by qualified health personnel </w:t>
      </w:r>
      <w:r w:rsidR="00E12159">
        <w:rPr>
          <w:bCs/>
        </w:rPr>
        <w:fldChar w:fldCharType="begin"/>
      </w:r>
      <w:r w:rsidR="004459DC">
        <w:rPr>
          <w:bCs/>
        </w:rPr>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rPr>
          <w:bCs/>
        </w:rPr>
        <w:fldChar w:fldCharType="separate"/>
      </w:r>
      <w:r w:rsidR="004459DC">
        <w:rPr>
          <w:bCs/>
          <w:noProof/>
        </w:rPr>
        <w:t>(</w:t>
      </w:r>
      <w:hyperlink w:anchor="_ENREF_84" w:tooltip="World Bank, 2012 #6" w:history="1">
        <w:r w:rsidR="006A1532">
          <w:rPr>
            <w:bCs/>
            <w:noProof/>
          </w:rPr>
          <w:t>World Bank, 2012c</w:t>
        </w:r>
      </w:hyperlink>
      <w:r w:rsidR="004459DC">
        <w:rPr>
          <w:bCs/>
          <w:noProof/>
        </w:rPr>
        <w:t>)</w:t>
      </w:r>
      <w:r w:rsidR="00E12159">
        <w:rPr>
          <w:bCs/>
        </w:rPr>
        <w:fldChar w:fldCharType="end"/>
      </w:r>
      <w:r>
        <w:rPr>
          <w:bCs/>
        </w:rPr>
        <w:t xml:space="preserve">. This is linked to poor health care infrastructure and lack of appropriate transportation, particularly in rural areas, and also reflects the inability </w:t>
      </w:r>
      <w:r w:rsidR="004F4379">
        <w:rPr>
          <w:bCs/>
        </w:rPr>
        <w:t>of many</w:t>
      </w:r>
      <w:r>
        <w:rPr>
          <w:bCs/>
        </w:rPr>
        <w:t xml:space="preserve"> to pay fees for medical services. In UNDP’s 2009 Social Exclusion Survey, nearly 30 percent of respondents report that unofficial payments to get medical treatment are either always or usually needed </w:t>
      </w:r>
      <w:r w:rsidR="00E12159">
        <w:rPr>
          <w:bCs/>
        </w:rPr>
        <w:fldChar w:fldCharType="begin"/>
      </w:r>
      <w:r w:rsidR="005C5EAA">
        <w:rPr>
          <w:bCs/>
        </w:rPr>
        <w:instrText xml:space="preserve"> </w:instrText>
      </w:r>
      <w:r w:rsidR="009F7A22">
        <w:rPr>
          <w:bCs/>
        </w:rPr>
        <w:instrText>ADDIN</w:instrText>
      </w:r>
      <w:r w:rsidR="005C5EAA">
        <w:rPr>
          <w:bCs/>
        </w:rPr>
        <w:instrText xml:space="preserve"> EN.CITE &lt;EndNote&gt;&lt;Cite&gt;&lt;Author&gt;UNDP&lt;/Author&gt;&lt;Year&gt;2011&lt;/Year&gt;&lt;RecNum&gt;36&lt;/RecNum&gt;&lt;DisplayText&gt;(UNDP, 2011)&lt;/DisplayText&gt;&lt;record&gt;&lt;rec-number&gt;36&lt;/rec-number&gt;&lt;foreign-keys&gt;&lt;key app="EN" db-id="wes5dreptvrsr2eeartvxexxftt2tastxrfs"&gt;36&lt;/key&gt;&lt;/foreign-keys&gt;&lt;ref-type name="Book"&gt;6&lt;/ref-type&gt;&lt;contributors&gt;&lt;authors&gt;&lt;author&gt;UNDP&lt;/author&gt;&lt;/authors&gt;&lt;/contributors&gt;&lt;titles&gt;&lt;title&gt;Regional Human Development Report: Beyond Transition: Towards Inclusive Societies&lt;/title&gt;&lt;/titles&gt;&lt;dates&gt;&lt;year&gt;2011&lt;/year&gt;&lt;/dates&gt;&lt;pub-location&gt;Bratislava&lt;/pub-location&gt;&lt;publisher&gt;United Nations Development Programme, Regional Bureau for Europe and CIS&lt;/publisher&gt;&lt;urls&gt;&lt;/urls&gt;&lt;/record&gt;&lt;/Cite&gt;&lt;/EndNote&gt;</w:instrText>
      </w:r>
      <w:r w:rsidR="00E12159">
        <w:rPr>
          <w:bCs/>
        </w:rPr>
        <w:fldChar w:fldCharType="separate"/>
      </w:r>
      <w:r>
        <w:rPr>
          <w:bCs/>
          <w:noProof/>
        </w:rPr>
        <w:t>(</w:t>
      </w:r>
      <w:hyperlink w:anchor="_ENREF_57" w:tooltip="UNDP, 2011 #36" w:history="1">
        <w:r w:rsidR="006A1532">
          <w:rPr>
            <w:bCs/>
            <w:noProof/>
          </w:rPr>
          <w:t>UNDP, 2011</w:t>
        </w:r>
      </w:hyperlink>
      <w:r>
        <w:rPr>
          <w:bCs/>
          <w:noProof/>
        </w:rPr>
        <w:t>)</w:t>
      </w:r>
      <w:r w:rsidR="00E12159">
        <w:rPr>
          <w:bCs/>
        </w:rPr>
        <w:fldChar w:fldCharType="end"/>
      </w:r>
      <w:r w:rsidR="00375AE2">
        <w:rPr>
          <w:bCs/>
        </w:rPr>
        <w:t xml:space="preserve">. The 2005 MICS </w:t>
      </w:r>
      <w:r>
        <w:rPr>
          <w:bCs/>
        </w:rPr>
        <w:t>further shows that the likelihood of giving birth without assistance by a skilled health professional decreases as levels of education and income increase</w:t>
      </w:r>
      <w:r w:rsidR="00665E1F">
        <w:rPr>
          <w:bCs/>
        </w:rPr>
        <w:t xml:space="preserve"> </w:t>
      </w:r>
      <w:r w:rsidR="00E12159">
        <w:rPr>
          <w:bCs/>
        </w:rPr>
        <w:fldChar w:fldCharType="begin"/>
      </w:r>
      <w:r w:rsidR="00665E1F">
        <w:rPr>
          <w:bCs/>
        </w:rPr>
        <w:instrText xml:space="preserve"> </w:instrText>
      </w:r>
      <w:r w:rsidR="009F7A22">
        <w:rPr>
          <w:bCs/>
        </w:rPr>
        <w:instrText>ADDIN</w:instrText>
      </w:r>
      <w:r w:rsidR="00665E1F">
        <w:rPr>
          <w:bCs/>
        </w:rPr>
        <w:instrText xml:space="preserve">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rPr>
          <w:bCs/>
        </w:rPr>
        <w:fldChar w:fldCharType="separate"/>
      </w:r>
      <w:r w:rsidR="00665E1F">
        <w:rPr>
          <w:bCs/>
          <w:noProof/>
        </w:rPr>
        <w:t>(</w:t>
      </w:r>
      <w:hyperlink w:anchor="_ENREF_50" w:tooltip="State Committee on Statistics of the Republic of Tajikistan, 2007 #10" w:history="1">
        <w:r w:rsidR="006A1532">
          <w:rPr>
            <w:bCs/>
            <w:noProof/>
          </w:rPr>
          <w:t>State Committee on Statistics of the Republic of Tajikistan, 2007</w:t>
        </w:r>
      </w:hyperlink>
      <w:r w:rsidR="00665E1F">
        <w:rPr>
          <w:bCs/>
          <w:noProof/>
        </w:rPr>
        <w:t>)</w:t>
      </w:r>
      <w:r w:rsidR="00E12159">
        <w:rPr>
          <w:bCs/>
        </w:rPr>
        <w:fldChar w:fldCharType="end"/>
      </w:r>
      <w:r>
        <w:rPr>
          <w:bCs/>
        </w:rPr>
        <w:t>.</w:t>
      </w:r>
    </w:p>
    <w:p w14:paraId="7C6152BF" w14:textId="7AD170B9" w:rsidR="00B34B38" w:rsidRPr="0083206D" w:rsidRDefault="00B34B38" w:rsidP="00450916">
      <w:pPr>
        <w:pStyle w:val="MainParawithChapter"/>
        <w:ind w:left="0" w:firstLine="0"/>
        <w:jc w:val="both"/>
        <w:outlineLvl w:val="9"/>
        <w:rPr>
          <w:bCs/>
        </w:rPr>
      </w:pPr>
      <w:r w:rsidRPr="0083206D">
        <w:rPr>
          <w:b/>
          <w:bCs/>
        </w:rPr>
        <w:t xml:space="preserve">Infant and child </w:t>
      </w:r>
      <w:r w:rsidR="003F3D80">
        <w:rPr>
          <w:b/>
          <w:bCs/>
        </w:rPr>
        <w:t xml:space="preserve">under-5 </w:t>
      </w:r>
      <w:r w:rsidRPr="0083206D">
        <w:rPr>
          <w:b/>
          <w:bCs/>
        </w:rPr>
        <w:t xml:space="preserve">mortality is disturbingly high and linked to a wide and complex range of direct and indirect factors, including maternal education. </w:t>
      </w:r>
      <w:r w:rsidRPr="0083206D">
        <w:rPr>
          <w:bCs/>
        </w:rPr>
        <w:t>Though there has been a trend of declining infant</w:t>
      </w:r>
      <w:r w:rsidR="00E32BDF">
        <w:rPr>
          <w:bCs/>
        </w:rPr>
        <w:t xml:space="preserve"> and under-5</w:t>
      </w:r>
      <w:r w:rsidRPr="0083206D">
        <w:rPr>
          <w:bCs/>
        </w:rPr>
        <w:t xml:space="preserve"> mortality rates</w:t>
      </w:r>
      <w:r w:rsidR="00E32BDF">
        <w:rPr>
          <w:bCs/>
        </w:rPr>
        <w:t xml:space="preserve"> </w:t>
      </w:r>
      <w:r w:rsidRPr="0083206D">
        <w:rPr>
          <w:bCs/>
        </w:rPr>
        <w:t xml:space="preserve">between 2000 and 2010, the current outcomes (see </w:t>
      </w:r>
      <w:r w:rsidR="00E12159" w:rsidRPr="0083206D">
        <w:rPr>
          <w:bCs/>
        </w:rPr>
        <w:fldChar w:fldCharType="begin"/>
      </w:r>
      <w:r w:rsidRPr="0083206D">
        <w:rPr>
          <w:bCs/>
        </w:rPr>
        <w:instrText xml:space="preserve"> </w:instrText>
      </w:r>
      <w:r w:rsidR="009F7A22">
        <w:rPr>
          <w:bCs/>
        </w:rPr>
        <w:instrText>REF</w:instrText>
      </w:r>
      <w:r w:rsidRPr="0083206D">
        <w:rPr>
          <w:bCs/>
        </w:rPr>
        <w:instrText xml:space="preserve"> _Ref220386518 \h </w:instrText>
      </w:r>
      <w:r w:rsidR="00E12159" w:rsidRPr="0083206D">
        <w:rPr>
          <w:bCs/>
        </w:rPr>
      </w:r>
      <w:r w:rsidR="00E12159" w:rsidRPr="0083206D">
        <w:rPr>
          <w:bCs/>
        </w:rPr>
        <w:fldChar w:fldCharType="separate"/>
      </w:r>
      <w:r w:rsidR="00183FFF" w:rsidRPr="00FB758E">
        <w:rPr>
          <w:b/>
          <w:sz w:val="22"/>
          <w:szCs w:val="22"/>
        </w:rPr>
        <w:t xml:space="preserve">Table </w:t>
      </w:r>
      <w:r w:rsidR="00183FFF">
        <w:rPr>
          <w:b/>
          <w:noProof/>
          <w:sz w:val="22"/>
          <w:szCs w:val="22"/>
        </w:rPr>
        <w:t>1</w:t>
      </w:r>
      <w:r w:rsidR="00E12159" w:rsidRPr="0083206D">
        <w:rPr>
          <w:bCs/>
        </w:rPr>
        <w:fldChar w:fldCharType="end"/>
      </w:r>
      <w:r w:rsidRPr="0083206D">
        <w:rPr>
          <w:bCs/>
        </w:rPr>
        <w:t>) are still far above the ra</w:t>
      </w:r>
      <w:r w:rsidR="001942A5" w:rsidRPr="0083206D">
        <w:rPr>
          <w:bCs/>
        </w:rPr>
        <w:t>tes achieved in other</w:t>
      </w:r>
      <w:r w:rsidRPr="0083206D">
        <w:rPr>
          <w:bCs/>
        </w:rPr>
        <w:t xml:space="preserve"> ECA countries, where the infant </w:t>
      </w:r>
      <w:r w:rsidR="0064383D">
        <w:rPr>
          <w:bCs/>
        </w:rPr>
        <w:t>under-5</w:t>
      </w:r>
      <w:r w:rsidRPr="0083206D">
        <w:rPr>
          <w:bCs/>
        </w:rPr>
        <w:t xml:space="preserve"> mortality rates stand at 18 and 22 </w:t>
      </w:r>
      <w:r w:rsidR="00093E7C">
        <w:rPr>
          <w:bCs/>
        </w:rPr>
        <w:t xml:space="preserve">per 1,000 </w:t>
      </w:r>
      <w:r w:rsidRPr="0083206D">
        <w:rPr>
          <w:bCs/>
        </w:rPr>
        <w:t xml:space="preserve">in 2010 respectively. Two UNICEF studies find that </w:t>
      </w:r>
      <w:r w:rsidR="0083206D">
        <w:rPr>
          <w:bCs/>
        </w:rPr>
        <w:t xml:space="preserve">the most frequent causes of </w:t>
      </w:r>
      <w:r w:rsidRPr="0083206D">
        <w:rPr>
          <w:bCs/>
        </w:rPr>
        <w:t xml:space="preserve">neonatal deaths (within four weeks of birth) are </w:t>
      </w:r>
      <w:r w:rsidR="0083206D" w:rsidRPr="0083206D">
        <w:rPr>
          <w:bCs/>
        </w:rPr>
        <w:t>premature birth and low birth weight</w:t>
      </w:r>
      <w:r w:rsidR="00093E7C">
        <w:rPr>
          <w:bCs/>
        </w:rPr>
        <w:t>. I</w:t>
      </w:r>
      <w:r w:rsidR="0083206D">
        <w:rPr>
          <w:bCs/>
        </w:rPr>
        <w:t xml:space="preserve">n case of </w:t>
      </w:r>
      <w:r w:rsidR="00A51D79" w:rsidRPr="0083206D">
        <w:rPr>
          <w:bCs/>
        </w:rPr>
        <w:t>p</w:t>
      </w:r>
      <w:r w:rsidRPr="0083206D">
        <w:rPr>
          <w:bCs/>
        </w:rPr>
        <w:t>ost-natal deaths (one month until one year after birth)</w:t>
      </w:r>
      <w:r w:rsidR="0083206D">
        <w:rPr>
          <w:bCs/>
        </w:rPr>
        <w:t xml:space="preserve">, a majority of children </w:t>
      </w:r>
      <w:r w:rsidR="0083206D" w:rsidRPr="0083206D">
        <w:rPr>
          <w:bCs/>
        </w:rPr>
        <w:t>suffer</w:t>
      </w:r>
      <w:r w:rsidR="0083206D">
        <w:rPr>
          <w:bCs/>
        </w:rPr>
        <w:t>s</w:t>
      </w:r>
      <w:r w:rsidR="0083206D" w:rsidRPr="0083206D">
        <w:rPr>
          <w:bCs/>
        </w:rPr>
        <w:t xml:space="preserve"> from infectious diseases, acute diarrhea, severe anemia, pneumonia, or malnutrition</w:t>
      </w:r>
      <w:r w:rsidR="002E09E1">
        <w:rPr>
          <w:bCs/>
        </w:rPr>
        <w:t xml:space="preserve"> </w:t>
      </w:r>
      <w:r w:rsidR="00E12159" w:rsidRPr="0083206D">
        <w:rPr>
          <w:bCs/>
        </w:rPr>
        <w:fldChar w:fldCharType="begin"/>
      </w:r>
      <w:r w:rsidR="005C5EAA" w:rsidRPr="0083206D">
        <w:rPr>
          <w:bCs/>
        </w:rPr>
        <w:instrText xml:space="preserve"> </w:instrText>
      </w:r>
      <w:r w:rsidR="009F7A22">
        <w:rPr>
          <w:bCs/>
        </w:rPr>
        <w:instrText>ADDIN</w:instrText>
      </w:r>
      <w:r w:rsidR="005C5EAA" w:rsidRPr="0083206D">
        <w:rPr>
          <w:bCs/>
        </w:rPr>
        <w:instrText xml:space="preserve"> EN.CITE &lt;EndNote&gt;&lt;Cite&gt;&lt;Author&gt;UNICEF&lt;/Author&gt;&lt;Year&gt;2004&lt;/Year&gt;&lt;RecNum&gt;28&lt;/RecNum&gt;&lt;DisplayText&gt;(UNICEF, 2004)&lt;/DisplayText&gt;&lt;record&gt;&lt;rec-number&gt;28&lt;/rec-number&gt;&lt;foreign-keys&gt;&lt;key app="EN" db-id="wes5dreptvrsr2eeartvxexxftt2tastxrfs"&gt;28&lt;/key&gt;&lt;/foreign-keys&gt;&lt;ref-type name="Book"&gt;6&lt;/ref-type&gt;&lt;contributors&gt;&lt;authors&gt;&lt;author&gt;UNICEF&lt;/author&gt;&lt;/authors&gt;&lt;/contributors&gt;&lt;titles&gt;&lt;title&gt;Infant Mortality in Tajikistan. Two studies look at risk factors&lt;/title&gt;&lt;/titles&gt;&lt;dates&gt;&lt;year&gt;2004&lt;/year&gt;&lt;/dates&gt;&lt;publisher&gt;United Nations Children&amp;apos;s Fund Tajikistan&lt;/publisher&gt;&lt;urls&gt;&lt;/urls&gt;&lt;/record&gt;&lt;/Cite&gt;&lt;/EndNote&gt;</w:instrText>
      </w:r>
      <w:r w:rsidR="00E12159" w:rsidRPr="0083206D">
        <w:rPr>
          <w:bCs/>
        </w:rPr>
        <w:fldChar w:fldCharType="separate"/>
      </w:r>
      <w:r w:rsidRPr="0083206D">
        <w:rPr>
          <w:bCs/>
          <w:noProof/>
        </w:rPr>
        <w:t>(</w:t>
      </w:r>
      <w:hyperlink w:anchor="_ENREF_60" w:tooltip="UNICEF, 2004 #28" w:history="1">
        <w:r w:rsidR="006A1532" w:rsidRPr="0083206D">
          <w:rPr>
            <w:bCs/>
            <w:noProof/>
          </w:rPr>
          <w:t>UNICEF, 2004</w:t>
        </w:r>
      </w:hyperlink>
      <w:r w:rsidRPr="0083206D">
        <w:rPr>
          <w:bCs/>
          <w:noProof/>
        </w:rPr>
        <w:t>)</w:t>
      </w:r>
      <w:r w:rsidR="00E12159" w:rsidRPr="0083206D">
        <w:rPr>
          <w:bCs/>
        </w:rPr>
        <w:fldChar w:fldCharType="end"/>
      </w:r>
      <w:r w:rsidR="002E09E1">
        <w:rPr>
          <w:bCs/>
        </w:rPr>
        <w:t>. Overall, m</w:t>
      </w:r>
      <w:r w:rsidRPr="0083206D">
        <w:rPr>
          <w:bCs/>
        </w:rPr>
        <w:t xml:space="preserve">ortality of under 5-year olds is a complex result of both direct determinants such as duration of breastfeeding, vaccinations, prenatal care, micronutrient deficiencies, and indirect ones including household poverty, low levels of maternal education, food insecurity and unsafe drinking water, or limited access to health care </w:t>
      </w:r>
      <w:r w:rsidR="00E12159" w:rsidRPr="0083206D">
        <w:rPr>
          <w:bCs/>
        </w:rPr>
        <w:fldChar w:fldCharType="begin"/>
      </w:r>
      <w:r w:rsidRPr="0083206D">
        <w:rPr>
          <w:bCs/>
        </w:rPr>
        <w:instrText xml:space="preserve"> </w:instrText>
      </w:r>
      <w:r w:rsidR="009F7A22">
        <w:rPr>
          <w:bCs/>
        </w:rPr>
        <w:instrText>ADDIN</w:instrText>
      </w:r>
      <w:r w:rsidRPr="0083206D">
        <w:rPr>
          <w:bCs/>
        </w:rPr>
        <w:instrText xml:space="preserve"> EN.CITE &lt;EndNote&gt;&lt;Cite&gt;&lt;Author&gt;Bakilana&lt;/Author&gt;&lt;Year&gt;2009&lt;/Year&gt;&lt;RecNum&gt;29&lt;/RecNum&gt;&lt;DisplayText&gt;(Bakilana &amp;amp; Msisha, 2009)&lt;/DisplayText&gt;&lt;record&gt;&lt;rec-number&gt;29&lt;/rec-number&gt;&lt;foreign-keys&gt;&lt;key app="EN" db-id="wes5dreptvrsr2eeartvxexxftt2tastxrfs"&gt;29&lt;/key&gt;&lt;/foreign-keys&gt;&lt;ref-type name="Journal Article"&gt;17&lt;/ref-type&gt;&lt;contributors&gt;&lt;authors&gt;&lt;author&gt;Anne Bakilana&lt;/author&gt;&lt;author&gt;Wezi Msisha&lt;/author&gt;&lt;/authors&gt;&lt;/contributors&gt;&lt;titles&gt;&lt;title&gt;Tajik Child Health: All Hands on Deck&lt;/title&gt;&lt;secondary-title&gt;Europe and Central Asia Knowledge Brief&lt;/secondary-title&gt;&lt;/titles&gt;&lt;periodical&gt;&lt;full-title&gt;Europe and Central Asia Knowledge Brief&lt;/full-title&gt;&lt;/periodical&gt;&lt;volume&gt;11&lt;/volume&gt;&lt;dates&gt;&lt;year&gt;2009&lt;/year&gt;&lt;/dates&gt;&lt;urls&gt;&lt;/urls&gt;&lt;/record&gt;&lt;/Cite&gt;&lt;/EndNote&gt;</w:instrText>
      </w:r>
      <w:r w:rsidR="00E12159" w:rsidRPr="0083206D">
        <w:rPr>
          <w:bCs/>
        </w:rPr>
        <w:fldChar w:fldCharType="separate"/>
      </w:r>
      <w:r w:rsidRPr="0083206D">
        <w:rPr>
          <w:bCs/>
          <w:noProof/>
        </w:rPr>
        <w:t>(</w:t>
      </w:r>
      <w:hyperlink w:anchor="_ENREF_6" w:tooltip="Bakilana, 2009 #29" w:history="1">
        <w:r w:rsidR="006A1532" w:rsidRPr="0083206D">
          <w:rPr>
            <w:bCs/>
            <w:noProof/>
          </w:rPr>
          <w:t>Bakilana &amp; Msisha, 2009</w:t>
        </w:r>
      </w:hyperlink>
      <w:r w:rsidRPr="0083206D">
        <w:rPr>
          <w:bCs/>
          <w:noProof/>
        </w:rPr>
        <w:t>)</w:t>
      </w:r>
      <w:r w:rsidR="00E12159" w:rsidRPr="0083206D">
        <w:rPr>
          <w:bCs/>
        </w:rPr>
        <w:fldChar w:fldCharType="end"/>
      </w:r>
      <w:r w:rsidRPr="0083206D">
        <w:rPr>
          <w:bCs/>
        </w:rPr>
        <w:t>.</w:t>
      </w:r>
    </w:p>
    <w:p w14:paraId="3CB072CE" w14:textId="42BFB19E" w:rsidR="00B34B38" w:rsidRDefault="005E3C62" w:rsidP="00450916">
      <w:pPr>
        <w:pStyle w:val="MainParawithChapter"/>
        <w:ind w:left="0" w:firstLine="0"/>
        <w:jc w:val="both"/>
        <w:outlineLvl w:val="9"/>
        <w:rPr>
          <w:bCs/>
        </w:rPr>
      </w:pPr>
      <w:r>
        <w:rPr>
          <w:b/>
          <w:bCs/>
        </w:rPr>
        <w:lastRenderedPageBreak/>
        <w:t>T</w:t>
      </w:r>
      <w:r w:rsidR="00B34B38">
        <w:rPr>
          <w:b/>
          <w:bCs/>
        </w:rPr>
        <w:t xml:space="preserve">he </w:t>
      </w:r>
      <w:r w:rsidR="00B34B38" w:rsidRPr="00450916">
        <w:rPr>
          <w:b/>
          <w:bCs/>
          <w:color w:val="000000" w:themeColor="text1"/>
        </w:rPr>
        <w:t>Government</w:t>
      </w:r>
      <w:r w:rsidR="00B34B38">
        <w:rPr>
          <w:b/>
          <w:bCs/>
        </w:rPr>
        <w:t xml:space="preserve"> of Tajikistan has declared child and maternal health key priorities in its first Comprehensive National Health Sector Strategy for 2010-2020. </w:t>
      </w:r>
      <w:r w:rsidR="002E09E1">
        <w:rPr>
          <w:bCs/>
        </w:rPr>
        <w:t>In order to address child and infant mortality and to develop primary health care (PHC) provision, t</w:t>
      </w:r>
      <w:r w:rsidR="00B34B38" w:rsidRPr="00D51E2C">
        <w:rPr>
          <w:bCs/>
        </w:rPr>
        <w:t>he Government</w:t>
      </w:r>
      <w:r w:rsidR="00B34B38">
        <w:rPr>
          <w:bCs/>
        </w:rPr>
        <w:t xml:space="preserve"> of Tajikistan</w:t>
      </w:r>
      <w:r w:rsidR="00B34B38" w:rsidRPr="00D51E2C">
        <w:rPr>
          <w:bCs/>
        </w:rPr>
        <w:t xml:space="preserve"> </w:t>
      </w:r>
      <w:r w:rsidR="00B34B38">
        <w:rPr>
          <w:bCs/>
        </w:rPr>
        <w:t>introduced a Family Medicine model of practice in 2001, and the Integrated Management of Ch</w:t>
      </w:r>
      <w:r w:rsidR="002E09E1">
        <w:rPr>
          <w:bCs/>
        </w:rPr>
        <w:t xml:space="preserve">ildhood Illness (IMCI) in 2000. </w:t>
      </w:r>
      <w:r w:rsidR="00B34B38">
        <w:rPr>
          <w:bCs/>
        </w:rPr>
        <w:t>A recent evaluation of the quality of health care for children, based on the standardized WHO/UNICEF IMCI survey methodology, arrives at the troublesome conclusion that there are serious shortcomings in terms of screening o</w:t>
      </w:r>
      <w:r w:rsidR="002E09E1">
        <w:rPr>
          <w:bCs/>
        </w:rPr>
        <w:t>f sick children at arrival in PHC facilities</w:t>
      </w:r>
      <w:r w:rsidR="00B34B38">
        <w:rPr>
          <w:bCs/>
        </w:rPr>
        <w:t xml:space="preserve">, diagnosis accuracy, and training and supervision of PHC workers </w:t>
      </w:r>
      <w:r w:rsidR="00E12159">
        <w:rPr>
          <w:bCs/>
        </w:rPr>
        <w:fldChar w:fldCharType="begin"/>
      </w:r>
      <w:r w:rsidR="005538C3">
        <w:rPr>
          <w:bCs/>
        </w:rPr>
        <w:instrText xml:space="preserve"> ADDIN EN.CITE &lt;EndNote&gt;&lt;Cite&gt;&lt;Author&gt;World Bank&lt;/Author&gt;&lt;Year&gt;2011&lt;/Year&gt;&lt;RecNum&gt;30&lt;/RecNum&gt;&lt;DisplayText&gt;(World Bank, 2011b)&lt;/DisplayText&gt;&lt;record&gt;&lt;rec-number&gt;30&lt;/rec-number&gt;&lt;foreign-keys&gt;&lt;key app="EN" db-id="wes5dreptvrsr2eeartvxexxftt2tastxrfs"&gt;30&lt;/key&gt;&lt;/foreign-keys&gt;&lt;ref-type name="Book"&gt;6&lt;/ref-type&gt;&lt;contributors&gt;&lt;authors&gt;&lt;author&gt;World Bank&lt;/author&gt;&lt;/authors&gt;&lt;/contributors&gt;&lt;titles&gt;&lt;title&gt;Quality of Child Health Services in Tajikistan&lt;/title&gt;&lt;/titles&gt;&lt;dates&gt;&lt;year&gt;2011&lt;/year&gt;&lt;/dates&gt;&lt;pub-location&gt;Washington, DC&lt;/pub-location&gt;&lt;publisher&gt;World Bank&lt;/publisher&gt;&lt;urls&gt;&lt;/urls&gt;&lt;/record&gt;&lt;/Cite&gt;&lt;/EndNote&gt;</w:instrText>
      </w:r>
      <w:r w:rsidR="00E12159">
        <w:rPr>
          <w:bCs/>
        </w:rPr>
        <w:fldChar w:fldCharType="separate"/>
      </w:r>
      <w:r w:rsidR="005538C3">
        <w:rPr>
          <w:bCs/>
          <w:noProof/>
        </w:rPr>
        <w:t>(</w:t>
      </w:r>
      <w:hyperlink w:anchor="_ENREF_79" w:tooltip="World Bank, 2011 #30" w:history="1">
        <w:r w:rsidR="006A1532">
          <w:rPr>
            <w:bCs/>
            <w:noProof/>
          </w:rPr>
          <w:t>World Bank, 2011b</w:t>
        </w:r>
      </w:hyperlink>
      <w:r w:rsidR="005538C3">
        <w:rPr>
          <w:bCs/>
          <w:noProof/>
        </w:rPr>
        <w:t>)</w:t>
      </w:r>
      <w:r w:rsidR="00E12159">
        <w:rPr>
          <w:bCs/>
        </w:rPr>
        <w:fldChar w:fldCharType="end"/>
      </w:r>
      <w:r w:rsidR="00B34B38">
        <w:rPr>
          <w:bCs/>
        </w:rPr>
        <w:t xml:space="preserve">. These results are very similar to an earlier survey report on the IMCI conducted by the WHO and UNICEF </w:t>
      </w:r>
      <w:r w:rsidR="00E12159">
        <w:rPr>
          <w:bCs/>
        </w:rPr>
        <w:fldChar w:fldCharType="begin"/>
      </w:r>
      <w:r w:rsidR="005C5EAA">
        <w:rPr>
          <w:bCs/>
        </w:rPr>
        <w:instrText xml:space="preserve"> </w:instrText>
      </w:r>
      <w:r w:rsidR="009F7A22">
        <w:rPr>
          <w:bCs/>
        </w:rPr>
        <w:instrText>ADDIN</w:instrText>
      </w:r>
      <w:r w:rsidR="005C5EAA">
        <w:rPr>
          <w:bCs/>
        </w:rPr>
        <w:instrText xml:space="preserve"> EN.CITE &lt;EndNote&gt;&lt;Cite&gt;&lt;Author&gt;WHO/UNICEF&lt;/Author&gt;&lt;Year&gt;2009&lt;/Year&gt;&lt;RecNum&gt;31&lt;/RecNum&gt;&lt;DisplayText&gt;(WHO/UNICEF, 2009)&lt;/DisplayText&gt;&lt;record&gt;&lt;rec-number&gt;31&lt;/rec-number&gt;&lt;foreign-keys&gt;&lt;key app="EN" db-id="wes5dreptvrsr2eeartvxexxftt2tastxrfs"&gt;31&lt;/key&gt;&lt;/foreign-keys&gt;&lt;ref-type name="Book"&gt;6&lt;/ref-type&gt;&lt;contributors&gt;&lt;authors&gt;&lt;author&gt;WHO/UNICEF&lt;/author&gt;&lt;/authors&gt;&lt;/contributors&gt;&lt;titles&gt;&lt;title&gt;Survey report to identify barriers impeding the implementation of the strategy on integrated management of childhood illness in the Republic of Tajikistan&lt;/title&gt;&lt;/titles&gt;&lt;dates&gt;&lt;year&gt;2009&lt;/year&gt;&lt;/dates&gt;&lt;pub-location&gt;Copenhagen&lt;/pub-location&gt;&lt;publisher&gt;WHO Regional Office for Europe&lt;/publisher&gt;&lt;urls&gt;&lt;/urls&gt;&lt;/record&gt;&lt;/Cite&gt;&lt;/EndNote&gt;</w:instrText>
      </w:r>
      <w:r w:rsidR="00E12159">
        <w:rPr>
          <w:bCs/>
        </w:rPr>
        <w:fldChar w:fldCharType="separate"/>
      </w:r>
      <w:r w:rsidR="00B34B38">
        <w:rPr>
          <w:bCs/>
          <w:noProof/>
        </w:rPr>
        <w:t>(</w:t>
      </w:r>
      <w:hyperlink w:anchor="_ENREF_71" w:tooltip="WHO/UNICEF, 2009 #31" w:history="1">
        <w:r w:rsidR="006A1532">
          <w:rPr>
            <w:bCs/>
            <w:noProof/>
          </w:rPr>
          <w:t>WHO/UNICEF, 2009</w:t>
        </w:r>
      </w:hyperlink>
      <w:r w:rsidR="00B34B38">
        <w:rPr>
          <w:bCs/>
          <w:noProof/>
        </w:rPr>
        <w:t>)</w:t>
      </w:r>
      <w:r w:rsidR="00E12159">
        <w:rPr>
          <w:bCs/>
        </w:rPr>
        <w:fldChar w:fldCharType="end"/>
      </w:r>
      <w:r w:rsidR="00B34B38">
        <w:rPr>
          <w:bCs/>
        </w:rPr>
        <w:t xml:space="preserve">, </w:t>
      </w:r>
      <w:r w:rsidR="00F65EBB">
        <w:rPr>
          <w:bCs/>
        </w:rPr>
        <w:t>and thus</w:t>
      </w:r>
      <w:r w:rsidR="00B34B38">
        <w:rPr>
          <w:bCs/>
        </w:rPr>
        <w:t xml:space="preserve"> </w:t>
      </w:r>
      <w:r w:rsidR="002E09E1">
        <w:rPr>
          <w:bCs/>
        </w:rPr>
        <w:t>put additional emphasis on</w:t>
      </w:r>
      <w:r w:rsidR="00B34B38">
        <w:rPr>
          <w:bCs/>
        </w:rPr>
        <w:t xml:space="preserve"> the acute need for remedial action.</w:t>
      </w:r>
    </w:p>
    <w:p w14:paraId="583127C5" w14:textId="32562E81" w:rsidR="00B70232" w:rsidRPr="00B70232" w:rsidRDefault="00B70232" w:rsidP="00450916">
      <w:pPr>
        <w:pStyle w:val="MainParawithChapter"/>
        <w:ind w:left="0" w:firstLine="0"/>
        <w:jc w:val="both"/>
        <w:outlineLvl w:val="9"/>
        <w:rPr>
          <w:bCs/>
        </w:rPr>
      </w:pPr>
      <w:r>
        <w:rPr>
          <w:b/>
          <w:bCs/>
        </w:rPr>
        <w:t xml:space="preserve">Total fertility rates have been on steady </w:t>
      </w:r>
      <w:r w:rsidRPr="0067293C">
        <w:rPr>
          <w:b/>
          <w:bCs/>
        </w:rPr>
        <w:t xml:space="preserve">decline in Tajikistan, but </w:t>
      </w:r>
      <w:r w:rsidR="00DF3122">
        <w:rPr>
          <w:b/>
          <w:bCs/>
        </w:rPr>
        <w:t xml:space="preserve">still </w:t>
      </w:r>
      <w:r>
        <w:rPr>
          <w:b/>
          <w:bCs/>
        </w:rPr>
        <w:t>remain far above the regional average and are expected to exceed</w:t>
      </w:r>
      <w:r w:rsidRPr="0067293C">
        <w:rPr>
          <w:b/>
          <w:bCs/>
        </w:rPr>
        <w:t xml:space="preserve"> the replacement</w:t>
      </w:r>
      <w:r>
        <w:rPr>
          <w:b/>
          <w:bCs/>
        </w:rPr>
        <w:t xml:space="preserve"> rate for the </w:t>
      </w:r>
      <w:r w:rsidR="001B0315">
        <w:rPr>
          <w:b/>
          <w:bCs/>
        </w:rPr>
        <w:t xml:space="preserve">coming </w:t>
      </w:r>
      <w:r w:rsidR="001B0315" w:rsidRPr="00450916">
        <w:rPr>
          <w:b/>
          <w:bCs/>
          <w:color w:val="000000" w:themeColor="text1"/>
        </w:rPr>
        <w:t>decades</w:t>
      </w:r>
      <w:r>
        <w:rPr>
          <w:b/>
          <w:bCs/>
        </w:rPr>
        <w:t xml:space="preserve">. </w:t>
      </w:r>
      <w:r>
        <w:rPr>
          <w:bCs/>
        </w:rPr>
        <w:t xml:space="preserve">Within 20 years, total fertility rates dropped from 5.2 in 1990 to 3.2 </w:t>
      </w:r>
      <w:r w:rsidR="003F3D80">
        <w:rPr>
          <w:bCs/>
        </w:rPr>
        <w:t>in 2010</w:t>
      </w:r>
      <w:r w:rsidR="005E3C62">
        <w:rPr>
          <w:bCs/>
        </w:rPr>
        <w:t xml:space="preserve"> (see </w:t>
      </w:r>
      <w:r w:rsidR="00E12159">
        <w:rPr>
          <w:bCs/>
        </w:rPr>
        <w:fldChar w:fldCharType="begin"/>
      </w:r>
      <w:r w:rsidR="005E3C62">
        <w:rPr>
          <w:bCs/>
        </w:rPr>
        <w:instrText xml:space="preserve"> REF _Ref226964445 \h </w:instrText>
      </w:r>
      <w:r w:rsidR="00E12159">
        <w:rPr>
          <w:bCs/>
        </w:rPr>
      </w:r>
      <w:r w:rsidR="00E12159">
        <w:rPr>
          <w:bCs/>
        </w:rPr>
        <w:fldChar w:fldCharType="separate"/>
      </w:r>
      <w:r w:rsidR="00183FFF" w:rsidRPr="00B34B38">
        <w:rPr>
          <w:b/>
          <w:sz w:val="22"/>
          <w:szCs w:val="22"/>
        </w:rPr>
        <w:t xml:space="preserve">Figure </w:t>
      </w:r>
      <w:r w:rsidR="00183FFF">
        <w:rPr>
          <w:b/>
          <w:noProof/>
          <w:sz w:val="22"/>
          <w:szCs w:val="22"/>
        </w:rPr>
        <w:t>13</w:t>
      </w:r>
      <w:r w:rsidR="00E12159">
        <w:rPr>
          <w:bCs/>
        </w:rPr>
        <w:fldChar w:fldCharType="end"/>
      </w:r>
      <w:r w:rsidR="005E3C62">
        <w:rPr>
          <w:bCs/>
        </w:rPr>
        <w:t>)</w:t>
      </w:r>
      <w:r w:rsidR="00320A0A">
        <w:rPr>
          <w:bCs/>
        </w:rPr>
        <w:t xml:space="preserve">. Whereas many </w:t>
      </w:r>
      <w:r>
        <w:rPr>
          <w:bCs/>
        </w:rPr>
        <w:t xml:space="preserve">countries </w:t>
      </w:r>
      <w:r w:rsidR="003F3D80">
        <w:rPr>
          <w:bCs/>
        </w:rPr>
        <w:t xml:space="preserve">in Europe and Central Asia </w:t>
      </w:r>
      <w:r w:rsidR="00713A89">
        <w:rPr>
          <w:bCs/>
        </w:rPr>
        <w:t>have experienced an increase in</w:t>
      </w:r>
      <w:r>
        <w:rPr>
          <w:bCs/>
        </w:rPr>
        <w:t xml:space="preserve"> total fertility rates in the last decade, the negative trend has continued unabated in Tajikista</w:t>
      </w:r>
      <w:r w:rsidR="00093E7C">
        <w:rPr>
          <w:bCs/>
        </w:rPr>
        <w:t xml:space="preserve">n, though </w:t>
      </w:r>
      <w:r w:rsidR="00613BE3">
        <w:rPr>
          <w:bCs/>
        </w:rPr>
        <w:t>fertility remains higher in Tajikistan</w:t>
      </w:r>
      <w:r>
        <w:rPr>
          <w:bCs/>
        </w:rPr>
        <w:t xml:space="preserve">. Changes in fertility rates are the result of the interplay of </w:t>
      </w:r>
      <w:r w:rsidR="003F3D80">
        <w:rPr>
          <w:bCs/>
        </w:rPr>
        <w:t>a variet</w:t>
      </w:r>
      <w:r>
        <w:rPr>
          <w:bCs/>
        </w:rPr>
        <w:t>y</w:t>
      </w:r>
      <w:r w:rsidR="003F3D80">
        <w:rPr>
          <w:bCs/>
        </w:rPr>
        <w:t xml:space="preserve"> of</w:t>
      </w:r>
      <w:r>
        <w:rPr>
          <w:bCs/>
        </w:rPr>
        <w:t xml:space="preserve"> </w:t>
      </w:r>
      <w:r w:rsidR="00613BE3">
        <w:rPr>
          <w:bCs/>
        </w:rPr>
        <w:t xml:space="preserve">factors, including </w:t>
      </w:r>
      <w:r>
        <w:rPr>
          <w:bCs/>
        </w:rPr>
        <w:t xml:space="preserve">the economic situation and societal changes. In Tajikistan, three major shocks have </w:t>
      </w:r>
      <w:r w:rsidR="00502E02">
        <w:rPr>
          <w:bCs/>
        </w:rPr>
        <w:t>likely</w:t>
      </w:r>
      <w:r>
        <w:rPr>
          <w:bCs/>
        </w:rPr>
        <w:t xml:space="preserve"> contributed to the observed patterns, namely the most severe fighting during the civil war in 1992, the food crisis in 1995, and a severe drought in 2000 and 2001 </w:t>
      </w:r>
      <w:r w:rsidR="00E12159">
        <w:rPr>
          <w:bCs/>
        </w:rPr>
        <w:fldChar w:fldCharType="begin"/>
      </w:r>
      <w:r>
        <w:rPr>
          <w:bCs/>
        </w:rPr>
        <w:instrText xml:space="preserve"> </w:instrText>
      </w:r>
      <w:r w:rsidR="009F7A22">
        <w:rPr>
          <w:bCs/>
        </w:rPr>
        <w:instrText>ADDIN</w:instrText>
      </w:r>
      <w:r>
        <w:rPr>
          <w:bCs/>
        </w:rPr>
        <w:instrText xml:space="preserve"> EN.CITE &lt;EndNote&gt;&lt;Cite&gt;&lt;Author&gt;Clifford&lt;/Author&gt;&lt;Year&gt;2009&lt;/Year&gt;&lt;RecNum&gt;32&lt;/RecNum&gt;&lt;DisplayText&gt;(Clifford, 2009)&lt;/DisplayText&gt;&lt;record&gt;&lt;rec-number&gt;32&lt;/rec-number&gt;&lt;foreign-keys&gt;&lt;key app="EN" db-id="wes5dreptvrsr2eeartvxexxftt2tastxrfs"&gt;32&lt;/key&gt;&lt;/foreign-keys&gt;&lt;ref-type name="Thesis"&gt;32&lt;/ref-type&gt;&lt;contributors&gt;&lt;authors&gt;&lt;author&gt;David Michael Clifford&lt;/author&gt;&lt;/authors&gt;&lt;/contributors&gt;&lt;titles&gt;&lt;title&gt;Marriage and fertility change in post-Soviet Tajikistan&lt;/title&gt;&lt;secondary-title&gt;School of Social Sciences&lt;/secondary-title&gt;&lt;/titles&gt;&lt;pages&gt;160&lt;/pages&gt;&lt;volume&gt;Doctoral Thesis&lt;/volume&gt;&lt;dates&gt;&lt;year&gt;2009&lt;/year&gt;&lt;/dates&gt;&lt;publisher&gt;University of Southhampton&lt;/publisher&gt;&lt;urls&gt;&lt;/urls&gt;&lt;/record&gt;&lt;/Cite&gt;&lt;/EndNote&gt;</w:instrText>
      </w:r>
      <w:r w:rsidR="00E12159">
        <w:rPr>
          <w:bCs/>
        </w:rPr>
        <w:fldChar w:fldCharType="separate"/>
      </w:r>
      <w:r>
        <w:rPr>
          <w:bCs/>
          <w:noProof/>
        </w:rPr>
        <w:t>(</w:t>
      </w:r>
      <w:hyperlink w:anchor="_ENREF_11" w:tooltip="Clifford, 2009 #32" w:history="1">
        <w:r w:rsidR="006A1532">
          <w:rPr>
            <w:bCs/>
            <w:noProof/>
          </w:rPr>
          <w:t>Clifford, 2009</w:t>
        </w:r>
      </w:hyperlink>
      <w:r>
        <w:rPr>
          <w:bCs/>
          <w:noProof/>
        </w:rPr>
        <w:t>)</w:t>
      </w:r>
      <w:r w:rsidR="00E12159">
        <w:rPr>
          <w:bCs/>
        </w:rPr>
        <w:fldChar w:fldCharType="end"/>
      </w:r>
      <w:r>
        <w:rPr>
          <w:bCs/>
        </w:rPr>
        <w:t xml:space="preserve">. Nevertheless, total fertility rates are expected to be above the replacement rate of 2.1 beyond 2050 </w:t>
      </w:r>
      <w:r w:rsidR="00E12159">
        <w:rPr>
          <w:bCs/>
        </w:rPr>
        <w:fldChar w:fldCharType="begin"/>
      </w:r>
      <w:r w:rsidR="006805E8">
        <w:rPr>
          <w:bCs/>
        </w:rPr>
        <w:instrText xml:space="preserve"> </w:instrText>
      </w:r>
      <w:r w:rsidR="009F7A22">
        <w:rPr>
          <w:bCs/>
        </w:rPr>
        <w:instrText>ADDIN</w:instrText>
      </w:r>
      <w:r w:rsidR="006805E8">
        <w:rPr>
          <w:bCs/>
        </w:rPr>
        <w:instrText xml:space="preserve"> EN.CITE &lt;EndNote&gt;&lt;Cite&gt;&lt;Author&gt;United Nations&lt;/Author&gt;&lt;Year&gt;2011&lt;/Year&gt;&lt;RecNum&gt;20&lt;/RecNum&gt;&lt;DisplayText&gt;(United Nations, 2011b)&lt;/DisplayText&gt;&lt;record&gt;&lt;rec-number&gt;20&lt;/rec-number&gt;&lt;foreign-keys&gt;&lt;key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00E12159">
        <w:rPr>
          <w:bCs/>
        </w:rPr>
        <w:fldChar w:fldCharType="separate"/>
      </w:r>
      <w:r w:rsidR="006805E8">
        <w:rPr>
          <w:bCs/>
          <w:noProof/>
        </w:rPr>
        <w:t>(</w:t>
      </w:r>
      <w:hyperlink w:anchor="_ENREF_65" w:tooltip="United Nations, 2011 #20" w:history="1">
        <w:r w:rsidR="006A1532">
          <w:rPr>
            <w:bCs/>
            <w:noProof/>
          </w:rPr>
          <w:t>United Nations, 2011b</w:t>
        </w:r>
      </w:hyperlink>
      <w:r w:rsidR="006805E8">
        <w:rPr>
          <w:bCs/>
          <w:noProof/>
        </w:rPr>
        <w:t>)</w:t>
      </w:r>
      <w:r w:rsidR="00E12159">
        <w:rPr>
          <w:bCs/>
        </w:rPr>
        <w:fldChar w:fldCharType="end"/>
      </w:r>
      <w:r>
        <w:rPr>
          <w:bCs/>
        </w:rPr>
        <w:t xml:space="preserve">, and in combination with </w:t>
      </w:r>
      <w:r w:rsidR="003F3D80">
        <w:rPr>
          <w:bCs/>
        </w:rPr>
        <w:t>assum</w:t>
      </w:r>
      <w:r w:rsidR="00D96F84">
        <w:rPr>
          <w:bCs/>
        </w:rPr>
        <w:t>e</w:t>
      </w:r>
      <w:r w:rsidR="003F3D80">
        <w:rPr>
          <w:bCs/>
        </w:rPr>
        <w:t>d</w:t>
      </w:r>
      <w:r>
        <w:rPr>
          <w:bCs/>
        </w:rPr>
        <w:t xml:space="preserve"> net migration and increased life expectancy, this </w:t>
      </w:r>
      <w:r w:rsidRPr="005310B9">
        <w:rPr>
          <w:bCs/>
        </w:rPr>
        <w:t xml:space="preserve">results in the population figures shown above (see </w:t>
      </w:r>
      <w:r w:rsidR="00E12159" w:rsidRPr="005310B9">
        <w:rPr>
          <w:bCs/>
        </w:rPr>
        <w:fldChar w:fldCharType="begin"/>
      </w:r>
      <w:r w:rsidRPr="005310B9">
        <w:rPr>
          <w:bCs/>
        </w:rPr>
        <w:instrText xml:space="preserve"> </w:instrText>
      </w:r>
      <w:r w:rsidR="009F7A22">
        <w:rPr>
          <w:bCs/>
        </w:rPr>
        <w:instrText>REF</w:instrText>
      </w:r>
      <w:r w:rsidRPr="005310B9">
        <w:rPr>
          <w:bCs/>
        </w:rPr>
        <w:instrText xml:space="preserve"> _Ref219191789 \h </w:instrText>
      </w:r>
      <w:r w:rsidR="00E12159" w:rsidRPr="005310B9">
        <w:rPr>
          <w:bCs/>
        </w:rPr>
      </w:r>
      <w:r w:rsidR="00E12159" w:rsidRPr="005310B9">
        <w:rPr>
          <w:bCs/>
        </w:rPr>
        <w:fldChar w:fldCharType="separate"/>
      </w:r>
      <w:r w:rsidR="00183FFF" w:rsidRPr="0014182C">
        <w:rPr>
          <w:b/>
          <w:noProof/>
          <w:sz w:val="22"/>
          <w:szCs w:val="22"/>
          <w:lang w:val="de-DE" w:eastAsia="de-DE"/>
        </w:rPr>
        <w:t xml:space="preserve">Figure </w:t>
      </w:r>
      <w:r w:rsidR="00183FFF">
        <w:rPr>
          <w:b/>
          <w:noProof/>
          <w:sz w:val="22"/>
          <w:szCs w:val="22"/>
          <w:lang w:val="de-DE" w:eastAsia="de-DE"/>
        </w:rPr>
        <w:t>10</w:t>
      </w:r>
      <w:r w:rsidR="00E12159" w:rsidRPr="005310B9">
        <w:rPr>
          <w:bCs/>
        </w:rPr>
        <w:fldChar w:fldCharType="end"/>
      </w:r>
      <w:r w:rsidRPr="005310B9">
        <w:rPr>
          <w:bCs/>
        </w:rPr>
        <w:t>).</w:t>
      </w:r>
    </w:p>
    <w:p w14:paraId="70CF8FB9" w14:textId="77777777" w:rsidR="00B34B38" w:rsidRPr="00B34B38" w:rsidRDefault="00B34B38" w:rsidP="008F5C92">
      <w:pPr>
        <w:spacing w:after="60"/>
        <w:jc w:val="center"/>
        <w:rPr>
          <w:b/>
          <w:sz w:val="22"/>
          <w:szCs w:val="22"/>
        </w:rPr>
      </w:pPr>
      <w:bookmarkStart w:id="48" w:name="_Ref226964445"/>
      <w:bookmarkStart w:id="49" w:name="_Toc219987862"/>
      <w:bookmarkStart w:id="50" w:name="_Toc232694751"/>
      <w:proofErr w:type="gramStart"/>
      <w:r w:rsidRPr="00B34B38">
        <w:rPr>
          <w:b/>
          <w:sz w:val="22"/>
          <w:szCs w:val="22"/>
        </w:rPr>
        <w:t xml:space="preserve">Figure </w:t>
      </w:r>
      <w:r w:rsidR="00E12159" w:rsidRPr="00B34B38">
        <w:rPr>
          <w:b/>
          <w:sz w:val="22"/>
          <w:szCs w:val="22"/>
        </w:rPr>
        <w:fldChar w:fldCharType="begin"/>
      </w:r>
      <w:r w:rsidRPr="00B34B38">
        <w:rPr>
          <w:b/>
          <w:sz w:val="22"/>
          <w:szCs w:val="22"/>
        </w:rPr>
        <w:instrText xml:space="preserve"> </w:instrText>
      </w:r>
      <w:r w:rsidR="009F7A22">
        <w:rPr>
          <w:b/>
          <w:sz w:val="22"/>
          <w:szCs w:val="22"/>
        </w:rPr>
        <w:instrText>SEQ</w:instrText>
      </w:r>
      <w:r w:rsidRPr="00B34B38">
        <w:rPr>
          <w:b/>
          <w:sz w:val="22"/>
          <w:szCs w:val="22"/>
        </w:rPr>
        <w:instrText xml:space="preserve"> Figure \* ARABIC </w:instrText>
      </w:r>
      <w:r w:rsidR="00E12159" w:rsidRPr="00B34B38">
        <w:rPr>
          <w:b/>
          <w:sz w:val="22"/>
          <w:szCs w:val="22"/>
        </w:rPr>
        <w:fldChar w:fldCharType="separate"/>
      </w:r>
      <w:r w:rsidR="00183FFF">
        <w:rPr>
          <w:b/>
          <w:noProof/>
          <w:sz w:val="22"/>
          <w:szCs w:val="22"/>
        </w:rPr>
        <w:t>13</w:t>
      </w:r>
      <w:r w:rsidR="00E12159" w:rsidRPr="00B34B38">
        <w:rPr>
          <w:b/>
          <w:sz w:val="22"/>
          <w:szCs w:val="22"/>
        </w:rPr>
        <w:fldChar w:fldCharType="end"/>
      </w:r>
      <w:bookmarkEnd w:id="48"/>
      <w:r w:rsidRPr="00B34B38">
        <w:rPr>
          <w:b/>
          <w:sz w:val="22"/>
          <w:szCs w:val="22"/>
        </w:rPr>
        <w:t>.</w:t>
      </w:r>
      <w:proofErr w:type="gramEnd"/>
      <w:r w:rsidRPr="00B34B38">
        <w:rPr>
          <w:b/>
          <w:sz w:val="22"/>
          <w:szCs w:val="22"/>
        </w:rPr>
        <w:t xml:space="preserve"> Total fertility rates (births per women) in Tajikistan</w:t>
      </w:r>
      <w:bookmarkEnd w:id="49"/>
      <w:bookmarkEnd w:id="50"/>
    </w:p>
    <w:p w14:paraId="65C9A045" w14:textId="77777777" w:rsidR="00B34B38" w:rsidRPr="00081D55" w:rsidRDefault="00B34B38" w:rsidP="008F5C92">
      <w:pPr>
        <w:jc w:val="both"/>
        <w:rPr>
          <w:sz w:val="22"/>
          <w:szCs w:val="22"/>
        </w:rPr>
      </w:pPr>
      <w:r>
        <w:rPr>
          <w:noProof/>
        </w:rPr>
        <w:drawing>
          <wp:inline distT="0" distB="0" distL="0" distR="0" wp14:anchorId="3B8A1E01" wp14:editId="6CE9A9F9">
            <wp:extent cx="5486400" cy="1714424"/>
            <wp:effectExtent l="0" t="0" r="19050" b="19685"/>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081D55">
        <w:rPr>
          <w:i/>
          <w:sz w:val="22"/>
          <w:szCs w:val="22"/>
        </w:rPr>
        <w:t>Notes:</w:t>
      </w:r>
      <w:r w:rsidRPr="00081D55">
        <w:rPr>
          <w:sz w:val="22"/>
          <w:szCs w:val="22"/>
        </w:rPr>
        <w:t xml:space="preserve"> Total fertility rate represents the number of children that would be born to a woman if she were to live to the end of her childbearing years and bear children in accordance with current age-specific fertility rates.</w:t>
      </w:r>
    </w:p>
    <w:p w14:paraId="03165ED9" w14:textId="77777777" w:rsidR="00B34B38" w:rsidRPr="00081D55" w:rsidRDefault="00B34B38" w:rsidP="008F5C92">
      <w:pPr>
        <w:jc w:val="both"/>
        <w:rPr>
          <w:sz w:val="22"/>
          <w:szCs w:val="22"/>
        </w:rPr>
      </w:pPr>
      <w:r w:rsidRPr="00081D55">
        <w:rPr>
          <w:i/>
          <w:sz w:val="22"/>
          <w:szCs w:val="22"/>
        </w:rPr>
        <w:t>Source:</w:t>
      </w:r>
      <w:r w:rsidRPr="00081D55">
        <w:rPr>
          <w:sz w:val="22"/>
          <w:szCs w:val="22"/>
        </w:rPr>
        <w:t xml:space="preserve"> World Development Indicators Database, World Bank, Washington DC, </w:t>
      </w:r>
      <w:hyperlink r:id="rId39" w:history="1">
        <w:r w:rsidRPr="00081D55">
          <w:rPr>
            <w:sz w:val="22"/>
            <w:szCs w:val="22"/>
          </w:rPr>
          <w:t>http://data.worldbank.org/data-catalog/world-development-indicators</w:t>
        </w:r>
      </w:hyperlink>
      <w:r w:rsidRPr="00081D55">
        <w:rPr>
          <w:sz w:val="22"/>
          <w:szCs w:val="22"/>
        </w:rPr>
        <w:t>.</w:t>
      </w:r>
    </w:p>
    <w:p w14:paraId="0C414DE7" w14:textId="77777777" w:rsidR="00B34B38" w:rsidRDefault="00B34B38" w:rsidP="008F5C92"/>
    <w:p w14:paraId="40564AB2" w14:textId="2F537BE6" w:rsidR="00B34B38" w:rsidRDefault="003F3D80" w:rsidP="00FC4B48">
      <w:pPr>
        <w:pStyle w:val="MainParawithChapter"/>
        <w:ind w:left="0" w:firstLine="0"/>
        <w:jc w:val="both"/>
        <w:outlineLvl w:val="9"/>
      </w:pPr>
      <w:r>
        <w:rPr>
          <w:b/>
        </w:rPr>
        <w:t>Considering</w:t>
      </w:r>
      <w:r w:rsidR="002F6CCA">
        <w:rPr>
          <w:b/>
        </w:rPr>
        <w:t xml:space="preserve"> </w:t>
      </w:r>
      <w:r w:rsidR="00B34B38" w:rsidRPr="00B34B38">
        <w:rPr>
          <w:b/>
        </w:rPr>
        <w:t xml:space="preserve">factors that are commonly used to explain fertility rates, Tajikistan has low abortion </w:t>
      </w:r>
      <w:r w:rsidR="00B34B38" w:rsidRPr="00B34B38">
        <w:rPr>
          <w:b/>
          <w:bCs/>
        </w:rPr>
        <w:t>rates</w:t>
      </w:r>
      <w:r w:rsidR="00B34B38" w:rsidRPr="00B34B38">
        <w:rPr>
          <w:b/>
        </w:rPr>
        <w:t xml:space="preserve">, and women get married at young ages. </w:t>
      </w:r>
      <w:r w:rsidR="00B34B38" w:rsidRPr="00B34B38">
        <w:t xml:space="preserve">The </w:t>
      </w:r>
      <w:r w:rsidR="00B34B38" w:rsidRPr="00B34B38">
        <w:lastRenderedPageBreak/>
        <w:t>number of legally induced abortions was 7.7 per 100 live births in 2000, and furthe</w:t>
      </w:r>
      <w:r>
        <w:t xml:space="preserve">r decreased to 4.7 in 2010 </w:t>
      </w:r>
      <w:r w:rsidR="00E12159">
        <w:fldChar w:fldCharType="begin"/>
      </w:r>
      <w:r w:rsidR="006E42EC">
        <w:instrText xml:space="preserve"> </w:instrText>
      </w:r>
      <w:r w:rsidR="009F7A22">
        <w:instrText>ADDIN</w:instrText>
      </w:r>
      <w:r w:rsidR="006E42EC">
        <w:instrText xml:space="preserve"> EN.CITE &lt;EndNote&gt;&lt;Cite&gt;&lt;Author&gt;UNICEF&lt;/Author&gt;&lt;Year&gt;2012&lt;/Year&gt;&lt;RecNum&gt;34&lt;/RecNum&gt;&lt;DisplayText&gt;(UNICEF, 2012a)&lt;/DisplayText&gt;&lt;record&gt;&lt;rec-number&gt;34&lt;/rec-number&gt;&lt;foreign-keys&gt;&lt;key app="EN" db-id="wes5dreptvrsr2eeartvxexxftt2tastxrfs"&gt;34&lt;/key&gt;&lt;/foreign-keys&gt;&lt;ref-type name="Book"&gt;6&lt;/ref-type&gt;&lt;contributors&gt;&lt;authors&gt;&lt;author&gt;UNICEF&lt;/author&gt;&lt;/authors&gt;&lt;/contributors&gt;&lt;titles&gt;&lt;title&gt;TransMonEE database&lt;/title&gt;&lt;/titles&gt;&lt;dates&gt;&lt;year&gt;2012&lt;/year&gt;&lt;/dates&gt;&lt;publisher&gt;United Nations Children&amp;apos;s Fund&lt;/publisher&gt;&lt;urls&gt;&lt;/urls&gt;&lt;/record&gt;&lt;/Cite&gt;&lt;/EndNote&gt;</w:instrText>
      </w:r>
      <w:r w:rsidR="00E12159">
        <w:fldChar w:fldCharType="separate"/>
      </w:r>
      <w:r w:rsidR="006E42EC">
        <w:rPr>
          <w:noProof/>
        </w:rPr>
        <w:t>(</w:t>
      </w:r>
      <w:hyperlink w:anchor="_ENREF_61" w:tooltip="UNICEF, 2012 #34" w:history="1">
        <w:r w:rsidR="006A1532">
          <w:rPr>
            <w:noProof/>
          </w:rPr>
          <w:t>UNICEF, 2012a</w:t>
        </w:r>
      </w:hyperlink>
      <w:r w:rsidR="006E42EC">
        <w:rPr>
          <w:noProof/>
        </w:rPr>
        <w:t>)</w:t>
      </w:r>
      <w:r w:rsidR="00E12159">
        <w:fldChar w:fldCharType="end"/>
      </w:r>
      <w:r>
        <w:t>. These rates are comparable to</w:t>
      </w:r>
      <w:r w:rsidR="00B34B38" w:rsidRPr="00B34B38">
        <w:t xml:space="preserve"> OECD countries. In general, decreasing abortion rates in the ECA region have been attributed to the use of modern methods of contraception. In Tajikistan, based on the 2007 Tajikistan Living Standard</w:t>
      </w:r>
      <w:r w:rsidR="00093E7C">
        <w:t>s</w:t>
      </w:r>
      <w:r w:rsidR="00B34B38" w:rsidRPr="00B34B38">
        <w:t xml:space="preserve"> Survey</w:t>
      </w:r>
      <w:r>
        <w:t xml:space="preserve"> (TLSS)</w:t>
      </w:r>
      <w:r w:rsidR="00B34B38" w:rsidRPr="00B34B38">
        <w:t>, it is estimated that approxi</w:t>
      </w:r>
      <w:r>
        <w:t xml:space="preserve">mately two fifths of women </w:t>
      </w:r>
      <w:r w:rsidR="00B34B38" w:rsidRPr="00B34B38">
        <w:t xml:space="preserve">between </w:t>
      </w:r>
      <w:r>
        <w:t xml:space="preserve">the ages of </w:t>
      </w:r>
      <w:r w:rsidR="00B34B38" w:rsidRPr="00B34B38">
        <w:t xml:space="preserve">15 and 49 use some method of contraception </w:t>
      </w:r>
      <w:r w:rsidR="00E12159" w:rsidRPr="00B34B38">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rsidRPr="00B34B38">
        <w:fldChar w:fldCharType="separate"/>
      </w:r>
      <w:r w:rsidR="00AD2051">
        <w:rPr>
          <w:noProof/>
        </w:rPr>
        <w:t>(</w:t>
      </w:r>
      <w:hyperlink w:anchor="_ENREF_77" w:tooltip="World Bank, 2009 #35" w:history="1">
        <w:r w:rsidR="006A1532">
          <w:rPr>
            <w:noProof/>
          </w:rPr>
          <w:t>World Bank, 2009c</w:t>
        </w:r>
      </w:hyperlink>
      <w:r w:rsidR="00AD2051">
        <w:rPr>
          <w:noProof/>
        </w:rPr>
        <w:t>)</w:t>
      </w:r>
      <w:r w:rsidR="00E12159" w:rsidRPr="00B34B38">
        <w:fldChar w:fldCharType="end"/>
      </w:r>
      <w:r w:rsidR="00B34B38" w:rsidRPr="00B34B38">
        <w:t>. Furthermore, women in Tajikistan tend to marry a</w:t>
      </w:r>
      <w:r w:rsidR="00093E7C">
        <w:t>t a considerably lower age (23</w:t>
      </w:r>
      <w:r w:rsidR="00B34B38" w:rsidRPr="00B34B38">
        <w:t xml:space="preserve"> years in 2010) than the average women in the region or OECD countries (approximately 28 years), possibly reflecting the previously mentioned traditio</w:t>
      </w:r>
      <w:r>
        <w:t>n of early marriage</w:t>
      </w:r>
      <w:r w:rsidR="00A70753">
        <w:t xml:space="preserve"> </w:t>
      </w:r>
      <w:r w:rsidR="00E12159">
        <w:fldChar w:fldCharType="begin"/>
      </w:r>
      <w:r w:rsidR="006E42EC">
        <w:instrText xml:space="preserve"> </w:instrText>
      </w:r>
      <w:r w:rsidR="009F7A22">
        <w:instrText>ADDIN</w:instrText>
      </w:r>
      <w:r w:rsidR="006E42EC">
        <w:instrText xml:space="preserve"> EN.CITE &lt;EndNote&gt;&lt;Cite&gt;&lt;Author&gt;UNICEF&lt;/Author&gt;&lt;Year&gt;2012&lt;/Year&gt;&lt;RecNum&gt;34&lt;/RecNum&gt;&lt;DisplayText&gt;(UNICEF, 2012a)&lt;/DisplayText&gt;&lt;record&gt;&lt;rec-number&gt;34&lt;/rec-number&gt;&lt;foreign-keys&gt;&lt;key app="EN" db-id="wes5dreptvrsr2eeartvxexxftt2tastxrfs"&gt;34&lt;/key&gt;&lt;/foreign-keys&gt;&lt;ref-type name="Book"&gt;6&lt;/ref-type&gt;&lt;contributors&gt;&lt;authors&gt;&lt;author&gt;UNICEF&lt;/author&gt;&lt;/authors&gt;&lt;/contributors&gt;&lt;titles&gt;&lt;title&gt;TransMonEE database&lt;/title&gt;&lt;/titles&gt;&lt;dates&gt;&lt;year&gt;2012&lt;/year&gt;&lt;/dates&gt;&lt;publisher&gt;United Nations Children&amp;apos;s Fund&lt;/publisher&gt;&lt;urls&gt;&lt;/urls&gt;&lt;/record&gt;&lt;/Cite&gt;&lt;/EndNote&gt;</w:instrText>
      </w:r>
      <w:r w:rsidR="00E12159">
        <w:fldChar w:fldCharType="separate"/>
      </w:r>
      <w:r w:rsidR="006E42EC">
        <w:rPr>
          <w:noProof/>
        </w:rPr>
        <w:t>(</w:t>
      </w:r>
      <w:hyperlink w:anchor="_ENREF_61" w:tooltip="UNICEF, 2012 #34" w:history="1">
        <w:r w:rsidR="006A1532">
          <w:rPr>
            <w:noProof/>
          </w:rPr>
          <w:t>UNICEF, 2012a</w:t>
        </w:r>
      </w:hyperlink>
      <w:r w:rsidR="006E42EC">
        <w:rPr>
          <w:noProof/>
        </w:rPr>
        <w:t>)</w:t>
      </w:r>
      <w:r w:rsidR="00E12159">
        <w:fldChar w:fldCharType="end"/>
      </w:r>
      <w:r w:rsidR="00B34B38" w:rsidRPr="00B34B38">
        <w:t xml:space="preserve">. Nevertheless, </w:t>
      </w:r>
      <w:r w:rsidR="00ED3E49">
        <w:t xml:space="preserve">the </w:t>
      </w:r>
      <w:r w:rsidR="00B34B38" w:rsidRPr="00B34B38">
        <w:t>ad</w:t>
      </w:r>
      <w:r w:rsidR="00ED3E49">
        <w:t>olescent fertility rate</w:t>
      </w:r>
      <w:r w:rsidR="00B34B38" w:rsidRPr="00B34B38">
        <w:t>, i.e. the number of births per 1,000 women between</w:t>
      </w:r>
      <w:r w:rsidR="00093E7C">
        <w:t xml:space="preserve"> the ages of 15 and </w:t>
      </w:r>
      <w:r w:rsidR="00B34B38" w:rsidRPr="00B34B38">
        <w:t>19</w:t>
      </w:r>
      <w:r w:rsidR="00A70753">
        <w:t>, amount</w:t>
      </w:r>
      <w:r w:rsidR="00093E7C">
        <w:t>ed to 26 in 2012 and therefore wa</w:t>
      </w:r>
      <w:r w:rsidR="00ED3E49">
        <w:t>s</w:t>
      </w:r>
      <w:r w:rsidR="00A70753">
        <w:t xml:space="preserve"> below the regional average (approximately 28 in the same year</w:t>
      </w:r>
      <w:r w:rsidR="00B34B38" w:rsidRPr="00B34B38">
        <w:t xml:space="preserve">), and </w:t>
      </w:r>
      <w:r w:rsidR="00A70753">
        <w:t>much lower than in countries at a similar level of economic development (92 in 2011)</w:t>
      </w:r>
      <w:r w:rsidR="00B34B38" w:rsidRPr="00B34B38">
        <w:t>. Consequently, adolescent fertility rates do not seem to drive high total fertility rates.</w:t>
      </w:r>
    </w:p>
    <w:p w14:paraId="497C6CD7" w14:textId="7A4AEAC1" w:rsidR="00814549" w:rsidRPr="00B34B38" w:rsidRDefault="00814549" w:rsidP="00FC4B48">
      <w:pPr>
        <w:pStyle w:val="MainParawithChapter"/>
        <w:ind w:left="0" w:firstLine="0"/>
        <w:jc w:val="both"/>
        <w:outlineLvl w:val="9"/>
      </w:pPr>
      <w:r>
        <w:rPr>
          <w:b/>
        </w:rPr>
        <w:t>Contra</w:t>
      </w:r>
      <w:r w:rsidR="001447D7">
        <w:rPr>
          <w:b/>
        </w:rPr>
        <w:t xml:space="preserve">ceptive prevalence </w:t>
      </w:r>
      <w:r w:rsidR="00300757">
        <w:rPr>
          <w:b/>
        </w:rPr>
        <w:t xml:space="preserve">remains low in Tajikistan. </w:t>
      </w:r>
      <w:r w:rsidR="00300757">
        <w:t xml:space="preserve">The most recent data on contraceptive prevalence stem from the MICS in 2000 and 2005 </w:t>
      </w:r>
      <w:r w:rsidR="00E12159">
        <w:fldChar w:fldCharType="begin"/>
      </w:r>
      <w:r w:rsidR="00300757">
        <w:instrText xml:space="preserve"> ADDIN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fldChar w:fldCharType="separate"/>
      </w:r>
      <w:r w:rsidR="00300757">
        <w:rPr>
          <w:noProof/>
        </w:rPr>
        <w:t>(</w:t>
      </w:r>
      <w:hyperlink w:anchor="_ENREF_50" w:tooltip="State Committee on Statistics of the Republic of Tajikistan, 2007 #10" w:history="1">
        <w:r w:rsidR="006A1532">
          <w:rPr>
            <w:noProof/>
          </w:rPr>
          <w:t>State Committee on Statistics of the Republic of Tajikistan, 2007</w:t>
        </w:r>
      </w:hyperlink>
      <w:r w:rsidR="00300757">
        <w:rPr>
          <w:noProof/>
        </w:rPr>
        <w:t>)</w:t>
      </w:r>
      <w:r w:rsidR="00E12159">
        <w:fldChar w:fldCharType="end"/>
      </w:r>
      <w:r w:rsidR="005E3C62">
        <w:t xml:space="preserve"> and the 2007 TLSS</w:t>
      </w:r>
      <w:r w:rsidR="003038B8">
        <w:t xml:space="preserve"> </w:t>
      </w:r>
      <w:r w:rsidR="00E12159">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fldChar w:fldCharType="separate"/>
      </w:r>
      <w:r w:rsidR="003038B8">
        <w:rPr>
          <w:noProof/>
        </w:rPr>
        <w:t>(</w:t>
      </w:r>
      <w:hyperlink w:anchor="_ENREF_77" w:tooltip="World Bank, 2009 #35" w:history="1">
        <w:r w:rsidR="006A1532">
          <w:rPr>
            <w:noProof/>
          </w:rPr>
          <w:t>World Bank, 2009c</w:t>
        </w:r>
      </w:hyperlink>
      <w:r w:rsidR="003038B8">
        <w:rPr>
          <w:noProof/>
        </w:rPr>
        <w:t>)</w:t>
      </w:r>
      <w:r w:rsidR="00E12159">
        <w:fldChar w:fldCharType="end"/>
      </w:r>
      <w:r w:rsidR="003038B8">
        <w:t>. According to the MICS</w:t>
      </w:r>
      <w:r w:rsidR="00586BA0">
        <w:t>, 38 percent of married women or women living in union reported the use of contraceptive methods</w:t>
      </w:r>
      <w:r w:rsidR="003038B8">
        <w:t xml:space="preserve"> in 2005 (and this share is approximately equal in the 2007 TLSS)</w:t>
      </w:r>
      <w:r w:rsidR="00586BA0">
        <w:t>, increasing from 3</w:t>
      </w:r>
      <w:r w:rsidR="004E55BC">
        <w:t>4 percent in 2000.</w:t>
      </w:r>
      <w:r w:rsidR="00586BA0">
        <w:t xml:space="preserve"> </w:t>
      </w:r>
      <w:r w:rsidR="004E55BC">
        <w:t xml:space="preserve">Variations in terms of contraceptive prevalence occur across different regions (ranging from 35 percent in </w:t>
      </w:r>
      <w:proofErr w:type="spellStart"/>
      <w:r w:rsidR="004E55BC">
        <w:t>Khatlon</w:t>
      </w:r>
      <w:proofErr w:type="spellEnd"/>
      <w:r w:rsidR="004E55BC">
        <w:t xml:space="preserve"> t</w:t>
      </w:r>
      <w:r w:rsidR="00E425CD">
        <w:t xml:space="preserve">o 46 percent in </w:t>
      </w:r>
      <w:proofErr w:type="spellStart"/>
      <w:r w:rsidR="00E425CD">
        <w:t>Sogd</w:t>
      </w:r>
      <w:proofErr w:type="spellEnd"/>
      <w:r w:rsidR="00E425CD">
        <w:t>) and</w:t>
      </w:r>
      <w:r w:rsidR="004E55BC">
        <w:t xml:space="preserve"> a</w:t>
      </w:r>
      <w:r w:rsidR="00E425CD">
        <w:t>n</w:t>
      </w:r>
      <w:r w:rsidR="004E55BC">
        <w:t xml:space="preserve"> urban/rural divide (42 and 36 percent respectively), level of education, and the age of women (less than ten percent of adolescents aged 15 to 19, to half of the women aged between 35 and 49). </w:t>
      </w:r>
      <w:r w:rsidR="003038B8">
        <w:t>At the same time, however, t</w:t>
      </w:r>
      <w:r w:rsidR="00E425CD">
        <w:t xml:space="preserve">he needs of every fourth women that would like to postpone or stop childbearing are not met, particularly among women living in poor households </w:t>
      </w:r>
      <w:r w:rsidR="00E12159">
        <w:fldChar w:fldCharType="begin"/>
      </w:r>
      <w:r w:rsidR="00E425CD">
        <w:instrText xml:space="preserve"> ADDIN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fldChar w:fldCharType="separate"/>
      </w:r>
      <w:r w:rsidR="00E425CD">
        <w:rPr>
          <w:noProof/>
        </w:rPr>
        <w:t>(</w:t>
      </w:r>
      <w:hyperlink w:anchor="_ENREF_50" w:tooltip="State Committee on Statistics of the Republic of Tajikistan, 2007 #10" w:history="1">
        <w:r w:rsidR="006A1532">
          <w:rPr>
            <w:noProof/>
          </w:rPr>
          <w:t>State Committee on Statistics of the Republic of Tajikistan, 2007</w:t>
        </w:r>
      </w:hyperlink>
      <w:r w:rsidR="00E425CD">
        <w:rPr>
          <w:noProof/>
        </w:rPr>
        <w:t>)</w:t>
      </w:r>
      <w:r w:rsidR="00E12159">
        <w:fldChar w:fldCharType="end"/>
      </w:r>
      <w:r w:rsidR="00E425CD">
        <w:t>.</w:t>
      </w:r>
    </w:p>
    <w:p w14:paraId="45684B06" w14:textId="0CE1E2BA" w:rsidR="00113271" w:rsidRDefault="005402BB" w:rsidP="00450916">
      <w:pPr>
        <w:pStyle w:val="MainParawithChapter"/>
        <w:ind w:left="0" w:firstLine="0"/>
        <w:jc w:val="both"/>
        <w:outlineLvl w:val="9"/>
      </w:pPr>
      <w:r>
        <w:rPr>
          <w:b/>
        </w:rPr>
        <w:t>In contrast to s</w:t>
      </w:r>
      <w:r w:rsidR="00B34B38" w:rsidRPr="00B34B38">
        <w:rPr>
          <w:b/>
        </w:rPr>
        <w:t xml:space="preserve">everal ECA countries </w:t>
      </w:r>
      <w:r>
        <w:rPr>
          <w:b/>
        </w:rPr>
        <w:t xml:space="preserve">that </w:t>
      </w:r>
      <w:r w:rsidR="00B34B38" w:rsidRPr="00B34B38">
        <w:rPr>
          <w:b/>
        </w:rPr>
        <w:t>suffer from serious sex imbalances</w:t>
      </w:r>
      <w:r>
        <w:rPr>
          <w:b/>
        </w:rPr>
        <w:t xml:space="preserve"> at birth in </w:t>
      </w:r>
      <w:r w:rsidRPr="00450916">
        <w:rPr>
          <w:b/>
          <w:bCs/>
          <w:color w:val="000000" w:themeColor="text1"/>
        </w:rPr>
        <w:t>favor</w:t>
      </w:r>
      <w:r>
        <w:rPr>
          <w:b/>
        </w:rPr>
        <w:t xml:space="preserve"> of males,</w:t>
      </w:r>
      <w:r w:rsidR="00B34B38" w:rsidRPr="00B34B38">
        <w:rPr>
          <w:b/>
        </w:rPr>
        <w:t xml:space="preserve"> </w:t>
      </w:r>
      <w:r w:rsidR="00A20B37">
        <w:rPr>
          <w:b/>
        </w:rPr>
        <w:t xml:space="preserve">the sex ratio at birth </w:t>
      </w:r>
      <w:r w:rsidR="00B34B38" w:rsidRPr="00B34B38">
        <w:rPr>
          <w:b/>
        </w:rPr>
        <w:t>in Tajikistan</w:t>
      </w:r>
      <w:r w:rsidR="00A20B37">
        <w:rPr>
          <w:b/>
        </w:rPr>
        <w:t xml:space="preserve"> mirrors the global average</w:t>
      </w:r>
      <w:r w:rsidR="00B34B38" w:rsidRPr="00B34B38">
        <w:t xml:space="preserve">. </w:t>
      </w:r>
      <w:r w:rsidR="00B34B38" w:rsidRPr="00603D3F">
        <w:t>For each</w:t>
      </w:r>
      <w:r w:rsidR="00B34B38" w:rsidRPr="00B34B38">
        <w:t xml:space="preserve"> 100 female children who are born in Armenia, Azerbaijan, and Georgia, th</w:t>
      </w:r>
      <w:r w:rsidR="00671CA7">
        <w:t>ere are</w:t>
      </w:r>
      <w:r w:rsidR="00B34B38" w:rsidRPr="00B34B38">
        <w:t xml:space="preserve"> 114, 115, and 111 boys respectively </w:t>
      </w:r>
      <w:r w:rsidR="00E12159" w:rsidRPr="00B34B38">
        <w:fldChar w:fldCharType="begin"/>
      </w:r>
      <w:r w:rsidR="006805E8">
        <w:instrText xml:space="preserve"> </w:instrText>
      </w:r>
      <w:r w:rsidR="009F7A22">
        <w:instrText>ADDIN</w:instrText>
      </w:r>
      <w:r w:rsidR="006805E8">
        <w:instrText xml:space="preserve"> EN.CITE &lt;EndNote&gt;&lt;Cite&gt;&lt;Author&gt;United Nations&lt;/Author&gt;&lt;Year&gt;2011&lt;/Year&gt;&lt;RecNum&gt;20&lt;/RecNum&gt;&lt;DisplayText&gt;(United Nations, 2011b)&lt;/DisplayText&gt;&lt;record&gt;&lt;rec-number&gt;20&lt;/rec-number&gt;&lt;foreign-keys&gt;&lt;key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00E12159" w:rsidRPr="00B34B38">
        <w:fldChar w:fldCharType="separate"/>
      </w:r>
      <w:r w:rsidR="006805E8">
        <w:rPr>
          <w:noProof/>
        </w:rPr>
        <w:t>(</w:t>
      </w:r>
      <w:hyperlink w:anchor="_ENREF_65" w:tooltip="United Nations, 2011 #20" w:history="1">
        <w:r w:rsidR="006A1532">
          <w:rPr>
            <w:noProof/>
          </w:rPr>
          <w:t>United Nations, 2011b</w:t>
        </w:r>
      </w:hyperlink>
      <w:r w:rsidR="006805E8">
        <w:rPr>
          <w:noProof/>
        </w:rPr>
        <w:t>)</w:t>
      </w:r>
      <w:r w:rsidR="00E12159" w:rsidRPr="00B34B38">
        <w:fldChar w:fldCharType="end"/>
      </w:r>
      <w:r w:rsidR="00ED3E49">
        <w:t>. A</w:t>
      </w:r>
      <w:r w:rsidR="00B34B38" w:rsidRPr="00B34B38">
        <w:t xml:space="preserve">mong other factors, this has been driven by a strong preference for sons in combination with the wide availability of ultrasound technology that allows prenatal sex determination </w:t>
      </w:r>
      <w:r w:rsidR="00E12159" w:rsidRPr="00B34B38">
        <w:fldChar w:fldCharType="begin"/>
      </w:r>
      <w:r w:rsidR="005538C3">
        <w:instrText xml:space="preserve"> ADDIN EN.CITE &lt;EndNote&gt;&lt;Cite&gt;&lt;Author&gt;World Bank&lt;/Author&gt;&lt;Year&gt;2011&lt;/Year&gt;&lt;RecNum&gt;7&lt;/RecNum&gt;&lt;DisplayText&gt;(World Bank, 2011d)&lt;/DisplayText&gt;&lt;record&gt;&lt;rec-number&gt;7&lt;/rec-number&gt;&lt;foreign-keys&gt;&lt;key app="EN" db-id="wes5dreptvrsr2eeartvxexxftt2tastxrfs"&gt;7&lt;/key&gt;&lt;/foreign-keys&gt;&lt;ref-type name="Book"&gt;6&lt;/ref-type&gt;&lt;contributors&gt;&lt;authors&gt;&lt;author&gt;World Bank&lt;/author&gt;&lt;/authors&gt;&lt;/contributors&gt;&lt;titles&gt;&lt;title&gt;World Development Report 2012. Gender Equality and Development&lt;/title&gt;&lt;/titles&gt;&lt;dates&gt;&lt;year&gt;2011&lt;/year&gt;&lt;/dates&gt;&lt;pub-location&gt;Washington, DC&lt;/pub-location&gt;&lt;publisher&gt;World Bank&lt;/publisher&gt;&lt;urls&gt;&lt;/urls&gt;&lt;/record&gt;&lt;/Cite&gt;&lt;/EndNote&gt;</w:instrText>
      </w:r>
      <w:r w:rsidR="00E12159" w:rsidRPr="00B34B38">
        <w:fldChar w:fldCharType="separate"/>
      </w:r>
      <w:r w:rsidR="005538C3">
        <w:rPr>
          <w:noProof/>
        </w:rPr>
        <w:t>(</w:t>
      </w:r>
      <w:hyperlink w:anchor="_ENREF_81" w:tooltip="World Bank, 2011 #7" w:history="1">
        <w:r w:rsidR="006A1532">
          <w:rPr>
            <w:noProof/>
          </w:rPr>
          <w:t>World Bank, 2011d</w:t>
        </w:r>
      </w:hyperlink>
      <w:r w:rsidR="005538C3">
        <w:rPr>
          <w:noProof/>
        </w:rPr>
        <w:t>)</w:t>
      </w:r>
      <w:r w:rsidR="00E12159" w:rsidRPr="00B34B38">
        <w:fldChar w:fldCharType="end"/>
      </w:r>
      <w:r w:rsidR="00B34B38" w:rsidRPr="00B34B38">
        <w:t>. By contrast, the sex ratio at birth in Tajikistan is 105 and exactly reflects the global average. This finding</w:t>
      </w:r>
      <w:r w:rsidR="000C73A6">
        <w:t>, in combination with overall</w:t>
      </w:r>
      <w:r w:rsidR="00ED3E49">
        <w:t xml:space="preserve"> low abortion rates, is</w:t>
      </w:r>
      <w:r w:rsidR="00B34B38" w:rsidRPr="00B34B38">
        <w:t xml:space="preserve"> an indication that sex-selective abortions are the exception rather than the rule.</w:t>
      </w:r>
    </w:p>
    <w:p w14:paraId="4D12F3A1" w14:textId="309F6230" w:rsidR="00CA7D6A" w:rsidRPr="00CA7D6A" w:rsidRDefault="00143946" w:rsidP="00450916">
      <w:pPr>
        <w:pStyle w:val="MainParawithChapter"/>
        <w:ind w:left="0" w:firstLine="0"/>
        <w:jc w:val="both"/>
        <w:outlineLvl w:val="9"/>
      </w:pPr>
      <w:r>
        <w:rPr>
          <w:b/>
        </w:rPr>
        <w:t xml:space="preserve">The prevalence of </w:t>
      </w:r>
      <w:r w:rsidR="00463A06">
        <w:rPr>
          <w:b/>
        </w:rPr>
        <w:t xml:space="preserve">physiological </w:t>
      </w:r>
      <w:r>
        <w:rPr>
          <w:b/>
        </w:rPr>
        <w:t>risk factors for non-com</w:t>
      </w:r>
      <w:r w:rsidR="00EA0722">
        <w:rPr>
          <w:b/>
        </w:rPr>
        <w:t xml:space="preserve">municable diseases </w:t>
      </w:r>
      <w:r>
        <w:rPr>
          <w:b/>
        </w:rPr>
        <w:t>reflects gender-</w:t>
      </w:r>
      <w:r w:rsidRPr="00450916">
        <w:rPr>
          <w:b/>
          <w:bCs/>
          <w:color w:val="000000" w:themeColor="text1"/>
        </w:rPr>
        <w:t>related</w:t>
      </w:r>
      <w:r>
        <w:rPr>
          <w:b/>
        </w:rPr>
        <w:t xml:space="preserve"> pattern</w:t>
      </w:r>
      <w:r w:rsidR="00ED3E49">
        <w:rPr>
          <w:b/>
        </w:rPr>
        <w:t>s across Europe and Central Asia</w:t>
      </w:r>
      <w:r w:rsidR="00EA0722">
        <w:rPr>
          <w:b/>
        </w:rPr>
        <w:t xml:space="preserve">. </w:t>
      </w:r>
      <w:r w:rsidR="00EA0722">
        <w:t>The four main types of non-communicable diseases</w:t>
      </w:r>
      <w:r w:rsidR="003212A0">
        <w:t xml:space="preserve"> (NDCs)</w:t>
      </w:r>
      <w:r w:rsidR="00EA0722">
        <w:t>, i.e. chronic diseases that are not passed from person to person, are cardiovascular diseases, cancers, chronic respiratory diseases and diabetes. Several physiologic</w:t>
      </w:r>
      <w:r w:rsidR="003212A0">
        <w:t>al factors increase the risk of NDCs, including raised blo</w:t>
      </w:r>
      <w:r w:rsidR="0067585E">
        <w:t>od pressure, increased fasting</w:t>
      </w:r>
      <w:r w:rsidR="003212A0">
        <w:t xml:space="preserve"> blood glucose, and obesity. </w:t>
      </w:r>
      <w:r w:rsidR="008B42AD">
        <w:t>Age-standardized e</w:t>
      </w:r>
      <w:r w:rsidR="0067585E">
        <w:t>stimates for 2008 suggest that o</w:t>
      </w:r>
      <w:r w:rsidR="003212A0">
        <w:t xml:space="preserve">besity, defined as a body mass index that exceeds </w:t>
      </w:r>
      <w:r w:rsidR="002F6CCA">
        <w:t xml:space="preserve">the value </w:t>
      </w:r>
      <w:r w:rsidR="003212A0">
        <w:t>30, is more prevalent among women (12 percent) than men (9 percent)</w:t>
      </w:r>
      <w:r w:rsidR="0067585E">
        <w:t xml:space="preserve">. The same pattern is </w:t>
      </w:r>
      <w:r w:rsidR="0067585E">
        <w:lastRenderedPageBreak/>
        <w:t>found across the</w:t>
      </w:r>
      <w:r w:rsidR="003212A0">
        <w:t xml:space="preserve"> ECA region</w:t>
      </w:r>
      <w:r w:rsidR="0067585E">
        <w:t>, but at remarkably higher levels</w:t>
      </w:r>
      <w:r w:rsidR="003212A0">
        <w:t xml:space="preserve"> (24 percent and 18 percent respectively).</w:t>
      </w:r>
      <w:r w:rsidR="0067585E">
        <w:t xml:space="preserve"> Raised fasting blood glucose is only slightly more frequent among men (11 percent) than among women (10 percent), </w:t>
      </w:r>
      <w:r w:rsidR="00CC5970">
        <w:t>exactly in line with the ECA average. Finally, raised blood pressure usually affects more men than women (40 percent and 33 percent respectively in the ECA region), but this gap is smaller in Tajikistan (37 percent and 34 percent res</w:t>
      </w:r>
      <w:r w:rsidR="00463A06">
        <w:t xml:space="preserve">pectively) </w:t>
      </w:r>
      <w:r w:rsidR="00E12159">
        <w:fldChar w:fldCharType="begin"/>
      </w:r>
      <w:r w:rsidR="00C039E9">
        <w:instrText xml:space="preserve"> </w:instrText>
      </w:r>
      <w:r w:rsidR="009F7A22">
        <w:instrText>ADDIN</w:instrText>
      </w:r>
      <w:r w:rsidR="00C039E9">
        <w:instrText xml:space="preserve"> EN.CITE &lt;EndNote&gt;&lt;Cite&gt;&lt;Author&gt;WHO&lt;/Author&gt;&lt;Year&gt;2012&lt;/Year&gt;&lt;RecNum&gt;54&lt;/RecNum&gt;&lt;DisplayText&gt;(WHO, 2012b)&lt;/DisplayText&gt;&lt;record&gt;&lt;rec-number&gt;54&lt;/rec-number&gt;&lt;foreign-keys&gt;&lt;key app="EN" db-id="wes5dreptvrsr2eeartvxexxftt2tastxrfs"&gt;54&lt;/key&gt;&lt;/foreign-keys&gt;&lt;ref-type name="Book"&gt;6&lt;/ref-type&gt;&lt;contributors&gt;&lt;authors&gt;&lt;author&gt;WHO&lt;/author&gt;&lt;/authors&gt;&lt;/contributors&gt;&lt;titles&gt;&lt;title&gt;Global Health Observatory Data Repository&lt;/title&gt;&lt;/titles&gt;&lt;dates&gt;&lt;year&gt;2012&lt;/year&gt;&lt;/dates&gt;&lt;pub-location&gt;Geneva&lt;/pub-location&gt;&lt;publisher&gt;World Health Organization&lt;/publisher&gt;&lt;urls&gt;&lt;/urls&gt;&lt;/record&gt;&lt;/Cite&gt;&lt;/EndNote&gt;</w:instrText>
      </w:r>
      <w:r w:rsidR="00E12159">
        <w:fldChar w:fldCharType="separate"/>
      </w:r>
      <w:r w:rsidR="00C039E9">
        <w:rPr>
          <w:noProof/>
        </w:rPr>
        <w:t>(</w:t>
      </w:r>
      <w:hyperlink w:anchor="_ENREF_69" w:tooltip="WHO, 2012 #54" w:history="1">
        <w:r w:rsidR="006A1532">
          <w:rPr>
            <w:noProof/>
          </w:rPr>
          <w:t>WHO, 2012b</w:t>
        </w:r>
      </w:hyperlink>
      <w:r w:rsidR="00C039E9">
        <w:rPr>
          <w:noProof/>
        </w:rPr>
        <w:t>)</w:t>
      </w:r>
      <w:r w:rsidR="00E12159">
        <w:fldChar w:fldCharType="end"/>
      </w:r>
      <w:r w:rsidR="008B42AD">
        <w:t>.</w:t>
      </w:r>
    </w:p>
    <w:p w14:paraId="6B194825" w14:textId="4DFE81E2" w:rsidR="0031316C" w:rsidRDefault="00D169BB" w:rsidP="00450916">
      <w:pPr>
        <w:pStyle w:val="MainParawithChapter"/>
        <w:ind w:left="0" w:firstLine="0"/>
        <w:jc w:val="both"/>
        <w:outlineLvl w:val="9"/>
      </w:pPr>
      <w:r w:rsidRPr="00D95D9C">
        <w:rPr>
          <w:b/>
        </w:rPr>
        <w:t>With regard to communicable diseases, tuberculosis</w:t>
      </w:r>
      <w:r w:rsidR="00D95D9C" w:rsidRPr="00D95D9C">
        <w:rPr>
          <w:b/>
        </w:rPr>
        <w:t xml:space="preserve"> remain</w:t>
      </w:r>
      <w:r w:rsidR="00AF646C">
        <w:rPr>
          <w:b/>
        </w:rPr>
        <w:t>s a source</w:t>
      </w:r>
      <w:r w:rsidR="00D95D9C" w:rsidRPr="00D95D9C">
        <w:rPr>
          <w:b/>
        </w:rPr>
        <w:t xml:space="preserve"> of serious concern</w:t>
      </w:r>
      <w:r w:rsidR="0058716D">
        <w:rPr>
          <w:b/>
        </w:rPr>
        <w:t xml:space="preserve">, </w:t>
      </w:r>
      <w:r w:rsidR="00AF646C">
        <w:rPr>
          <w:b/>
        </w:rPr>
        <w:t>particular</w:t>
      </w:r>
      <w:r w:rsidR="0058716D">
        <w:rPr>
          <w:b/>
        </w:rPr>
        <w:t>ly</w:t>
      </w:r>
      <w:r w:rsidR="00AF646C">
        <w:rPr>
          <w:b/>
        </w:rPr>
        <w:t xml:space="preserve"> for men</w:t>
      </w:r>
      <w:r w:rsidR="00D95D9C" w:rsidRPr="00D95D9C">
        <w:rPr>
          <w:b/>
        </w:rPr>
        <w:t>, but progress has been made with respect to malaria prevention.</w:t>
      </w:r>
      <w:r w:rsidR="00D95D9C">
        <w:t xml:space="preserve"> </w:t>
      </w:r>
      <w:r w:rsidR="0052650C">
        <w:t>Both m</w:t>
      </w:r>
      <w:r w:rsidR="0031316C">
        <w:t>alaria and tuberculosis reemerged during the years of civil w</w:t>
      </w:r>
      <w:r w:rsidR="000976E2">
        <w:t>ar</w:t>
      </w:r>
      <w:r w:rsidR="0052650C">
        <w:t xml:space="preserve">. Population movements – </w:t>
      </w:r>
      <w:r w:rsidR="009F5914">
        <w:t xml:space="preserve">at </w:t>
      </w:r>
      <w:r w:rsidR="0052650C">
        <w:t xml:space="preserve">first induced by the civil war, nowadays regularly related to large-scale labor migration – and </w:t>
      </w:r>
      <w:r w:rsidR="00DA3AE1">
        <w:t xml:space="preserve">an increased number of </w:t>
      </w:r>
      <w:r w:rsidR="0058716D">
        <w:t xml:space="preserve">mosquito </w:t>
      </w:r>
      <w:r w:rsidR="00DA3AE1">
        <w:t xml:space="preserve">breeding grounds close to settlements linked to </w:t>
      </w:r>
      <w:r w:rsidR="000976E2">
        <w:t xml:space="preserve">intensified </w:t>
      </w:r>
      <w:r w:rsidR="00DA3AE1">
        <w:t xml:space="preserve">rice cultivation have contributed to the spread of malaria. Recent years, however, have seen advances in malaria prevention and </w:t>
      </w:r>
      <w:r w:rsidR="00934709">
        <w:t>a large decline in</w:t>
      </w:r>
      <w:r w:rsidR="00DA3AE1">
        <w:t xml:space="preserve"> morbidity rates (from 512 per 100,000 in 1997 to 10 per 100,000 in 2007)</w:t>
      </w:r>
      <w:r w:rsidR="007B526C">
        <w:t xml:space="preserve"> </w:t>
      </w:r>
      <w:r w:rsidR="00E12159">
        <w:fldChar w:fldCharType="begin">
          <w:fldData xml:space="preserve">PEVuZE5vdGU+PENpdGU+PEF1dGhvcj5LaG9kamFtdXJvZG92PC9BdXRob3I+PFllYXI+MjAxMDwv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</w:fldData>
        </w:fldChar>
      </w:r>
      <w:r w:rsidR="007B526C">
        <w:instrText xml:space="preserve"> </w:instrText>
      </w:r>
      <w:r w:rsidR="009F7A22">
        <w:instrText>ADDIN</w:instrText>
      </w:r>
      <w:r w:rsidR="007B526C">
        <w:instrText xml:space="preserve"> EN.CITE </w:instrText>
      </w:r>
      <w:r w:rsidR="00E12159">
        <w:fldChar w:fldCharType="begin">
          <w:fldData xml:space="preserve">PEVuZE5vdGU+PENpdGU+PEF1dGhvcj5LaG9kamFtdXJvZG92PC9BdXRob3I+PFllYXI+MjAxMDwv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</w:fldData>
        </w:fldChar>
      </w:r>
      <w:r w:rsidR="007B526C">
        <w:instrText xml:space="preserve"> </w:instrText>
      </w:r>
      <w:r w:rsidR="009F7A22">
        <w:instrText>ADDIN</w:instrText>
      </w:r>
      <w:r w:rsidR="007B526C">
        <w:instrText xml:space="preserve"> EN.CITE.DATA </w:instrText>
      </w:r>
      <w:r w:rsidR="00E12159">
        <w:fldChar w:fldCharType="end"/>
      </w:r>
      <w:r w:rsidR="00E12159">
        <w:fldChar w:fldCharType="separate"/>
      </w:r>
      <w:r w:rsidR="007B526C">
        <w:rPr>
          <w:noProof/>
        </w:rPr>
        <w:t>(</w:t>
      </w:r>
      <w:hyperlink w:anchor="_ENREF_31" w:tooltip="Khodjamurodov, 2010 #24" w:history="1">
        <w:r w:rsidR="006A1532">
          <w:rPr>
            <w:noProof/>
          </w:rPr>
          <w:t>Khodjamurodov &amp; Rechel, 2010</w:t>
        </w:r>
      </w:hyperlink>
      <w:r w:rsidR="007B526C">
        <w:rPr>
          <w:noProof/>
        </w:rPr>
        <w:t xml:space="preserve">; </w:t>
      </w:r>
      <w:hyperlink w:anchor="_ENREF_44" w:tooltip="Republic of Tajikistan/United Nations, 2010 #18" w:history="1">
        <w:r w:rsidR="006A1532">
          <w:rPr>
            <w:noProof/>
          </w:rPr>
          <w:t>Republic of Tajikistan/United Nations, 2010</w:t>
        </w:r>
      </w:hyperlink>
      <w:r w:rsidR="007B526C">
        <w:rPr>
          <w:noProof/>
        </w:rPr>
        <w:t>)</w:t>
      </w:r>
      <w:r w:rsidR="00E12159">
        <w:fldChar w:fldCharType="end"/>
      </w:r>
      <w:r w:rsidR="007B526C">
        <w:t>. The estimated tuberculosis incidence rate was 231 per 100,000 in 2007, which would be by far the largest in the WHO European Region. Notably, among the newly registered tuberculosis</w:t>
      </w:r>
      <w:r w:rsidR="00A42174">
        <w:t xml:space="preserve"> cases in 2007, a majority of patients were male (60 percent) and </w:t>
      </w:r>
      <w:r w:rsidR="000976E2">
        <w:t>between the ages of 20 and 54 (</w:t>
      </w:r>
      <w:r w:rsidR="00A42174">
        <w:t xml:space="preserve">70 percent). This </w:t>
      </w:r>
      <w:r w:rsidR="009F5914">
        <w:t>is possibly</w:t>
      </w:r>
      <w:r w:rsidR="001F5D6E">
        <w:t xml:space="preserve"> </w:t>
      </w:r>
      <w:r w:rsidR="009F5914">
        <w:t>related</w:t>
      </w:r>
      <w:r w:rsidR="00A42174">
        <w:t xml:space="preserve"> to the fact that the</w:t>
      </w:r>
      <w:r w:rsidR="001F5D6E">
        <w:t xml:space="preserve"> tuberculosis incidence rate </w:t>
      </w:r>
      <w:r w:rsidR="001F5D6E" w:rsidRPr="006F522D">
        <w:t xml:space="preserve">in prisons is many times higher </w:t>
      </w:r>
      <w:r w:rsidR="00E12159" w:rsidRPr="006F522D">
        <w:fldChar w:fldCharType="begin"/>
      </w:r>
      <w:r w:rsidR="001F5D6E" w:rsidRPr="006F522D">
        <w:instrText xml:space="preserve"> </w:instrText>
      </w:r>
      <w:r w:rsidR="009F7A22">
        <w:instrText>ADDIN</w:instrText>
      </w:r>
      <w:r w:rsidR="001F5D6E" w:rsidRPr="006F522D">
        <w:instrText xml:space="preserve"> EN.CITE &lt;EndNote&gt;&lt;Cite&gt;&lt;Author&gt;Khodjamurodov&lt;/Author&gt;&lt;Year&gt;2010&lt;/Year&gt;&lt;RecNum&gt;24&lt;/RecNum&gt;&lt;DisplayText&gt;(Khodjamurodov &amp;amp; Rechel, 2010; WHO/UNDP, 2009)&lt;/DisplayText&gt;&lt;record&gt;&lt;rec-number&gt;24&lt;/rec-number&gt;&lt;foreign-keys&gt;&lt;key app="EN" db-id="wes5dreptvrsr2eeartvxexxftt2tastxrfs"&gt;24&lt;/key&gt;&lt;/foreign-keys&gt;&lt;ref-type name="Journal Article"&gt;17&lt;/ref-type&gt;&lt;contributors&gt;&lt;authors&gt;&lt;author&gt;Ghafur Khodjamurodov&lt;/author&gt;&lt;author&gt;Bernd Rechel&lt;/author&gt;&lt;/authors&gt;&lt;/contributors&gt;&lt;titles&gt;&lt;title&gt;Tajikistan Health system review&lt;/title&gt;&lt;secondary-title&gt;Health Systems in Transition&lt;/secondary-title&gt;&lt;/titles&gt;&lt;periodical&gt;&lt;full-title&gt;Health Systems in Transition&lt;/full-title&gt;&lt;/periodical&gt;&lt;pages&gt;1-154&lt;/pages&gt;&lt;volume&gt;12&lt;/volume&gt;&lt;number&gt;2&lt;/number&gt;&lt;dates&gt;&lt;year&gt;2010&lt;/year&gt;&lt;/dates&gt;&lt;urls&gt;&lt;/urls&gt;&lt;/record&gt;&lt;/Cite&gt;&lt;Cite&gt;&lt;Author&gt;WHO/UNDP&lt;/Author&gt;&lt;Year&gt;2009&lt;/Year&gt;&lt;RecNum&gt;55&lt;/RecNum&gt;&lt;record&gt;&lt;rec-number&gt;55&lt;/rec-number&gt;&lt;foreign-keys&gt;&lt;key app="EN" db-id="wes5dreptvrsr2eeartvxexxftt2tastxrfs"&gt;55&lt;/key&gt;&lt;/foreign-keys&gt;&lt;ref-type name="Book"&gt;6&lt;/ref-type&gt;&lt;contributors&gt;&lt;authors&gt;&lt;author&gt;WHO/UNDP&lt;/author&gt;&lt;/authors&gt;&lt;/contributors&gt;&lt;titles&gt;&lt;title&gt;Review of Tuberculosis Control in the Republic of Tajikistan&lt;/title&gt;&lt;/titles&gt;&lt;dates&gt;&lt;year&gt;2009&lt;/year&gt;&lt;/dates&gt;&lt;pub-location&gt;Copenhagen&lt;/pub-location&gt;&lt;publisher&gt;World Health Organization Regional Office for Europe/United Nations Development Programme&lt;/publisher&gt;&lt;urls&gt;&lt;/urls&gt;&lt;/record&gt;&lt;/Cite&gt;&lt;/EndNote&gt;</w:instrText>
      </w:r>
      <w:r w:rsidR="00E12159" w:rsidRPr="006F522D">
        <w:fldChar w:fldCharType="separate"/>
      </w:r>
      <w:r w:rsidR="001F5D6E" w:rsidRPr="006F522D">
        <w:rPr>
          <w:noProof/>
        </w:rPr>
        <w:t>(</w:t>
      </w:r>
      <w:hyperlink w:anchor="_ENREF_31" w:tooltip="Khodjamurodov, 2010 #24" w:history="1">
        <w:r w:rsidR="006A1532" w:rsidRPr="006F522D">
          <w:rPr>
            <w:noProof/>
          </w:rPr>
          <w:t>Khodjamurodov &amp; Rechel, 2010</w:t>
        </w:r>
      </w:hyperlink>
      <w:r w:rsidR="001F5D6E" w:rsidRPr="006F522D">
        <w:rPr>
          <w:noProof/>
        </w:rPr>
        <w:t xml:space="preserve">; </w:t>
      </w:r>
      <w:hyperlink w:anchor="_ENREF_70" w:tooltip="WHO/UNDP, 2009 #55" w:history="1">
        <w:r w:rsidR="006A1532" w:rsidRPr="006F522D">
          <w:rPr>
            <w:noProof/>
          </w:rPr>
          <w:t>WHO/UNDP, 2009</w:t>
        </w:r>
      </w:hyperlink>
      <w:r w:rsidR="001F5D6E" w:rsidRPr="006F522D">
        <w:rPr>
          <w:noProof/>
        </w:rPr>
        <w:t>)</w:t>
      </w:r>
      <w:r w:rsidR="00E12159" w:rsidRPr="006F522D">
        <w:fldChar w:fldCharType="end"/>
      </w:r>
      <w:r w:rsidR="00AF646C" w:rsidRPr="006F522D">
        <w:t>.</w:t>
      </w:r>
    </w:p>
    <w:p w14:paraId="43F1996B" w14:textId="639D2A14" w:rsidR="00EC6983" w:rsidRPr="00387B4B" w:rsidRDefault="005959CE" w:rsidP="00814549">
      <w:pPr>
        <w:pStyle w:val="MainParawithChapter"/>
        <w:ind w:left="0" w:firstLine="0"/>
        <w:jc w:val="both"/>
        <w:outlineLvl w:val="9"/>
      </w:pPr>
      <w:r w:rsidRPr="00814549">
        <w:rPr>
          <w:b/>
        </w:rPr>
        <w:t xml:space="preserve">The rising share of women among the overall increasing number of new HIV infections </w:t>
      </w:r>
      <w:r w:rsidR="005007C8" w:rsidRPr="00814549">
        <w:rPr>
          <w:b/>
        </w:rPr>
        <w:t>points to</w:t>
      </w:r>
      <w:r w:rsidR="00363B6E" w:rsidRPr="00814549">
        <w:rPr>
          <w:b/>
        </w:rPr>
        <w:t xml:space="preserve"> the trend of HIV transmission from high-risk groups to women and their children.</w:t>
      </w:r>
      <w:r w:rsidR="00363B6E" w:rsidRPr="00387B4B">
        <w:t xml:space="preserve"> Af</w:t>
      </w:r>
      <w:r w:rsidR="00DD53B3">
        <w:t xml:space="preserve">ter the first HIV infection </w:t>
      </w:r>
      <w:r w:rsidR="00496592">
        <w:t>was</w:t>
      </w:r>
      <w:r w:rsidR="00DD53B3">
        <w:t xml:space="preserve"> </w:t>
      </w:r>
      <w:r w:rsidR="00363B6E" w:rsidRPr="00387B4B">
        <w:t xml:space="preserve">reported in Tajikistan in 1991, the </w:t>
      </w:r>
      <w:r w:rsidR="00496592">
        <w:t xml:space="preserve">recorded </w:t>
      </w:r>
      <w:r w:rsidR="00363B6E" w:rsidRPr="00387B4B">
        <w:t xml:space="preserve">number of </w:t>
      </w:r>
      <w:r w:rsidR="00DD53B3">
        <w:t>new infections has been</w:t>
      </w:r>
      <w:r w:rsidR="00363B6E" w:rsidRPr="00387B4B">
        <w:t xml:space="preserve"> increasing</w:t>
      </w:r>
      <w:r w:rsidR="00DD53B3">
        <w:t xml:space="preserve"> steadily</w:t>
      </w:r>
      <w:r w:rsidR="009A42E6" w:rsidRPr="00387B4B">
        <w:t xml:space="preserve">, </w:t>
      </w:r>
      <w:r w:rsidR="002F6CCA">
        <w:t>partly</w:t>
      </w:r>
      <w:r w:rsidR="00363B6E" w:rsidRPr="00387B4B">
        <w:t xml:space="preserve"> linked to the availability </w:t>
      </w:r>
      <w:r w:rsidR="009A42E6" w:rsidRPr="00387B4B">
        <w:t>of more powerful diagnostic tools. It more than doubled between 2009 and 2010 alone (418 and 1,004 respectively), so that the HI</w:t>
      </w:r>
      <w:r w:rsidR="00662ECD">
        <w:t>V incidence per 100,000 was 15</w:t>
      </w:r>
      <w:r w:rsidR="009A42E6" w:rsidRPr="00387B4B">
        <w:t xml:space="preserve"> in 2010</w:t>
      </w:r>
      <w:r w:rsidR="00C039E9" w:rsidRPr="00387B4B">
        <w:t xml:space="preserve"> </w:t>
      </w:r>
      <w:r w:rsidR="00E12159" w:rsidRPr="00387B4B">
        <w:fldChar w:fldCharType="begin"/>
      </w:r>
      <w:r w:rsidR="00C039E9" w:rsidRPr="00387B4B">
        <w:instrText xml:space="preserve"> </w:instrText>
      </w:r>
      <w:r w:rsidR="009F7A22">
        <w:instrText>ADDIN</w:instrText>
      </w:r>
      <w:r w:rsidR="00C039E9" w:rsidRPr="00387B4B">
        <w:instrText xml:space="preserve"> EN.CITE &lt;EndNote&gt;&lt;Cite&gt;&lt;Author&gt;WHO&lt;/Author&gt;&lt;Year&gt;2012&lt;/Year&gt;&lt;RecNum&gt;56&lt;/RecNum&gt;&lt;DisplayText&gt;(WHO, 2012a)&lt;/DisplayText&gt;&lt;record&gt;&lt;rec-number&gt;56&lt;/rec-number&gt;&lt;foreign-keys&gt;&lt;key app="EN" db-id="wes5dreptvrsr2eeartvxexxftt2tastxrfs"&gt;56&lt;/key&gt;&lt;/foreign-keys&gt;&lt;ref-type name="Book"&gt;6&lt;/ref-type&gt;&lt;contributors&gt;&lt;authors&gt;&lt;author&gt;WHO&lt;/author&gt;&lt;/authors&gt;&lt;/contributors&gt;&lt;titles&gt;&lt;title&gt;European health for all database (HFA-DB)&lt;/title&gt;&lt;/titles&gt;&lt;dates&gt;&lt;year&gt;2012&lt;/year&gt;&lt;/dates&gt;&lt;pub-location&gt;Geneva&lt;/pub-location&gt;&lt;publisher&gt;World Health Organization Regional Office for Europe&lt;/publisher&gt;&lt;urls&gt;&lt;/urls&gt;&lt;/record&gt;&lt;/Cite&gt;&lt;/EndNote&gt;</w:instrText>
      </w:r>
      <w:r w:rsidR="00E12159" w:rsidRPr="00387B4B">
        <w:fldChar w:fldCharType="separate"/>
      </w:r>
      <w:r w:rsidR="00C039E9" w:rsidRPr="00387B4B">
        <w:rPr>
          <w:noProof/>
        </w:rPr>
        <w:t>(</w:t>
      </w:r>
      <w:hyperlink w:anchor="_ENREF_68" w:tooltip="WHO, 2012 #56" w:history="1">
        <w:r w:rsidR="006A1532" w:rsidRPr="00387B4B">
          <w:rPr>
            <w:noProof/>
          </w:rPr>
          <w:t>WHO, 2012a</w:t>
        </w:r>
      </w:hyperlink>
      <w:r w:rsidR="00C039E9" w:rsidRPr="00387B4B">
        <w:rPr>
          <w:noProof/>
        </w:rPr>
        <w:t>)</w:t>
      </w:r>
      <w:r w:rsidR="00E12159" w:rsidRPr="00387B4B">
        <w:fldChar w:fldCharType="end"/>
      </w:r>
      <w:r w:rsidR="009A42E6" w:rsidRPr="00387B4B">
        <w:t xml:space="preserve">. </w:t>
      </w:r>
      <w:r w:rsidR="00AB205C" w:rsidRPr="00387B4B">
        <w:t>According to the 2009 Sentinel Surveillance Survey, the prevalence of HIV infections is highest</w:t>
      </w:r>
      <w:r w:rsidR="00893278" w:rsidRPr="00387B4B">
        <w:t xml:space="preserve"> among drug users (17 percent) </w:t>
      </w:r>
      <w:r w:rsidR="00AB205C" w:rsidRPr="00387B4B">
        <w:t xml:space="preserve">and amounts to 2 percent among sex workers and 0.1 percent among pregnant women. </w:t>
      </w:r>
      <w:r w:rsidR="00A44662">
        <w:t>While still a minority</w:t>
      </w:r>
      <w:r w:rsidR="00DD53B3">
        <w:t>, w</w:t>
      </w:r>
      <w:r w:rsidR="00900787" w:rsidRPr="00387B4B">
        <w:t xml:space="preserve">omen constitute an increasing share of registered HIV cases, from 15 percent in 2005 to 21 percent in 2009. </w:t>
      </w:r>
      <w:r w:rsidR="00DD53B3">
        <w:t xml:space="preserve">Although </w:t>
      </w:r>
      <w:r w:rsidR="00620790">
        <w:t>HIV appears to</w:t>
      </w:r>
      <w:r w:rsidR="00893278" w:rsidRPr="00387B4B">
        <w:t xml:space="preserve"> mainly</w:t>
      </w:r>
      <w:r w:rsidR="00620790">
        <w:t xml:space="preserve"> be</w:t>
      </w:r>
      <w:r w:rsidR="00893278" w:rsidRPr="00387B4B">
        <w:t xml:space="preserve"> transmitted t</w:t>
      </w:r>
      <w:r w:rsidR="00DD53B3">
        <w:t>hrough intravenous drug use,</w:t>
      </w:r>
      <w:r w:rsidR="00893278" w:rsidRPr="00387B4B">
        <w:t xml:space="preserve"> transmission through sexual intercourse has </w:t>
      </w:r>
      <w:r w:rsidR="00603272" w:rsidRPr="00387B4B">
        <w:t xml:space="preserve">become more common, especially </w:t>
      </w:r>
      <w:r w:rsidR="00177FDA">
        <w:t>for</w:t>
      </w:r>
      <w:r w:rsidR="00603272" w:rsidRPr="00387B4B">
        <w:t xml:space="preserve"> women. This </w:t>
      </w:r>
      <w:r w:rsidR="00C34952">
        <w:t xml:space="preserve">important </w:t>
      </w:r>
      <w:r w:rsidR="00603272" w:rsidRPr="00387B4B">
        <w:t>ob</w:t>
      </w:r>
      <w:r w:rsidR="00C34952">
        <w:t xml:space="preserve">servation </w:t>
      </w:r>
      <w:r w:rsidR="00603272" w:rsidRPr="00387B4B">
        <w:t>points</w:t>
      </w:r>
      <w:r w:rsidR="006F522D" w:rsidRPr="00387B4B">
        <w:t xml:space="preserve"> to the fact that the disease has been increasingly</w:t>
      </w:r>
      <w:r w:rsidR="00603272" w:rsidRPr="00387B4B">
        <w:t xml:space="preserve"> spread from high-risk groups, for instance intravenous drug users, men who have sex with men, </w:t>
      </w:r>
      <w:r w:rsidR="00AF3567">
        <w:t>and</w:t>
      </w:r>
      <w:r w:rsidR="00603272" w:rsidRPr="00387B4B">
        <w:t xml:space="preserve"> labor migrants, to women</w:t>
      </w:r>
      <w:r w:rsidR="006F522D" w:rsidRPr="00387B4B">
        <w:t xml:space="preserve"> and their children</w:t>
      </w:r>
      <w:r w:rsidR="00603272" w:rsidRPr="00387B4B">
        <w:t xml:space="preserve"> </w:t>
      </w:r>
      <w:r w:rsidR="00E12159" w:rsidRPr="00387B4B">
        <w:fldChar w:fldCharType="begin"/>
      </w:r>
      <w:r w:rsidR="006F522D" w:rsidRPr="00387B4B">
        <w:instrText xml:space="preserve"> </w:instrText>
      </w:r>
      <w:r w:rsidR="009F7A22">
        <w:instrText>ADDIN</w:instrText>
      </w:r>
      <w:r w:rsidR="006F522D" w:rsidRPr="00387B4B">
        <w:instrText xml:space="preserve"> EN.CITE &lt;EndNote&gt;&lt;Cite&gt;&lt;Author&gt;Republic of Tajikistan/United Nations&lt;/Author&gt;&lt;Year&gt;2010&lt;/Year&gt;&lt;RecNum&gt;18&lt;/RecNum&gt;&lt;DisplayText&gt;(Republic of Tajikistan/United Nations, 2010)&lt;/DisplayText&gt;&lt;record&gt;&lt;rec-number&gt;18&lt;/rec-number&gt;&lt;foreign-keys&gt;&lt;key app="EN" db-id="wes5dreptvrsr2eeartvxexxftt2tastxrfs"&gt;18&lt;/key&gt;&lt;/foreign-keys&gt;&lt;ref-type name="Book"&gt;6&lt;/ref-type&gt;&lt;contributors&gt;&lt;authors&gt;&lt;author&gt;Republic of Tajikistan/United Nations&lt;/author&gt;&lt;/authors&gt;&lt;/contributors&gt;&lt;titles&gt;&lt;title&gt;Millennium Development Goals Tajikistan Progress Report&lt;/title&gt;&lt;/titles&gt;&lt;dates&gt;&lt;year&gt;2010&lt;/year&gt;&lt;/dates&gt;&lt;pub-location&gt;Dushanbe&lt;/pub-location&gt;&lt;publisher&gt;Republic of Tajikistan/United Nations&lt;/publisher&gt;&lt;urls&gt;&lt;/urls&gt;&lt;/record&gt;&lt;/Cite&gt;&lt;/EndNote&gt;</w:instrText>
      </w:r>
      <w:r w:rsidR="00E12159" w:rsidRPr="00387B4B">
        <w:fldChar w:fldCharType="separate"/>
      </w:r>
      <w:r w:rsidR="006F522D" w:rsidRPr="00387B4B">
        <w:rPr>
          <w:noProof/>
        </w:rPr>
        <w:t>(</w:t>
      </w:r>
      <w:hyperlink w:anchor="_ENREF_44" w:tooltip="Republic of Tajikistan/United Nations, 2010 #18" w:history="1">
        <w:r w:rsidR="006A1532" w:rsidRPr="00387B4B">
          <w:rPr>
            <w:noProof/>
          </w:rPr>
          <w:t>Republic of Tajikistan/United Nations, 2010</w:t>
        </w:r>
      </w:hyperlink>
      <w:r w:rsidR="006F522D" w:rsidRPr="00387B4B">
        <w:rPr>
          <w:noProof/>
        </w:rPr>
        <w:t>)</w:t>
      </w:r>
      <w:r w:rsidR="00E12159" w:rsidRPr="00387B4B">
        <w:fldChar w:fldCharType="end"/>
      </w:r>
      <w:r w:rsidR="006F522D" w:rsidRPr="00387B4B">
        <w:t>.</w:t>
      </w:r>
    </w:p>
    <w:p w14:paraId="26977FF4" w14:textId="4F9517B1" w:rsidR="00387B4B" w:rsidRDefault="00815D7D" w:rsidP="00450916">
      <w:pPr>
        <w:pStyle w:val="MainParawithChapter"/>
        <w:ind w:left="0" w:firstLine="0"/>
        <w:jc w:val="both"/>
        <w:outlineLvl w:val="9"/>
      </w:pPr>
      <w:r w:rsidRPr="00387B4B">
        <w:rPr>
          <w:b/>
        </w:rPr>
        <w:t>A wide range of social, cultural and economic re</w:t>
      </w:r>
      <w:r w:rsidR="00910296">
        <w:rPr>
          <w:b/>
        </w:rPr>
        <w:t>alities in Tajikistan constrain</w:t>
      </w:r>
      <w:r w:rsidRPr="00387B4B">
        <w:rPr>
          <w:b/>
        </w:rPr>
        <w:t xml:space="preserve"> women and girls from protecting themselves </w:t>
      </w:r>
      <w:r w:rsidR="004745AC">
        <w:rPr>
          <w:b/>
        </w:rPr>
        <w:t xml:space="preserve">effectively </w:t>
      </w:r>
      <w:r w:rsidRPr="00387B4B">
        <w:rPr>
          <w:b/>
        </w:rPr>
        <w:t xml:space="preserve">from HIV infection. </w:t>
      </w:r>
      <w:r w:rsidRPr="00387B4B">
        <w:t>The reduction of gender inequalities and gender-based abuse and violence are</w:t>
      </w:r>
      <w:r w:rsidR="0084473E">
        <w:t xml:space="preserve"> </w:t>
      </w:r>
      <w:r w:rsidRPr="00387B4B">
        <w:t>key to empower</w:t>
      </w:r>
      <w:r w:rsidR="00910296">
        <w:t>ing</w:t>
      </w:r>
      <w:r w:rsidRPr="00387B4B">
        <w:t xml:space="preserve"> women and girls to protect themselves from HIV infection</w:t>
      </w:r>
      <w:r w:rsidR="00B63C9E" w:rsidRPr="00387B4B">
        <w:t xml:space="preserve"> </w:t>
      </w:r>
      <w:r w:rsidR="00E12159" w:rsidRPr="00387B4B">
        <w:fldChar w:fldCharType="begin"/>
      </w:r>
      <w:r w:rsidR="006805E8" w:rsidRPr="00387B4B">
        <w:instrText xml:space="preserve"> </w:instrText>
      </w:r>
      <w:r w:rsidR="009F7A22">
        <w:instrText>ADDIN</w:instrText>
      </w:r>
      <w:r w:rsidR="006805E8" w:rsidRPr="00387B4B">
        <w:instrText xml:space="preserve"> EN.CITE &lt;EndNote&gt;&lt;Cite&gt;&lt;Author&gt;United Nations&lt;/Author&gt;&lt;Year&gt;2011&lt;/Year&gt;&lt;RecNum&gt;58&lt;/RecNum&gt;&lt;DisplayText&gt;(United Nations, 2011a)&lt;/DisplayText&gt;&lt;record&gt;&lt;rec-number&gt;58&lt;/rec-number&gt;&lt;foreign-keys&gt;&lt;key app="EN" db-id="wes5dreptvrsr2eeartvxexxftt2tastxrfs"&gt;58&lt;/key&gt;&lt;/foreign-keys&gt;&lt;ref-type name="Journal Article"&gt;17&lt;/ref-type&gt;&lt;contributors&gt;&lt;authors&gt;&lt;author&gt;United Nations&lt;/author&gt;&lt;/authors&gt;&lt;/contributors&gt;&lt;titles&gt;&lt;title&gt;Resolution adopted by the General Assembly: Political Declaration on HIV and AIDS: Intensifying Our Efforts to Eliminate HIV and AIDS&lt;/title&gt;&lt;secondary-title&gt;A/RES/65/277, 95th plenary session, 10 June 2011&lt;/secondary-title&gt;&lt;/titles&gt;&lt;periodical&gt;&lt;full-title&gt;A/RES/65/277, 95th plenary session, 10 June 2011&lt;/full-title&gt;&lt;/periodical&gt;&lt;dates&gt;&lt;year&gt;2011&lt;/year&gt;&lt;/dates&gt;&lt;urls&gt;&lt;/urls&gt;&lt;/record&gt;&lt;/Cite&gt;&lt;/EndNote&gt;</w:instrText>
      </w:r>
      <w:r w:rsidR="00E12159" w:rsidRPr="00387B4B">
        <w:fldChar w:fldCharType="separate"/>
      </w:r>
      <w:r w:rsidR="006805E8" w:rsidRPr="00387B4B">
        <w:t>(</w:t>
      </w:r>
      <w:hyperlink w:anchor="_ENREF_64" w:tooltip="United Nations, 2011 #58" w:history="1">
        <w:r w:rsidR="006A1532" w:rsidRPr="00387B4B">
          <w:t>United Nations, 2011a</w:t>
        </w:r>
      </w:hyperlink>
      <w:r w:rsidR="006805E8" w:rsidRPr="00387B4B">
        <w:t>)</w:t>
      </w:r>
      <w:r w:rsidR="00E12159" w:rsidRPr="00387B4B">
        <w:fldChar w:fldCharType="end"/>
      </w:r>
      <w:r w:rsidR="00387B4B" w:rsidRPr="00387B4B">
        <w:t>. In Tajikistan, this</w:t>
      </w:r>
      <w:r w:rsidR="00D43C90" w:rsidRPr="00387B4B">
        <w:t xml:space="preserve"> would imply far-reaching changes with regard to social and cultural norms</w:t>
      </w:r>
      <w:r w:rsidR="003408CB">
        <w:t xml:space="preserve"> </w:t>
      </w:r>
      <w:r w:rsidR="00E12159">
        <w:fldChar w:fldCharType="begin"/>
      </w:r>
      <w:r w:rsidR="003408CB">
        <w:instrText xml:space="preserve"> </w:instrText>
      </w:r>
      <w:r w:rsidR="009F7A22">
        <w:instrText>ADDIN</w:instrText>
      </w:r>
      <w:r w:rsidR="003408CB">
        <w:instrText xml:space="preserve"> EN.CITE &lt;EndNote&gt;&lt;Cite&gt;&lt;Author&gt;Yuldasheva&lt;/Author&gt;&lt;Year&gt;2011&lt;/Year&gt;&lt;RecNum&gt;59&lt;/RecNum&gt;&lt;Prefix&gt;cf. &lt;/Prefix&gt;&lt;DisplayText&gt;(cf. Yuldasheva, 2011)&lt;/DisplayText&gt;&lt;record&gt;&lt;rec-number&gt;59&lt;/rec-number&gt;&lt;foreign-keys&gt;&lt;key app="EN" db-id="wes5dreptvrsr2eeartvxexxftt2tastxrfs"&gt;59&lt;/key&gt;&lt;/foreign-keys&gt;&lt;ref-type name="Book"&gt;6&lt;/ref-type&gt;&lt;contributors&gt;&lt;authors&gt;&lt;author&gt;Lola Yuldasheva&lt;/author&gt;&lt;/authors&gt;&lt;/contributors&gt;&lt;titles&gt;&lt;title&gt;Gender Assessment of HIV Programming in Tajikistan&lt;/title&gt;&lt;/titles&gt;&lt;dates&gt;&lt;year&gt;2011&lt;/year&gt;&lt;/dates&gt;&lt;pub-location&gt;Dushanbe&lt;/pub-location&gt;&lt;publisher&gt;UN Women&lt;/publisher&gt;&lt;urls&gt;&lt;/urls&gt;&lt;/record&gt;&lt;/Cite&gt;&lt;/EndNote&gt;</w:instrText>
      </w:r>
      <w:r w:rsidR="00E12159">
        <w:fldChar w:fldCharType="separate"/>
      </w:r>
      <w:r w:rsidR="003408CB">
        <w:rPr>
          <w:noProof/>
        </w:rPr>
        <w:t>(</w:t>
      </w:r>
      <w:hyperlink w:anchor="_ENREF_85" w:tooltip="Yuldasheva, 2011 #59" w:history="1">
        <w:r w:rsidR="006A1532">
          <w:rPr>
            <w:noProof/>
          </w:rPr>
          <w:t>cf. Yuldasheva, 2011</w:t>
        </w:r>
      </w:hyperlink>
      <w:r w:rsidR="003408CB">
        <w:rPr>
          <w:noProof/>
        </w:rPr>
        <w:t>)</w:t>
      </w:r>
      <w:r w:rsidR="00E12159">
        <w:fldChar w:fldCharType="end"/>
      </w:r>
      <w:r w:rsidR="00D43C90" w:rsidRPr="00387B4B">
        <w:t xml:space="preserve">. </w:t>
      </w:r>
      <w:r w:rsidR="00CA1672" w:rsidRPr="00387B4B">
        <w:t>Tajikistan’s society has been</w:t>
      </w:r>
      <w:r w:rsidR="003F05F3" w:rsidRPr="00387B4B">
        <w:t xml:space="preserve"> desc</w:t>
      </w:r>
      <w:r w:rsidR="00A25714" w:rsidRPr="00387B4B">
        <w:t xml:space="preserve">ribed as paternalistic and </w:t>
      </w:r>
      <w:r w:rsidR="00D43C90" w:rsidRPr="00387B4B">
        <w:t>emphasize</w:t>
      </w:r>
      <w:r w:rsidR="00A25714" w:rsidRPr="00387B4B">
        <w:t>s</w:t>
      </w:r>
      <w:r w:rsidR="00D43C90" w:rsidRPr="00387B4B">
        <w:t xml:space="preserve"> men’s dominance over women, so that men and women are </w:t>
      </w:r>
      <w:r w:rsidR="00D43C90" w:rsidRPr="00387B4B">
        <w:lastRenderedPageBreak/>
        <w:t>rarely on par in terms of</w:t>
      </w:r>
      <w:r w:rsidR="00CA1672" w:rsidRPr="00387B4B">
        <w:t xml:space="preserve"> resources,</w:t>
      </w:r>
      <w:r w:rsidR="00D43C90" w:rsidRPr="00387B4B">
        <w:t xml:space="preserve"> </w:t>
      </w:r>
      <w:r w:rsidR="00CA1672" w:rsidRPr="00387B4B">
        <w:t xml:space="preserve">bargaining </w:t>
      </w:r>
      <w:r w:rsidR="00D43C90" w:rsidRPr="00387B4B">
        <w:t xml:space="preserve">power and decision-making. </w:t>
      </w:r>
      <w:r w:rsidR="00A25714" w:rsidRPr="00387B4B">
        <w:t xml:space="preserve">This seriously hampers women’s capacity to determine </w:t>
      </w:r>
      <w:r w:rsidR="0053357F" w:rsidRPr="00387B4B">
        <w:t xml:space="preserve">when they want to have sex, and to decide how they can protect themselves from HIV. </w:t>
      </w:r>
      <w:r w:rsidR="00A97864" w:rsidRPr="00387B4B">
        <w:t xml:space="preserve">In addition, women might fear </w:t>
      </w:r>
      <w:r w:rsidR="00A97864">
        <w:t>physical violence</w:t>
      </w:r>
      <w:r w:rsidR="00FC1DD5">
        <w:t>, which further limits their control over these decisions</w:t>
      </w:r>
      <w:r w:rsidR="00A97864">
        <w:t xml:space="preserve">. </w:t>
      </w:r>
      <w:r w:rsidR="003408CB">
        <w:t xml:space="preserve">The problem is </w:t>
      </w:r>
      <w:r w:rsidR="0053357F" w:rsidRPr="00387B4B">
        <w:t>exacerb</w:t>
      </w:r>
      <w:r w:rsidR="008C36A3">
        <w:t>ated by the practice of polygamous</w:t>
      </w:r>
      <w:r w:rsidR="0053357F" w:rsidRPr="00387B4B">
        <w:t xml:space="preserve"> relationships and the tradition of early marriage, where women and girls often engage with older men who might already have been infected.</w:t>
      </w:r>
      <w:r w:rsidR="00A97864">
        <w:t xml:space="preserve"> Furthermore, lack of education</w:t>
      </w:r>
      <w:r w:rsidR="00387B4B">
        <w:t xml:space="preserve"> </w:t>
      </w:r>
      <w:r w:rsidR="0053357F" w:rsidRPr="00387B4B">
        <w:t>contributes t</w:t>
      </w:r>
      <w:r w:rsidR="00387B4B" w:rsidRPr="00387B4B">
        <w:t>o HIV vulnerability. Girls frequently</w:t>
      </w:r>
      <w:r w:rsidR="0053357F" w:rsidRPr="00387B4B">
        <w:t xml:space="preserve"> drop out from school during secondary education, and they ten</w:t>
      </w:r>
      <w:r w:rsidR="006D2DC0" w:rsidRPr="00387B4B">
        <w:t>d to</w:t>
      </w:r>
      <w:r w:rsidR="00F802AC">
        <w:t xml:space="preserve"> be less informed about HIV/AIDS</w:t>
      </w:r>
      <w:r w:rsidR="006D2DC0" w:rsidRPr="00387B4B">
        <w:t xml:space="preserve"> and </w:t>
      </w:r>
      <w:r w:rsidR="00F802AC">
        <w:t xml:space="preserve">effective </w:t>
      </w:r>
      <w:r w:rsidR="006D2DC0" w:rsidRPr="00387B4B">
        <w:t xml:space="preserve">means of protection. </w:t>
      </w:r>
      <w:r w:rsidR="00AB3756">
        <w:t>Levels of</w:t>
      </w:r>
      <w:r w:rsidR="003408CB">
        <w:t xml:space="preserve"> maternal education</w:t>
      </w:r>
      <w:r w:rsidR="00AB3756">
        <w:t xml:space="preserve"> also appear to matter</w:t>
      </w:r>
      <w:r w:rsidR="003408CB">
        <w:t xml:space="preserve">, as knowledge about HIV, transmission channels and protection significantly increases in line with higher educational attainment of the mother </w:t>
      </w:r>
      <w:r w:rsidR="00E12159">
        <w:fldChar w:fldCharType="begin"/>
      </w:r>
      <w:r w:rsidR="003408CB">
        <w:instrText xml:space="preserve"> </w:instrText>
      </w:r>
      <w:r w:rsidR="009F7A22">
        <w:instrText>ADDIN</w:instrText>
      </w:r>
      <w:r w:rsidR="003408CB">
        <w:instrText xml:space="preserve"> EN.CITE &lt;EndNote&gt;&lt;Cite&gt;&lt;Author&gt;State Committee on Statistics of the Republic of Tajikistan&lt;/Author&gt;&lt;Year&gt;2007&lt;/Year&gt;&lt;RecNum&gt;10&lt;/RecNum&gt;&lt;DisplayText&gt;(State Committee on Statistics of the Republic of Tajikistan, 2007)&lt;/DisplayText&gt;&lt;record&gt;&lt;rec-number&gt;10&lt;/rec-number&gt;&lt;foreign-keys&gt;&lt;key app="EN" db-id="wes5dreptvrsr2eeartvxexxftt2tastxrfs"&gt;10&lt;/key&gt;&lt;/foreign-keys&gt;&lt;ref-type name="Book"&gt;6&lt;/ref-type&gt;&lt;contributors&gt;&lt;authors&gt;&lt;author&gt;State Committee on Statistics of the Republic of Tajikistan&lt;/author&gt;&lt;/authors&gt;&lt;/contributors&gt;&lt;titles&gt;&lt;title&gt;Tajikistan Multiple Indicator Cluster Survey 2005, Final Report&lt;/title&gt;&lt;/titles&gt;&lt;dates&gt;&lt;year&gt;2007&lt;/year&gt;&lt;/dates&gt;&lt;pub-location&gt;Dushanbe&lt;/pub-location&gt;&lt;publisher&gt;State Committe on Statistics of the Republic of Tajikistan&lt;/publisher&gt;&lt;urls&gt;&lt;/urls&gt;&lt;/record&gt;&lt;/Cite&gt;&lt;/EndNote&gt;</w:instrText>
      </w:r>
      <w:r w:rsidR="00E12159">
        <w:fldChar w:fldCharType="separate"/>
      </w:r>
      <w:r w:rsidR="003408CB">
        <w:rPr>
          <w:noProof/>
        </w:rPr>
        <w:t>(</w:t>
      </w:r>
      <w:hyperlink w:anchor="_ENREF_50" w:tooltip="State Committee on Statistics of the Republic of Tajikistan, 2007 #10" w:history="1">
        <w:r w:rsidR="006A1532">
          <w:rPr>
            <w:noProof/>
          </w:rPr>
          <w:t>State Committee on Statistics of the Republic of Tajikistan, 2007</w:t>
        </w:r>
      </w:hyperlink>
      <w:r w:rsidR="003408CB">
        <w:rPr>
          <w:noProof/>
        </w:rPr>
        <w:t>)</w:t>
      </w:r>
      <w:r w:rsidR="00E12159">
        <w:fldChar w:fldCharType="end"/>
      </w:r>
      <w:r w:rsidR="003408CB">
        <w:t xml:space="preserve">. </w:t>
      </w:r>
      <w:r w:rsidR="00F802AC">
        <w:t>Finally, b</w:t>
      </w:r>
      <w:r w:rsidR="006D2DC0" w:rsidRPr="00387B4B">
        <w:t>oth limited power within a household and limited access to educa</w:t>
      </w:r>
      <w:r w:rsidR="00C34952">
        <w:t>tion and information are</w:t>
      </w:r>
      <w:r w:rsidR="006D2DC0" w:rsidRPr="00387B4B">
        <w:t xml:space="preserve"> </w:t>
      </w:r>
      <w:r w:rsidR="00F802AC">
        <w:t xml:space="preserve">further </w:t>
      </w:r>
      <w:r w:rsidR="006D2DC0" w:rsidRPr="00387B4B">
        <w:t>ag</w:t>
      </w:r>
      <w:r w:rsidR="00A97864">
        <w:t>gravated among poor households</w:t>
      </w:r>
      <w:r w:rsidR="00882E52">
        <w:t>.</w:t>
      </w:r>
    </w:p>
    <w:p w14:paraId="1D148491" w14:textId="33608E84" w:rsidR="00AA64F0" w:rsidRPr="00090351" w:rsidRDefault="00F802AC" w:rsidP="00090351">
      <w:pPr>
        <w:pStyle w:val="MainParawithChapter"/>
        <w:ind w:left="0" w:firstLine="0"/>
        <w:jc w:val="both"/>
        <w:outlineLvl w:val="9"/>
        <w:rPr>
          <w:b/>
        </w:rPr>
      </w:pPr>
      <w:r>
        <w:rPr>
          <w:b/>
        </w:rPr>
        <w:t xml:space="preserve">Violence against </w:t>
      </w:r>
      <w:r w:rsidRPr="00450916">
        <w:rPr>
          <w:b/>
          <w:bCs/>
          <w:color w:val="000000" w:themeColor="text1"/>
        </w:rPr>
        <w:t>women</w:t>
      </w:r>
      <w:r>
        <w:rPr>
          <w:b/>
        </w:rPr>
        <w:t xml:space="preserve"> and girls</w:t>
      </w:r>
      <w:r w:rsidR="00882E52" w:rsidRPr="00882E52">
        <w:rPr>
          <w:b/>
        </w:rPr>
        <w:t xml:space="preserve"> is </w:t>
      </w:r>
      <w:r w:rsidR="006E0F1B">
        <w:rPr>
          <w:b/>
        </w:rPr>
        <w:t xml:space="preserve">a </w:t>
      </w:r>
      <w:r w:rsidR="005A0E26">
        <w:rPr>
          <w:b/>
        </w:rPr>
        <w:t>c</w:t>
      </w:r>
      <w:r w:rsidR="00882E52" w:rsidRPr="00882E52">
        <w:rPr>
          <w:b/>
        </w:rPr>
        <w:t>ommon phenomenon in Taji</w:t>
      </w:r>
      <w:r w:rsidR="008F76FE">
        <w:rPr>
          <w:b/>
        </w:rPr>
        <w:t xml:space="preserve">kistan </w:t>
      </w:r>
      <w:r w:rsidR="009B7C49">
        <w:rPr>
          <w:b/>
        </w:rPr>
        <w:t xml:space="preserve">that </w:t>
      </w:r>
      <w:r w:rsidR="00CC793C">
        <w:rPr>
          <w:b/>
        </w:rPr>
        <w:t>has</w:t>
      </w:r>
      <w:r w:rsidR="00EC2873">
        <w:rPr>
          <w:b/>
        </w:rPr>
        <w:t xml:space="preserve"> detrimental effects on women and girls’ </w:t>
      </w:r>
      <w:r w:rsidR="001F1B5E">
        <w:rPr>
          <w:b/>
        </w:rPr>
        <w:t xml:space="preserve">physical and mental </w:t>
      </w:r>
      <w:r w:rsidR="00EC2873">
        <w:rPr>
          <w:b/>
        </w:rPr>
        <w:t>health.</w:t>
      </w:r>
      <w:r w:rsidR="00882E52" w:rsidRPr="00EC2873">
        <w:rPr>
          <w:b/>
        </w:rPr>
        <w:t xml:space="preserve"> </w:t>
      </w:r>
      <w:r w:rsidR="006812ED">
        <w:t>A baseline study conducted in</w:t>
      </w:r>
      <w:r w:rsidR="0004026B">
        <w:t xml:space="preserve"> the</w:t>
      </w:r>
      <w:r w:rsidR="006812ED">
        <w:t xml:space="preserve"> </w:t>
      </w:r>
      <w:proofErr w:type="spellStart"/>
      <w:r w:rsidR="006812ED">
        <w:t>Khatlon</w:t>
      </w:r>
      <w:proofErr w:type="spellEnd"/>
      <w:r w:rsidR="006812ED">
        <w:t xml:space="preserve"> region in 2005 </w:t>
      </w:r>
      <w:r w:rsidR="001A32DE">
        <w:t>showed that 58 percent of the sampled women</w:t>
      </w:r>
      <w:r w:rsidR="00146EF6">
        <w:t xml:space="preserve"> </w:t>
      </w:r>
      <w:r w:rsidR="004745AC">
        <w:t>between the ages of 17 and</w:t>
      </w:r>
      <w:r w:rsidR="00146EF6">
        <w:t xml:space="preserve"> 47</w:t>
      </w:r>
      <w:r w:rsidR="001A32DE">
        <w:t xml:space="preserve"> had experienced physical and/or sexual violence by their husband at leas</w:t>
      </w:r>
      <w:r>
        <w:t>t once during their lifetime. Twelve</w:t>
      </w:r>
      <w:r w:rsidR="001A32DE">
        <w:t xml:space="preserve"> percent had suffered from</w:t>
      </w:r>
      <w:r>
        <w:t xml:space="preserve"> physical violence during the twelve</w:t>
      </w:r>
      <w:r w:rsidR="001A32DE">
        <w:t xml:space="preserve"> months preceding the interview</w:t>
      </w:r>
      <w:r w:rsidR="00CB252F">
        <w:t>. The study furthermore found</w:t>
      </w:r>
      <w:r w:rsidR="009B7C49">
        <w:t xml:space="preserve"> that experiences of physical and/or sexual violence within a family </w:t>
      </w:r>
      <w:r w:rsidR="004745AC">
        <w:t>do</w:t>
      </w:r>
      <w:r w:rsidR="009B7C49">
        <w:t xml:space="preserve"> not only impact on the physical health in terms</w:t>
      </w:r>
      <w:r w:rsidR="004745AC">
        <w:t xml:space="preserve"> of injuries, but are</w:t>
      </w:r>
      <w:r w:rsidR="009B7C49">
        <w:t xml:space="preserve"> also associated with a higher probability of suicidal thoughts and attempts</w:t>
      </w:r>
      <w:r w:rsidR="00F978F0">
        <w:t xml:space="preserve"> among abused women. </w:t>
      </w:r>
      <w:r w:rsidR="009B7C49">
        <w:t xml:space="preserve">Next to these direct impacts, </w:t>
      </w:r>
      <w:r w:rsidR="00CB252F">
        <w:t xml:space="preserve">violence also indirectly </w:t>
      </w:r>
      <w:r>
        <w:t>affects</w:t>
      </w:r>
      <w:r w:rsidR="00CB252F">
        <w:t xml:space="preserve"> other health outcomes including raised blood</w:t>
      </w:r>
      <w:r w:rsidR="00F978F0">
        <w:t xml:space="preserve"> pressure, headache, depression, and heart attacks </w:t>
      </w:r>
      <w:r w:rsidR="00E12159">
        <w:fldChar w:fldCharType="begin"/>
      </w:r>
      <w:r w:rsidR="00F978F0">
        <w:instrText xml:space="preserve"> </w:instrText>
      </w:r>
      <w:r w:rsidR="009F7A22">
        <w:instrText>ADDIN</w:instrText>
      </w:r>
      <w:r w:rsidR="00F978F0">
        <w:instrText xml:space="preserve"> EN.CITE &lt;EndNote&gt;&lt;Cite&gt;&lt;Author&gt;Haarr&lt;/Author&gt;&lt;Year&gt;2005&lt;/Year&gt;&lt;RecNum&gt;60&lt;/RecNum&gt;&lt;DisplayText&gt;(Haarr, 2005)&lt;/DisplayText&gt;&lt;record&gt;&lt;rec-number&gt;60&lt;/rec-number&gt;&lt;foreign-keys&gt;&lt;key app="EN" db-id="wes5dreptvrsr2eeartvxexxftt2tastxrfs"&gt;60&lt;/key&gt;&lt;/foreign-keys&gt;&lt;ref-type name="Book"&gt;6&lt;/ref-type&gt;&lt;contributors&gt;&lt;authors&gt;&lt;author&gt;Robin N. Haarr&lt;/author&gt;&lt;/authors&gt;&lt;/contributors&gt;&lt;titles&gt;&lt;title&gt;Violence Against Women in Marriage: A General Population Study in Khatlon Oblast, Tajikistan&lt;/title&gt;&lt;/titles&gt;&lt;dates&gt;&lt;year&gt;2005&lt;/year&gt;&lt;/dates&gt;&lt;pub-location&gt;Dushanbe&lt;/pub-location&gt;&lt;publisher&gt;NGO Social Development Group&lt;/publisher&gt;&lt;urls&gt;&lt;/urls&gt;&lt;/record&gt;&lt;/Cite&gt;&lt;/EndNote&gt;</w:instrText>
      </w:r>
      <w:r w:rsidR="00E12159">
        <w:fldChar w:fldCharType="separate"/>
      </w:r>
      <w:r w:rsidR="00F978F0">
        <w:rPr>
          <w:noProof/>
        </w:rPr>
        <w:t>(</w:t>
      </w:r>
      <w:hyperlink w:anchor="_ENREF_21" w:tooltip="Haarr, 2005 #60" w:history="1">
        <w:r w:rsidR="006A1532">
          <w:rPr>
            <w:noProof/>
          </w:rPr>
          <w:t>Haarr, 2005</w:t>
        </w:r>
      </w:hyperlink>
      <w:r w:rsidR="00F978F0">
        <w:rPr>
          <w:noProof/>
        </w:rPr>
        <w:t>)</w:t>
      </w:r>
      <w:r w:rsidR="00E12159">
        <w:fldChar w:fldCharType="end"/>
      </w:r>
      <w:r w:rsidR="00F978F0">
        <w:t>.</w:t>
      </w:r>
      <w:r w:rsidR="00A62640">
        <w:t xml:space="preserve"> </w:t>
      </w:r>
      <w:r w:rsidR="004D6BEC">
        <w:t>Despite</w:t>
      </w:r>
      <w:r>
        <w:t xml:space="preserve"> apparent need, h</w:t>
      </w:r>
      <w:r w:rsidR="00A62640">
        <w:t xml:space="preserve">ealth </w:t>
      </w:r>
      <w:r>
        <w:t>services</w:t>
      </w:r>
      <w:r w:rsidR="00A62640" w:rsidRPr="00A62640">
        <w:t xml:space="preserve"> are insufficiently equipped and trained to provide medical and psychological treatment to female victims </w:t>
      </w:r>
      <w:r w:rsidR="00E12159" w:rsidRPr="00A62640">
        <w:fldChar w:fldCharType="begin"/>
      </w:r>
      <w:r w:rsidR="00A62640" w:rsidRPr="00A62640">
        <w:instrText xml:space="preserve"> </w:instrText>
      </w:r>
      <w:r w:rsidR="009F7A22">
        <w:instrText>ADDIN</w:instrText>
      </w:r>
      <w:r w:rsidR="00A62640" w:rsidRPr="00A62640">
        <w:instrText xml:space="preserve"> EN.CITE &lt;EndNote&gt;&lt;Cite&gt;&lt;Author&gt;United Nations&lt;/Author&gt;&lt;Year&gt;2009&lt;/Year&gt;&lt;RecNum&gt;63&lt;/RecNum&gt;&lt;DisplayText&gt;(United Nations, 2009)&lt;/DisplayText&gt;&lt;record&gt;&lt;rec-number&gt;63&lt;/rec-number&gt;&lt;foreign-keys&gt;&lt;key app="EN" db-id="wes5dreptvrsr2eeartvxexxftt2tastxrfs"&gt;63&lt;/key&gt;&lt;/foreign-keys&gt;&lt;ref-type name="Journal Article"&gt;17&lt;/ref-type&gt;&lt;contributors&gt;&lt;authors&gt;&lt;author&gt;United Nations&lt;/author&gt;&lt;/authors&gt;&lt;/contributors&gt;&lt;titles&gt;&lt;title&gt;Promotion and Protection of All Human Rights, Civil, Political, Economic, Social and Cultural Rights, Including the Right to Development. Report of the Speical Rapporteur on violence against women, its causes and consequences&lt;/title&gt;&lt;secondary-title&gt;A/HRC/11/6/Add. 2, 29 April 2009&lt;/secondary-title&gt;&lt;/titles&gt;&lt;periodical&gt;&lt;full-title&gt;A/HRC/11/6/Add. 2, 29 April 2009&lt;/full-title&gt;&lt;/periodical&gt;&lt;dates&gt;&lt;year&gt;2009&lt;/year&gt;&lt;/dates&gt;&lt;urls&gt;&lt;/urls&gt;&lt;/record&gt;&lt;/Cite&gt;&lt;/EndNote&gt;</w:instrText>
      </w:r>
      <w:r w:rsidR="00E12159" w:rsidRPr="00A62640">
        <w:fldChar w:fldCharType="separate"/>
      </w:r>
      <w:r w:rsidR="00A62640" w:rsidRPr="00A62640">
        <w:rPr>
          <w:noProof/>
        </w:rPr>
        <w:t>(</w:t>
      </w:r>
      <w:hyperlink w:anchor="_ENREF_63" w:tooltip="United Nations, 2009 #63" w:history="1">
        <w:r w:rsidR="006A1532" w:rsidRPr="00A62640">
          <w:rPr>
            <w:noProof/>
          </w:rPr>
          <w:t>United Nations, 2009</w:t>
        </w:r>
      </w:hyperlink>
      <w:r w:rsidR="00A62640" w:rsidRPr="00A62640">
        <w:rPr>
          <w:noProof/>
        </w:rPr>
        <w:t>)</w:t>
      </w:r>
      <w:r w:rsidR="00E12159" w:rsidRPr="00A62640">
        <w:fldChar w:fldCharType="end"/>
      </w:r>
      <w:r w:rsidR="00C5672B">
        <w:t>.</w:t>
      </w:r>
    </w:p>
    <w:p w14:paraId="372E68BF" w14:textId="77777777" w:rsidR="00603D3F" w:rsidRPr="00AA64F0" w:rsidRDefault="00603D3F" w:rsidP="00EC6983">
      <w:pPr>
        <w:pStyle w:val="MainParawithChapter"/>
        <w:numPr>
          <w:ilvl w:val="0"/>
          <w:numId w:val="0"/>
        </w:numPr>
        <w:jc w:val="both"/>
        <w:outlineLvl w:val="9"/>
        <w:rPr>
          <w:b/>
          <w:highlight w:val="yellow"/>
        </w:rPr>
        <w:sectPr w:rsidR="00603D3F" w:rsidRPr="00AA64F0" w:rsidSect="003356B8">
          <w:pgSz w:w="12240" w:h="15840" w:code="1"/>
          <w:pgMar w:top="1440" w:right="1800" w:bottom="1440" w:left="1800" w:header="720" w:footer="720" w:gutter="0"/>
          <w:cols w:space="720"/>
          <w:docGrid w:linePitch="360"/>
        </w:sectPr>
      </w:pPr>
    </w:p>
    <w:p w14:paraId="0A753876" w14:textId="77777777" w:rsidR="00B5234E" w:rsidRDefault="003C3C3F" w:rsidP="00450916">
      <w:pPr>
        <w:pStyle w:val="Heading1"/>
      </w:pPr>
      <w:bookmarkStart w:id="51" w:name="_Toc226957250"/>
      <w:r>
        <w:lastRenderedPageBreak/>
        <w:t>Labour Market</w:t>
      </w:r>
      <w:bookmarkEnd w:id="51"/>
    </w:p>
    <w:p w14:paraId="4E03CEDF" w14:textId="48EFCAA1" w:rsidR="00427E10" w:rsidRDefault="00F802F1" w:rsidP="00450916">
      <w:pPr>
        <w:pStyle w:val="MainParawithChapter"/>
        <w:ind w:left="0" w:firstLine="0"/>
        <w:jc w:val="both"/>
        <w:outlineLvl w:val="9"/>
      </w:pPr>
      <w:r w:rsidRPr="00450916">
        <w:rPr>
          <w:b/>
          <w:bCs/>
          <w:color w:val="000000" w:themeColor="text1"/>
        </w:rPr>
        <w:t>Empirical</w:t>
      </w:r>
      <w:r w:rsidRPr="00F802F1">
        <w:rPr>
          <w:b/>
        </w:rPr>
        <w:t xml:space="preserve"> evidence suggests some association between positive economic growth rates, comparatively high female labor force participation, and small gender w</w:t>
      </w:r>
      <w:r w:rsidR="00427E10">
        <w:rPr>
          <w:b/>
        </w:rPr>
        <w:t xml:space="preserve">age gaps </w:t>
      </w:r>
      <w:r w:rsidR="00B0479B">
        <w:rPr>
          <w:b/>
        </w:rPr>
        <w:t>in Europe and Central Asia</w:t>
      </w:r>
      <w:r w:rsidR="00427E10">
        <w:rPr>
          <w:b/>
        </w:rPr>
        <w:t xml:space="preserve">. </w:t>
      </w:r>
      <w:r w:rsidRPr="00F802F1">
        <w:t xml:space="preserve">Lower female </w:t>
      </w:r>
      <w:r w:rsidR="004F46D9">
        <w:t xml:space="preserve">than male </w:t>
      </w:r>
      <w:r w:rsidRPr="00F802F1">
        <w:t xml:space="preserve">labor force participation and </w:t>
      </w:r>
      <w:r w:rsidR="008B1EEB">
        <w:t>wage</w:t>
      </w:r>
      <w:r w:rsidRPr="00F802F1">
        <w:t xml:space="preserve"> gaps in favor of men are familiar patterns all over the world, and this observation also applies to the ECA region and Tajikistan. These outcomes are partly explained by issues of discrimination and segregation and can potentially be remedied by gender specific social policies</w:t>
      </w:r>
      <w:r w:rsidR="005402BB">
        <w:t xml:space="preserve">. </w:t>
      </w:r>
      <w:r w:rsidR="00F04CCD">
        <w:t>However</w:t>
      </w:r>
      <w:r w:rsidR="005402BB">
        <w:t xml:space="preserve">, ECA countries with fewer gender inequalities in </w:t>
      </w:r>
      <w:r w:rsidR="00EB13EB">
        <w:t>the labor market, explicitly</w:t>
      </w:r>
      <w:r w:rsidR="003E4288">
        <w:t xml:space="preserve"> labor force participation and wage gaps,</w:t>
      </w:r>
      <w:r w:rsidR="005402BB">
        <w:t xml:space="preserve"> tend to have higher economic growth rates</w:t>
      </w:r>
      <w:r w:rsidRPr="00F802F1">
        <w:t xml:space="preserve"> </w:t>
      </w:r>
      <w:r w:rsidR="00E12159" w:rsidRPr="00F802F1">
        <w:fldChar w:fldCharType="begin"/>
      </w:r>
      <w:r w:rsidR="00D93AAA">
        <w:instrText xml:space="preserve"> </w:instrText>
      </w:r>
      <w:r w:rsidR="009F7A22">
        <w:instrText>ADDIN</w:instrText>
      </w:r>
      <w:r w:rsidR="00D93AAA">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F802F1">
        <w:fldChar w:fldCharType="separate"/>
      </w:r>
      <w:r w:rsidR="00D93AAA">
        <w:rPr>
          <w:noProof/>
        </w:rPr>
        <w:t>(</w:t>
      </w:r>
      <w:hyperlink w:anchor="_ENREF_45" w:tooltip="Sattar, 2012 #3" w:history="1">
        <w:r w:rsidR="006A1532">
          <w:rPr>
            <w:noProof/>
          </w:rPr>
          <w:t>Sattar, 2012</w:t>
        </w:r>
      </w:hyperlink>
      <w:r w:rsidR="00D93AAA">
        <w:rPr>
          <w:noProof/>
        </w:rPr>
        <w:t>)</w:t>
      </w:r>
      <w:r w:rsidR="00E12159" w:rsidRPr="00F802F1">
        <w:fldChar w:fldCharType="end"/>
      </w:r>
      <w:r w:rsidRPr="00F802F1">
        <w:t xml:space="preserve">. </w:t>
      </w:r>
    </w:p>
    <w:p w14:paraId="03243036" w14:textId="0921A5F9" w:rsidR="00F802F1" w:rsidRPr="00F802F1" w:rsidRDefault="00427E10" w:rsidP="00450916">
      <w:pPr>
        <w:pStyle w:val="MainParawithChapter"/>
        <w:ind w:left="0" w:firstLine="0"/>
        <w:jc w:val="both"/>
        <w:outlineLvl w:val="9"/>
      </w:pPr>
      <w:r>
        <w:rPr>
          <w:b/>
        </w:rPr>
        <w:t>W</w:t>
      </w:r>
      <w:r w:rsidRPr="00F802F1">
        <w:rPr>
          <w:b/>
        </w:rPr>
        <w:t>omen’s lack of participat</w:t>
      </w:r>
      <w:r>
        <w:rPr>
          <w:b/>
        </w:rPr>
        <w:t>ion in the labor market has</w:t>
      </w:r>
      <w:r w:rsidRPr="00F802F1">
        <w:rPr>
          <w:b/>
        </w:rPr>
        <w:t xml:space="preserve"> far-reaching consequences</w:t>
      </w:r>
      <w:r w:rsidR="00CA3A3F">
        <w:rPr>
          <w:b/>
        </w:rPr>
        <w:t xml:space="preserve"> beyond economic growth rates</w:t>
      </w:r>
      <w:r w:rsidRPr="00F802F1">
        <w:rPr>
          <w:b/>
        </w:rPr>
        <w:t xml:space="preserve">.  </w:t>
      </w:r>
      <w:r w:rsidR="009D4A4B">
        <w:t>Gender</w:t>
      </w:r>
      <w:r w:rsidR="00F802F1" w:rsidRPr="00F802F1">
        <w:t xml:space="preserve"> disparities in the labor market are related to the </w:t>
      </w:r>
      <w:r w:rsidR="004704AC">
        <w:t>level</w:t>
      </w:r>
      <w:r w:rsidR="00F802F1" w:rsidRPr="00F802F1">
        <w:t xml:space="preserve"> of economic dependence of women, </w:t>
      </w:r>
      <w:r w:rsidR="00B17599">
        <w:t xml:space="preserve">and thereby also affect </w:t>
      </w:r>
      <w:r w:rsidR="00EB13EB">
        <w:t>women’s</w:t>
      </w:r>
      <w:r w:rsidR="00F802F1" w:rsidRPr="00F802F1">
        <w:t xml:space="preserve"> standing in the household, </w:t>
      </w:r>
      <w:r w:rsidR="00886F5D">
        <w:t xml:space="preserve">including </w:t>
      </w:r>
      <w:r w:rsidR="00845E29" w:rsidRPr="00F802F1">
        <w:t>risk of domestic violence</w:t>
      </w:r>
      <w:r w:rsidR="00845E29">
        <w:t xml:space="preserve">  or </w:t>
      </w:r>
      <w:r w:rsidR="00EB13EB">
        <w:t>intra-household resource allocation and</w:t>
      </w:r>
      <w:r w:rsidR="00F802F1" w:rsidRPr="00F802F1">
        <w:t xml:space="preserve"> decision-making power </w:t>
      </w:r>
      <w:r w:rsidR="00DE34B6">
        <w:t>with regard to</w:t>
      </w:r>
      <w:r w:rsidR="00A978A0">
        <w:t xml:space="preserve"> human capital investments</w:t>
      </w:r>
      <w:r w:rsidR="00F802F1" w:rsidRPr="00F802F1">
        <w:t xml:space="preserve"> </w:t>
      </w:r>
      <w:r w:rsidR="00E12159" w:rsidRPr="00F802F1">
        <w:fldChar w:fldCharType="begin"/>
      </w:r>
      <w:r w:rsidR="00F802F1" w:rsidRPr="00F802F1">
        <w:instrText xml:space="preserve"> </w:instrText>
      </w:r>
      <w:r w:rsidR="009F7A22">
        <w:instrText>ADDIN</w:instrText>
      </w:r>
      <w:r w:rsidR="00F802F1" w:rsidRPr="00F802F1">
        <w:instrText xml:space="preserve"> EN.CITE &lt;EndNote&gt;&lt;Cite&gt;&lt;Author&gt;Blunch&lt;/Author&gt;&lt;Year&gt;2010&lt;/Year&gt;&lt;RecNum&gt;37&lt;/RecNum&gt;&lt;DisplayText&gt;(Blunch, 2010; UNDP, 2010)&lt;/DisplayText&gt;&lt;record&gt;&lt;rec-number&gt;37&lt;/rec-number&gt;&lt;foreign-keys&gt;&lt;key app="EN" db-id="wes5dreptvrsr2eeartvxexxftt2tastxrfs"&gt;37&lt;/key&gt;&lt;/foreign-keys&gt;&lt;ref-type name="Journal Article"&gt;17&lt;/ref-type&gt;&lt;contributors&gt;&lt;authors&gt;&lt;author&gt;Niels-Hugo Blunch&lt;/author&gt;&lt;/authors&gt;&lt;/contributors&gt;&lt;titles&gt;&lt;title&gt;The Gender Earnings Gap Revisited: A Comparative Study for Serbia and Five Countries in Eastern Europe and Central Asia&lt;/title&gt;&lt;secondary-title&gt;Background paper commissioned by the World Bank&amp;apos;s Poverty Reduction and Economic Management Unit, Europe and Central Asia Region Department&lt;/secondary-title&gt;&lt;/titles&gt;&lt;periodical&gt;&lt;full-title&gt;Background paper commissioned by the World Bank&amp;apos;s Poverty Reduction and Economic Management Unit, Europe and Central Asia Region Department&lt;/full-title&gt;&lt;/periodical&gt;&lt;dates&gt;&lt;year&gt;2010&lt;/year&gt;&lt;/dates&gt;&lt;urls&gt;&lt;/urls&gt;&lt;/record&gt;&lt;/Cite&gt;&lt;Cite&gt;&lt;Author&gt;UNDP&lt;/Author&gt;&lt;Year&gt;2010&lt;/Year&gt;&lt;RecNum&gt;39&lt;/RecNum&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rsidRPr="00F802F1">
        <w:fldChar w:fldCharType="separate"/>
      </w:r>
      <w:r w:rsidR="00F802F1" w:rsidRPr="00F802F1">
        <w:rPr>
          <w:noProof/>
        </w:rPr>
        <w:t>(</w:t>
      </w:r>
      <w:hyperlink w:anchor="_ENREF_8" w:tooltip="Blunch, 2010 #37" w:history="1">
        <w:r w:rsidR="006A1532" w:rsidRPr="00F802F1">
          <w:rPr>
            <w:noProof/>
          </w:rPr>
          <w:t>Blunch, 2010</w:t>
        </w:r>
      </w:hyperlink>
      <w:r w:rsidR="00F802F1" w:rsidRPr="00F802F1">
        <w:rPr>
          <w:noProof/>
        </w:rPr>
        <w:t xml:space="preserve">; </w:t>
      </w:r>
      <w:hyperlink w:anchor="_ENREF_56" w:tooltip="UNDP, 2010 #39" w:history="1">
        <w:r w:rsidR="006A1532" w:rsidRPr="00F802F1">
          <w:rPr>
            <w:noProof/>
          </w:rPr>
          <w:t>UNDP, 2010</w:t>
        </w:r>
      </w:hyperlink>
      <w:r w:rsidR="00F802F1" w:rsidRPr="00F802F1">
        <w:rPr>
          <w:noProof/>
        </w:rPr>
        <w:t>)</w:t>
      </w:r>
      <w:r w:rsidR="00E12159" w:rsidRPr="00F802F1">
        <w:fldChar w:fldCharType="end"/>
      </w:r>
      <w:r w:rsidR="00F802F1" w:rsidRPr="00F802F1">
        <w:t>.</w:t>
      </w:r>
      <w:r w:rsidR="00976EEE">
        <w:t xml:space="preserve"> </w:t>
      </w:r>
      <w:r w:rsidR="00D72B30">
        <w:t xml:space="preserve">This section </w:t>
      </w:r>
      <w:r w:rsidR="00886F5D">
        <w:t>examines</w:t>
      </w:r>
      <w:r w:rsidR="00D72B30">
        <w:t xml:space="preserve"> </w:t>
      </w:r>
      <w:r w:rsidR="00DE34B6">
        <w:t xml:space="preserve">gender </w:t>
      </w:r>
      <w:r w:rsidR="00976EEE">
        <w:t>disparities in labor market outcom</w:t>
      </w:r>
      <w:r w:rsidR="00886F5D">
        <w:t>e</w:t>
      </w:r>
      <w:r w:rsidR="00DE34B6">
        <w:t xml:space="preserve">s such as </w:t>
      </w:r>
      <w:r w:rsidR="00FE5A21">
        <w:t>labor force participation</w:t>
      </w:r>
      <w:r w:rsidR="003E4288">
        <w:t>,</w:t>
      </w:r>
      <w:r w:rsidR="00976EEE">
        <w:t xml:space="preserve"> employment </w:t>
      </w:r>
      <w:r w:rsidR="003E4288">
        <w:t xml:space="preserve">and unemployment </w:t>
      </w:r>
      <w:r w:rsidR="00976EEE">
        <w:t xml:space="preserve">rates and </w:t>
      </w:r>
      <w:r w:rsidR="00EB13EB">
        <w:t>segregation in terms of economic sectors and occupations</w:t>
      </w:r>
      <w:r w:rsidR="00976EEE">
        <w:t xml:space="preserve">. It then turns to two important challenges that the </w:t>
      </w:r>
      <w:r w:rsidR="003E4288">
        <w:t>Tajik labor market faces</w:t>
      </w:r>
      <w:r w:rsidR="00A978A0">
        <w:t>, namely its large informality and migration,</w:t>
      </w:r>
      <w:r w:rsidR="003E4288">
        <w:t xml:space="preserve"> and that</w:t>
      </w:r>
      <w:r w:rsidR="000165B6">
        <w:t xml:space="preserve">, due to their differential impacts on men and women, </w:t>
      </w:r>
      <w:r w:rsidR="003E4288">
        <w:t>warrant the adoption of a gender lens,</w:t>
      </w:r>
      <w:r w:rsidR="00FE5A21">
        <w:t>. A</w:t>
      </w:r>
      <w:r w:rsidR="00976EEE">
        <w:t xml:space="preserve"> discussion of </w:t>
      </w:r>
      <w:r w:rsidR="00886F5D">
        <w:t>the</w:t>
      </w:r>
      <w:r w:rsidR="000165B6">
        <w:t xml:space="preserve"> extent and</w:t>
      </w:r>
      <w:r w:rsidR="00886F5D">
        <w:t xml:space="preserve"> nature of the observed </w:t>
      </w:r>
      <w:r w:rsidR="00976EEE">
        <w:t>ge</w:t>
      </w:r>
      <w:r w:rsidR="00DE34B6">
        <w:t>nder earnings gap</w:t>
      </w:r>
      <w:r w:rsidR="000165B6">
        <w:t xml:space="preserve"> concludes</w:t>
      </w:r>
      <w:r w:rsidR="00976EEE">
        <w:t>.</w:t>
      </w:r>
    </w:p>
    <w:p w14:paraId="1E5A2A03" w14:textId="77777777" w:rsidR="008F5C92" w:rsidRDefault="002F0B02" w:rsidP="004B1C94">
      <w:pPr>
        <w:pStyle w:val="Heading2"/>
        <w:numPr>
          <w:ilvl w:val="0"/>
          <w:numId w:val="5"/>
        </w:numPr>
      </w:pPr>
      <w:bookmarkStart w:id="52" w:name="_Toc226957251"/>
      <w:r>
        <w:t xml:space="preserve">Economic Activity and </w:t>
      </w:r>
      <w:r w:rsidR="008F5C92">
        <w:t>Employment</w:t>
      </w:r>
      <w:bookmarkEnd w:id="52"/>
    </w:p>
    <w:p w14:paraId="040A76E2" w14:textId="77777777" w:rsidR="00EF57D8" w:rsidRPr="007E38E7" w:rsidRDefault="00FA3449" w:rsidP="00450916">
      <w:pPr>
        <w:pStyle w:val="MainParawithChapter"/>
        <w:ind w:left="0" w:firstLine="0"/>
        <w:jc w:val="both"/>
        <w:outlineLvl w:val="9"/>
      </w:pPr>
      <w:r w:rsidRPr="00450916">
        <w:rPr>
          <w:b/>
          <w:bCs/>
          <w:color w:val="000000" w:themeColor="text1"/>
        </w:rPr>
        <w:t>Tajikistan’s</w:t>
      </w:r>
      <w:r w:rsidRPr="00FA3449">
        <w:rPr>
          <w:b/>
        </w:rPr>
        <w:t xml:space="preserve"> labor market is characterized by a gap in men and wo</w:t>
      </w:r>
      <w:r w:rsidR="0009040A">
        <w:rPr>
          <w:b/>
        </w:rPr>
        <w:t xml:space="preserve">men’s economic activity and </w:t>
      </w:r>
      <w:r w:rsidR="002D6F4C">
        <w:rPr>
          <w:b/>
        </w:rPr>
        <w:t xml:space="preserve">gender-based </w:t>
      </w:r>
      <w:r w:rsidR="0009040A">
        <w:rPr>
          <w:b/>
        </w:rPr>
        <w:t>segr</w:t>
      </w:r>
      <w:r w:rsidR="009F1B87">
        <w:rPr>
          <w:b/>
        </w:rPr>
        <w:t>egation with regard to economic sectors and occupation</w:t>
      </w:r>
      <w:r w:rsidR="002D6F4C">
        <w:rPr>
          <w:b/>
        </w:rPr>
        <w:t>s</w:t>
      </w:r>
      <w:r w:rsidR="009F1B87">
        <w:rPr>
          <w:b/>
        </w:rPr>
        <w:t xml:space="preserve">. </w:t>
      </w:r>
      <w:r w:rsidR="00E338FD">
        <w:t xml:space="preserve">The following </w:t>
      </w:r>
      <w:r w:rsidR="00481EED">
        <w:t>section</w:t>
      </w:r>
      <w:r w:rsidR="00E338FD">
        <w:t xml:space="preserve"> looks</w:t>
      </w:r>
      <w:r w:rsidR="003554C6" w:rsidRPr="003554C6">
        <w:t xml:space="preserve"> at </w:t>
      </w:r>
      <w:r w:rsidR="009F1B87">
        <w:t xml:space="preserve">differences between men and </w:t>
      </w:r>
      <w:r w:rsidR="00FE5A21">
        <w:t xml:space="preserve">women’s labor force participation and in the </w:t>
      </w:r>
      <w:r w:rsidR="009F1B87">
        <w:t>us</w:t>
      </w:r>
      <w:r w:rsidR="00E338FD">
        <w:t xml:space="preserve">e of </w:t>
      </w:r>
      <w:r w:rsidR="00D21B6E">
        <w:t xml:space="preserve">their time. It </w:t>
      </w:r>
      <w:r w:rsidR="00FE5A21">
        <w:t>relates</w:t>
      </w:r>
      <w:r w:rsidR="008373FE">
        <w:t xml:space="preserve"> these</w:t>
      </w:r>
      <w:r w:rsidR="00D96F84">
        <w:t xml:space="preserve"> to social and cultural</w:t>
      </w:r>
      <w:r w:rsidR="007E38E7">
        <w:t xml:space="preserve"> realities, specifically the strong prevalence of gender stereotypes</w:t>
      </w:r>
      <w:r w:rsidR="00D96F84">
        <w:t xml:space="preserve"> in the Tajik society</w:t>
      </w:r>
      <w:r w:rsidR="009F1B87">
        <w:t>. It further examines differences in employment along economic sectors and occupations</w:t>
      </w:r>
      <w:r w:rsidR="00D96F84">
        <w:t>,</w:t>
      </w:r>
      <w:r w:rsidR="009F1B87">
        <w:t xml:space="preserve"> </w:t>
      </w:r>
      <w:r w:rsidR="001D1E56">
        <w:t xml:space="preserve">and </w:t>
      </w:r>
      <w:r w:rsidR="009F1B87">
        <w:t>considers links to gender inequalities in education.</w:t>
      </w:r>
    </w:p>
    <w:p w14:paraId="207F72A7" w14:textId="4CDD0638" w:rsidR="000B3777" w:rsidRPr="000B3777" w:rsidRDefault="00930568" w:rsidP="00450916">
      <w:pPr>
        <w:pStyle w:val="MainParawithChapter"/>
        <w:ind w:left="0" w:firstLine="0"/>
        <w:jc w:val="both"/>
        <w:outlineLvl w:val="9"/>
      </w:pPr>
      <w:r>
        <w:rPr>
          <w:b/>
        </w:rPr>
        <w:t>W</w:t>
      </w:r>
      <w:r w:rsidR="0035663A">
        <w:rPr>
          <w:b/>
        </w:rPr>
        <w:t>hile w</w:t>
      </w:r>
      <w:r>
        <w:rPr>
          <w:b/>
        </w:rPr>
        <w:t>omen constitute</w:t>
      </w:r>
      <w:r w:rsidR="007E07FB">
        <w:rPr>
          <w:b/>
        </w:rPr>
        <w:t xml:space="preserve"> 45 percent of Taji</w:t>
      </w:r>
      <w:r>
        <w:rPr>
          <w:b/>
        </w:rPr>
        <w:t>kistan’s total labor force</w:t>
      </w:r>
      <w:r w:rsidR="007E07FB">
        <w:rPr>
          <w:b/>
        </w:rPr>
        <w:t>,</w:t>
      </w:r>
      <w:r w:rsidR="0035663A">
        <w:rPr>
          <w:b/>
        </w:rPr>
        <w:t xml:space="preserve"> </w:t>
      </w:r>
      <w:r>
        <w:rPr>
          <w:b/>
        </w:rPr>
        <w:t xml:space="preserve">the gender gap in </w:t>
      </w:r>
      <w:r w:rsidR="000B3777">
        <w:rPr>
          <w:b/>
        </w:rPr>
        <w:t>labor force p</w:t>
      </w:r>
      <w:r w:rsidR="00F70F24">
        <w:rPr>
          <w:b/>
        </w:rPr>
        <w:t>articipation rates amounts to 18</w:t>
      </w:r>
      <w:r>
        <w:rPr>
          <w:b/>
        </w:rPr>
        <w:t xml:space="preserve"> percentage points in favor of men</w:t>
      </w:r>
      <w:r w:rsidR="00E338FD">
        <w:rPr>
          <w:b/>
        </w:rPr>
        <w:t>.</w:t>
      </w:r>
      <w:r w:rsidR="00F802F1" w:rsidRPr="001C7F41">
        <w:rPr>
          <w:b/>
        </w:rPr>
        <w:t xml:space="preserve"> </w:t>
      </w:r>
      <w:r w:rsidR="00263DF3" w:rsidRPr="00263DF3">
        <w:t>For the</w:t>
      </w:r>
      <w:r w:rsidR="00263DF3">
        <w:t xml:space="preserve"> last 20 yea</w:t>
      </w:r>
      <w:r w:rsidR="00064616">
        <w:t>rs for which comparable data have been</w:t>
      </w:r>
      <w:r w:rsidR="00263DF3">
        <w:t xml:space="preserve"> available, </w:t>
      </w:r>
      <w:r>
        <w:t xml:space="preserve">women have consistently constituted </w:t>
      </w:r>
      <w:r w:rsidR="000B3777">
        <w:t xml:space="preserve">approximately </w:t>
      </w:r>
      <w:r>
        <w:t>45 percent of the</w:t>
      </w:r>
      <w:r w:rsidR="00F802F1">
        <w:t xml:space="preserve"> </w:t>
      </w:r>
      <w:r w:rsidR="007E07FB">
        <w:t xml:space="preserve">total </w:t>
      </w:r>
      <w:r w:rsidR="00F802F1">
        <w:t xml:space="preserve">labor </w:t>
      </w:r>
      <w:r>
        <w:t>force</w:t>
      </w:r>
      <w:r w:rsidR="00064616">
        <w:t xml:space="preserve"> in Tajikistan</w:t>
      </w:r>
      <w:r>
        <w:t>. This share is comparable to other countries in Europe and Central Asia, as well as to countries at a similar level of economic development</w:t>
      </w:r>
      <w:r w:rsidR="002A2996">
        <w:t xml:space="preserve"> </w:t>
      </w:r>
      <w:r w:rsidR="00E12159">
        <w:fldChar w:fldCharType="begin"/>
      </w:r>
      <w:r w:rsidR="004459DC">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fldChar w:fldCharType="separate"/>
      </w:r>
      <w:r w:rsidR="004459DC">
        <w:rPr>
          <w:noProof/>
        </w:rPr>
        <w:t>(</w:t>
      </w:r>
      <w:hyperlink w:anchor="_ENREF_84" w:tooltip="World Bank, 2012 #6" w:history="1">
        <w:r w:rsidR="006A1532">
          <w:rPr>
            <w:noProof/>
          </w:rPr>
          <w:t>World Bank, 2012c</w:t>
        </w:r>
      </w:hyperlink>
      <w:r w:rsidR="004459DC">
        <w:rPr>
          <w:noProof/>
        </w:rPr>
        <w:t>)</w:t>
      </w:r>
      <w:r w:rsidR="00E12159">
        <w:fldChar w:fldCharType="end"/>
      </w:r>
      <w:r w:rsidR="00F802F1">
        <w:t xml:space="preserve">. </w:t>
      </w:r>
      <w:r w:rsidR="002B025F">
        <w:t>In 2010</w:t>
      </w:r>
      <w:r w:rsidR="000B3777">
        <w:t>, labor force participation rates, as a percenta</w:t>
      </w:r>
      <w:r w:rsidR="00F70F24">
        <w:t xml:space="preserve">ge </w:t>
      </w:r>
      <w:r w:rsidR="00064616">
        <w:t xml:space="preserve">of the total population between </w:t>
      </w:r>
      <w:r w:rsidR="00F70F24">
        <w:t>15 and 64 years of age</w:t>
      </w:r>
      <w:r w:rsidR="000B3777">
        <w:t>, amounted</w:t>
      </w:r>
      <w:r w:rsidR="00F70F24">
        <w:t xml:space="preserve"> to</w:t>
      </w:r>
      <w:r w:rsidR="000B3777">
        <w:t xml:space="preserve"> </w:t>
      </w:r>
      <w:r w:rsidR="00F70F24">
        <w:t>60 percent for</w:t>
      </w:r>
      <w:r w:rsidR="006E42EC">
        <w:t xml:space="preserve"> women and 78 percent for men, i.e. the gender gap is </w:t>
      </w:r>
      <w:r w:rsidR="00F70F24">
        <w:t>18 perc</w:t>
      </w:r>
      <w:r w:rsidR="00080AA2">
        <w:t xml:space="preserve">entage points. </w:t>
      </w:r>
      <w:r w:rsidR="001937A2">
        <w:t xml:space="preserve">This mirrors average gender disparities on a regional level, though labor force participation rates for both men and women are two percentage </w:t>
      </w:r>
      <w:r w:rsidR="001937A2">
        <w:lastRenderedPageBreak/>
        <w:t xml:space="preserve">points higher in Tajikistan. </w:t>
      </w:r>
      <w:r w:rsidR="006E42EC">
        <w:t>In comparison to levels in 1990, this means that there has been a slight downward trend</w:t>
      </w:r>
      <w:r w:rsidR="002B025F">
        <w:t xml:space="preserve"> in labor force participation rate</w:t>
      </w:r>
      <w:r w:rsidR="0012414C">
        <w:t>s</w:t>
      </w:r>
      <w:r w:rsidR="006E42EC">
        <w:t>, as female and male participation has decreased by three and one percentage points respectively, contributing to a modest increase in gender disparities</w:t>
      </w:r>
      <w:r w:rsidR="00D579E6">
        <w:t xml:space="preserve"> </w:t>
      </w:r>
      <w:r w:rsidR="00E12159">
        <w:fldChar w:fldCharType="begin"/>
      </w:r>
      <w:r w:rsidR="004459DC">
        <w:instrText xml:space="preserve"> ADDIN EN.CITE &lt;EndNote&gt;&lt;Cite&gt;&lt;Author&gt;World Bank&lt;/Author&gt;&lt;Year&gt;2012&lt;/Year&gt;&lt;RecNum&gt;6&lt;/RecNum&gt;&lt;DisplayText&gt;(World Bank, 2012c)&lt;/DisplayText&gt;&lt;record&gt;&lt;rec-number&gt;6&lt;/rec-number&gt;&lt;foreign-keys&gt;&lt;key app="EN" db-id="wes5dreptvrsr2eeartvxexxftt2tastxrfs"&gt;6&lt;/key&gt;&lt;/foreign-keys&gt;&lt;ref-type name="Book"&gt;6&lt;/ref-type&gt;&lt;contributors&gt;&lt;authors&gt;&lt;author&gt;World Bank&lt;/author&gt;&lt;/authors&gt;&lt;/contributors&gt;&lt;titles&gt;&lt;title&gt;World Development Indicators Database&lt;/title&gt;&lt;/titles&gt;&lt;dates&gt;&lt;year&gt;2012&lt;/year&gt;&lt;/dates&gt;&lt;pub-location&gt;Washington, DC&lt;/pub-location&gt;&lt;publisher&gt;World Bank&lt;/publisher&gt;&lt;urls&gt;&lt;/urls&gt;&lt;/record&gt;&lt;/Cite&gt;&lt;/EndNote&gt;</w:instrText>
      </w:r>
      <w:r w:rsidR="00E12159">
        <w:fldChar w:fldCharType="separate"/>
      </w:r>
      <w:r w:rsidR="004459DC">
        <w:rPr>
          <w:noProof/>
        </w:rPr>
        <w:t>(</w:t>
      </w:r>
      <w:hyperlink w:anchor="_ENREF_84" w:tooltip="World Bank, 2012 #6" w:history="1">
        <w:r w:rsidR="006A1532">
          <w:rPr>
            <w:noProof/>
          </w:rPr>
          <w:t>World Bank, 2012c</w:t>
        </w:r>
      </w:hyperlink>
      <w:r w:rsidR="004459DC">
        <w:rPr>
          <w:noProof/>
        </w:rPr>
        <w:t>)</w:t>
      </w:r>
      <w:r w:rsidR="00E12159">
        <w:fldChar w:fldCharType="end"/>
      </w:r>
      <w:r w:rsidR="0012414C">
        <w:t>.</w:t>
      </w:r>
    </w:p>
    <w:p w14:paraId="545E2D22" w14:textId="36EC36C4" w:rsidR="0010102D" w:rsidRDefault="0010102D" w:rsidP="00450916">
      <w:pPr>
        <w:pStyle w:val="MainParawithChapter"/>
        <w:ind w:left="0" w:firstLine="0"/>
        <w:jc w:val="both"/>
        <w:outlineLvl w:val="9"/>
      </w:pPr>
      <w:r w:rsidRPr="00741761">
        <w:rPr>
          <w:b/>
        </w:rPr>
        <w:t xml:space="preserve">More than two thirds of the economically inactive part of the population is female, and </w:t>
      </w:r>
      <w:r w:rsidRPr="00450916">
        <w:rPr>
          <w:b/>
          <w:bCs/>
          <w:color w:val="000000" w:themeColor="text1"/>
        </w:rPr>
        <w:t>the</w:t>
      </w:r>
      <w:r w:rsidRPr="00741761">
        <w:rPr>
          <w:b/>
        </w:rPr>
        <w:t xml:space="preserve"> main reason</w:t>
      </w:r>
      <w:r>
        <w:rPr>
          <w:b/>
        </w:rPr>
        <w:t>s</w:t>
      </w:r>
      <w:r w:rsidRPr="00741761">
        <w:rPr>
          <w:b/>
        </w:rPr>
        <w:t xml:space="preserve"> for women’s absence from the labor market</w:t>
      </w:r>
      <w:r>
        <w:rPr>
          <w:b/>
        </w:rPr>
        <w:t xml:space="preserve"> are domestic responsibilities and retirement.</w:t>
      </w:r>
      <w:r w:rsidRPr="00741761">
        <w:rPr>
          <w:b/>
        </w:rPr>
        <w:t xml:space="preserve"> </w:t>
      </w:r>
      <w:r>
        <w:t xml:space="preserve">The economically inactive population consists of those who are neither employed nor unemployed. In 2009, two thirds of the economically inactive </w:t>
      </w:r>
      <w:r w:rsidR="00064616">
        <w:t xml:space="preserve">population </w:t>
      </w:r>
      <w:r>
        <w:t xml:space="preserve">were female, and four fifths </w:t>
      </w:r>
      <w:r w:rsidR="001937A2">
        <w:t xml:space="preserve">among those </w:t>
      </w:r>
      <w:r w:rsidR="00B66787">
        <w:t xml:space="preserve">were </w:t>
      </w:r>
      <w:r w:rsidR="001937A2">
        <w:t xml:space="preserve">between the ages </w:t>
      </w:r>
      <w:r w:rsidR="00064616">
        <w:t xml:space="preserve">of </w:t>
      </w:r>
      <w:r w:rsidR="001937A2">
        <w:t xml:space="preserve">25 and </w:t>
      </w:r>
      <w:r>
        <w:t xml:space="preserve">49 </w:t>
      </w:r>
      <w:r w:rsidR="00E12159">
        <w:fldChar w:fldCharType="begin"/>
      </w:r>
      <w:r>
        <w:instrText xml:space="preserve"> </w:instrText>
      </w:r>
      <w:r w:rsidR="009F7A22">
        <w:instrText>ADDIN</w:instrText>
      </w:r>
      <w:r>
        <w:instrText xml:space="preserve">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rsidR="00E12159">
        <w:fldChar w:fldCharType="separate"/>
      </w:r>
      <w:r>
        <w:rPr>
          <w:noProof/>
        </w:rPr>
        <w:t>(</w:t>
      </w:r>
      <w:hyperlink w:anchor="_ENREF_58" w:tooltip="UNECE, 2012 #33" w:history="1">
        <w:r w:rsidR="006A1532">
          <w:rPr>
            <w:noProof/>
          </w:rPr>
          <w:t>UNECE, 2012</w:t>
        </w:r>
      </w:hyperlink>
      <w:r>
        <w:rPr>
          <w:noProof/>
        </w:rPr>
        <w:t>)</w:t>
      </w:r>
      <w:r w:rsidR="00E12159">
        <w:fldChar w:fldCharType="end"/>
      </w:r>
      <w:r>
        <w:t xml:space="preserve">. According to the 2007 </w:t>
      </w:r>
      <w:r w:rsidR="003F3D80">
        <w:t>TLSS,</w:t>
      </w:r>
      <w:r>
        <w:t xml:space="preserve"> more than 90 percent of econom</w:t>
      </w:r>
      <w:r w:rsidR="00D030F2">
        <w:t>ically inactive women at these ages</w:t>
      </w:r>
      <w:r>
        <w:t xml:space="preserve"> are housewives, whereas the main reasons for economic inactivity for males in the same age group are a handicap or no intention to work. For</w:t>
      </w:r>
      <w:r w:rsidR="00D030F2">
        <w:t xml:space="preserve"> those between the ages </w:t>
      </w:r>
      <w:r w:rsidR="00064616">
        <w:t xml:space="preserve">of </w:t>
      </w:r>
      <w:r w:rsidR="00D030F2">
        <w:t>55 and 64</w:t>
      </w:r>
      <w:r>
        <w:t xml:space="preserve">, two thirds of both men and women are out of the labor force due to retirement. Notably, gender disparities in secondary </w:t>
      </w:r>
      <w:r w:rsidR="007C49F1">
        <w:t xml:space="preserve">and tertiary education are </w:t>
      </w:r>
      <w:r>
        <w:t>illustrated</w:t>
      </w:r>
      <w:r w:rsidR="00D030F2">
        <w:t xml:space="preserve"> by the fact that young men between the ages</w:t>
      </w:r>
      <w:r w:rsidR="00064616">
        <w:t xml:space="preserve"> of</w:t>
      </w:r>
      <w:r w:rsidR="00D030F2">
        <w:t xml:space="preserve"> 15 and</w:t>
      </w:r>
      <w:r>
        <w:t xml:space="preserve"> 24 are usually absent from the labor market due to their studies (88 percent). In contrast, this is only the case for 35 percent of young women who disappear from the labor market at young ages mostly due to their obligations as housewives </w:t>
      </w:r>
      <w:r w:rsidR="00E12159">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fldChar w:fldCharType="separate"/>
      </w:r>
      <w:r w:rsidR="00AD2051">
        <w:rPr>
          <w:noProof/>
        </w:rPr>
        <w:t>(</w:t>
      </w:r>
      <w:hyperlink w:anchor="_ENREF_77" w:tooltip="World Bank, 2009 #35" w:history="1">
        <w:r w:rsidR="006A1532">
          <w:rPr>
            <w:noProof/>
          </w:rPr>
          <w:t>World Bank, 2009c</w:t>
        </w:r>
      </w:hyperlink>
      <w:r w:rsidR="00AD2051">
        <w:rPr>
          <w:noProof/>
        </w:rPr>
        <w:t>)</w:t>
      </w:r>
      <w:r w:rsidR="00E12159">
        <w:fldChar w:fldCharType="end"/>
      </w:r>
      <w:r>
        <w:t>. These findings reconfirm the previous observation that gender stereotypes and predefined roles</w:t>
      </w:r>
      <w:r w:rsidR="000165B6">
        <w:t xml:space="preserve"> for men and women</w:t>
      </w:r>
      <w:r>
        <w:t xml:space="preserve"> are dominant in Tajikistan.</w:t>
      </w:r>
    </w:p>
    <w:p w14:paraId="3BF66198" w14:textId="581C05EC" w:rsidR="00956F92" w:rsidRDefault="00956F92" w:rsidP="00450916">
      <w:pPr>
        <w:pStyle w:val="MainParawithChapter"/>
        <w:ind w:left="0" w:firstLine="0"/>
        <w:jc w:val="both"/>
        <w:outlineLvl w:val="9"/>
      </w:pPr>
      <w:r w:rsidRPr="00991993">
        <w:rPr>
          <w:b/>
        </w:rPr>
        <w:t>Men and women use their</w:t>
      </w:r>
      <w:r w:rsidR="007C49F1">
        <w:rPr>
          <w:b/>
        </w:rPr>
        <w:t xml:space="preserve"> time differently: W</w:t>
      </w:r>
      <w:r w:rsidR="000165B6">
        <w:rPr>
          <w:b/>
        </w:rPr>
        <w:t>hereas w</w:t>
      </w:r>
      <w:r w:rsidRPr="00991993">
        <w:rPr>
          <w:b/>
        </w:rPr>
        <w:t xml:space="preserve">omen tend </w:t>
      </w:r>
      <w:r w:rsidR="000165B6">
        <w:rPr>
          <w:b/>
        </w:rPr>
        <w:t>to work more hours than men,</w:t>
      </w:r>
      <w:r w:rsidRPr="00991993">
        <w:rPr>
          <w:b/>
        </w:rPr>
        <w:t xml:space="preserve"> </w:t>
      </w:r>
      <w:r w:rsidR="007C49F1">
        <w:rPr>
          <w:b/>
        </w:rPr>
        <w:t>their work is</w:t>
      </w:r>
      <w:r w:rsidRPr="00991993">
        <w:rPr>
          <w:b/>
        </w:rPr>
        <w:t xml:space="preserve"> often unpaid</w:t>
      </w:r>
      <w:r w:rsidR="00C439B8">
        <w:rPr>
          <w:b/>
        </w:rPr>
        <w:t>,</w:t>
      </w:r>
      <w:r w:rsidRPr="00991993">
        <w:rPr>
          <w:b/>
        </w:rPr>
        <w:t xml:space="preserve"> and domestic burdens hinder participation in</w:t>
      </w:r>
      <w:r w:rsidR="000165B6">
        <w:rPr>
          <w:b/>
        </w:rPr>
        <w:t xml:space="preserve"> remunerated</w:t>
      </w:r>
      <w:r w:rsidRPr="00991993">
        <w:rPr>
          <w:b/>
        </w:rPr>
        <w:t xml:space="preserve"> economic activities. </w:t>
      </w:r>
      <w:r w:rsidR="00064616">
        <w:t xml:space="preserve">Evidence from other </w:t>
      </w:r>
      <w:r w:rsidRPr="00991993">
        <w:t>countries</w:t>
      </w:r>
      <w:r w:rsidR="00064616">
        <w:t xml:space="preserve"> in Europe and Central Asia</w:t>
      </w:r>
      <w:r w:rsidRPr="00991993">
        <w:t xml:space="preserve"> shows that women spend less time on labor market activities than men, but this is counterbalanced by more time dedicated to household chores and caring for other household members </w:t>
      </w:r>
      <w:r w:rsidR="00E12159" w:rsidRPr="00991993">
        <w:fldChar w:fldCharType="begin"/>
      </w:r>
      <w:r w:rsidR="00D93AAA">
        <w:instrText xml:space="preserve"> </w:instrText>
      </w:r>
      <w:r w:rsidR="009F7A22">
        <w:instrText>ADDIN</w:instrText>
      </w:r>
      <w:r w:rsidR="00D93AAA">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991993">
        <w:fldChar w:fldCharType="separate"/>
      </w:r>
      <w:r w:rsidR="00D93AAA">
        <w:rPr>
          <w:noProof/>
        </w:rPr>
        <w:t>(</w:t>
      </w:r>
      <w:hyperlink w:anchor="_ENREF_45" w:tooltip="Sattar, 2012 #3" w:history="1">
        <w:r w:rsidR="006A1532">
          <w:rPr>
            <w:noProof/>
          </w:rPr>
          <w:t>Sattar, 2012</w:t>
        </w:r>
      </w:hyperlink>
      <w:r w:rsidR="00D93AAA">
        <w:rPr>
          <w:noProof/>
        </w:rPr>
        <w:t>)</w:t>
      </w:r>
      <w:r w:rsidR="00E12159" w:rsidRPr="00991993">
        <w:fldChar w:fldCharType="end"/>
      </w:r>
      <w:r>
        <w:t>. This finding</w:t>
      </w:r>
      <w:r w:rsidR="00392B2E">
        <w:t xml:space="preserve"> holds for Tajikistan: a</w:t>
      </w:r>
      <w:r w:rsidRPr="00991993">
        <w:t>ccording to the 2007 T</w:t>
      </w:r>
      <w:r w:rsidR="000165B6">
        <w:t xml:space="preserve">LSS, women work more hours than </w:t>
      </w:r>
      <w:r w:rsidRPr="00991993">
        <w:t>men when taking into account both paid and unpa</w:t>
      </w:r>
      <w:r w:rsidR="00860DB7">
        <w:t>id work. Men, however, spend 56 percent</w:t>
      </w:r>
      <w:r w:rsidRPr="00991993">
        <w:t xml:space="preserve"> of their working hours on remunerated activities</w:t>
      </w:r>
      <w:r w:rsidR="00C439B8">
        <w:t xml:space="preserve">, whereas this share amounts </w:t>
      </w:r>
      <w:r w:rsidR="00860DB7">
        <w:t xml:space="preserve">only </w:t>
      </w:r>
      <w:r w:rsidR="00C439B8">
        <w:t xml:space="preserve">to </w:t>
      </w:r>
      <w:r w:rsidR="00860DB7">
        <w:t>27 percent</w:t>
      </w:r>
      <w:r w:rsidRPr="00991993">
        <w:t xml:space="preserve"> for women </w:t>
      </w:r>
      <w:r w:rsidR="00E12159" w:rsidRPr="00991993">
        <w:fldChar w:fldCharType="begin"/>
      </w:r>
      <w:r w:rsidRPr="00991993">
        <w:instrText xml:space="preserve"> </w:instrText>
      </w:r>
      <w:r w:rsidR="009F7A22">
        <w:instrText>ADDIN</w:instrText>
      </w:r>
      <w:r w:rsidRPr="00991993">
        <w:instrText xml:space="preserve"> EN.CITE &lt;EndNote&gt;&lt;Cite&gt;&lt;Author&gt;UNDP&lt;/Author&gt;&lt;Year&gt;2010&lt;/Year&gt;&lt;RecNum&gt;39&lt;/RecNum&gt;&lt;DisplayText&gt;(UNDP, 2010)&lt;/DisplayText&gt;&lt;record&gt;&lt;rec-number&gt;39&lt;/rec-number&gt;&lt;foreign-keys&gt;&lt;key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rsidRPr="00991993">
        <w:fldChar w:fldCharType="separate"/>
      </w:r>
      <w:r w:rsidRPr="00991993">
        <w:rPr>
          <w:noProof/>
        </w:rPr>
        <w:t>(</w:t>
      </w:r>
      <w:hyperlink w:anchor="_ENREF_56" w:tooltip="UNDP, 2010 #39" w:history="1">
        <w:r w:rsidR="006A1532" w:rsidRPr="00991993">
          <w:rPr>
            <w:noProof/>
          </w:rPr>
          <w:t>UNDP, 2010</w:t>
        </w:r>
      </w:hyperlink>
      <w:r w:rsidRPr="00991993">
        <w:rPr>
          <w:noProof/>
        </w:rPr>
        <w:t>)</w:t>
      </w:r>
      <w:r w:rsidR="00E12159" w:rsidRPr="00991993">
        <w:fldChar w:fldCharType="end"/>
      </w:r>
      <w:r w:rsidRPr="00991993">
        <w:t xml:space="preserve">. </w:t>
      </w:r>
      <w:r w:rsidR="000165B6">
        <w:t>Since a</w:t>
      </w:r>
      <w:r w:rsidRPr="00991993">
        <w:t xml:space="preserve"> majority of women who are economically inactiv</w:t>
      </w:r>
      <w:r w:rsidR="000165B6">
        <w:t>e are housewives, d</w:t>
      </w:r>
      <w:r w:rsidRPr="00991993">
        <w:t xml:space="preserve">omestic responsibilities </w:t>
      </w:r>
      <w:r w:rsidR="00392B2E">
        <w:t>seem to</w:t>
      </w:r>
      <w:r w:rsidR="000165B6">
        <w:t xml:space="preserve"> </w:t>
      </w:r>
      <w:r w:rsidRPr="00991993">
        <w:t xml:space="preserve">hinder access to </w:t>
      </w:r>
      <w:r w:rsidR="000165B6">
        <w:t xml:space="preserve">the </w:t>
      </w:r>
      <w:r w:rsidRPr="00991993">
        <w:t xml:space="preserve">labor market, the development of skills, and leave women in a condition of economic dependency and vulnerability </w:t>
      </w:r>
      <w:r w:rsidR="00E12159" w:rsidRPr="00991993">
        <w:fldChar w:fldCharType="begin"/>
      </w:r>
      <w:r w:rsidRPr="00991993">
        <w:instrText xml:space="preserve"> </w:instrText>
      </w:r>
      <w:r w:rsidR="009F7A22">
        <w:instrText>ADDIN</w:instrText>
      </w:r>
      <w:r w:rsidRPr="00991993">
        <w:instrText xml:space="preserve"> EN.CITE &lt;EndNote&gt;&lt;Cite&gt;&lt;Author&gt;UNDP&lt;/Author&gt;&lt;Year&gt;2010&lt;/Year&gt;&lt;RecNum&gt;39&lt;/RecNum&gt;&lt;DisplayText&gt;(UNDP, 2010)&lt;/DisplayText&gt;&lt;record&gt;&lt;rec-number&gt;39&lt;/rec-number&gt;&lt;foreign-keys&gt;&lt;key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rsidRPr="00991993">
        <w:fldChar w:fldCharType="separate"/>
      </w:r>
      <w:r w:rsidRPr="00991993">
        <w:rPr>
          <w:noProof/>
        </w:rPr>
        <w:t>(</w:t>
      </w:r>
      <w:hyperlink w:anchor="_ENREF_56" w:tooltip="UNDP, 2010 #39" w:history="1">
        <w:r w:rsidR="006A1532" w:rsidRPr="00991993">
          <w:rPr>
            <w:noProof/>
          </w:rPr>
          <w:t>UNDP, 2010</w:t>
        </w:r>
      </w:hyperlink>
      <w:r w:rsidRPr="00991993">
        <w:rPr>
          <w:noProof/>
        </w:rPr>
        <w:t>)</w:t>
      </w:r>
      <w:r w:rsidR="00E12159" w:rsidRPr="00991993">
        <w:fldChar w:fldCharType="end"/>
      </w:r>
      <w:r w:rsidRPr="00991993">
        <w:t>.</w:t>
      </w:r>
    </w:p>
    <w:p w14:paraId="760AE1CD" w14:textId="203DA8BF" w:rsidR="0010102D" w:rsidRDefault="0010102D" w:rsidP="00450916">
      <w:pPr>
        <w:pStyle w:val="MainParawithChapter"/>
        <w:ind w:left="0" w:firstLine="0"/>
        <w:jc w:val="both"/>
        <w:outlineLvl w:val="9"/>
      </w:pPr>
      <w:r w:rsidRPr="00674529">
        <w:rPr>
          <w:b/>
        </w:rPr>
        <w:t xml:space="preserve">The combination of high fertility rates and low female labor participation results in high </w:t>
      </w:r>
      <w:r w:rsidRPr="00450916">
        <w:rPr>
          <w:b/>
          <w:bCs/>
          <w:color w:val="000000" w:themeColor="text1"/>
        </w:rPr>
        <w:t>household</w:t>
      </w:r>
      <w:r w:rsidRPr="00674529">
        <w:rPr>
          <w:b/>
        </w:rPr>
        <w:t xml:space="preserve"> dependency ratio</w:t>
      </w:r>
      <w:r>
        <w:rPr>
          <w:b/>
        </w:rPr>
        <w:t xml:space="preserve">s that are among the main correlates of poverty. </w:t>
      </w:r>
      <w:r w:rsidRPr="001C5903">
        <w:t xml:space="preserve">Poverty rates increase in line with household size, e.g. </w:t>
      </w:r>
      <w:r>
        <w:t xml:space="preserve">based on the 2007 TLSS, families with three or more children below </w:t>
      </w:r>
      <w:r w:rsidR="00C439B8">
        <w:t>the age 15 make up 53</w:t>
      </w:r>
      <w:r>
        <w:t xml:space="preserve"> percent of the total </w:t>
      </w:r>
      <w:r w:rsidR="00C439B8">
        <w:t>population, but account for 63</w:t>
      </w:r>
      <w:r>
        <w:t xml:space="preserve"> percent of the poor, as compared to households with </w:t>
      </w:r>
      <w:r w:rsidR="00C439B8">
        <w:t xml:space="preserve">no children that </w:t>
      </w:r>
      <w:r w:rsidR="00064616">
        <w:t>constitute</w:t>
      </w:r>
      <w:r w:rsidR="00C439B8">
        <w:t xml:space="preserve"> 11</w:t>
      </w:r>
      <w:r>
        <w:t xml:space="preserve"> percent</w:t>
      </w:r>
      <w:r w:rsidR="00C439B8">
        <w:t xml:space="preserve"> of the </w:t>
      </w:r>
      <w:r w:rsidR="00064616">
        <w:t xml:space="preserve">total </w:t>
      </w:r>
      <w:r w:rsidR="00C439B8">
        <w:t>population, but only 7</w:t>
      </w:r>
      <w:r>
        <w:t xml:space="preserve"> percent of the poor.</w:t>
      </w:r>
      <w:r w:rsidR="0098135D">
        <w:t xml:space="preserve"> H</w:t>
      </w:r>
      <w:r w:rsidR="00112AF7">
        <w:t>igh total fertility rates (</w:t>
      </w:r>
      <w:r w:rsidR="0098135D">
        <w:t xml:space="preserve">on average </w:t>
      </w:r>
      <w:r w:rsidR="00112AF7">
        <w:t>more than</w:t>
      </w:r>
      <w:r w:rsidR="0098135D">
        <w:t xml:space="preserve"> three births per women)</w:t>
      </w:r>
      <w:r w:rsidR="00112AF7">
        <w:t xml:space="preserve"> </w:t>
      </w:r>
      <w:r w:rsidR="0098135D">
        <w:t>in combination with low rates of economically active women result in high dependency ratios within household</w:t>
      </w:r>
      <w:r w:rsidR="00EE5586">
        <w:t>s that represent</w:t>
      </w:r>
      <w:r w:rsidR="0098135D">
        <w:t xml:space="preserve"> crucial barrier</w:t>
      </w:r>
      <w:r w:rsidR="00EE5586">
        <w:t>s</w:t>
      </w:r>
      <w:r w:rsidR="0098135D">
        <w:t xml:space="preserve"> to poverty reduction </w:t>
      </w:r>
      <w:r w:rsidR="00E12159">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fldChar w:fldCharType="separate"/>
      </w:r>
      <w:r w:rsidR="00AD2051">
        <w:rPr>
          <w:noProof/>
        </w:rPr>
        <w:t>(</w:t>
      </w:r>
      <w:hyperlink w:anchor="_ENREF_77" w:tooltip="World Bank, 2009 #35" w:history="1">
        <w:r w:rsidR="006A1532">
          <w:rPr>
            <w:noProof/>
          </w:rPr>
          <w:t>World Bank, 2009c</w:t>
        </w:r>
      </w:hyperlink>
      <w:r w:rsidR="00AD2051">
        <w:rPr>
          <w:noProof/>
        </w:rPr>
        <w:t>)</w:t>
      </w:r>
      <w:r w:rsidR="00E12159">
        <w:fldChar w:fldCharType="end"/>
      </w:r>
      <w:r>
        <w:t>.</w:t>
      </w:r>
    </w:p>
    <w:p w14:paraId="1A8570A8" w14:textId="77777777" w:rsidR="0010102D" w:rsidRPr="0010102D" w:rsidRDefault="0010102D" w:rsidP="00450916">
      <w:pPr>
        <w:pStyle w:val="MainParawithChapter"/>
        <w:ind w:left="0" w:firstLine="0"/>
        <w:jc w:val="both"/>
        <w:outlineLvl w:val="9"/>
        <w:rPr>
          <w:b/>
        </w:rPr>
      </w:pPr>
      <w:r w:rsidRPr="0010102D">
        <w:rPr>
          <w:b/>
        </w:rPr>
        <w:lastRenderedPageBreak/>
        <w:t xml:space="preserve">Women </w:t>
      </w:r>
      <w:r w:rsidRPr="00450916">
        <w:rPr>
          <w:b/>
          <w:bCs/>
          <w:color w:val="000000" w:themeColor="text1"/>
        </w:rPr>
        <w:t>constitute</w:t>
      </w:r>
      <w:r w:rsidRPr="0010102D">
        <w:rPr>
          <w:b/>
        </w:rPr>
        <w:t xml:space="preserve"> less than half of the total employed in Tajikistan</w:t>
      </w:r>
      <w:r w:rsidR="005402C9">
        <w:rPr>
          <w:b/>
        </w:rPr>
        <w:t>,</w:t>
      </w:r>
      <w:r w:rsidRPr="0010102D">
        <w:rPr>
          <w:b/>
        </w:rPr>
        <w:t xml:space="preserve"> and there is an apparent association between gender and status of employment</w:t>
      </w:r>
      <w:r w:rsidR="005402C9">
        <w:rPr>
          <w:b/>
        </w:rPr>
        <w:t>.</w:t>
      </w:r>
      <w:r>
        <w:t xml:space="preserve"> In 2009, 43 percent of the employed</w:t>
      </w:r>
      <w:r w:rsidR="005402C9">
        <w:t xml:space="preserve"> in Tajikistan</w:t>
      </w:r>
      <w:r>
        <w:t xml:space="preserve"> were females</w:t>
      </w:r>
      <w:r w:rsidR="005402C9">
        <w:t>, thereby closely reflecting the share of women in the total labor force</w:t>
      </w:r>
      <w:r w:rsidR="00C604F4">
        <w:t>. However, g</w:t>
      </w:r>
      <w:r>
        <w:t xml:space="preserve">ender disparities </w:t>
      </w:r>
      <w:r w:rsidR="00C604F4">
        <w:t>vary</w:t>
      </w:r>
      <w:r>
        <w:t xml:space="preserve"> </w:t>
      </w:r>
      <w:r w:rsidRPr="0010102D">
        <w:t xml:space="preserve">across </w:t>
      </w:r>
      <w:r w:rsidR="002A105A">
        <w:t>other</w:t>
      </w:r>
      <w:r w:rsidRPr="0010102D">
        <w:t xml:space="preserve"> employment statuses (see </w:t>
      </w:r>
      <w:r w:rsidR="00E12159" w:rsidRPr="0010102D">
        <w:fldChar w:fldCharType="begin"/>
      </w:r>
      <w:r w:rsidRPr="0010102D">
        <w:instrText xml:space="preserve"> </w:instrText>
      </w:r>
      <w:r w:rsidR="009F7A22">
        <w:instrText>REF</w:instrText>
      </w:r>
      <w:r w:rsidRPr="0010102D">
        <w:instrText xml:space="preserve"> _Ref219801594 \h </w:instrText>
      </w:r>
      <w:r w:rsidR="00E12159" w:rsidRPr="0010102D">
        <w:fldChar w:fldCharType="separate"/>
      </w:r>
      <w:r w:rsidR="00183FFF" w:rsidRPr="0010102D">
        <w:rPr>
          <w:b/>
          <w:sz w:val="22"/>
          <w:szCs w:val="22"/>
        </w:rPr>
        <w:t xml:space="preserve">Figure </w:t>
      </w:r>
      <w:r w:rsidR="00183FFF">
        <w:rPr>
          <w:b/>
          <w:noProof/>
          <w:sz w:val="22"/>
          <w:szCs w:val="22"/>
        </w:rPr>
        <w:t>14</w:t>
      </w:r>
      <w:r w:rsidR="00E12159" w:rsidRPr="0010102D">
        <w:fldChar w:fldCharType="end"/>
      </w:r>
      <w:r w:rsidRPr="0010102D">
        <w:t>): The most pronounced differences</w:t>
      </w:r>
      <w:r>
        <w:t xml:space="preserve"> skewed towards men emerg</w:t>
      </w:r>
      <w:r w:rsidR="00591725">
        <w:t xml:space="preserve">e with regard to employers </w:t>
      </w:r>
      <w:r>
        <w:t>(88 percent com</w:t>
      </w:r>
      <w:r w:rsidR="005402C9">
        <w:t>pared to 12 percent)</w:t>
      </w:r>
      <w:r w:rsidR="00F651C6">
        <w:t>, pointing towards limited entrepreneurial activities of women (see below)</w:t>
      </w:r>
      <w:r w:rsidR="0099754D">
        <w:t>, but also with regard to family workers and own-account workers</w:t>
      </w:r>
      <w:r w:rsidR="005402C9">
        <w:t>. Women are disproportionately present among employees and particularly in</w:t>
      </w:r>
      <w:r>
        <w:t xml:space="preserve"> productive cooperatives, where they constitute approximately two thirds of all members.</w:t>
      </w:r>
    </w:p>
    <w:p w14:paraId="0C3FA830" w14:textId="77777777" w:rsidR="0010102D" w:rsidRDefault="0010102D" w:rsidP="001F5E41">
      <w:pPr>
        <w:spacing w:after="60"/>
        <w:jc w:val="center"/>
        <w:rPr>
          <w:b/>
          <w:sz w:val="22"/>
          <w:szCs w:val="22"/>
        </w:rPr>
      </w:pPr>
      <w:bookmarkStart w:id="53" w:name="_Ref219801594"/>
      <w:bookmarkStart w:id="54" w:name="_Toc219987864"/>
      <w:bookmarkStart w:id="55" w:name="_Toc232694752"/>
      <w:proofErr w:type="gramStart"/>
      <w:r w:rsidRPr="0010102D">
        <w:rPr>
          <w:b/>
          <w:sz w:val="22"/>
          <w:szCs w:val="22"/>
        </w:rPr>
        <w:t xml:space="preserve">Figure </w:t>
      </w:r>
      <w:r w:rsidR="00E12159" w:rsidRPr="0010102D">
        <w:rPr>
          <w:b/>
          <w:sz w:val="22"/>
          <w:szCs w:val="22"/>
        </w:rPr>
        <w:fldChar w:fldCharType="begin"/>
      </w:r>
      <w:r w:rsidRPr="0010102D">
        <w:rPr>
          <w:b/>
          <w:sz w:val="22"/>
          <w:szCs w:val="22"/>
        </w:rPr>
        <w:instrText xml:space="preserve"> </w:instrText>
      </w:r>
      <w:r w:rsidR="009F7A22">
        <w:rPr>
          <w:b/>
          <w:sz w:val="22"/>
          <w:szCs w:val="22"/>
        </w:rPr>
        <w:instrText>SEQ</w:instrText>
      </w:r>
      <w:r w:rsidRPr="0010102D">
        <w:rPr>
          <w:b/>
          <w:sz w:val="22"/>
          <w:szCs w:val="22"/>
        </w:rPr>
        <w:instrText xml:space="preserve"> Figure \* ARABIC </w:instrText>
      </w:r>
      <w:r w:rsidR="00E12159" w:rsidRPr="0010102D">
        <w:rPr>
          <w:b/>
          <w:sz w:val="22"/>
          <w:szCs w:val="22"/>
        </w:rPr>
        <w:fldChar w:fldCharType="separate"/>
      </w:r>
      <w:r w:rsidR="00183FFF">
        <w:rPr>
          <w:b/>
          <w:noProof/>
          <w:sz w:val="22"/>
          <w:szCs w:val="22"/>
        </w:rPr>
        <w:t>14</w:t>
      </w:r>
      <w:r w:rsidR="00E12159" w:rsidRPr="0010102D">
        <w:rPr>
          <w:b/>
          <w:sz w:val="22"/>
          <w:szCs w:val="22"/>
        </w:rPr>
        <w:fldChar w:fldCharType="end"/>
      </w:r>
      <w:bookmarkEnd w:id="53"/>
      <w:r w:rsidRPr="0010102D">
        <w:rPr>
          <w:b/>
          <w:sz w:val="22"/>
          <w:szCs w:val="22"/>
        </w:rPr>
        <w:t>.</w:t>
      </w:r>
      <w:proofErr w:type="gramEnd"/>
      <w:r w:rsidRPr="0010102D">
        <w:rPr>
          <w:b/>
          <w:sz w:val="22"/>
          <w:szCs w:val="22"/>
        </w:rPr>
        <w:t xml:space="preserve"> Employment status </w:t>
      </w:r>
      <w:r w:rsidR="00410BB0">
        <w:rPr>
          <w:b/>
          <w:sz w:val="22"/>
          <w:szCs w:val="22"/>
        </w:rPr>
        <w:t xml:space="preserve">(%), </w:t>
      </w:r>
      <w:r w:rsidRPr="0010102D">
        <w:rPr>
          <w:b/>
          <w:sz w:val="22"/>
          <w:szCs w:val="22"/>
        </w:rPr>
        <w:t xml:space="preserve">by </w:t>
      </w:r>
      <w:r w:rsidR="00410BB0">
        <w:rPr>
          <w:b/>
          <w:sz w:val="22"/>
          <w:szCs w:val="22"/>
        </w:rPr>
        <w:t>gender</w:t>
      </w:r>
      <w:r w:rsidRPr="0010102D">
        <w:rPr>
          <w:b/>
          <w:sz w:val="22"/>
          <w:szCs w:val="22"/>
        </w:rPr>
        <w:t>, 2009</w:t>
      </w:r>
      <w:bookmarkEnd w:id="54"/>
      <w:bookmarkEnd w:id="55"/>
    </w:p>
    <w:p w14:paraId="0123F409" w14:textId="77777777" w:rsidR="0010102D" w:rsidRPr="0010102D" w:rsidRDefault="0010102D" w:rsidP="001F5E41">
      <w:pPr>
        <w:spacing w:after="60"/>
        <w:jc w:val="center"/>
        <w:rPr>
          <w:b/>
          <w:sz w:val="22"/>
          <w:szCs w:val="22"/>
        </w:rPr>
      </w:pPr>
      <w:r>
        <w:rPr>
          <w:noProof/>
        </w:rPr>
        <w:drawing>
          <wp:inline distT="0" distB="0" distL="0" distR="0" wp14:anchorId="781FD6A5" wp14:editId="787A62DC">
            <wp:extent cx="5486400" cy="2158170"/>
            <wp:effectExtent l="0" t="0" r="25400" b="26670"/>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B55B264" w14:textId="77777777" w:rsidR="0010102D" w:rsidRPr="001F5E41" w:rsidRDefault="0010102D" w:rsidP="001F5E41">
      <w:pPr>
        <w:jc w:val="both"/>
        <w:rPr>
          <w:sz w:val="22"/>
          <w:szCs w:val="22"/>
        </w:rPr>
      </w:pPr>
      <w:r w:rsidRPr="001F5E41">
        <w:rPr>
          <w:i/>
          <w:sz w:val="22"/>
          <w:szCs w:val="22"/>
        </w:rPr>
        <w:t>Notes:</w:t>
      </w:r>
      <w:r w:rsidRPr="001F5E41">
        <w:rPr>
          <w:sz w:val="22"/>
          <w:szCs w:val="22"/>
        </w:rPr>
        <w:t xml:space="preserve"> Status of employment is defined with reference to the distinction between 'paid employment' and 'self-employment' jobs. See </w:t>
      </w:r>
      <w:hyperlink r:id="rId41" w:history="1">
        <w:r w:rsidRPr="001F5E41">
          <w:rPr>
            <w:sz w:val="22"/>
            <w:szCs w:val="22"/>
          </w:rPr>
          <w:t>http://laborsta.ilo.org/definition_E.html</w:t>
        </w:r>
      </w:hyperlink>
      <w:r w:rsidRPr="001F5E41">
        <w:rPr>
          <w:sz w:val="22"/>
          <w:szCs w:val="22"/>
        </w:rPr>
        <w:t xml:space="preserve"> for detailed definitions of all categories. </w:t>
      </w:r>
    </w:p>
    <w:p w14:paraId="01A99E38" w14:textId="77777777" w:rsidR="0010102D" w:rsidRPr="001F5E41" w:rsidRDefault="0010102D" w:rsidP="001F5E41">
      <w:pPr>
        <w:jc w:val="both"/>
        <w:rPr>
          <w:sz w:val="22"/>
          <w:szCs w:val="22"/>
        </w:rPr>
      </w:pPr>
      <w:r w:rsidRPr="001F5E41">
        <w:rPr>
          <w:i/>
          <w:sz w:val="22"/>
          <w:szCs w:val="22"/>
        </w:rPr>
        <w:t>Source:</w:t>
      </w:r>
      <w:r w:rsidRPr="001F5E41">
        <w:rPr>
          <w:sz w:val="22"/>
          <w:szCs w:val="22"/>
        </w:rPr>
        <w:t xml:space="preserve"> Statistical Database, United Nations Economic Commission for Europe, Geneva, </w:t>
      </w:r>
      <w:hyperlink r:id="rId42" w:history="1">
        <w:r w:rsidRPr="001F5E41">
          <w:rPr>
            <w:sz w:val="22"/>
            <w:szCs w:val="22"/>
          </w:rPr>
          <w:t>http://w3.unece.org/pxweb/</w:t>
        </w:r>
      </w:hyperlink>
      <w:r w:rsidRPr="001F5E41">
        <w:rPr>
          <w:sz w:val="22"/>
          <w:szCs w:val="22"/>
        </w:rPr>
        <w:t>.</w:t>
      </w:r>
    </w:p>
    <w:p w14:paraId="63277AE5" w14:textId="77777777" w:rsidR="0010102D" w:rsidRDefault="0010102D" w:rsidP="001F5E41"/>
    <w:p w14:paraId="7CA29801" w14:textId="6064F7B6" w:rsidR="0099754D" w:rsidRPr="00B46061" w:rsidRDefault="0010102D" w:rsidP="00450916">
      <w:pPr>
        <w:pStyle w:val="MainParawithChapter"/>
        <w:ind w:left="0" w:firstLine="0"/>
        <w:jc w:val="both"/>
        <w:outlineLvl w:val="9"/>
        <w:rPr>
          <w:color w:val="000000" w:themeColor="text1"/>
        </w:rPr>
      </w:pPr>
      <w:r w:rsidRPr="0010102D">
        <w:rPr>
          <w:b/>
        </w:rPr>
        <w:t>Gender gaps in unemployment rates are n</w:t>
      </w:r>
      <w:r w:rsidR="0099754D">
        <w:rPr>
          <w:b/>
        </w:rPr>
        <w:t xml:space="preserve">egligible, similar to other </w:t>
      </w:r>
      <w:r w:rsidRPr="0010102D">
        <w:rPr>
          <w:b/>
        </w:rPr>
        <w:t>countries</w:t>
      </w:r>
      <w:r w:rsidR="0099754D">
        <w:rPr>
          <w:b/>
        </w:rPr>
        <w:t xml:space="preserve"> in Europe and </w:t>
      </w:r>
      <w:r w:rsidR="0099754D" w:rsidRPr="00450916">
        <w:rPr>
          <w:b/>
          <w:bCs/>
          <w:color w:val="000000" w:themeColor="text1"/>
        </w:rPr>
        <w:t>Central</w:t>
      </w:r>
      <w:r w:rsidR="0099754D">
        <w:rPr>
          <w:b/>
        </w:rPr>
        <w:t xml:space="preserve"> Asia</w:t>
      </w:r>
      <w:r w:rsidRPr="0010102D">
        <w:rPr>
          <w:b/>
        </w:rPr>
        <w:t xml:space="preserve">. </w:t>
      </w:r>
      <w:r w:rsidRPr="0010102D">
        <w:rPr>
          <w:color w:val="000000" w:themeColor="text1"/>
        </w:rPr>
        <w:t xml:space="preserve">In terms of unemployment, no </w:t>
      </w:r>
      <w:r w:rsidRPr="00766005">
        <w:t>specific</w:t>
      </w:r>
      <w:r w:rsidRPr="0010102D">
        <w:rPr>
          <w:color w:val="000000" w:themeColor="text1"/>
        </w:rPr>
        <w:t xml:space="preserve"> gender differences are prevalent, as unem</w:t>
      </w:r>
      <w:r w:rsidR="009359D2">
        <w:rPr>
          <w:color w:val="000000" w:themeColor="text1"/>
        </w:rPr>
        <w:t>ployment rates in 2009 were 11 and 12</w:t>
      </w:r>
      <w:r w:rsidRPr="0010102D">
        <w:rPr>
          <w:color w:val="000000" w:themeColor="text1"/>
        </w:rPr>
        <w:t xml:space="preserve"> percent for women and men respectively </w:t>
      </w:r>
      <w:r w:rsidR="00E12159" w:rsidRPr="0010102D">
        <w:rPr>
          <w:color w:val="000000" w:themeColor="text1"/>
        </w:rPr>
        <w:fldChar w:fldCharType="begin"/>
      </w:r>
      <w:r w:rsidRPr="0010102D">
        <w:rPr>
          <w:color w:val="000000" w:themeColor="text1"/>
        </w:rPr>
        <w:instrText xml:space="preserve"> </w:instrText>
      </w:r>
      <w:r w:rsidR="009F7A22">
        <w:rPr>
          <w:color w:val="000000" w:themeColor="text1"/>
        </w:rPr>
        <w:instrText>ADDIN</w:instrText>
      </w:r>
      <w:r w:rsidRPr="0010102D">
        <w:rPr>
          <w:color w:val="000000" w:themeColor="text1"/>
        </w:rPr>
        <w:instrText xml:space="preserve">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rsidR="00E12159" w:rsidRPr="0010102D">
        <w:rPr>
          <w:color w:val="000000" w:themeColor="text1"/>
        </w:rPr>
        <w:fldChar w:fldCharType="separate"/>
      </w:r>
      <w:r w:rsidRPr="0010102D">
        <w:rPr>
          <w:noProof/>
          <w:color w:val="000000" w:themeColor="text1"/>
        </w:rPr>
        <w:t>(</w:t>
      </w:r>
      <w:hyperlink w:anchor="_ENREF_58" w:tooltip="UNECE, 2012 #33" w:history="1">
        <w:r w:rsidR="006A1532" w:rsidRPr="0010102D">
          <w:rPr>
            <w:noProof/>
            <w:color w:val="000000" w:themeColor="text1"/>
          </w:rPr>
          <w:t>UNECE, 2012</w:t>
        </w:r>
      </w:hyperlink>
      <w:r w:rsidRPr="0010102D">
        <w:rPr>
          <w:noProof/>
          <w:color w:val="000000" w:themeColor="text1"/>
        </w:rPr>
        <w:t>)</w:t>
      </w:r>
      <w:r w:rsidR="00E12159" w:rsidRPr="0010102D">
        <w:rPr>
          <w:color w:val="000000" w:themeColor="text1"/>
        </w:rPr>
        <w:fldChar w:fldCharType="end"/>
      </w:r>
      <w:r w:rsidR="007948A2">
        <w:rPr>
          <w:color w:val="000000" w:themeColor="text1"/>
        </w:rPr>
        <w:t>. T</w:t>
      </w:r>
      <w:r w:rsidR="00847D14">
        <w:rPr>
          <w:color w:val="000000" w:themeColor="text1"/>
        </w:rPr>
        <w:t xml:space="preserve">his finding reflects the overall small gender gap in </w:t>
      </w:r>
      <w:r w:rsidR="00847D14" w:rsidRPr="00B46061">
        <w:rPr>
          <w:color w:val="000000" w:themeColor="text1"/>
        </w:rPr>
        <w:t>unemployment rates in the region</w:t>
      </w:r>
      <w:r w:rsidRPr="00B46061">
        <w:rPr>
          <w:color w:val="000000" w:themeColor="text1"/>
        </w:rPr>
        <w:t>. Furthermore, long-term unemployment reportedly is not a</w:t>
      </w:r>
      <w:r w:rsidR="00D97266">
        <w:rPr>
          <w:color w:val="000000" w:themeColor="text1"/>
        </w:rPr>
        <w:t xml:space="preserve"> major</w:t>
      </w:r>
      <w:r w:rsidRPr="00B46061">
        <w:rPr>
          <w:color w:val="000000" w:themeColor="text1"/>
        </w:rPr>
        <w:t xml:space="preserve"> problem in Tajikistan, and results of the 2007 TLSS suggest that there are no gender differences regarding the incidence of long-term unemployment, though the median duration is higher for women (24 months) than for men (18 months) </w:t>
      </w:r>
      <w:r w:rsidR="00E12159" w:rsidRPr="00B46061">
        <w:rPr>
          <w:color w:val="000000" w:themeColor="text1"/>
        </w:rPr>
        <w:fldChar w:fldCharType="begin"/>
      </w:r>
      <w:r w:rsidR="006A1532">
        <w:rPr>
          <w:color w:val="000000" w:themeColor="text1"/>
        </w:rPr>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rsidRPr="00B46061">
        <w:rPr>
          <w:color w:val="000000" w:themeColor="text1"/>
        </w:rPr>
        <w:fldChar w:fldCharType="separate"/>
      </w:r>
      <w:r w:rsidR="00AD2051">
        <w:rPr>
          <w:noProof/>
          <w:color w:val="000000" w:themeColor="text1"/>
        </w:rPr>
        <w:t>(</w:t>
      </w:r>
      <w:hyperlink w:anchor="_ENREF_77" w:tooltip="World Bank, 2009 #35" w:history="1">
        <w:r w:rsidR="006A1532">
          <w:rPr>
            <w:noProof/>
            <w:color w:val="000000" w:themeColor="text1"/>
          </w:rPr>
          <w:t>World Bank, 2009c</w:t>
        </w:r>
      </w:hyperlink>
      <w:r w:rsidR="00AD2051">
        <w:rPr>
          <w:noProof/>
          <w:color w:val="000000" w:themeColor="text1"/>
        </w:rPr>
        <w:t>)</w:t>
      </w:r>
      <w:r w:rsidR="00E12159" w:rsidRPr="00B46061">
        <w:rPr>
          <w:color w:val="000000" w:themeColor="text1"/>
        </w:rPr>
        <w:fldChar w:fldCharType="end"/>
      </w:r>
      <w:r w:rsidRPr="00B46061">
        <w:rPr>
          <w:color w:val="000000" w:themeColor="text1"/>
        </w:rPr>
        <w:t>.</w:t>
      </w:r>
      <w:bookmarkStart w:id="56" w:name="_Ref219952698"/>
      <w:bookmarkStart w:id="57" w:name="_Toc219987868"/>
      <w:r w:rsidR="0099754D" w:rsidRPr="00B46061">
        <w:rPr>
          <w:b/>
          <w:color w:val="000000" w:themeColor="text1"/>
        </w:rPr>
        <w:t xml:space="preserve"> </w:t>
      </w:r>
    </w:p>
    <w:p w14:paraId="04AE4A7D" w14:textId="011AB54D" w:rsidR="00FC4B48" w:rsidRPr="003A6F6D" w:rsidRDefault="0099754D" w:rsidP="003A6F6D">
      <w:pPr>
        <w:pStyle w:val="MainParawithChapter"/>
        <w:tabs>
          <w:tab w:val="clear" w:pos="720"/>
        </w:tabs>
        <w:ind w:left="0" w:firstLine="0"/>
        <w:jc w:val="both"/>
        <w:outlineLvl w:val="9"/>
        <w:rPr>
          <w:color w:val="000000" w:themeColor="text1"/>
        </w:rPr>
      </w:pPr>
      <w:r w:rsidRPr="003A6F6D">
        <w:rPr>
          <w:b/>
          <w:color w:val="000000" w:themeColor="text1"/>
        </w:rPr>
        <w:t xml:space="preserve">Women are disproportionately present in the agricultural sector, as well as elementary </w:t>
      </w:r>
      <w:r w:rsidRPr="003A6F6D">
        <w:rPr>
          <w:b/>
          <w:bCs/>
          <w:color w:val="000000" w:themeColor="text1"/>
        </w:rPr>
        <w:t>occupations</w:t>
      </w:r>
      <w:r w:rsidRPr="003A6F6D">
        <w:rPr>
          <w:b/>
          <w:color w:val="000000" w:themeColor="text1"/>
        </w:rPr>
        <w:t xml:space="preserve">, i.e. low-productivity and low-paid activities. </w:t>
      </w:r>
      <w:r w:rsidRPr="003A6F6D">
        <w:rPr>
          <w:color w:val="000000" w:themeColor="text1"/>
        </w:rPr>
        <w:t xml:space="preserve">In 2004, three quarters of employed women worked in agriculture, followed by 20 percent in services, and the remaining 5 percent in industry. Agriculture is also the most important, though less prevalent sector of employment for men (42 percent), before services (31 percent) and industry (27 percent). As a result, male workers dominate the industrial and service </w:t>
      </w:r>
      <w:r w:rsidRPr="003A6F6D">
        <w:rPr>
          <w:color w:val="000000" w:themeColor="text1"/>
        </w:rPr>
        <w:lastRenderedPageBreak/>
        <w:t xml:space="preserve">sectors (89 percent and 69 percent respectively), but women constitute more than half of the working force in agriculture </w:t>
      </w:r>
      <w:r w:rsidR="00E12159" w:rsidRPr="003A6F6D">
        <w:rPr>
          <w:color w:val="000000" w:themeColor="text1"/>
        </w:rPr>
        <w:fldChar w:fldCharType="begin"/>
      </w:r>
      <w:r w:rsidRPr="003A6F6D">
        <w:rPr>
          <w:color w:val="000000" w:themeColor="text1"/>
        </w:rPr>
        <w:instrText xml:space="preserve"> </w:instrText>
      </w:r>
      <w:r w:rsidR="009F7A22">
        <w:rPr>
          <w:color w:val="000000" w:themeColor="text1"/>
        </w:rPr>
        <w:instrText>ADDIN</w:instrText>
      </w:r>
      <w:r w:rsidRPr="003A6F6D">
        <w:rPr>
          <w:color w:val="000000" w:themeColor="text1"/>
        </w:rPr>
        <w:instrText xml:space="preserve">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rsidR="00E12159" w:rsidRPr="003A6F6D">
        <w:rPr>
          <w:color w:val="000000" w:themeColor="text1"/>
        </w:rPr>
        <w:fldChar w:fldCharType="separate"/>
      </w:r>
      <w:r w:rsidRPr="003A6F6D">
        <w:rPr>
          <w:noProof/>
          <w:color w:val="000000" w:themeColor="text1"/>
        </w:rPr>
        <w:t>(</w:t>
      </w:r>
      <w:hyperlink w:anchor="_ENREF_58" w:tooltip="UNECE, 2012 #33" w:history="1">
        <w:r w:rsidR="006A1532" w:rsidRPr="003A6F6D">
          <w:rPr>
            <w:noProof/>
            <w:color w:val="000000" w:themeColor="text1"/>
          </w:rPr>
          <w:t>UNECE, 2012</w:t>
        </w:r>
      </w:hyperlink>
      <w:r w:rsidRPr="003A6F6D">
        <w:rPr>
          <w:noProof/>
          <w:color w:val="000000" w:themeColor="text1"/>
        </w:rPr>
        <w:t>)</w:t>
      </w:r>
      <w:r w:rsidR="00E12159" w:rsidRPr="003A6F6D">
        <w:rPr>
          <w:color w:val="000000" w:themeColor="text1"/>
        </w:rPr>
        <w:fldChar w:fldCharType="end"/>
      </w:r>
      <w:r w:rsidRPr="003A6F6D">
        <w:rPr>
          <w:color w:val="000000" w:themeColor="text1"/>
        </w:rPr>
        <w:t xml:space="preserve">. The concentration of women in the agricultural sector is a source of concern, since payment levels are the lowest in </w:t>
      </w:r>
      <w:proofErr w:type="spellStart"/>
      <w:r w:rsidRPr="003A6F6D">
        <w:rPr>
          <w:color w:val="000000" w:themeColor="text1"/>
        </w:rPr>
        <w:t>sectoral</w:t>
      </w:r>
      <w:proofErr w:type="spellEnd"/>
      <w:r w:rsidRPr="003A6F6D">
        <w:rPr>
          <w:color w:val="000000" w:themeColor="text1"/>
        </w:rPr>
        <w:t xml:space="preserve"> comparison. In addition, the generation of stable income is closely related to the right to land – which is, however, mostly owned by men </w:t>
      </w:r>
      <w:r w:rsidR="00E12159" w:rsidRPr="003A6F6D">
        <w:rPr>
          <w:color w:val="000000" w:themeColor="text1"/>
        </w:rPr>
        <w:fldChar w:fldCharType="begin"/>
      </w:r>
      <w:r w:rsidRPr="003A6F6D">
        <w:rPr>
          <w:color w:val="000000" w:themeColor="text1"/>
        </w:rPr>
        <w:instrText xml:space="preserve"> </w:instrText>
      </w:r>
      <w:r w:rsidR="009F7A22">
        <w:rPr>
          <w:color w:val="000000" w:themeColor="text1"/>
        </w:rPr>
        <w:instrText>ADDIN</w:instrText>
      </w:r>
      <w:r w:rsidRPr="003A6F6D">
        <w:rPr>
          <w:color w:val="000000" w:themeColor="text1"/>
        </w:rPr>
        <w:instrText xml:space="preserve"> EN.CITE &lt;EndNote&gt;&lt;Cite&gt;&lt;Author&gt;UNDP&lt;/Author&gt;&lt;Year&gt;2010&lt;/Year&gt;&lt;RecNum&gt;39&lt;/RecNum&gt;&lt;DisplayText&gt;(UNDP, 2010)&lt;/DisplayText&gt;&lt;record&gt;&lt;rec-number&gt;39&lt;/rec-number&gt;&lt;foreign-keys&gt;&lt;key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rsidRPr="003A6F6D">
        <w:rPr>
          <w:color w:val="000000" w:themeColor="text1"/>
        </w:rPr>
        <w:fldChar w:fldCharType="separate"/>
      </w:r>
      <w:r w:rsidRPr="003A6F6D">
        <w:rPr>
          <w:noProof/>
          <w:color w:val="000000" w:themeColor="text1"/>
        </w:rPr>
        <w:t>(</w:t>
      </w:r>
      <w:hyperlink w:anchor="_ENREF_56" w:tooltip="UNDP, 2010 #39" w:history="1">
        <w:r w:rsidR="006A1532" w:rsidRPr="003A6F6D">
          <w:rPr>
            <w:noProof/>
            <w:color w:val="000000" w:themeColor="text1"/>
          </w:rPr>
          <w:t>UNDP, 2010</w:t>
        </w:r>
      </w:hyperlink>
      <w:r w:rsidRPr="003A6F6D">
        <w:rPr>
          <w:noProof/>
          <w:color w:val="000000" w:themeColor="text1"/>
        </w:rPr>
        <w:t>)</w:t>
      </w:r>
      <w:r w:rsidR="00E12159" w:rsidRPr="003A6F6D">
        <w:rPr>
          <w:color w:val="000000" w:themeColor="text1"/>
        </w:rPr>
        <w:fldChar w:fldCharType="end"/>
      </w:r>
      <w:r w:rsidRPr="003A6F6D">
        <w:rPr>
          <w:color w:val="000000" w:themeColor="text1"/>
        </w:rPr>
        <w:t xml:space="preserve">. </w:t>
      </w:r>
      <w:r w:rsidR="003A6F6D">
        <w:rPr>
          <w:color w:val="000000" w:themeColor="text1"/>
        </w:rPr>
        <w:t xml:space="preserve">A social assessment conducted in </w:t>
      </w:r>
      <w:proofErr w:type="spellStart"/>
      <w:r w:rsidR="00FA0E38">
        <w:rPr>
          <w:color w:val="000000" w:themeColor="text1"/>
        </w:rPr>
        <w:t>Konibodom</w:t>
      </w:r>
      <w:proofErr w:type="spellEnd"/>
      <w:r w:rsidR="00FA0E38">
        <w:rPr>
          <w:color w:val="000000" w:themeColor="text1"/>
        </w:rPr>
        <w:t xml:space="preserve">, </w:t>
      </w:r>
      <w:proofErr w:type="spellStart"/>
      <w:r w:rsidR="00FA0E38">
        <w:rPr>
          <w:color w:val="000000" w:themeColor="text1"/>
        </w:rPr>
        <w:t>Bobojon</w:t>
      </w:r>
      <w:proofErr w:type="spellEnd"/>
      <w:r w:rsidR="00FA0E38">
        <w:rPr>
          <w:color w:val="000000" w:themeColor="text1"/>
        </w:rPr>
        <w:t xml:space="preserve"> </w:t>
      </w:r>
      <w:proofErr w:type="spellStart"/>
      <w:r w:rsidR="00FA0E38">
        <w:rPr>
          <w:color w:val="000000" w:themeColor="text1"/>
        </w:rPr>
        <w:t>Ghafur</w:t>
      </w:r>
      <w:r w:rsidR="00A63D3C">
        <w:rPr>
          <w:color w:val="000000" w:themeColor="text1"/>
        </w:rPr>
        <w:t>ov</w:t>
      </w:r>
      <w:proofErr w:type="spellEnd"/>
      <w:r w:rsidR="00A63D3C">
        <w:rPr>
          <w:color w:val="000000" w:themeColor="text1"/>
        </w:rPr>
        <w:t xml:space="preserve">, and </w:t>
      </w:r>
      <w:proofErr w:type="spellStart"/>
      <w:r w:rsidR="00A63D3C">
        <w:rPr>
          <w:color w:val="000000" w:themeColor="text1"/>
        </w:rPr>
        <w:t>Yovon</w:t>
      </w:r>
      <w:proofErr w:type="spellEnd"/>
      <w:r w:rsidR="00FA0E38">
        <w:rPr>
          <w:color w:val="000000" w:themeColor="text1"/>
        </w:rPr>
        <w:t xml:space="preserve"> finds that </w:t>
      </w:r>
      <w:r w:rsidR="0002798A">
        <w:rPr>
          <w:color w:val="000000" w:themeColor="text1"/>
        </w:rPr>
        <w:t xml:space="preserve">women </w:t>
      </w:r>
      <w:r w:rsidR="00D55A7C">
        <w:rPr>
          <w:color w:val="000000" w:themeColor="text1"/>
        </w:rPr>
        <w:t>working at large farms</w:t>
      </w:r>
      <w:r w:rsidR="0002798A">
        <w:rPr>
          <w:color w:val="000000" w:themeColor="text1"/>
        </w:rPr>
        <w:t xml:space="preserve"> </w:t>
      </w:r>
      <w:r w:rsidR="00A617F9">
        <w:rPr>
          <w:color w:val="000000" w:themeColor="text1"/>
        </w:rPr>
        <w:t xml:space="preserve">have </w:t>
      </w:r>
      <w:r w:rsidR="0002798A">
        <w:rPr>
          <w:color w:val="000000" w:themeColor="text1"/>
        </w:rPr>
        <w:t xml:space="preserve">little </w:t>
      </w:r>
      <w:r w:rsidR="0002798A" w:rsidRPr="003A6F6D">
        <w:rPr>
          <w:color w:val="000000" w:themeColor="text1"/>
        </w:rPr>
        <w:t>bargaining power and remain trapped in low-wage, low-productivity labor, contributing to rural poverty.</w:t>
      </w:r>
      <w:r w:rsidR="0002798A">
        <w:rPr>
          <w:color w:val="000000" w:themeColor="text1"/>
        </w:rPr>
        <w:t xml:space="preserve"> </w:t>
      </w:r>
      <w:r w:rsidR="0002798A" w:rsidRPr="003A6F6D">
        <w:rPr>
          <w:color w:val="000000" w:themeColor="text1"/>
        </w:rPr>
        <w:t>This results in a system of exploitation that maintains poverty in order to reproduce this type of low-skilled and badly remunerat</w:t>
      </w:r>
      <w:r w:rsidR="0002798A">
        <w:rPr>
          <w:color w:val="000000" w:themeColor="text1"/>
        </w:rPr>
        <w:t>ed labor required at these farms.</w:t>
      </w:r>
      <w:r w:rsidR="0002798A" w:rsidRPr="003A6F6D">
        <w:rPr>
          <w:color w:val="000000" w:themeColor="text1"/>
        </w:rPr>
        <w:t xml:space="preserve"> </w:t>
      </w:r>
      <w:r w:rsidR="0002798A">
        <w:rPr>
          <w:color w:val="000000" w:themeColor="text1"/>
        </w:rPr>
        <w:t xml:space="preserve">Men, in contrast, </w:t>
      </w:r>
      <w:r w:rsidR="00FA0E38">
        <w:rPr>
          <w:color w:val="000000" w:themeColor="text1"/>
        </w:rPr>
        <w:t>are</w:t>
      </w:r>
      <w:r w:rsidR="007343D6" w:rsidRPr="003A6F6D">
        <w:rPr>
          <w:color w:val="000000" w:themeColor="text1"/>
        </w:rPr>
        <w:t xml:space="preserve"> able to access higher income-earning opportunities, both on and off the farm</w:t>
      </w:r>
      <w:r w:rsidR="00FD2E0D" w:rsidRPr="003A6F6D">
        <w:rPr>
          <w:color w:val="000000" w:themeColor="text1"/>
        </w:rPr>
        <w:t>, or through migration</w:t>
      </w:r>
      <w:r w:rsidR="007343D6" w:rsidRPr="003A6F6D">
        <w:rPr>
          <w:color w:val="000000" w:themeColor="text1"/>
        </w:rPr>
        <w:t xml:space="preserve"> </w:t>
      </w:r>
      <w:r w:rsidR="00E12159" w:rsidRPr="003A6F6D">
        <w:rPr>
          <w:color w:val="000000" w:themeColor="text1"/>
        </w:rPr>
        <w:fldChar w:fldCharType="begin"/>
      </w:r>
      <w:r w:rsidR="00AD2051" w:rsidRPr="003A6F6D">
        <w:rPr>
          <w:color w:val="000000" w:themeColor="text1"/>
        </w:rPr>
        <w:instrText xml:space="preserve"> </w:instrText>
      </w:r>
      <w:r w:rsidR="009F7A22">
        <w:rPr>
          <w:color w:val="000000" w:themeColor="text1"/>
        </w:rPr>
        <w:instrText>ADDIN</w:instrText>
      </w:r>
      <w:r w:rsidR="00AD2051" w:rsidRPr="003A6F6D">
        <w:rPr>
          <w:color w:val="000000" w:themeColor="text1"/>
        </w:rPr>
        <w:instrText xml:space="preserve"> EN.CITE &lt;EndNote&gt;&lt;Cite&gt;&lt;Author&gt;World Bank&lt;/Author&gt;&lt;Year&gt;2009&lt;/Year&gt;&lt;RecNum&gt;79&lt;/RecNum&gt;&lt;DisplayText&gt;(World Bank, 2009a)&lt;/DisplayText&gt;&lt;record&gt;&lt;rec-number&gt;79&lt;/rec-number&gt;&lt;foreign-keys&gt;&lt;key app="EN" db-id="wes5dreptvrsr2eeartvxexxftt2tastxrfs"&gt;79&lt;/key&gt;&lt;/foreign-keys&gt;&lt;ref-type name="Book"&gt;6&lt;/ref-type&gt;&lt;contributors&gt;&lt;authors&gt;&lt;author&gt;World Bank&lt;/author&gt;&lt;/authors&gt;&lt;/contributors&gt;&lt;titles&gt;&lt;title&gt;Agricultural Activities, Water, and Gender in Tajikistan&amp;apos;s Rural Sector: A Social Assessment of Konibodom, Bobojon Ghafurov, and Yovon&lt;/title&gt;&lt;/titles&gt;&lt;dates&gt;&lt;year&gt;2009&lt;/year&gt;&lt;/dates&gt;&lt;pub-location&gt;Washington, DC&lt;/pub-location&gt;&lt;publisher&gt;World Bank&lt;/publisher&gt;&lt;urls&gt;&lt;/urls&gt;&lt;/record&gt;&lt;/Cite&gt;&lt;/EndNote&gt;</w:instrText>
      </w:r>
      <w:r w:rsidR="00E12159" w:rsidRPr="003A6F6D">
        <w:rPr>
          <w:color w:val="000000" w:themeColor="text1"/>
        </w:rPr>
        <w:fldChar w:fldCharType="separate"/>
      </w:r>
      <w:r w:rsidR="00AD2051" w:rsidRPr="003A6F6D">
        <w:rPr>
          <w:noProof/>
          <w:color w:val="000000" w:themeColor="text1"/>
        </w:rPr>
        <w:t>(</w:t>
      </w:r>
      <w:hyperlink w:anchor="_ENREF_75" w:tooltip="World Bank, 2009 #79" w:history="1">
        <w:r w:rsidR="006A1532" w:rsidRPr="003A6F6D">
          <w:rPr>
            <w:noProof/>
            <w:color w:val="000000" w:themeColor="text1"/>
          </w:rPr>
          <w:t>World Bank, 2009a</w:t>
        </w:r>
      </w:hyperlink>
      <w:r w:rsidR="00AD2051" w:rsidRPr="003A6F6D">
        <w:rPr>
          <w:noProof/>
          <w:color w:val="000000" w:themeColor="text1"/>
        </w:rPr>
        <w:t>)</w:t>
      </w:r>
      <w:r w:rsidR="00E12159" w:rsidRPr="003A6F6D">
        <w:rPr>
          <w:color w:val="000000" w:themeColor="text1"/>
        </w:rPr>
        <w:fldChar w:fldCharType="end"/>
      </w:r>
      <w:r w:rsidR="00FC4B48" w:rsidRPr="003A6F6D">
        <w:rPr>
          <w:color w:val="000000" w:themeColor="text1"/>
        </w:rPr>
        <w:t>.</w:t>
      </w:r>
    </w:p>
    <w:p w14:paraId="2D6C5515" w14:textId="77777777" w:rsidR="00851B9D" w:rsidRPr="00E66C6D" w:rsidRDefault="00851B9D" w:rsidP="00E66C6D">
      <w:pPr>
        <w:pStyle w:val="MainParawithChapter"/>
        <w:numPr>
          <w:ilvl w:val="0"/>
          <w:numId w:val="0"/>
        </w:numPr>
        <w:jc w:val="center"/>
        <w:outlineLvl w:val="9"/>
        <w:rPr>
          <w:color w:val="000000" w:themeColor="text1"/>
        </w:rPr>
      </w:pPr>
      <w:bookmarkStart w:id="58" w:name="_Ref221706533"/>
      <w:bookmarkStart w:id="59" w:name="_Toc232694738"/>
      <w:proofErr w:type="gramStart"/>
      <w:r w:rsidRPr="00E66C6D">
        <w:rPr>
          <w:b/>
          <w:sz w:val="22"/>
          <w:szCs w:val="22"/>
        </w:rPr>
        <w:t xml:space="preserve">Table </w:t>
      </w:r>
      <w:r w:rsidR="00E12159" w:rsidRPr="00E66C6D">
        <w:rPr>
          <w:b/>
          <w:sz w:val="22"/>
          <w:szCs w:val="22"/>
        </w:rPr>
        <w:fldChar w:fldCharType="begin"/>
      </w:r>
      <w:r w:rsidRPr="00E66C6D">
        <w:rPr>
          <w:b/>
          <w:sz w:val="22"/>
          <w:szCs w:val="22"/>
        </w:rPr>
        <w:instrText xml:space="preserve"> </w:instrText>
      </w:r>
      <w:r w:rsidR="009F7A22">
        <w:rPr>
          <w:b/>
          <w:sz w:val="22"/>
          <w:szCs w:val="22"/>
        </w:rPr>
        <w:instrText>SEQ</w:instrText>
      </w:r>
      <w:r w:rsidRPr="00E66C6D">
        <w:rPr>
          <w:b/>
          <w:sz w:val="22"/>
          <w:szCs w:val="22"/>
        </w:rPr>
        <w:instrText xml:space="preserve"> Table \* ARABIC </w:instrText>
      </w:r>
      <w:r w:rsidR="00E12159" w:rsidRPr="00E66C6D">
        <w:rPr>
          <w:b/>
          <w:sz w:val="22"/>
          <w:szCs w:val="22"/>
        </w:rPr>
        <w:fldChar w:fldCharType="separate"/>
      </w:r>
      <w:r w:rsidR="00183FFF">
        <w:rPr>
          <w:b/>
          <w:noProof/>
          <w:sz w:val="22"/>
          <w:szCs w:val="22"/>
        </w:rPr>
        <w:t>2</w:t>
      </w:r>
      <w:r w:rsidR="00E12159" w:rsidRPr="00E66C6D">
        <w:rPr>
          <w:b/>
          <w:sz w:val="22"/>
          <w:szCs w:val="22"/>
        </w:rPr>
        <w:fldChar w:fldCharType="end"/>
      </w:r>
      <w:bookmarkEnd w:id="56"/>
      <w:bookmarkEnd w:id="58"/>
      <w:r w:rsidRPr="00E66C6D">
        <w:rPr>
          <w:b/>
          <w:sz w:val="22"/>
          <w:szCs w:val="22"/>
        </w:rPr>
        <w:t>.</w:t>
      </w:r>
      <w:proofErr w:type="gramEnd"/>
      <w:r w:rsidRPr="00E66C6D">
        <w:rPr>
          <w:b/>
          <w:sz w:val="22"/>
          <w:szCs w:val="22"/>
        </w:rPr>
        <w:t xml:space="preserve"> Employment by economic sector, occupation, and </w:t>
      </w:r>
      <w:r w:rsidR="00410BB0">
        <w:rPr>
          <w:b/>
          <w:sz w:val="22"/>
          <w:szCs w:val="22"/>
        </w:rPr>
        <w:t>gender</w:t>
      </w:r>
      <w:r w:rsidRPr="00E66C6D">
        <w:rPr>
          <w:b/>
          <w:sz w:val="22"/>
          <w:szCs w:val="22"/>
        </w:rPr>
        <w:t xml:space="preserve"> (%), 2004/2009</w:t>
      </w:r>
      <w:bookmarkEnd w:id="57"/>
      <w:bookmarkEnd w:id="59"/>
    </w:p>
    <w:tbl>
      <w:tblPr>
        <w:tblW w:w="8762" w:type="dxa"/>
        <w:tblInd w:w="55" w:type="dxa"/>
        <w:tblLayout w:type="fixed"/>
        <w:tblCellMar>
          <w:left w:w="70" w:type="dxa"/>
          <w:right w:w="70" w:type="dxa"/>
        </w:tblCellMar>
        <w:tblLook w:val="04A0" w:firstRow="1" w:lastRow="0" w:firstColumn="1" w:lastColumn="0" w:noHBand="0" w:noVBand="1"/>
      </w:tblPr>
      <w:tblGrid>
        <w:gridCol w:w="5260"/>
        <w:gridCol w:w="1751"/>
        <w:gridCol w:w="1751"/>
      </w:tblGrid>
      <w:tr w:rsidR="00851B9D" w:rsidRPr="00991993" w14:paraId="135CC9B0" w14:textId="77777777" w:rsidTr="00851B9D">
        <w:trPr>
          <w:trHeight w:val="300"/>
        </w:trPr>
        <w:tc>
          <w:tcPr>
            <w:tcW w:w="5260" w:type="dxa"/>
            <w:tcBorders>
              <w:top w:val="single" w:sz="4" w:space="0" w:color="auto"/>
              <w:bottom w:val="single" w:sz="4" w:space="0" w:color="auto"/>
            </w:tcBorders>
            <w:shd w:val="clear" w:color="auto" w:fill="C0C0C0"/>
            <w:vAlign w:val="bottom"/>
          </w:tcPr>
          <w:p w14:paraId="3008DEE5" w14:textId="77777777" w:rsidR="00851B9D" w:rsidRPr="00991993" w:rsidRDefault="00851B9D" w:rsidP="00851B9D">
            <w:pPr>
              <w:rPr>
                <w:color w:val="000000"/>
                <w:sz w:val="22"/>
                <w:szCs w:val="22"/>
              </w:rPr>
            </w:pPr>
            <w:r w:rsidRPr="00991993">
              <w:rPr>
                <w:color w:val="000000"/>
                <w:sz w:val="22"/>
                <w:szCs w:val="22"/>
              </w:rPr>
              <w:t>Economic sector</w:t>
            </w:r>
          </w:p>
        </w:tc>
        <w:tc>
          <w:tcPr>
            <w:tcW w:w="1751" w:type="dxa"/>
            <w:tcBorders>
              <w:top w:val="single" w:sz="4" w:space="0" w:color="auto"/>
              <w:bottom w:val="single" w:sz="4" w:space="0" w:color="auto"/>
            </w:tcBorders>
            <w:shd w:val="clear" w:color="auto" w:fill="C0C0C0"/>
            <w:noWrap/>
            <w:vAlign w:val="center"/>
          </w:tcPr>
          <w:p w14:paraId="5F5BCFFB" w14:textId="77777777" w:rsidR="00851B9D" w:rsidRPr="00991993" w:rsidRDefault="00851B9D" w:rsidP="00851B9D">
            <w:pPr>
              <w:jc w:val="right"/>
              <w:rPr>
                <w:color w:val="000000"/>
                <w:sz w:val="22"/>
                <w:szCs w:val="22"/>
              </w:rPr>
            </w:pPr>
            <w:r w:rsidRPr="00991993">
              <w:rPr>
                <w:color w:val="000000"/>
                <w:sz w:val="22"/>
                <w:szCs w:val="22"/>
              </w:rPr>
              <w:t>Female</w:t>
            </w:r>
          </w:p>
        </w:tc>
        <w:tc>
          <w:tcPr>
            <w:tcW w:w="1751" w:type="dxa"/>
            <w:tcBorders>
              <w:top w:val="single" w:sz="4" w:space="0" w:color="auto"/>
              <w:bottom w:val="single" w:sz="4" w:space="0" w:color="auto"/>
            </w:tcBorders>
            <w:shd w:val="clear" w:color="auto" w:fill="C0C0C0"/>
            <w:noWrap/>
            <w:vAlign w:val="center"/>
          </w:tcPr>
          <w:p w14:paraId="6046B363" w14:textId="77777777" w:rsidR="00851B9D" w:rsidRPr="00991993" w:rsidRDefault="00851B9D" w:rsidP="00851B9D">
            <w:pPr>
              <w:jc w:val="right"/>
              <w:rPr>
                <w:color w:val="000000"/>
                <w:sz w:val="22"/>
                <w:szCs w:val="22"/>
              </w:rPr>
            </w:pPr>
            <w:r w:rsidRPr="00991993">
              <w:rPr>
                <w:color w:val="000000"/>
                <w:sz w:val="22"/>
                <w:szCs w:val="22"/>
              </w:rPr>
              <w:t>Male</w:t>
            </w:r>
          </w:p>
        </w:tc>
      </w:tr>
      <w:tr w:rsidR="00851B9D" w:rsidRPr="00991993" w14:paraId="53A66FDD" w14:textId="77777777" w:rsidTr="00851B9D">
        <w:trPr>
          <w:trHeight w:val="300"/>
        </w:trPr>
        <w:tc>
          <w:tcPr>
            <w:tcW w:w="5260" w:type="dxa"/>
            <w:tcBorders>
              <w:top w:val="single" w:sz="4" w:space="0" w:color="auto"/>
            </w:tcBorders>
            <w:shd w:val="clear" w:color="auto" w:fill="auto"/>
            <w:vAlign w:val="bottom"/>
          </w:tcPr>
          <w:p w14:paraId="69B22DEA" w14:textId="77777777" w:rsidR="00851B9D" w:rsidRPr="00991993" w:rsidRDefault="00851B9D" w:rsidP="00851B9D">
            <w:pPr>
              <w:ind w:left="229"/>
              <w:rPr>
                <w:color w:val="000000"/>
                <w:sz w:val="22"/>
                <w:szCs w:val="22"/>
              </w:rPr>
            </w:pPr>
            <w:r w:rsidRPr="00991993">
              <w:rPr>
                <w:color w:val="000000"/>
                <w:sz w:val="22"/>
                <w:szCs w:val="22"/>
              </w:rPr>
              <w:t>Agriculture</w:t>
            </w:r>
          </w:p>
        </w:tc>
        <w:tc>
          <w:tcPr>
            <w:tcW w:w="1751" w:type="dxa"/>
            <w:tcBorders>
              <w:top w:val="single" w:sz="4" w:space="0" w:color="auto"/>
            </w:tcBorders>
            <w:shd w:val="clear" w:color="auto" w:fill="auto"/>
            <w:noWrap/>
            <w:vAlign w:val="bottom"/>
          </w:tcPr>
          <w:p w14:paraId="7398670F" w14:textId="77777777" w:rsidR="00851B9D" w:rsidRPr="00991993" w:rsidRDefault="00851B9D" w:rsidP="00851B9D">
            <w:pPr>
              <w:jc w:val="right"/>
              <w:rPr>
                <w:color w:val="000000"/>
                <w:sz w:val="22"/>
                <w:szCs w:val="22"/>
              </w:rPr>
            </w:pPr>
            <w:r w:rsidRPr="00991993">
              <w:rPr>
                <w:color w:val="000000"/>
                <w:sz w:val="22"/>
                <w:szCs w:val="22"/>
              </w:rPr>
              <w:t>75.1</w:t>
            </w:r>
          </w:p>
        </w:tc>
        <w:tc>
          <w:tcPr>
            <w:tcW w:w="1751" w:type="dxa"/>
            <w:tcBorders>
              <w:top w:val="single" w:sz="4" w:space="0" w:color="auto"/>
            </w:tcBorders>
            <w:shd w:val="clear" w:color="auto" w:fill="auto"/>
            <w:noWrap/>
            <w:vAlign w:val="bottom"/>
          </w:tcPr>
          <w:p w14:paraId="38B6B0B9" w14:textId="77777777" w:rsidR="00851B9D" w:rsidRPr="00991993" w:rsidRDefault="00851B9D" w:rsidP="00851B9D">
            <w:pPr>
              <w:jc w:val="right"/>
              <w:rPr>
                <w:color w:val="000000"/>
                <w:sz w:val="22"/>
                <w:szCs w:val="22"/>
              </w:rPr>
            </w:pPr>
            <w:r w:rsidRPr="00991993">
              <w:rPr>
                <w:color w:val="000000"/>
                <w:sz w:val="22"/>
                <w:szCs w:val="22"/>
              </w:rPr>
              <w:t>41.8</w:t>
            </w:r>
          </w:p>
        </w:tc>
      </w:tr>
      <w:tr w:rsidR="00851B9D" w:rsidRPr="00991993" w14:paraId="50A7C108" w14:textId="77777777" w:rsidTr="00851B9D">
        <w:trPr>
          <w:trHeight w:val="300"/>
        </w:trPr>
        <w:tc>
          <w:tcPr>
            <w:tcW w:w="5260" w:type="dxa"/>
            <w:shd w:val="clear" w:color="auto" w:fill="E6E6E6"/>
            <w:vAlign w:val="bottom"/>
          </w:tcPr>
          <w:p w14:paraId="331E5624" w14:textId="77777777" w:rsidR="00851B9D" w:rsidRPr="00991993" w:rsidRDefault="00851B9D" w:rsidP="00851B9D">
            <w:pPr>
              <w:ind w:left="229"/>
              <w:rPr>
                <w:color w:val="000000"/>
                <w:sz w:val="22"/>
                <w:szCs w:val="22"/>
              </w:rPr>
            </w:pPr>
            <w:r w:rsidRPr="00991993">
              <w:rPr>
                <w:color w:val="000000"/>
                <w:sz w:val="22"/>
                <w:szCs w:val="22"/>
              </w:rPr>
              <w:t>Industry</w:t>
            </w:r>
          </w:p>
        </w:tc>
        <w:tc>
          <w:tcPr>
            <w:tcW w:w="1751" w:type="dxa"/>
            <w:shd w:val="clear" w:color="auto" w:fill="E6E6E6"/>
            <w:noWrap/>
            <w:vAlign w:val="bottom"/>
          </w:tcPr>
          <w:p w14:paraId="2DDB694A" w14:textId="77777777" w:rsidR="00851B9D" w:rsidRPr="00991993" w:rsidRDefault="00851B9D" w:rsidP="00851B9D">
            <w:pPr>
              <w:jc w:val="right"/>
              <w:rPr>
                <w:color w:val="000000"/>
                <w:sz w:val="22"/>
                <w:szCs w:val="22"/>
              </w:rPr>
            </w:pPr>
            <w:r w:rsidRPr="00991993">
              <w:rPr>
                <w:color w:val="000000"/>
                <w:sz w:val="22"/>
                <w:szCs w:val="22"/>
              </w:rPr>
              <w:t>4.8</w:t>
            </w:r>
          </w:p>
        </w:tc>
        <w:tc>
          <w:tcPr>
            <w:tcW w:w="1751" w:type="dxa"/>
            <w:shd w:val="clear" w:color="auto" w:fill="E6E6E6"/>
            <w:noWrap/>
            <w:vAlign w:val="bottom"/>
          </w:tcPr>
          <w:p w14:paraId="5562F6ED" w14:textId="77777777" w:rsidR="00851B9D" w:rsidRPr="00991993" w:rsidRDefault="00851B9D" w:rsidP="00851B9D">
            <w:pPr>
              <w:jc w:val="right"/>
              <w:rPr>
                <w:color w:val="000000"/>
                <w:sz w:val="22"/>
                <w:szCs w:val="22"/>
              </w:rPr>
            </w:pPr>
            <w:r w:rsidRPr="00991993">
              <w:rPr>
                <w:color w:val="000000"/>
                <w:sz w:val="22"/>
                <w:szCs w:val="22"/>
              </w:rPr>
              <w:t>27.1</w:t>
            </w:r>
          </w:p>
        </w:tc>
      </w:tr>
      <w:tr w:rsidR="00851B9D" w:rsidRPr="00991993" w14:paraId="2E9B82BA" w14:textId="77777777" w:rsidTr="00851B9D">
        <w:trPr>
          <w:trHeight w:val="300"/>
        </w:trPr>
        <w:tc>
          <w:tcPr>
            <w:tcW w:w="5260" w:type="dxa"/>
            <w:shd w:val="clear" w:color="auto" w:fill="auto"/>
            <w:vAlign w:val="bottom"/>
          </w:tcPr>
          <w:p w14:paraId="4EA52F11" w14:textId="77777777" w:rsidR="00851B9D" w:rsidRPr="00991993" w:rsidRDefault="00851B9D" w:rsidP="00851B9D">
            <w:pPr>
              <w:ind w:left="229"/>
              <w:rPr>
                <w:color w:val="000000"/>
                <w:sz w:val="22"/>
                <w:szCs w:val="22"/>
              </w:rPr>
            </w:pPr>
            <w:r w:rsidRPr="00991993">
              <w:rPr>
                <w:color w:val="000000"/>
                <w:sz w:val="22"/>
                <w:szCs w:val="22"/>
              </w:rPr>
              <w:t>Services</w:t>
            </w:r>
          </w:p>
        </w:tc>
        <w:tc>
          <w:tcPr>
            <w:tcW w:w="1751" w:type="dxa"/>
            <w:shd w:val="clear" w:color="auto" w:fill="auto"/>
            <w:noWrap/>
            <w:vAlign w:val="bottom"/>
          </w:tcPr>
          <w:p w14:paraId="320B6CE1" w14:textId="77777777" w:rsidR="00851B9D" w:rsidRPr="00991993" w:rsidRDefault="00851B9D" w:rsidP="00851B9D">
            <w:pPr>
              <w:jc w:val="right"/>
              <w:rPr>
                <w:color w:val="000000"/>
                <w:sz w:val="22"/>
                <w:szCs w:val="22"/>
              </w:rPr>
            </w:pPr>
            <w:r w:rsidRPr="00991993">
              <w:rPr>
                <w:color w:val="000000"/>
                <w:sz w:val="22"/>
                <w:szCs w:val="22"/>
              </w:rPr>
              <w:t>19.7</w:t>
            </w:r>
          </w:p>
        </w:tc>
        <w:tc>
          <w:tcPr>
            <w:tcW w:w="1751" w:type="dxa"/>
            <w:shd w:val="clear" w:color="auto" w:fill="auto"/>
            <w:noWrap/>
            <w:vAlign w:val="bottom"/>
          </w:tcPr>
          <w:p w14:paraId="7B5CB513" w14:textId="77777777" w:rsidR="00851B9D" w:rsidRPr="00991993" w:rsidRDefault="00851B9D" w:rsidP="00851B9D">
            <w:pPr>
              <w:jc w:val="right"/>
              <w:rPr>
                <w:color w:val="000000"/>
                <w:sz w:val="22"/>
                <w:szCs w:val="22"/>
              </w:rPr>
            </w:pPr>
            <w:r w:rsidRPr="00991993">
              <w:rPr>
                <w:color w:val="000000"/>
                <w:sz w:val="22"/>
                <w:szCs w:val="22"/>
              </w:rPr>
              <w:t>30.8</w:t>
            </w:r>
          </w:p>
        </w:tc>
      </w:tr>
      <w:tr w:rsidR="00851B9D" w:rsidRPr="00991993" w14:paraId="1083D0D2" w14:textId="77777777" w:rsidTr="00851B9D">
        <w:trPr>
          <w:trHeight w:val="300"/>
        </w:trPr>
        <w:tc>
          <w:tcPr>
            <w:tcW w:w="5260" w:type="dxa"/>
            <w:shd w:val="clear" w:color="auto" w:fill="E6E6E6"/>
            <w:vAlign w:val="bottom"/>
          </w:tcPr>
          <w:p w14:paraId="1EF2F7E8" w14:textId="77777777" w:rsidR="00851B9D" w:rsidRPr="00991993" w:rsidRDefault="00851B9D" w:rsidP="00851B9D">
            <w:pPr>
              <w:ind w:left="229"/>
              <w:rPr>
                <w:color w:val="000000"/>
                <w:sz w:val="22"/>
                <w:szCs w:val="22"/>
              </w:rPr>
            </w:pPr>
            <w:r w:rsidRPr="00991993">
              <w:rPr>
                <w:color w:val="000000"/>
                <w:sz w:val="22"/>
                <w:szCs w:val="22"/>
              </w:rPr>
              <w:t>Not stated</w:t>
            </w:r>
          </w:p>
        </w:tc>
        <w:tc>
          <w:tcPr>
            <w:tcW w:w="1751" w:type="dxa"/>
            <w:shd w:val="clear" w:color="auto" w:fill="E6E6E6"/>
            <w:noWrap/>
            <w:vAlign w:val="bottom"/>
          </w:tcPr>
          <w:p w14:paraId="6A1D4D0E" w14:textId="77777777" w:rsidR="00851B9D" w:rsidRPr="00991993" w:rsidRDefault="00851B9D" w:rsidP="00851B9D">
            <w:pPr>
              <w:jc w:val="right"/>
              <w:rPr>
                <w:color w:val="000000"/>
                <w:sz w:val="22"/>
                <w:szCs w:val="22"/>
              </w:rPr>
            </w:pPr>
            <w:r w:rsidRPr="00991993">
              <w:rPr>
                <w:color w:val="000000"/>
                <w:sz w:val="22"/>
                <w:szCs w:val="22"/>
              </w:rPr>
              <w:t>0.5</w:t>
            </w:r>
          </w:p>
        </w:tc>
        <w:tc>
          <w:tcPr>
            <w:tcW w:w="1751" w:type="dxa"/>
            <w:shd w:val="clear" w:color="auto" w:fill="E6E6E6"/>
            <w:noWrap/>
            <w:vAlign w:val="bottom"/>
          </w:tcPr>
          <w:p w14:paraId="012200C2" w14:textId="77777777" w:rsidR="00851B9D" w:rsidRPr="00991993" w:rsidRDefault="00851B9D" w:rsidP="00851B9D">
            <w:pPr>
              <w:jc w:val="right"/>
              <w:rPr>
                <w:color w:val="000000"/>
                <w:sz w:val="22"/>
                <w:szCs w:val="22"/>
              </w:rPr>
            </w:pPr>
            <w:r w:rsidRPr="00991993">
              <w:rPr>
                <w:color w:val="000000"/>
                <w:sz w:val="22"/>
                <w:szCs w:val="22"/>
              </w:rPr>
              <w:t>0.3</w:t>
            </w:r>
          </w:p>
        </w:tc>
      </w:tr>
      <w:tr w:rsidR="00851B9D" w:rsidRPr="00991993" w14:paraId="196091A0" w14:textId="77777777" w:rsidTr="00851B9D">
        <w:trPr>
          <w:trHeight w:val="300"/>
        </w:trPr>
        <w:tc>
          <w:tcPr>
            <w:tcW w:w="5260" w:type="dxa"/>
            <w:tcBorders>
              <w:bottom w:val="single" w:sz="4" w:space="0" w:color="auto"/>
            </w:tcBorders>
            <w:shd w:val="clear" w:color="auto" w:fill="auto"/>
            <w:vAlign w:val="bottom"/>
          </w:tcPr>
          <w:p w14:paraId="2BEEC090" w14:textId="77777777" w:rsidR="00851B9D" w:rsidRPr="00991993" w:rsidRDefault="00851B9D" w:rsidP="00851B9D">
            <w:pPr>
              <w:ind w:left="229"/>
              <w:rPr>
                <w:color w:val="000000"/>
                <w:sz w:val="22"/>
                <w:szCs w:val="22"/>
              </w:rPr>
            </w:pPr>
            <w:r w:rsidRPr="00991993">
              <w:rPr>
                <w:color w:val="000000"/>
                <w:sz w:val="22"/>
                <w:szCs w:val="22"/>
              </w:rPr>
              <w:t>Total</w:t>
            </w:r>
          </w:p>
        </w:tc>
        <w:tc>
          <w:tcPr>
            <w:tcW w:w="1751" w:type="dxa"/>
            <w:tcBorders>
              <w:bottom w:val="single" w:sz="4" w:space="0" w:color="auto"/>
            </w:tcBorders>
            <w:shd w:val="clear" w:color="auto" w:fill="auto"/>
            <w:noWrap/>
            <w:vAlign w:val="bottom"/>
          </w:tcPr>
          <w:p w14:paraId="015E231B" w14:textId="77777777" w:rsidR="00851B9D" w:rsidRPr="00991993" w:rsidRDefault="00851B9D" w:rsidP="00851B9D">
            <w:pPr>
              <w:jc w:val="right"/>
              <w:rPr>
                <w:color w:val="000000"/>
                <w:sz w:val="22"/>
                <w:szCs w:val="22"/>
              </w:rPr>
            </w:pPr>
            <w:r w:rsidRPr="00991993">
              <w:rPr>
                <w:color w:val="000000"/>
                <w:sz w:val="22"/>
                <w:szCs w:val="22"/>
              </w:rPr>
              <w:t>100.0</w:t>
            </w:r>
          </w:p>
        </w:tc>
        <w:tc>
          <w:tcPr>
            <w:tcW w:w="1751" w:type="dxa"/>
            <w:tcBorders>
              <w:bottom w:val="single" w:sz="4" w:space="0" w:color="auto"/>
            </w:tcBorders>
            <w:shd w:val="clear" w:color="auto" w:fill="auto"/>
            <w:noWrap/>
            <w:vAlign w:val="bottom"/>
          </w:tcPr>
          <w:p w14:paraId="137562EB" w14:textId="77777777" w:rsidR="00851B9D" w:rsidRPr="00991993" w:rsidRDefault="00851B9D" w:rsidP="00851B9D">
            <w:pPr>
              <w:jc w:val="right"/>
              <w:rPr>
                <w:color w:val="000000"/>
                <w:sz w:val="22"/>
                <w:szCs w:val="22"/>
              </w:rPr>
            </w:pPr>
            <w:r w:rsidRPr="00991993">
              <w:rPr>
                <w:color w:val="000000"/>
                <w:sz w:val="22"/>
                <w:szCs w:val="22"/>
              </w:rPr>
              <w:t>100.0</w:t>
            </w:r>
          </w:p>
        </w:tc>
      </w:tr>
      <w:tr w:rsidR="00851B9D" w:rsidRPr="00991993" w14:paraId="31959A66" w14:textId="77777777" w:rsidTr="00851B9D">
        <w:trPr>
          <w:trHeight w:val="300"/>
        </w:trPr>
        <w:tc>
          <w:tcPr>
            <w:tcW w:w="5260" w:type="dxa"/>
            <w:tcBorders>
              <w:top w:val="single" w:sz="4" w:space="0" w:color="auto"/>
              <w:bottom w:val="single" w:sz="4" w:space="0" w:color="auto"/>
            </w:tcBorders>
            <w:shd w:val="clear" w:color="auto" w:fill="C0C0C0"/>
            <w:vAlign w:val="bottom"/>
          </w:tcPr>
          <w:p w14:paraId="28BF6FF5" w14:textId="77777777" w:rsidR="00851B9D" w:rsidRPr="00991993" w:rsidRDefault="00851B9D" w:rsidP="00851B9D">
            <w:pPr>
              <w:rPr>
                <w:color w:val="000000"/>
                <w:sz w:val="22"/>
                <w:szCs w:val="22"/>
              </w:rPr>
            </w:pPr>
            <w:r>
              <w:rPr>
                <w:color w:val="000000"/>
                <w:sz w:val="22"/>
                <w:szCs w:val="22"/>
              </w:rPr>
              <w:t>Public/private sector</w:t>
            </w:r>
          </w:p>
        </w:tc>
        <w:tc>
          <w:tcPr>
            <w:tcW w:w="1751" w:type="dxa"/>
            <w:tcBorders>
              <w:top w:val="single" w:sz="4" w:space="0" w:color="auto"/>
              <w:bottom w:val="single" w:sz="4" w:space="0" w:color="auto"/>
            </w:tcBorders>
            <w:shd w:val="clear" w:color="auto" w:fill="C0C0C0"/>
            <w:noWrap/>
            <w:vAlign w:val="bottom"/>
          </w:tcPr>
          <w:p w14:paraId="5336D2C2" w14:textId="77777777" w:rsidR="00851B9D" w:rsidRPr="00991993" w:rsidRDefault="00851B9D" w:rsidP="00851B9D">
            <w:pPr>
              <w:jc w:val="right"/>
              <w:rPr>
                <w:color w:val="000000"/>
                <w:sz w:val="22"/>
                <w:szCs w:val="22"/>
              </w:rPr>
            </w:pPr>
          </w:p>
        </w:tc>
        <w:tc>
          <w:tcPr>
            <w:tcW w:w="1751" w:type="dxa"/>
            <w:tcBorders>
              <w:top w:val="single" w:sz="4" w:space="0" w:color="auto"/>
              <w:bottom w:val="single" w:sz="4" w:space="0" w:color="auto"/>
            </w:tcBorders>
            <w:shd w:val="clear" w:color="auto" w:fill="C0C0C0"/>
            <w:noWrap/>
            <w:vAlign w:val="bottom"/>
          </w:tcPr>
          <w:p w14:paraId="794044A0" w14:textId="77777777" w:rsidR="00851B9D" w:rsidRPr="00991993" w:rsidRDefault="00851B9D" w:rsidP="00851B9D">
            <w:pPr>
              <w:jc w:val="right"/>
              <w:rPr>
                <w:color w:val="000000"/>
                <w:sz w:val="22"/>
                <w:szCs w:val="22"/>
              </w:rPr>
            </w:pPr>
          </w:p>
        </w:tc>
      </w:tr>
      <w:tr w:rsidR="00851B9D" w:rsidRPr="00163D0D" w14:paraId="4957F553" w14:textId="77777777" w:rsidTr="00851B9D">
        <w:trPr>
          <w:trHeight w:val="300"/>
        </w:trPr>
        <w:tc>
          <w:tcPr>
            <w:tcW w:w="5260" w:type="dxa"/>
            <w:tcBorders>
              <w:top w:val="single" w:sz="4" w:space="0" w:color="auto"/>
            </w:tcBorders>
            <w:shd w:val="clear" w:color="auto" w:fill="auto"/>
            <w:vAlign w:val="bottom"/>
          </w:tcPr>
          <w:p w14:paraId="535100AA" w14:textId="77777777" w:rsidR="00851B9D" w:rsidRPr="00991993" w:rsidRDefault="00851B9D" w:rsidP="00851B9D">
            <w:pPr>
              <w:ind w:left="229"/>
              <w:rPr>
                <w:color w:val="000000"/>
                <w:sz w:val="22"/>
                <w:szCs w:val="22"/>
              </w:rPr>
            </w:pPr>
            <w:r>
              <w:rPr>
                <w:color w:val="000000"/>
                <w:sz w:val="22"/>
                <w:szCs w:val="22"/>
              </w:rPr>
              <w:t>Public</w:t>
            </w:r>
          </w:p>
        </w:tc>
        <w:tc>
          <w:tcPr>
            <w:tcW w:w="1751" w:type="dxa"/>
            <w:tcBorders>
              <w:top w:val="single" w:sz="4" w:space="0" w:color="auto"/>
            </w:tcBorders>
            <w:shd w:val="clear" w:color="auto" w:fill="auto"/>
            <w:noWrap/>
            <w:vAlign w:val="bottom"/>
          </w:tcPr>
          <w:p w14:paraId="659349C7" w14:textId="77777777" w:rsidR="00851B9D" w:rsidRPr="00991993" w:rsidRDefault="00851B9D" w:rsidP="00851B9D">
            <w:pPr>
              <w:ind w:left="229"/>
              <w:jc w:val="right"/>
              <w:rPr>
                <w:color w:val="000000"/>
                <w:sz w:val="22"/>
                <w:szCs w:val="22"/>
              </w:rPr>
            </w:pPr>
            <w:r>
              <w:rPr>
                <w:color w:val="000000"/>
                <w:sz w:val="22"/>
                <w:szCs w:val="22"/>
              </w:rPr>
              <w:t>19.1</w:t>
            </w:r>
          </w:p>
        </w:tc>
        <w:tc>
          <w:tcPr>
            <w:tcW w:w="1751" w:type="dxa"/>
            <w:tcBorders>
              <w:top w:val="single" w:sz="4" w:space="0" w:color="auto"/>
            </w:tcBorders>
            <w:shd w:val="clear" w:color="auto" w:fill="auto"/>
            <w:noWrap/>
            <w:vAlign w:val="bottom"/>
          </w:tcPr>
          <w:p w14:paraId="5E825732" w14:textId="77777777" w:rsidR="00851B9D" w:rsidRPr="00991993" w:rsidRDefault="00851B9D" w:rsidP="00851B9D">
            <w:pPr>
              <w:ind w:left="229"/>
              <w:jc w:val="right"/>
              <w:rPr>
                <w:color w:val="000000"/>
                <w:sz w:val="22"/>
                <w:szCs w:val="22"/>
              </w:rPr>
            </w:pPr>
            <w:r>
              <w:rPr>
                <w:color w:val="000000"/>
                <w:sz w:val="22"/>
                <w:szCs w:val="22"/>
              </w:rPr>
              <w:t>22.8</w:t>
            </w:r>
          </w:p>
        </w:tc>
      </w:tr>
      <w:tr w:rsidR="00851B9D" w:rsidRPr="00163D0D" w14:paraId="2A012DF4" w14:textId="77777777" w:rsidTr="00851B9D">
        <w:trPr>
          <w:trHeight w:val="300"/>
        </w:trPr>
        <w:tc>
          <w:tcPr>
            <w:tcW w:w="5260" w:type="dxa"/>
            <w:shd w:val="clear" w:color="auto" w:fill="E6E6E6"/>
            <w:vAlign w:val="bottom"/>
          </w:tcPr>
          <w:p w14:paraId="4E6B5B07" w14:textId="77777777" w:rsidR="00851B9D" w:rsidRPr="00991993" w:rsidRDefault="00851B9D" w:rsidP="00851B9D">
            <w:pPr>
              <w:ind w:left="229"/>
              <w:rPr>
                <w:color w:val="000000"/>
                <w:sz w:val="22"/>
                <w:szCs w:val="22"/>
              </w:rPr>
            </w:pPr>
            <w:r>
              <w:rPr>
                <w:color w:val="000000"/>
                <w:sz w:val="22"/>
                <w:szCs w:val="22"/>
              </w:rPr>
              <w:t>Private</w:t>
            </w:r>
          </w:p>
        </w:tc>
        <w:tc>
          <w:tcPr>
            <w:tcW w:w="1751" w:type="dxa"/>
            <w:shd w:val="clear" w:color="auto" w:fill="E6E6E6"/>
            <w:noWrap/>
            <w:vAlign w:val="bottom"/>
          </w:tcPr>
          <w:p w14:paraId="078FE846" w14:textId="77777777" w:rsidR="00851B9D" w:rsidRPr="00991993" w:rsidRDefault="00851B9D" w:rsidP="00851B9D">
            <w:pPr>
              <w:ind w:left="229"/>
              <w:jc w:val="right"/>
              <w:rPr>
                <w:color w:val="000000"/>
                <w:sz w:val="22"/>
                <w:szCs w:val="22"/>
              </w:rPr>
            </w:pPr>
            <w:r>
              <w:rPr>
                <w:color w:val="000000"/>
                <w:sz w:val="22"/>
                <w:szCs w:val="22"/>
              </w:rPr>
              <w:t>80.9</w:t>
            </w:r>
          </w:p>
        </w:tc>
        <w:tc>
          <w:tcPr>
            <w:tcW w:w="1751" w:type="dxa"/>
            <w:shd w:val="clear" w:color="auto" w:fill="E6E6E6"/>
            <w:noWrap/>
            <w:vAlign w:val="bottom"/>
          </w:tcPr>
          <w:p w14:paraId="36CE78E8" w14:textId="77777777" w:rsidR="00851B9D" w:rsidRPr="00991993" w:rsidRDefault="00851B9D" w:rsidP="00851B9D">
            <w:pPr>
              <w:ind w:left="229"/>
              <w:jc w:val="right"/>
              <w:rPr>
                <w:color w:val="000000"/>
                <w:sz w:val="22"/>
                <w:szCs w:val="22"/>
              </w:rPr>
            </w:pPr>
            <w:r>
              <w:rPr>
                <w:color w:val="000000"/>
                <w:sz w:val="22"/>
                <w:szCs w:val="22"/>
              </w:rPr>
              <w:t>77.2</w:t>
            </w:r>
          </w:p>
        </w:tc>
      </w:tr>
      <w:tr w:rsidR="00851B9D" w:rsidRPr="00163D0D" w14:paraId="50FC43C9" w14:textId="77777777" w:rsidTr="00851B9D">
        <w:trPr>
          <w:trHeight w:val="300"/>
        </w:trPr>
        <w:tc>
          <w:tcPr>
            <w:tcW w:w="5260" w:type="dxa"/>
            <w:tcBorders>
              <w:bottom w:val="single" w:sz="4" w:space="0" w:color="auto"/>
            </w:tcBorders>
            <w:shd w:val="clear" w:color="auto" w:fill="FFFFFF"/>
            <w:vAlign w:val="bottom"/>
          </w:tcPr>
          <w:p w14:paraId="0A4CC309" w14:textId="77777777" w:rsidR="00851B9D" w:rsidRPr="00991993" w:rsidRDefault="00851B9D" w:rsidP="00851B9D">
            <w:pPr>
              <w:ind w:left="229"/>
              <w:rPr>
                <w:color w:val="000000"/>
                <w:sz w:val="22"/>
                <w:szCs w:val="22"/>
              </w:rPr>
            </w:pPr>
            <w:r>
              <w:rPr>
                <w:color w:val="000000"/>
                <w:sz w:val="22"/>
                <w:szCs w:val="22"/>
              </w:rPr>
              <w:t>Total</w:t>
            </w:r>
          </w:p>
        </w:tc>
        <w:tc>
          <w:tcPr>
            <w:tcW w:w="1751" w:type="dxa"/>
            <w:tcBorders>
              <w:bottom w:val="single" w:sz="4" w:space="0" w:color="auto"/>
            </w:tcBorders>
            <w:shd w:val="clear" w:color="auto" w:fill="FFFFFF"/>
            <w:noWrap/>
            <w:vAlign w:val="bottom"/>
          </w:tcPr>
          <w:p w14:paraId="3DE2D822" w14:textId="77777777" w:rsidR="00851B9D" w:rsidRPr="00991993" w:rsidRDefault="00851B9D" w:rsidP="00851B9D">
            <w:pPr>
              <w:ind w:left="229"/>
              <w:jc w:val="right"/>
              <w:rPr>
                <w:color w:val="000000"/>
                <w:sz w:val="22"/>
                <w:szCs w:val="22"/>
              </w:rPr>
            </w:pPr>
            <w:r w:rsidRPr="00991993">
              <w:rPr>
                <w:color w:val="000000"/>
                <w:sz w:val="22"/>
                <w:szCs w:val="22"/>
              </w:rPr>
              <w:t>100.0</w:t>
            </w:r>
          </w:p>
        </w:tc>
        <w:tc>
          <w:tcPr>
            <w:tcW w:w="1751" w:type="dxa"/>
            <w:tcBorders>
              <w:bottom w:val="single" w:sz="4" w:space="0" w:color="auto"/>
            </w:tcBorders>
            <w:shd w:val="clear" w:color="auto" w:fill="FFFFFF"/>
            <w:noWrap/>
            <w:vAlign w:val="bottom"/>
          </w:tcPr>
          <w:p w14:paraId="428A5C1B" w14:textId="77777777" w:rsidR="00851B9D" w:rsidRPr="00991993" w:rsidRDefault="00851B9D" w:rsidP="00851B9D">
            <w:pPr>
              <w:ind w:left="229"/>
              <w:jc w:val="right"/>
              <w:rPr>
                <w:color w:val="000000"/>
                <w:sz w:val="22"/>
                <w:szCs w:val="22"/>
              </w:rPr>
            </w:pPr>
            <w:r w:rsidRPr="00991993">
              <w:rPr>
                <w:color w:val="000000"/>
                <w:sz w:val="22"/>
                <w:szCs w:val="22"/>
              </w:rPr>
              <w:t>100.0</w:t>
            </w:r>
          </w:p>
        </w:tc>
      </w:tr>
      <w:tr w:rsidR="00851B9D" w:rsidRPr="00991993" w14:paraId="10B11DF6" w14:textId="77777777" w:rsidTr="00851B9D">
        <w:trPr>
          <w:trHeight w:val="300"/>
        </w:trPr>
        <w:tc>
          <w:tcPr>
            <w:tcW w:w="5260" w:type="dxa"/>
            <w:tcBorders>
              <w:top w:val="single" w:sz="4" w:space="0" w:color="auto"/>
              <w:bottom w:val="single" w:sz="4" w:space="0" w:color="auto"/>
            </w:tcBorders>
            <w:shd w:val="clear" w:color="auto" w:fill="C0C0C0"/>
            <w:vAlign w:val="bottom"/>
          </w:tcPr>
          <w:p w14:paraId="78C156E6" w14:textId="77777777" w:rsidR="00851B9D" w:rsidRPr="00991993" w:rsidRDefault="00851B9D" w:rsidP="00851B9D">
            <w:pPr>
              <w:rPr>
                <w:color w:val="000000"/>
                <w:sz w:val="22"/>
                <w:szCs w:val="22"/>
              </w:rPr>
            </w:pPr>
            <w:r w:rsidRPr="00991993">
              <w:rPr>
                <w:color w:val="000000"/>
                <w:sz w:val="22"/>
                <w:szCs w:val="22"/>
              </w:rPr>
              <w:t>Occupation</w:t>
            </w:r>
          </w:p>
        </w:tc>
        <w:tc>
          <w:tcPr>
            <w:tcW w:w="1751" w:type="dxa"/>
            <w:tcBorders>
              <w:top w:val="single" w:sz="4" w:space="0" w:color="auto"/>
              <w:bottom w:val="single" w:sz="4" w:space="0" w:color="auto"/>
            </w:tcBorders>
            <w:shd w:val="clear" w:color="auto" w:fill="C0C0C0"/>
            <w:noWrap/>
            <w:vAlign w:val="bottom"/>
          </w:tcPr>
          <w:p w14:paraId="2C2FB070" w14:textId="77777777" w:rsidR="00851B9D" w:rsidRPr="00991993" w:rsidRDefault="00851B9D" w:rsidP="00851B9D">
            <w:pPr>
              <w:jc w:val="right"/>
              <w:rPr>
                <w:color w:val="000000"/>
                <w:sz w:val="22"/>
                <w:szCs w:val="22"/>
              </w:rPr>
            </w:pPr>
            <w:r w:rsidRPr="00991993">
              <w:rPr>
                <w:color w:val="000000"/>
                <w:sz w:val="22"/>
                <w:szCs w:val="22"/>
              </w:rPr>
              <w:t>Female</w:t>
            </w:r>
          </w:p>
        </w:tc>
        <w:tc>
          <w:tcPr>
            <w:tcW w:w="1751" w:type="dxa"/>
            <w:tcBorders>
              <w:top w:val="single" w:sz="4" w:space="0" w:color="auto"/>
              <w:bottom w:val="single" w:sz="4" w:space="0" w:color="auto"/>
            </w:tcBorders>
            <w:shd w:val="clear" w:color="auto" w:fill="C0C0C0"/>
            <w:noWrap/>
            <w:vAlign w:val="bottom"/>
          </w:tcPr>
          <w:p w14:paraId="3C908E55" w14:textId="77777777" w:rsidR="00851B9D" w:rsidRPr="00991993" w:rsidRDefault="00851B9D" w:rsidP="00851B9D">
            <w:pPr>
              <w:jc w:val="right"/>
              <w:rPr>
                <w:color w:val="000000"/>
                <w:sz w:val="22"/>
                <w:szCs w:val="22"/>
              </w:rPr>
            </w:pPr>
            <w:r w:rsidRPr="00991993">
              <w:rPr>
                <w:color w:val="000000"/>
                <w:sz w:val="22"/>
                <w:szCs w:val="22"/>
              </w:rPr>
              <w:t>Male</w:t>
            </w:r>
          </w:p>
        </w:tc>
      </w:tr>
      <w:tr w:rsidR="00851B9D" w:rsidRPr="00991993" w14:paraId="23321D3A" w14:textId="77777777" w:rsidTr="00851B9D">
        <w:trPr>
          <w:trHeight w:val="300"/>
        </w:trPr>
        <w:tc>
          <w:tcPr>
            <w:tcW w:w="5260" w:type="dxa"/>
            <w:tcBorders>
              <w:top w:val="single" w:sz="4" w:space="0" w:color="auto"/>
            </w:tcBorders>
            <w:shd w:val="clear" w:color="auto" w:fill="auto"/>
            <w:vAlign w:val="bottom"/>
            <w:hideMark/>
          </w:tcPr>
          <w:p w14:paraId="75D719FD" w14:textId="77777777" w:rsidR="00851B9D" w:rsidRPr="00991993" w:rsidRDefault="00851B9D" w:rsidP="00851B9D">
            <w:pPr>
              <w:ind w:left="229"/>
              <w:rPr>
                <w:color w:val="000000"/>
                <w:sz w:val="22"/>
                <w:szCs w:val="22"/>
              </w:rPr>
            </w:pPr>
            <w:r w:rsidRPr="00991993">
              <w:rPr>
                <w:color w:val="000000"/>
                <w:sz w:val="22"/>
                <w:szCs w:val="22"/>
              </w:rPr>
              <w:t>Legislators, senior officials and managers</w:t>
            </w:r>
          </w:p>
        </w:tc>
        <w:tc>
          <w:tcPr>
            <w:tcW w:w="1751" w:type="dxa"/>
            <w:tcBorders>
              <w:top w:val="single" w:sz="4" w:space="0" w:color="auto"/>
            </w:tcBorders>
            <w:shd w:val="clear" w:color="auto" w:fill="auto"/>
            <w:noWrap/>
            <w:vAlign w:val="bottom"/>
            <w:hideMark/>
          </w:tcPr>
          <w:p w14:paraId="580D04E1" w14:textId="77777777" w:rsidR="00851B9D" w:rsidRPr="00991993" w:rsidRDefault="00851B9D" w:rsidP="00851B9D">
            <w:pPr>
              <w:jc w:val="right"/>
              <w:rPr>
                <w:color w:val="000000"/>
                <w:sz w:val="22"/>
                <w:szCs w:val="22"/>
              </w:rPr>
            </w:pPr>
            <w:r w:rsidRPr="00991993">
              <w:rPr>
                <w:color w:val="000000"/>
                <w:sz w:val="22"/>
                <w:szCs w:val="22"/>
              </w:rPr>
              <w:t>1.3</w:t>
            </w:r>
          </w:p>
        </w:tc>
        <w:tc>
          <w:tcPr>
            <w:tcW w:w="1751" w:type="dxa"/>
            <w:tcBorders>
              <w:top w:val="single" w:sz="4" w:space="0" w:color="auto"/>
            </w:tcBorders>
            <w:shd w:val="clear" w:color="auto" w:fill="auto"/>
            <w:noWrap/>
            <w:vAlign w:val="bottom"/>
            <w:hideMark/>
          </w:tcPr>
          <w:p w14:paraId="06812341" w14:textId="77777777" w:rsidR="00851B9D" w:rsidRPr="00991993" w:rsidRDefault="00851B9D" w:rsidP="00851B9D">
            <w:pPr>
              <w:jc w:val="right"/>
              <w:rPr>
                <w:color w:val="000000"/>
                <w:sz w:val="22"/>
                <w:szCs w:val="22"/>
              </w:rPr>
            </w:pPr>
            <w:r w:rsidRPr="00991993">
              <w:rPr>
                <w:color w:val="000000"/>
                <w:sz w:val="22"/>
                <w:szCs w:val="22"/>
              </w:rPr>
              <w:t>4.0</w:t>
            </w:r>
          </w:p>
        </w:tc>
      </w:tr>
      <w:tr w:rsidR="00851B9D" w:rsidRPr="00991993" w14:paraId="7FAE4DF8" w14:textId="77777777" w:rsidTr="00851B9D">
        <w:trPr>
          <w:trHeight w:val="300"/>
        </w:trPr>
        <w:tc>
          <w:tcPr>
            <w:tcW w:w="5260" w:type="dxa"/>
            <w:shd w:val="clear" w:color="auto" w:fill="E6E6E6"/>
            <w:vAlign w:val="bottom"/>
            <w:hideMark/>
          </w:tcPr>
          <w:p w14:paraId="5497FEC7" w14:textId="77777777" w:rsidR="00851B9D" w:rsidRPr="00991993" w:rsidRDefault="00851B9D" w:rsidP="00851B9D">
            <w:pPr>
              <w:ind w:left="229"/>
              <w:rPr>
                <w:color w:val="000000"/>
                <w:sz w:val="22"/>
                <w:szCs w:val="22"/>
              </w:rPr>
            </w:pPr>
            <w:r w:rsidRPr="00991993">
              <w:rPr>
                <w:color w:val="000000"/>
                <w:sz w:val="22"/>
                <w:szCs w:val="22"/>
              </w:rPr>
              <w:t>Professionals</w:t>
            </w:r>
          </w:p>
        </w:tc>
        <w:tc>
          <w:tcPr>
            <w:tcW w:w="1751" w:type="dxa"/>
            <w:shd w:val="clear" w:color="auto" w:fill="E6E6E6"/>
            <w:noWrap/>
            <w:vAlign w:val="bottom"/>
            <w:hideMark/>
          </w:tcPr>
          <w:p w14:paraId="661607C9" w14:textId="77777777" w:rsidR="00851B9D" w:rsidRPr="00991993" w:rsidRDefault="00851B9D" w:rsidP="00851B9D">
            <w:pPr>
              <w:jc w:val="right"/>
              <w:rPr>
                <w:color w:val="000000"/>
                <w:sz w:val="22"/>
                <w:szCs w:val="22"/>
              </w:rPr>
            </w:pPr>
            <w:r w:rsidRPr="00991993">
              <w:rPr>
                <w:color w:val="000000"/>
                <w:sz w:val="22"/>
                <w:szCs w:val="22"/>
              </w:rPr>
              <w:t>6.5</w:t>
            </w:r>
          </w:p>
        </w:tc>
        <w:tc>
          <w:tcPr>
            <w:tcW w:w="1751" w:type="dxa"/>
            <w:shd w:val="clear" w:color="auto" w:fill="E6E6E6"/>
            <w:noWrap/>
            <w:vAlign w:val="bottom"/>
            <w:hideMark/>
          </w:tcPr>
          <w:p w14:paraId="76358EA5" w14:textId="77777777" w:rsidR="00851B9D" w:rsidRPr="00991993" w:rsidRDefault="00851B9D" w:rsidP="00851B9D">
            <w:pPr>
              <w:jc w:val="right"/>
              <w:rPr>
                <w:color w:val="000000"/>
                <w:sz w:val="22"/>
                <w:szCs w:val="22"/>
              </w:rPr>
            </w:pPr>
            <w:r w:rsidRPr="00991993">
              <w:rPr>
                <w:color w:val="000000"/>
                <w:sz w:val="22"/>
                <w:szCs w:val="22"/>
              </w:rPr>
              <w:t>7.8</w:t>
            </w:r>
          </w:p>
        </w:tc>
      </w:tr>
      <w:tr w:rsidR="00851B9D" w:rsidRPr="00991993" w14:paraId="43A94480" w14:textId="77777777" w:rsidTr="00851B9D">
        <w:trPr>
          <w:trHeight w:val="300"/>
        </w:trPr>
        <w:tc>
          <w:tcPr>
            <w:tcW w:w="5260" w:type="dxa"/>
            <w:shd w:val="clear" w:color="auto" w:fill="auto"/>
            <w:vAlign w:val="bottom"/>
            <w:hideMark/>
          </w:tcPr>
          <w:p w14:paraId="5CF21103" w14:textId="77777777" w:rsidR="00851B9D" w:rsidRPr="00991993" w:rsidRDefault="00851B9D" w:rsidP="00851B9D">
            <w:pPr>
              <w:ind w:left="229"/>
              <w:rPr>
                <w:color w:val="000000"/>
                <w:sz w:val="22"/>
                <w:szCs w:val="22"/>
              </w:rPr>
            </w:pPr>
            <w:r w:rsidRPr="00991993">
              <w:rPr>
                <w:color w:val="000000"/>
                <w:sz w:val="22"/>
                <w:szCs w:val="22"/>
              </w:rPr>
              <w:t>Technicians and associate professionals</w:t>
            </w:r>
          </w:p>
        </w:tc>
        <w:tc>
          <w:tcPr>
            <w:tcW w:w="1751" w:type="dxa"/>
            <w:shd w:val="clear" w:color="auto" w:fill="auto"/>
            <w:noWrap/>
            <w:vAlign w:val="bottom"/>
            <w:hideMark/>
          </w:tcPr>
          <w:p w14:paraId="4D838BE9" w14:textId="77777777" w:rsidR="00851B9D" w:rsidRPr="00991993" w:rsidRDefault="00851B9D" w:rsidP="00851B9D">
            <w:pPr>
              <w:jc w:val="right"/>
              <w:rPr>
                <w:color w:val="000000"/>
                <w:sz w:val="22"/>
                <w:szCs w:val="22"/>
              </w:rPr>
            </w:pPr>
            <w:r w:rsidRPr="00991993">
              <w:rPr>
                <w:color w:val="000000"/>
                <w:sz w:val="22"/>
                <w:szCs w:val="22"/>
              </w:rPr>
              <w:t>5.9</w:t>
            </w:r>
          </w:p>
        </w:tc>
        <w:tc>
          <w:tcPr>
            <w:tcW w:w="1751" w:type="dxa"/>
            <w:shd w:val="clear" w:color="auto" w:fill="auto"/>
            <w:noWrap/>
            <w:vAlign w:val="bottom"/>
            <w:hideMark/>
          </w:tcPr>
          <w:p w14:paraId="4A9B5218" w14:textId="77777777" w:rsidR="00851B9D" w:rsidRPr="00991993" w:rsidRDefault="00851B9D" w:rsidP="00851B9D">
            <w:pPr>
              <w:jc w:val="right"/>
              <w:rPr>
                <w:color w:val="000000"/>
                <w:sz w:val="22"/>
                <w:szCs w:val="22"/>
              </w:rPr>
            </w:pPr>
            <w:r w:rsidRPr="00991993">
              <w:rPr>
                <w:color w:val="000000"/>
                <w:sz w:val="22"/>
                <w:szCs w:val="22"/>
              </w:rPr>
              <w:t>4.1</w:t>
            </w:r>
          </w:p>
        </w:tc>
      </w:tr>
      <w:tr w:rsidR="00851B9D" w:rsidRPr="00991993" w14:paraId="74D5758E" w14:textId="77777777" w:rsidTr="00851B9D">
        <w:trPr>
          <w:trHeight w:val="300"/>
        </w:trPr>
        <w:tc>
          <w:tcPr>
            <w:tcW w:w="5260" w:type="dxa"/>
            <w:shd w:val="clear" w:color="auto" w:fill="E6E6E6"/>
            <w:vAlign w:val="bottom"/>
            <w:hideMark/>
          </w:tcPr>
          <w:p w14:paraId="4FB5BDE9" w14:textId="77777777" w:rsidR="00851B9D" w:rsidRPr="00991993" w:rsidRDefault="00851B9D" w:rsidP="00851B9D">
            <w:pPr>
              <w:ind w:left="229"/>
              <w:rPr>
                <w:color w:val="000000"/>
                <w:sz w:val="22"/>
                <w:szCs w:val="22"/>
              </w:rPr>
            </w:pPr>
            <w:r w:rsidRPr="00991993">
              <w:rPr>
                <w:color w:val="000000"/>
                <w:sz w:val="22"/>
                <w:szCs w:val="22"/>
              </w:rPr>
              <w:t>Clerks</w:t>
            </w:r>
          </w:p>
        </w:tc>
        <w:tc>
          <w:tcPr>
            <w:tcW w:w="1751" w:type="dxa"/>
            <w:shd w:val="clear" w:color="auto" w:fill="E6E6E6"/>
            <w:noWrap/>
            <w:vAlign w:val="bottom"/>
            <w:hideMark/>
          </w:tcPr>
          <w:p w14:paraId="0A438491" w14:textId="77777777" w:rsidR="00851B9D" w:rsidRPr="00991993" w:rsidRDefault="00851B9D" w:rsidP="00851B9D">
            <w:pPr>
              <w:jc w:val="right"/>
              <w:rPr>
                <w:color w:val="000000"/>
                <w:sz w:val="22"/>
                <w:szCs w:val="22"/>
              </w:rPr>
            </w:pPr>
            <w:r w:rsidRPr="00991993">
              <w:rPr>
                <w:color w:val="000000"/>
                <w:sz w:val="22"/>
                <w:szCs w:val="22"/>
              </w:rPr>
              <w:t>0.9</w:t>
            </w:r>
          </w:p>
        </w:tc>
        <w:tc>
          <w:tcPr>
            <w:tcW w:w="1751" w:type="dxa"/>
            <w:shd w:val="clear" w:color="auto" w:fill="E6E6E6"/>
            <w:noWrap/>
            <w:vAlign w:val="bottom"/>
            <w:hideMark/>
          </w:tcPr>
          <w:p w14:paraId="5B4157E3" w14:textId="77777777" w:rsidR="00851B9D" w:rsidRPr="00991993" w:rsidRDefault="00851B9D" w:rsidP="00851B9D">
            <w:pPr>
              <w:jc w:val="right"/>
              <w:rPr>
                <w:color w:val="000000"/>
                <w:sz w:val="22"/>
                <w:szCs w:val="22"/>
              </w:rPr>
            </w:pPr>
            <w:r w:rsidRPr="00991993">
              <w:rPr>
                <w:color w:val="000000"/>
                <w:sz w:val="22"/>
                <w:szCs w:val="22"/>
              </w:rPr>
              <w:t>0.5</w:t>
            </w:r>
          </w:p>
        </w:tc>
      </w:tr>
      <w:tr w:rsidR="00851B9D" w:rsidRPr="00991993" w14:paraId="3BC0A8EE" w14:textId="77777777" w:rsidTr="00851B9D">
        <w:trPr>
          <w:trHeight w:val="133"/>
        </w:trPr>
        <w:tc>
          <w:tcPr>
            <w:tcW w:w="5260" w:type="dxa"/>
            <w:shd w:val="clear" w:color="auto" w:fill="auto"/>
            <w:vAlign w:val="bottom"/>
            <w:hideMark/>
          </w:tcPr>
          <w:p w14:paraId="3C0BBD7A" w14:textId="77777777" w:rsidR="00851B9D" w:rsidRPr="00991993" w:rsidRDefault="00851B9D" w:rsidP="00851B9D">
            <w:pPr>
              <w:ind w:left="229"/>
              <w:rPr>
                <w:color w:val="000000"/>
                <w:sz w:val="22"/>
                <w:szCs w:val="22"/>
              </w:rPr>
            </w:pPr>
            <w:r w:rsidRPr="00991993">
              <w:rPr>
                <w:color w:val="000000"/>
                <w:sz w:val="22"/>
                <w:szCs w:val="22"/>
              </w:rPr>
              <w:t>Service workers and shop and market sales workers</w:t>
            </w:r>
          </w:p>
        </w:tc>
        <w:tc>
          <w:tcPr>
            <w:tcW w:w="1751" w:type="dxa"/>
            <w:shd w:val="clear" w:color="auto" w:fill="auto"/>
            <w:noWrap/>
            <w:vAlign w:val="bottom"/>
            <w:hideMark/>
          </w:tcPr>
          <w:p w14:paraId="2970B296" w14:textId="77777777" w:rsidR="00851B9D" w:rsidRPr="00991993" w:rsidRDefault="00851B9D" w:rsidP="00851B9D">
            <w:pPr>
              <w:jc w:val="right"/>
              <w:rPr>
                <w:color w:val="000000"/>
                <w:sz w:val="22"/>
                <w:szCs w:val="22"/>
              </w:rPr>
            </w:pPr>
            <w:r w:rsidRPr="00991993">
              <w:rPr>
                <w:color w:val="000000"/>
                <w:sz w:val="22"/>
                <w:szCs w:val="22"/>
              </w:rPr>
              <w:t>8.7</w:t>
            </w:r>
          </w:p>
        </w:tc>
        <w:tc>
          <w:tcPr>
            <w:tcW w:w="1751" w:type="dxa"/>
            <w:shd w:val="clear" w:color="auto" w:fill="auto"/>
            <w:noWrap/>
            <w:vAlign w:val="bottom"/>
            <w:hideMark/>
          </w:tcPr>
          <w:p w14:paraId="637FDFFC" w14:textId="77777777" w:rsidR="00851B9D" w:rsidRPr="00991993" w:rsidRDefault="00851B9D" w:rsidP="00851B9D">
            <w:pPr>
              <w:jc w:val="right"/>
              <w:rPr>
                <w:color w:val="000000"/>
                <w:sz w:val="22"/>
                <w:szCs w:val="22"/>
              </w:rPr>
            </w:pPr>
            <w:r w:rsidRPr="00991993">
              <w:rPr>
                <w:color w:val="000000"/>
                <w:sz w:val="22"/>
                <w:szCs w:val="22"/>
              </w:rPr>
              <w:t>11.6</w:t>
            </w:r>
          </w:p>
        </w:tc>
      </w:tr>
      <w:tr w:rsidR="00851B9D" w:rsidRPr="00991993" w14:paraId="629EFC96" w14:textId="77777777" w:rsidTr="00851B9D">
        <w:trPr>
          <w:trHeight w:val="300"/>
        </w:trPr>
        <w:tc>
          <w:tcPr>
            <w:tcW w:w="5260" w:type="dxa"/>
            <w:shd w:val="clear" w:color="auto" w:fill="E6E6E6"/>
            <w:vAlign w:val="bottom"/>
            <w:hideMark/>
          </w:tcPr>
          <w:p w14:paraId="691D78E4" w14:textId="77777777" w:rsidR="00851B9D" w:rsidRPr="00991993" w:rsidRDefault="00851B9D" w:rsidP="00851B9D">
            <w:pPr>
              <w:ind w:left="229"/>
              <w:rPr>
                <w:color w:val="000000"/>
                <w:sz w:val="22"/>
                <w:szCs w:val="22"/>
              </w:rPr>
            </w:pPr>
            <w:r w:rsidRPr="00991993">
              <w:rPr>
                <w:color w:val="000000"/>
                <w:sz w:val="22"/>
                <w:szCs w:val="22"/>
              </w:rPr>
              <w:t>Skilled agricultural and fishery workers</w:t>
            </w:r>
          </w:p>
        </w:tc>
        <w:tc>
          <w:tcPr>
            <w:tcW w:w="1751" w:type="dxa"/>
            <w:shd w:val="clear" w:color="auto" w:fill="E6E6E6"/>
            <w:noWrap/>
            <w:vAlign w:val="bottom"/>
            <w:hideMark/>
          </w:tcPr>
          <w:p w14:paraId="2AB3B924" w14:textId="77777777" w:rsidR="00851B9D" w:rsidRPr="00991993" w:rsidRDefault="00851B9D" w:rsidP="00851B9D">
            <w:pPr>
              <w:jc w:val="right"/>
              <w:rPr>
                <w:color w:val="000000"/>
                <w:sz w:val="22"/>
                <w:szCs w:val="22"/>
              </w:rPr>
            </w:pPr>
            <w:r w:rsidRPr="00991993">
              <w:rPr>
                <w:color w:val="000000"/>
                <w:sz w:val="22"/>
                <w:szCs w:val="22"/>
              </w:rPr>
              <w:t>0.4</w:t>
            </w:r>
          </w:p>
        </w:tc>
        <w:tc>
          <w:tcPr>
            <w:tcW w:w="1751" w:type="dxa"/>
            <w:shd w:val="clear" w:color="auto" w:fill="E6E6E6"/>
            <w:noWrap/>
            <w:vAlign w:val="bottom"/>
            <w:hideMark/>
          </w:tcPr>
          <w:p w14:paraId="4BD26CA6" w14:textId="77777777" w:rsidR="00851B9D" w:rsidRPr="00991993" w:rsidRDefault="00851B9D" w:rsidP="00851B9D">
            <w:pPr>
              <w:jc w:val="right"/>
              <w:rPr>
                <w:color w:val="000000"/>
                <w:sz w:val="22"/>
                <w:szCs w:val="22"/>
              </w:rPr>
            </w:pPr>
            <w:r w:rsidRPr="00991993">
              <w:rPr>
                <w:color w:val="000000"/>
                <w:sz w:val="22"/>
                <w:szCs w:val="22"/>
              </w:rPr>
              <w:t>1.3</w:t>
            </w:r>
          </w:p>
        </w:tc>
      </w:tr>
      <w:tr w:rsidR="00851B9D" w:rsidRPr="00991993" w14:paraId="224C7FA4" w14:textId="77777777" w:rsidTr="00851B9D">
        <w:trPr>
          <w:trHeight w:val="300"/>
        </w:trPr>
        <w:tc>
          <w:tcPr>
            <w:tcW w:w="5260" w:type="dxa"/>
            <w:shd w:val="clear" w:color="auto" w:fill="auto"/>
            <w:vAlign w:val="bottom"/>
            <w:hideMark/>
          </w:tcPr>
          <w:p w14:paraId="084CEFFF" w14:textId="77777777" w:rsidR="00851B9D" w:rsidRPr="00991993" w:rsidRDefault="00851B9D" w:rsidP="00851B9D">
            <w:pPr>
              <w:ind w:left="229"/>
              <w:rPr>
                <w:color w:val="000000"/>
                <w:sz w:val="22"/>
                <w:szCs w:val="22"/>
              </w:rPr>
            </w:pPr>
            <w:r w:rsidRPr="00991993">
              <w:rPr>
                <w:color w:val="000000"/>
                <w:sz w:val="22"/>
                <w:szCs w:val="22"/>
              </w:rPr>
              <w:t>Craft and related trade workers</w:t>
            </w:r>
          </w:p>
        </w:tc>
        <w:tc>
          <w:tcPr>
            <w:tcW w:w="1751" w:type="dxa"/>
            <w:shd w:val="clear" w:color="auto" w:fill="auto"/>
            <w:noWrap/>
            <w:vAlign w:val="bottom"/>
            <w:hideMark/>
          </w:tcPr>
          <w:p w14:paraId="0A9FB386" w14:textId="77777777" w:rsidR="00851B9D" w:rsidRPr="00991993" w:rsidRDefault="00851B9D" w:rsidP="00851B9D">
            <w:pPr>
              <w:jc w:val="right"/>
              <w:rPr>
                <w:color w:val="000000"/>
                <w:sz w:val="22"/>
                <w:szCs w:val="22"/>
              </w:rPr>
            </w:pPr>
            <w:r w:rsidRPr="00991993">
              <w:rPr>
                <w:color w:val="000000"/>
                <w:sz w:val="22"/>
                <w:szCs w:val="22"/>
              </w:rPr>
              <w:t>3.2</w:t>
            </w:r>
          </w:p>
        </w:tc>
        <w:tc>
          <w:tcPr>
            <w:tcW w:w="1751" w:type="dxa"/>
            <w:shd w:val="clear" w:color="auto" w:fill="auto"/>
            <w:noWrap/>
            <w:vAlign w:val="bottom"/>
            <w:hideMark/>
          </w:tcPr>
          <w:p w14:paraId="2BB6E3C3" w14:textId="77777777" w:rsidR="00851B9D" w:rsidRPr="00991993" w:rsidRDefault="00851B9D" w:rsidP="00851B9D">
            <w:pPr>
              <w:jc w:val="right"/>
              <w:rPr>
                <w:color w:val="000000"/>
                <w:sz w:val="22"/>
                <w:szCs w:val="22"/>
              </w:rPr>
            </w:pPr>
            <w:r w:rsidRPr="00991993">
              <w:rPr>
                <w:color w:val="000000"/>
                <w:sz w:val="22"/>
                <w:szCs w:val="22"/>
              </w:rPr>
              <w:t>8.3</w:t>
            </w:r>
          </w:p>
        </w:tc>
      </w:tr>
      <w:tr w:rsidR="00851B9D" w:rsidRPr="00991993" w14:paraId="50C7DC2D" w14:textId="77777777" w:rsidTr="00851B9D">
        <w:trPr>
          <w:trHeight w:val="300"/>
        </w:trPr>
        <w:tc>
          <w:tcPr>
            <w:tcW w:w="5260" w:type="dxa"/>
            <w:shd w:val="clear" w:color="auto" w:fill="E6E6E6"/>
            <w:vAlign w:val="bottom"/>
            <w:hideMark/>
          </w:tcPr>
          <w:p w14:paraId="6BC97B36" w14:textId="77777777" w:rsidR="00851B9D" w:rsidRPr="00991993" w:rsidRDefault="00851B9D" w:rsidP="00851B9D">
            <w:pPr>
              <w:ind w:left="229"/>
              <w:rPr>
                <w:color w:val="000000"/>
                <w:sz w:val="22"/>
                <w:szCs w:val="22"/>
              </w:rPr>
            </w:pPr>
            <w:r w:rsidRPr="00991993">
              <w:rPr>
                <w:color w:val="000000"/>
                <w:sz w:val="22"/>
                <w:szCs w:val="22"/>
              </w:rPr>
              <w:t>Plant and machine operators and assemblers</w:t>
            </w:r>
          </w:p>
        </w:tc>
        <w:tc>
          <w:tcPr>
            <w:tcW w:w="1751" w:type="dxa"/>
            <w:shd w:val="clear" w:color="auto" w:fill="E6E6E6"/>
            <w:noWrap/>
            <w:vAlign w:val="bottom"/>
            <w:hideMark/>
          </w:tcPr>
          <w:p w14:paraId="2B88AF25" w14:textId="77777777" w:rsidR="00851B9D" w:rsidRPr="00991993" w:rsidRDefault="00851B9D" w:rsidP="00851B9D">
            <w:pPr>
              <w:jc w:val="right"/>
              <w:rPr>
                <w:color w:val="000000"/>
                <w:sz w:val="22"/>
                <w:szCs w:val="22"/>
              </w:rPr>
            </w:pPr>
            <w:r w:rsidRPr="00991993">
              <w:rPr>
                <w:color w:val="000000"/>
                <w:sz w:val="22"/>
                <w:szCs w:val="22"/>
              </w:rPr>
              <w:t>0.3</w:t>
            </w:r>
          </w:p>
        </w:tc>
        <w:tc>
          <w:tcPr>
            <w:tcW w:w="1751" w:type="dxa"/>
            <w:shd w:val="clear" w:color="auto" w:fill="E6E6E6"/>
            <w:noWrap/>
            <w:vAlign w:val="bottom"/>
            <w:hideMark/>
          </w:tcPr>
          <w:p w14:paraId="35B3E0E7" w14:textId="77777777" w:rsidR="00851B9D" w:rsidRPr="00991993" w:rsidRDefault="00851B9D" w:rsidP="00851B9D">
            <w:pPr>
              <w:jc w:val="right"/>
              <w:rPr>
                <w:color w:val="000000"/>
                <w:sz w:val="22"/>
                <w:szCs w:val="22"/>
              </w:rPr>
            </w:pPr>
            <w:r w:rsidRPr="00991993">
              <w:rPr>
                <w:color w:val="000000"/>
                <w:sz w:val="22"/>
                <w:szCs w:val="22"/>
              </w:rPr>
              <w:t>9.7</w:t>
            </w:r>
          </w:p>
        </w:tc>
      </w:tr>
      <w:tr w:rsidR="00851B9D" w:rsidRPr="00991993" w14:paraId="0B9C24EE" w14:textId="77777777" w:rsidTr="00851B9D">
        <w:trPr>
          <w:trHeight w:val="300"/>
        </w:trPr>
        <w:tc>
          <w:tcPr>
            <w:tcW w:w="5260" w:type="dxa"/>
            <w:shd w:val="clear" w:color="auto" w:fill="auto"/>
            <w:vAlign w:val="bottom"/>
            <w:hideMark/>
          </w:tcPr>
          <w:p w14:paraId="1E569785" w14:textId="77777777" w:rsidR="00851B9D" w:rsidRPr="00991993" w:rsidRDefault="00851B9D" w:rsidP="00851B9D">
            <w:pPr>
              <w:ind w:left="229"/>
              <w:rPr>
                <w:color w:val="0000FF"/>
                <w:sz w:val="22"/>
                <w:szCs w:val="22"/>
                <w:u w:val="single"/>
              </w:rPr>
            </w:pPr>
            <w:r w:rsidRPr="00991993">
              <w:rPr>
                <w:color w:val="000000"/>
                <w:sz w:val="22"/>
                <w:szCs w:val="22"/>
              </w:rPr>
              <w:t>Elementary occupations</w:t>
            </w:r>
          </w:p>
        </w:tc>
        <w:tc>
          <w:tcPr>
            <w:tcW w:w="1751" w:type="dxa"/>
            <w:shd w:val="clear" w:color="auto" w:fill="auto"/>
            <w:noWrap/>
            <w:vAlign w:val="bottom"/>
            <w:hideMark/>
          </w:tcPr>
          <w:p w14:paraId="7AFF95BD" w14:textId="77777777" w:rsidR="00851B9D" w:rsidRPr="00991993" w:rsidRDefault="00851B9D" w:rsidP="00851B9D">
            <w:pPr>
              <w:jc w:val="right"/>
              <w:rPr>
                <w:color w:val="000000"/>
                <w:sz w:val="22"/>
                <w:szCs w:val="22"/>
              </w:rPr>
            </w:pPr>
            <w:r w:rsidRPr="00991993">
              <w:rPr>
                <w:color w:val="000000"/>
                <w:sz w:val="22"/>
                <w:szCs w:val="22"/>
              </w:rPr>
              <w:t>72.5</w:t>
            </w:r>
          </w:p>
        </w:tc>
        <w:tc>
          <w:tcPr>
            <w:tcW w:w="1751" w:type="dxa"/>
            <w:shd w:val="clear" w:color="auto" w:fill="auto"/>
            <w:noWrap/>
            <w:vAlign w:val="bottom"/>
            <w:hideMark/>
          </w:tcPr>
          <w:p w14:paraId="3A207E5A" w14:textId="77777777" w:rsidR="00851B9D" w:rsidRPr="00991993" w:rsidRDefault="00851B9D" w:rsidP="00851B9D">
            <w:pPr>
              <w:jc w:val="right"/>
              <w:rPr>
                <w:color w:val="000000"/>
                <w:sz w:val="22"/>
                <w:szCs w:val="22"/>
              </w:rPr>
            </w:pPr>
            <w:r w:rsidRPr="00991993">
              <w:rPr>
                <w:color w:val="000000"/>
                <w:sz w:val="22"/>
                <w:szCs w:val="22"/>
              </w:rPr>
              <w:t>51.5</w:t>
            </w:r>
          </w:p>
        </w:tc>
      </w:tr>
      <w:tr w:rsidR="00851B9D" w:rsidRPr="00991993" w14:paraId="7E410141" w14:textId="77777777" w:rsidTr="00851B9D">
        <w:trPr>
          <w:trHeight w:val="300"/>
        </w:trPr>
        <w:tc>
          <w:tcPr>
            <w:tcW w:w="5260" w:type="dxa"/>
            <w:shd w:val="clear" w:color="auto" w:fill="E6E6E6"/>
            <w:vAlign w:val="bottom"/>
            <w:hideMark/>
          </w:tcPr>
          <w:p w14:paraId="004176F6" w14:textId="77777777" w:rsidR="00851B9D" w:rsidRPr="00991993" w:rsidRDefault="00851B9D" w:rsidP="00851B9D">
            <w:pPr>
              <w:ind w:left="229"/>
              <w:rPr>
                <w:color w:val="000000"/>
                <w:sz w:val="22"/>
                <w:szCs w:val="22"/>
              </w:rPr>
            </w:pPr>
            <w:r w:rsidRPr="00991993">
              <w:rPr>
                <w:color w:val="000000"/>
                <w:sz w:val="22"/>
                <w:szCs w:val="22"/>
              </w:rPr>
              <w:t>Armed forces</w:t>
            </w:r>
          </w:p>
        </w:tc>
        <w:tc>
          <w:tcPr>
            <w:tcW w:w="1751" w:type="dxa"/>
            <w:shd w:val="clear" w:color="auto" w:fill="E6E6E6"/>
            <w:noWrap/>
            <w:vAlign w:val="bottom"/>
            <w:hideMark/>
          </w:tcPr>
          <w:p w14:paraId="6A7D6D31" w14:textId="77777777" w:rsidR="00851B9D" w:rsidRPr="00FC4B48" w:rsidRDefault="00FC4B48" w:rsidP="00851B9D">
            <w:pPr>
              <w:jc w:val="right"/>
              <w:rPr>
                <w:color w:val="000000" w:themeColor="text1"/>
                <w:sz w:val="22"/>
                <w:szCs w:val="22"/>
              </w:rPr>
            </w:pPr>
            <w:r>
              <w:rPr>
                <w:color w:val="000000" w:themeColor="text1"/>
                <w:sz w:val="22"/>
                <w:szCs w:val="22"/>
              </w:rPr>
              <w:t>-</w:t>
            </w:r>
          </w:p>
        </w:tc>
        <w:tc>
          <w:tcPr>
            <w:tcW w:w="1751" w:type="dxa"/>
            <w:shd w:val="clear" w:color="auto" w:fill="E6E6E6"/>
            <w:noWrap/>
            <w:vAlign w:val="bottom"/>
            <w:hideMark/>
          </w:tcPr>
          <w:p w14:paraId="68D2E8FC" w14:textId="77777777" w:rsidR="00851B9D" w:rsidRPr="00FC4B48" w:rsidRDefault="00FC4B48" w:rsidP="00851B9D">
            <w:pPr>
              <w:jc w:val="right"/>
              <w:rPr>
                <w:color w:val="000000" w:themeColor="text1"/>
                <w:sz w:val="22"/>
                <w:szCs w:val="22"/>
              </w:rPr>
            </w:pPr>
            <w:r>
              <w:rPr>
                <w:color w:val="000000" w:themeColor="text1"/>
                <w:sz w:val="22"/>
                <w:szCs w:val="22"/>
              </w:rPr>
              <w:t>-</w:t>
            </w:r>
          </w:p>
        </w:tc>
      </w:tr>
      <w:tr w:rsidR="00851B9D" w:rsidRPr="00991993" w14:paraId="73C03291" w14:textId="77777777" w:rsidTr="00851B9D">
        <w:trPr>
          <w:trHeight w:val="300"/>
        </w:trPr>
        <w:tc>
          <w:tcPr>
            <w:tcW w:w="5260" w:type="dxa"/>
            <w:shd w:val="clear" w:color="auto" w:fill="auto"/>
            <w:vAlign w:val="bottom"/>
            <w:hideMark/>
          </w:tcPr>
          <w:p w14:paraId="1EDA2888" w14:textId="77777777" w:rsidR="00851B9D" w:rsidRPr="00991993" w:rsidRDefault="00851B9D" w:rsidP="00851B9D">
            <w:pPr>
              <w:ind w:left="229"/>
              <w:rPr>
                <w:color w:val="000000"/>
                <w:sz w:val="22"/>
                <w:szCs w:val="22"/>
              </w:rPr>
            </w:pPr>
            <w:r w:rsidRPr="00991993">
              <w:rPr>
                <w:color w:val="000000"/>
                <w:sz w:val="22"/>
                <w:szCs w:val="22"/>
              </w:rPr>
              <w:t>Not stated</w:t>
            </w:r>
          </w:p>
        </w:tc>
        <w:tc>
          <w:tcPr>
            <w:tcW w:w="1751" w:type="dxa"/>
            <w:shd w:val="clear" w:color="auto" w:fill="auto"/>
            <w:noWrap/>
            <w:vAlign w:val="bottom"/>
            <w:hideMark/>
          </w:tcPr>
          <w:p w14:paraId="32519E15" w14:textId="77777777" w:rsidR="00851B9D" w:rsidRPr="00FC4B48" w:rsidRDefault="00FC4B48" w:rsidP="00851B9D">
            <w:pPr>
              <w:jc w:val="right"/>
              <w:rPr>
                <w:color w:val="000000" w:themeColor="text1"/>
                <w:sz w:val="22"/>
                <w:szCs w:val="22"/>
              </w:rPr>
            </w:pPr>
            <w:r>
              <w:rPr>
                <w:color w:val="000000" w:themeColor="text1"/>
                <w:sz w:val="22"/>
                <w:szCs w:val="22"/>
              </w:rPr>
              <w:t>-</w:t>
            </w:r>
          </w:p>
        </w:tc>
        <w:tc>
          <w:tcPr>
            <w:tcW w:w="1751" w:type="dxa"/>
            <w:shd w:val="clear" w:color="auto" w:fill="auto"/>
            <w:noWrap/>
            <w:vAlign w:val="bottom"/>
            <w:hideMark/>
          </w:tcPr>
          <w:p w14:paraId="002A59B5" w14:textId="77777777" w:rsidR="00851B9D" w:rsidRPr="00FC4B48" w:rsidRDefault="00FC4B48" w:rsidP="00851B9D">
            <w:pPr>
              <w:jc w:val="right"/>
              <w:rPr>
                <w:color w:val="000000" w:themeColor="text1"/>
                <w:sz w:val="22"/>
                <w:szCs w:val="22"/>
              </w:rPr>
            </w:pPr>
            <w:r>
              <w:rPr>
                <w:color w:val="000000" w:themeColor="text1"/>
                <w:sz w:val="22"/>
                <w:szCs w:val="22"/>
              </w:rPr>
              <w:t>-</w:t>
            </w:r>
          </w:p>
        </w:tc>
      </w:tr>
      <w:tr w:rsidR="00851B9D" w:rsidRPr="00991993" w14:paraId="64C867CB" w14:textId="77777777" w:rsidTr="00851B9D">
        <w:trPr>
          <w:trHeight w:val="300"/>
        </w:trPr>
        <w:tc>
          <w:tcPr>
            <w:tcW w:w="5260" w:type="dxa"/>
            <w:tcBorders>
              <w:bottom w:val="single" w:sz="4" w:space="0" w:color="auto"/>
            </w:tcBorders>
            <w:shd w:val="clear" w:color="auto" w:fill="E6E6E6"/>
            <w:vAlign w:val="bottom"/>
            <w:hideMark/>
          </w:tcPr>
          <w:p w14:paraId="2F60DF43" w14:textId="77777777" w:rsidR="00851B9D" w:rsidRPr="00991993" w:rsidRDefault="00851B9D" w:rsidP="00851B9D">
            <w:pPr>
              <w:ind w:left="229"/>
              <w:rPr>
                <w:color w:val="000000"/>
                <w:sz w:val="22"/>
                <w:szCs w:val="22"/>
              </w:rPr>
            </w:pPr>
            <w:r w:rsidRPr="00991993">
              <w:rPr>
                <w:color w:val="000000"/>
                <w:sz w:val="22"/>
                <w:szCs w:val="22"/>
              </w:rPr>
              <w:t>Total</w:t>
            </w:r>
          </w:p>
        </w:tc>
        <w:tc>
          <w:tcPr>
            <w:tcW w:w="1751" w:type="dxa"/>
            <w:tcBorders>
              <w:bottom w:val="single" w:sz="4" w:space="0" w:color="auto"/>
            </w:tcBorders>
            <w:shd w:val="clear" w:color="auto" w:fill="E6E6E6"/>
            <w:noWrap/>
            <w:vAlign w:val="bottom"/>
            <w:hideMark/>
          </w:tcPr>
          <w:p w14:paraId="3261D57F" w14:textId="77777777" w:rsidR="00851B9D" w:rsidRPr="00991993" w:rsidRDefault="00851B9D" w:rsidP="00851B9D">
            <w:pPr>
              <w:jc w:val="right"/>
              <w:rPr>
                <w:color w:val="000000"/>
                <w:sz w:val="22"/>
                <w:szCs w:val="22"/>
              </w:rPr>
            </w:pPr>
            <w:r w:rsidRPr="00991993">
              <w:rPr>
                <w:color w:val="000000"/>
                <w:sz w:val="22"/>
                <w:szCs w:val="22"/>
              </w:rPr>
              <w:t>100.0</w:t>
            </w:r>
          </w:p>
        </w:tc>
        <w:tc>
          <w:tcPr>
            <w:tcW w:w="1751" w:type="dxa"/>
            <w:tcBorders>
              <w:bottom w:val="single" w:sz="4" w:space="0" w:color="auto"/>
            </w:tcBorders>
            <w:shd w:val="clear" w:color="auto" w:fill="E6E6E6"/>
            <w:noWrap/>
            <w:vAlign w:val="bottom"/>
            <w:hideMark/>
          </w:tcPr>
          <w:p w14:paraId="6E483FE7" w14:textId="77777777" w:rsidR="00851B9D" w:rsidRPr="00991993" w:rsidRDefault="00851B9D" w:rsidP="00851B9D">
            <w:pPr>
              <w:jc w:val="right"/>
              <w:rPr>
                <w:color w:val="000000"/>
                <w:sz w:val="22"/>
                <w:szCs w:val="22"/>
              </w:rPr>
            </w:pPr>
            <w:r w:rsidRPr="00991993">
              <w:rPr>
                <w:color w:val="000000"/>
                <w:sz w:val="22"/>
                <w:szCs w:val="22"/>
              </w:rPr>
              <w:t>100.0</w:t>
            </w:r>
          </w:p>
        </w:tc>
      </w:tr>
    </w:tbl>
    <w:p w14:paraId="7742BFB8" w14:textId="77777777" w:rsidR="00851B9D" w:rsidRPr="001F5E41" w:rsidRDefault="00851B9D" w:rsidP="00851B9D">
      <w:pPr>
        <w:jc w:val="both"/>
        <w:rPr>
          <w:sz w:val="22"/>
          <w:szCs w:val="22"/>
        </w:rPr>
      </w:pPr>
      <w:r w:rsidRPr="001F5E41">
        <w:rPr>
          <w:i/>
          <w:sz w:val="22"/>
          <w:szCs w:val="22"/>
        </w:rPr>
        <w:t>Notes:</w:t>
      </w:r>
      <w:r w:rsidRPr="001F5E41">
        <w:rPr>
          <w:sz w:val="22"/>
          <w:szCs w:val="22"/>
        </w:rPr>
        <w:t xml:space="preserve"> Figures on employment in economic sector refer to 2004; and figures on </w:t>
      </w:r>
      <w:r w:rsidR="001D1E56">
        <w:rPr>
          <w:sz w:val="22"/>
          <w:szCs w:val="22"/>
        </w:rPr>
        <w:t xml:space="preserve">employment in </w:t>
      </w:r>
      <w:r>
        <w:rPr>
          <w:sz w:val="22"/>
          <w:szCs w:val="22"/>
        </w:rPr>
        <w:t xml:space="preserve">public/private sector and </w:t>
      </w:r>
      <w:r w:rsidRPr="001F5E41">
        <w:rPr>
          <w:sz w:val="22"/>
          <w:szCs w:val="22"/>
        </w:rPr>
        <w:t xml:space="preserve">occupation to 2009. For a detailed description of </w:t>
      </w:r>
      <w:r w:rsidR="001D1E56">
        <w:rPr>
          <w:sz w:val="22"/>
          <w:szCs w:val="22"/>
        </w:rPr>
        <w:t xml:space="preserve">the </w:t>
      </w:r>
      <w:r w:rsidRPr="001F5E41">
        <w:rPr>
          <w:sz w:val="22"/>
          <w:szCs w:val="22"/>
        </w:rPr>
        <w:t xml:space="preserve">categorization of occupations according to ISCO-88 major groups, see </w:t>
      </w:r>
      <w:hyperlink r:id="rId43" w:history="1">
        <w:r w:rsidRPr="001F5E41">
          <w:rPr>
            <w:sz w:val="22"/>
            <w:szCs w:val="22"/>
          </w:rPr>
          <w:t>http://www.ilo.org/public/english/bureau/stat/isco/isco88/publ4.htm</w:t>
        </w:r>
      </w:hyperlink>
      <w:r w:rsidR="00FC4B48">
        <w:rPr>
          <w:sz w:val="22"/>
          <w:szCs w:val="22"/>
        </w:rPr>
        <w:t>. -</w:t>
      </w:r>
      <w:r w:rsidRPr="001F5E41">
        <w:rPr>
          <w:sz w:val="22"/>
          <w:szCs w:val="22"/>
        </w:rPr>
        <w:t xml:space="preserve"> = not available.</w:t>
      </w:r>
    </w:p>
    <w:p w14:paraId="56C1E20A" w14:textId="77777777" w:rsidR="0010102D" w:rsidRDefault="00851B9D" w:rsidP="00851B9D">
      <w:pPr>
        <w:jc w:val="both"/>
        <w:rPr>
          <w:sz w:val="22"/>
          <w:szCs w:val="22"/>
        </w:rPr>
      </w:pPr>
      <w:r w:rsidRPr="001F5E41">
        <w:rPr>
          <w:i/>
          <w:sz w:val="22"/>
          <w:szCs w:val="22"/>
        </w:rPr>
        <w:t>Source:</w:t>
      </w:r>
      <w:r w:rsidRPr="001F5E41">
        <w:rPr>
          <w:sz w:val="22"/>
          <w:szCs w:val="22"/>
        </w:rPr>
        <w:t xml:space="preserve"> Statistical Database, United Nations Economic Commission for Europe, Geneva, </w:t>
      </w:r>
      <w:hyperlink r:id="rId44" w:history="1">
        <w:r w:rsidRPr="001F5E41">
          <w:rPr>
            <w:sz w:val="22"/>
            <w:szCs w:val="22"/>
          </w:rPr>
          <w:t>http://w3.unece.org/pxweb/</w:t>
        </w:r>
      </w:hyperlink>
      <w:r w:rsidRPr="001F5E41">
        <w:rPr>
          <w:sz w:val="22"/>
          <w:szCs w:val="22"/>
        </w:rPr>
        <w:t>.</w:t>
      </w:r>
    </w:p>
    <w:p w14:paraId="67097E8F" w14:textId="77777777" w:rsidR="00851B9D" w:rsidRPr="00851B9D" w:rsidRDefault="00851B9D" w:rsidP="00851B9D">
      <w:pPr>
        <w:jc w:val="both"/>
        <w:rPr>
          <w:sz w:val="22"/>
          <w:szCs w:val="22"/>
        </w:rPr>
      </w:pPr>
    </w:p>
    <w:p w14:paraId="7249277C" w14:textId="1D3659CC" w:rsidR="00D55A7C" w:rsidRPr="00AD2051" w:rsidRDefault="00D55A7C" w:rsidP="00D55A7C">
      <w:pPr>
        <w:pStyle w:val="MainParawithChapter"/>
        <w:tabs>
          <w:tab w:val="clear" w:pos="720"/>
        </w:tabs>
        <w:ind w:left="0" w:firstLine="0"/>
        <w:jc w:val="both"/>
        <w:outlineLvl w:val="9"/>
        <w:rPr>
          <w:b/>
          <w:color w:val="000000" w:themeColor="text1"/>
          <w:sz w:val="22"/>
          <w:szCs w:val="22"/>
        </w:rPr>
      </w:pPr>
      <w:r w:rsidRPr="00AD2051">
        <w:rPr>
          <w:b/>
          <w:color w:val="000000" w:themeColor="text1"/>
        </w:rPr>
        <w:lastRenderedPageBreak/>
        <w:t>Many women have engaged in agricultural activities such as cotton picking, resulting in a “feminization” of the sector</w:t>
      </w:r>
      <w:r w:rsidRPr="00AD2051">
        <w:rPr>
          <w:color w:val="000000" w:themeColor="text1"/>
        </w:rPr>
        <w:t xml:space="preserve">, though lacking the necessary knowledge, access to productive factors, and appropriate training </w:t>
      </w:r>
      <w:r w:rsidR="00E12159" w:rsidRPr="00AD2051">
        <w:rPr>
          <w:color w:val="000000" w:themeColor="text1"/>
        </w:rPr>
        <w:fldChar w:fldCharType="begin">
          <w:fldData xml:space="preserve">PEVuZE5vdGU+PENpdGU+PEF1dGhvcj5Tb21hY2g8L0F1dGhvcj48WWVhcj4yMDEwPC9ZZWFyPjxS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</w:fldData>
        </w:fldChar>
      </w:r>
      <w:r w:rsidRPr="00AD2051">
        <w:rPr>
          <w:color w:val="000000" w:themeColor="text1"/>
        </w:rPr>
        <w:instrText xml:space="preserve"> </w:instrText>
      </w:r>
      <w:r w:rsidR="009F7A22">
        <w:rPr>
          <w:color w:val="000000" w:themeColor="text1"/>
        </w:rPr>
        <w:instrText>ADDIN</w:instrText>
      </w:r>
      <w:r w:rsidRPr="00AD2051">
        <w:rPr>
          <w:color w:val="000000" w:themeColor="text1"/>
        </w:rPr>
        <w:instrText xml:space="preserve"> EN.CITE </w:instrText>
      </w:r>
      <w:r w:rsidR="00E12159" w:rsidRPr="00AD2051">
        <w:rPr>
          <w:color w:val="000000" w:themeColor="text1"/>
        </w:rPr>
        <w:fldChar w:fldCharType="begin">
          <w:fldData xml:space="preserve">PEVuZE5vdGU+PENpdGU+PEF1dGhvcj5Tb21hY2g8L0F1dGhvcj48WWVhcj4yMDEwPC9ZZWFyPjxS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</w:fldData>
        </w:fldChar>
      </w:r>
      <w:r w:rsidRPr="00AD2051">
        <w:rPr>
          <w:color w:val="000000" w:themeColor="text1"/>
        </w:rPr>
        <w:instrText xml:space="preserve"> </w:instrText>
      </w:r>
      <w:r w:rsidR="009F7A22">
        <w:rPr>
          <w:color w:val="000000" w:themeColor="text1"/>
        </w:rPr>
        <w:instrText>ADDIN</w:instrText>
      </w:r>
      <w:r w:rsidRPr="00AD2051">
        <w:rPr>
          <w:color w:val="000000" w:themeColor="text1"/>
        </w:rPr>
        <w:instrText xml:space="preserve"> EN.CITE.DATA </w:instrText>
      </w:r>
      <w:r w:rsidR="00E12159" w:rsidRPr="00AD2051">
        <w:rPr>
          <w:color w:val="000000" w:themeColor="text1"/>
        </w:rPr>
      </w:r>
      <w:r w:rsidR="00E12159" w:rsidRPr="00AD2051">
        <w:rPr>
          <w:color w:val="000000" w:themeColor="text1"/>
        </w:rPr>
        <w:fldChar w:fldCharType="end"/>
      </w:r>
      <w:r w:rsidR="00E12159" w:rsidRPr="00AD2051">
        <w:rPr>
          <w:color w:val="000000" w:themeColor="text1"/>
        </w:rPr>
      </w:r>
      <w:r w:rsidR="00E12159" w:rsidRPr="00AD2051">
        <w:rPr>
          <w:color w:val="000000" w:themeColor="text1"/>
        </w:rPr>
        <w:fldChar w:fldCharType="separate"/>
      </w:r>
      <w:r w:rsidRPr="00AD2051">
        <w:rPr>
          <w:noProof/>
          <w:color w:val="000000" w:themeColor="text1"/>
        </w:rPr>
        <w:t>(</w:t>
      </w:r>
      <w:hyperlink w:anchor="_ENREF_29" w:tooltip="IOM, 2009 #53" w:history="1">
        <w:r w:rsidR="006A1532" w:rsidRPr="00AD2051">
          <w:rPr>
            <w:noProof/>
            <w:color w:val="000000" w:themeColor="text1"/>
          </w:rPr>
          <w:t>IOM, 2009</w:t>
        </w:r>
      </w:hyperlink>
      <w:r w:rsidRPr="00AD2051">
        <w:rPr>
          <w:noProof/>
          <w:color w:val="000000" w:themeColor="text1"/>
        </w:rPr>
        <w:t xml:space="preserve">; </w:t>
      </w:r>
      <w:hyperlink w:anchor="_ENREF_33" w:tooltip="Maltseva, 2007 #41" w:history="1">
        <w:r w:rsidR="006A1532" w:rsidRPr="00AD2051">
          <w:rPr>
            <w:noProof/>
            <w:color w:val="000000" w:themeColor="text1"/>
          </w:rPr>
          <w:t>Maltseva, 2007</w:t>
        </w:r>
      </w:hyperlink>
      <w:r w:rsidRPr="00AD2051">
        <w:rPr>
          <w:noProof/>
          <w:color w:val="000000" w:themeColor="text1"/>
        </w:rPr>
        <w:t xml:space="preserve">; </w:t>
      </w:r>
      <w:hyperlink w:anchor="_ENREF_49" w:tooltip="Somach, 2010 #15" w:history="1">
        <w:r w:rsidR="006A1532" w:rsidRPr="00AD2051">
          <w:rPr>
            <w:noProof/>
            <w:color w:val="000000" w:themeColor="text1"/>
          </w:rPr>
          <w:t>Somach &amp; Rubin, 2010</w:t>
        </w:r>
      </w:hyperlink>
      <w:r w:rsidRPr="00AD2051">
        <w:rPr>
          <w:noProof/>
          <w:color w:val="000000" w:themeColor="text1"/>
        </w:rPr>
        <w:t>)</w:t>
      </w:r>
      <w:r w:rsidR="00E12159" w:rsidRPr="00AD2051">
        <w:rPr>
          <w:color w:val="000000" w:themeColor="text1"/>
        </w:rPr>
        <w:fldChar w:fldCharType="end"/>
      </w:r>
      <w:r w:rsidRPr="00AD2051">
        <w:rPr>
          <w:color w:val="000000" w:themeColor="text1"/>
        </w:rPr>
        <w:t xml:space="preserve">. Conditions of seasonal employment have changed considerably since Soviet times, when workers were paid regular salaries, </w:t>
      </w:r>
      <w:r>
        <w:rPr>
          <w:color w:val="000000" w:themeColor="text1"/>
        </w:rPr>
        <w:t xml:space="preserve">and were </w:t>
      </w:r>
      <w:r w:rsidRPr="00AD2051">
        <w:rPr>
          <w:color w:val="000000" w:themeColor="text1"/>
        </w:rPr>
        <w:t xml:space="preserve">provided with social protection and medical services. Nowadays, cotton-picking is associated with severe exploitation, and risks such as exposure to high levels of pesticides that are used in the cultivation of cotton. Many female cotton workers have no formal contract or benefits, are often paid below minimum wage or in kind, and are frequently not aware of their rights, for instance, their right to salary </w:t>
      </w:r>
      <w:r w:rsidR="00E12159" w:rsidRPr="00AD2051">
        <w:rPr>
          <w:color w:val="000000" w:themeColor="text1"/>
        </w:rPr>
        <w:fldChar w:fldCharType="begin"/>
      </w:r>
      <w:r w:rsidRPr="00AD2051">
        <w:rPr>
          <w:color w:val="000000" w:themeColor="text1"/>
        </w:rPr>
        <w:instrText xml:space="preserve"> </w:instrText>
      </w:r>
      <w:r w:rsidR="009F7A22">
        <w:rPr>
          <w:color w:val="000000" w:themeColor="text1"/>
        </w:rPr>
        <w:instrText>ADDIN</w:instrText>
      </w:r>
      <w:r w:rsidRPr="00AD2051">
        <w:rPr>
          <w:color w:val="000000" w:themeColor="text1"/>
        </w:rPr>
        <w:instrText xml:space="preserve"> EN.CITE &lt;EndNote&gt;&lt;Cite&gt;&lt;Author&gt;Kobzar&lt;/Author&gt;&lt;Year&gt;2007&lt;/Year&gt;&lt;RecNum&gt;78&lt;/RecNum&gt;&lt;DisplayText&gt;(Kobzar, 2007; World Bank, 2009a)&lt;/DisplayText&gt;&lt;record&gt;&lt;rec-number&gt;78&lt;/rec-number&gt;&lt;foreign-keys&gt;&lt;key app="EN" db-id="wes5dreptvrsr2eeartvxexxftt2tastxrfs"&gt;78&lt;/key&gt;&lt;/foreign-keys&gt;&lt;ref-type name="Book"&gt;6&lt;/ref-type&gt;&lt;contributors&gt;&lt;authors&gt;&lt;author&gt;Elena Kobzar&lt;/author&gt;&lt;/authors&gt;&lt;/contributors&gt;&lt;titles&gt;&lt;title&gt;Gender equality in the agricultural sector&lt;/title&gt;&lt;/titles&gt;&lt;dates&gt;&lt;year&gt;2007&lt;/year&gt;&lt;/dates&gt;&lt;pub-location&gt;Dushanbe&lt;/pub-location&gt;&lt;publisher&gt;United Nations Development Fund for Women&lt;/publisher&gt;&lt;urls&gt;&lt;/urls&gt;&lt;/record&gt;&lt;/Cite&gt;&lt;Cite&gt;&lt;Author&gt;World Bank&lt;/Author&gt;&lt;Year&gt;2009&lt;/Year&gt;&lt;RecNum&gt;79&lt;/RecNum&gt;&lt;record&gt;&lt;rec-number&gt;79&lt;/rec-number&gt;&lt;foreign-keys&gt;&lt;key app="EN" db-id="wes5dreptvrsr2eeartvxexxftt2tastxrfs"&gt;79&lt;/key&gt;&lt;/foreign-keys&gt;&lt;ref-type name="Book"&gt;6&lt;/ref-type&gt;&lt;contributors&gt;&lt;authors&gt;&lt;author&gt;World Bank&lt;/author&gt;&lt;/authors&gt;&lt;/contributors&gt;&lt;titles&gt;&lt;title&gt;Agricultural Activities, Water, and Gender in Tajikistan&amp;apos;s Rural Sector: A Social Assessment of Konibodom, Bobojon Ghafurov, and Yovon&lt;/title&gt;&lt;/titles&gt;&lt;dates&gt;&lt;year&gt;2009&lt;/year&gt;&lt;/dates&gt;&lt;pub-location&gt;Washington, DC&lt;/pub-location&gt;&lt;publisher&gt;World Bank&lt;/publisher&gt;&lt;urls&gt;&lt;/urls&gt;&lt;/record&gt;&lt;/Cite&gt;&lt;/EndNote&gt;</w:instrText>
      </w:r>
      <w:r w:rsidR="00E12159" w:rsidRPr="00AD2051">
        <w:rPr>
          <w:color w:val="000000" w:themeColor="text1"/>
        </w:rPr>
        <w:fldChar w:fldCharType="separate"/>
      </w:r>
      <w:r w:rsidRPr="00AD2051">
        <w:rPr>
          <w:noProof/>
          <w:color w:val="000000" w:themeColor="text1"/>
        </w:rPr>
        <w:t>(</w:t>
      </w:r>
      <w:hyperlink w:anchor="_ENREF_32" w:tooltip="Kobzar, 2007 #78" w:history="1">
        <w:r w:rsidR="006A1532" w:rsidRPr="00AD2051">
          <w:rPr>
            <w:noProof/>
            <w:color w:val="000000" w:themeColor="text1"/>
          </w:rPr>
          <w:t>Kobzar, 2007</w:t>
        </w:r>
      </w:hyperlink>
      <w:r w:rsidRPr="00AD2051">
        <w:rPr>
          <w:noProof/>
          <w:color w:val="000000" w:themeColor="text1"/>
        </w:rPr>
        <w:t xml:space="preserve">; </w:t>
      </w:r>
      <w:hyperlink w:anchor="_ENREF_75" w:tooltip="World Bank, 2009 #79" w:history="1">
        <w:r w:rsidR="006A1532" w:rsidRPr="00AD2051">
          <w:rPr>
            <w:noProof/>
            <w:color w:val="000000" w:themeColor="text1"/>
          </w:rPr>
          <w:t>World Bank, 2009a</w:t>
        </w:r>
      </w:hyperlink>
      <w:r w:rsidRPr="00AD2051">
        <w:rPr>
          <w:noProof/>
          <w:color w:val="000000" w:themeColor="text1"/>
        </w:rPr>
        <w:t>)</w:t>
      </w:r>
      <w:r w:rsidR="00E12159" w:rsidRPr="00AD2051">
        <w:rPr>
          <w:color w:val="000000" w:themeColor="text1"/>
        </w:rPr>
        <w:fldChar w:fldCharType="end"/>
      </w:r>
      <w:r w:rsidRPr="00AD2051">
        <w:rPr>
          <w:color w:val="000000" w:themeColor="text1"/>
        </w:rPr>
        <w:t xml:space="preserve">. </w:t>
      </w:r>
    </w:p>
    <w:p w14:paraId="7B7CC3B1" w14:textId="1D386705" w:rsidR="00FC4B48" w:rsidRPr="0099754D" w:rsidRDefault="00FC4B48" w:rsidP="00FC4B48">
      <w:pPr>
        <w:pStyle w:val="MainParawithChapter"/>
        <w:ind w:left="0" w:firstLine="0"/>
        <w:jc w:val="both"/>
        <w:outlineLvl w:val="9"/>
        <w:rPr>
          <w:color w:val="000000" w:themeColor="text1"/>
        </w:rPr>
      </w:pPr>
      <w:r w:rsidRPr="00FC4B48">
        <w:rPr>
          <w:b/>
          <w:color w:val="000000" w:themeColor="text1"/>
        </w:rPr>
        <w:t>There is also evidence for gender-related occupational segregation in the labor market.</w:t>
      </w:r>
      <w:r w:rsidRPr="0010102D">
        <w:rPr>
          <w:color w:val="000000" w:themeColor="text1"/>
        </w:rPr>
        <w:t xml:space="preserve"> Notably, women are overrepresented in elementary occupations that only require low skill levels, </w:t>
      </w:r>
      <w:r w:rsidR="00501044">
        <w:rPr>
          <w:color w:val="000000" w:themeColor="text1"/>
        </w:rPr>
        <w:t>a</w:t>
      </w:r>
      <w:r w:rsidR="00E7618E">
        <w:rPr>
          <w:color w:val="000000" w:themeColor="text1"/>
        </w:rPr>
        <w:t>nd</w:t>
      </w:r>
      <w:r w:rsidRPr="0010102D">
        <w:rPr>
          <w:color w:val="000000" w:themeColor="text1"/>
        </w:rPr>
        <w:t xml:space="preserve"> find themselves less often than men in positions with decision-making power, i.e. legislators, senior officials, or </w:t>
      </w:r>
      <w:r w:rsidRPr="00991993">
        <w:rPr>
          <w:color w:val="000000" w:themeColor="text1"/>
        </w:rPr>
        <w:t>managers (see</w:t>
      </w:r>
      <w:r>
        <w:rPr>
          <w:color w:val="000000" w:themeColor="text1"/>
        </w:rPr>
        <w:t xml:space="preserve"> </w:t>
      </w:r>
      <w:r w:rsidR="00E12159">
        <w:rPr>
          <w:color w:val="000000" w:themeColor="text1"/>
        </w:rPr>
        <w:fldChar w:fldCharType="begin"/>
      </w:r>
      <w:r>
        <w:rPr>
          <w:color w:val="000000" w:themeColor="text1"/>
        </w:rPr>
        <w:instrText xml:space="preserve"> </w:instrText>
      </w:r>
      <w:r w:rsidR="009F7A22">
        <w:rPr>
          <w:color w:val="000000" w:themeColor="text1"/>
        </w:rPr>
        <w:instrText>REF</w:instrText>
      </w:r>
      <w:r>
        <w:rPr>
          <w:color w:val="000000" w:themeColor="text1"/>
        </w:rPr>
        <w:instrText xml:space="preserve"> _Ref221706533 \h </w:instrText>
      </w:r>
      <w:r w:rsidR="00E12159">
        <w:rPr>
          <w:color w:val="000000" w:themeColor="text1"/>
        </w:rPr>
      </w:r>
      <w:r w:rsidR="00E12159">
        <w:rPr>
          <w:color w:val="000000" w:themeColor="text1"/>
        </w:rPr>
        <w:fldChar w:fldCharType="separate"/>
      </w:r>
      <w:r w:rsidR="00183FFF" w:rsidRPr="00E66C6D">
        <w:rPr>
          <w:b/>
          <w:sz w:val="22"/>
          <w:szCs w:val="22"/>
        </w:rPr>
        <w:t xml:space="preserve">Table </w:t>
      </w:r>
      <w:r w:rsidR="00183FFF">
        <w:rPr>
          <w:b/>
          <w:noProof/>
          <w:sz w:val="22"/>
          <w:szCs w:val="22"/>
        </w:rPr>
        <w:t>2</w:t>
      </w:r>
      <w:r w:rsidR="00E12159">
        <w:rPr>
          <w:color w:val="000000" w:themeColor="text1"/>
        </w:rPr>
        <w:fldChar w:fldCharType="end"/>
      </w:r>
      <w:r>
        <w:rPr>
          <w:color w:val="000000" w:themeColor="text1"/>
        </w:rPr>
        <w:t>)</w:t>
      </w:r>
      <w:r w:rsidRPr="00E66C6D">
        <w:rPr>
          <w:color w:val="000000" w:themeColor="text1"/>
        </w:rPr>
        <w:t>. Finally, women are less likely to work in the public sector than men (19 percen</w:t>
      </w:r>
      <w:r w:rsidR="00616CB3">
        <w:rPr>
          <w:color w:val="000000" w:themeColor="text1"/>
        </w:rPr>
        <w:t>t and 23 percent respectively). E</w:t>
      </w:r>
      <w:r w:rsidRPr="00E66C6D">
        <w:rPr>
          <w:color w:val="000000" w:themeColor="text1"/>
        </w:rPr>
        <w:t xml:space="preserve">mployment in the public sector has traditionally offered more protection in terms of labor legislation </w:t>
      </w:r>
      <w:r w:rsidR="00E12159" w:rsidRPr="00E66C6D">
        <w:rPr>
          <w:color w:val="000000" w:themeColor="text1"/>
        </w:rPr>
        <w:fldChar w:fldCharType="begin"/>
      </w:r>
      <w:r w:rsidRPr="00E66C6D">
        <w:rPr>
          <w:color w:val="000000" w:themeColor="text1"/>
        </w:rPr>
        <w:instrText xml:space="preserve"> </w:instrText>
      </w:r>
      <w:r w:rsidR="009F7A22">
        <w:rPr>
          <w:color w:val="000000" w:themeColor="text1"/>
        </w:rPr>
        <w:instrText>ADDIN</w:instrText>
      </w:r>
      <w:r w:rsidRPr="00E66C6D">
        <w:rPr>
          <w:color w:val="000000" w:themeColor="text1"/>
        </w:rPr>
        <w:instrText xml:space="preserve"> EN.CITE &lt;EndNote&gt;&lt;Cite&gt;&lt;Author&gt;Maltseva&lt;/Author&gt;&lt;Year&gt;2007&lt;/Year&gt;&lt;RecNum&gt;41&lt;/RecNum&gt;&lt;DisplayText&gt;(Maltseva, 2007)&lt;/DisplayText&gt;&lt;record&gt;&lt;rec-number&gt;41&lt;/rec-number&gt;&lt;foreign-keys&gt;&lt;key app="EN" db-id="wes5dreptvrsr2eeartvxexxftt2tastxrfs"&gt;41&lt;/key&gt;&lt;/foreign-keys&gt;&lt;ref-type name="Book"&gt;6&lt;/ref-type&gt;&lt;contributors&gt;&lt;authors&gt;&lt;author&gt;Irina Maltseva&lt;/author&gt;&lt;/authors&gt;&lt;/contributors&gt;&lt;titles&gt;&lt;title&gt;Gender equality in the sphere of employment&lt;/title&gt;&lt;/titles&gt;&lt;dates&gt;&lt;year&gt;2007&lt;/year&gt;&lt;/dates&gt;&lt;pub-location&gt;Dushanbe&lt;/pub-location&gt;&lt;publisher&gt;United Nations Development Fund for Women&lt;/publisher&gt;&lt;urls&gt;&lt;/urls&gt;&lt;/record&gt;&lt;/Cite&gt;&lt;/EndNote&gt;</w:instrText>
      </w:r>
      <w:r w:rsidR="00E12159" w:rsidRPr="00E66C6D">
        <w:rPr>
          <w:color w:val="000000" w:themeColor="text1"/>
        </w:rPr>
        <w:fldChar w:fldCharType="separate"/>
      </w:r>
      <w:r w:rsidRPr="00E66C6D">
        <w:rPr>
          <w:noProof/>
          <w:color w:val="000000" w:themeColor="text1"/>
        </w:rPr>
        <w:t>(</w:t>
      </w:r>
      <w:hyperlink w:anchor="_ENREF_33" w:tooltip="Maltseva, 2007 #41" w:history="1">
        <w:r w:rsidR="006A1532" w:rsidRPr="00E66C6D">
          <w:rPr>
            <w:noProof/>
            <w:color w:val="000000" w:themeColor="text1"/>
          </w:rPr>
          <w:t>Maltseva, 2007</w:t>
        </w:r>
      </w:hyperlink>
      <w:r w:rsidRPr="00E66C6D">
        <w:rPr>
          <w:noProof/>
          <w:color w:val="000000" w:themeColor="text1"/>
        </w:rPr>
        <w:t>)</w:t>
      </w:r>
      <w:r w:rsidR="00E12159" w:rsidRPr="00E66C6D">
        <w:rPr>
          <w:color w:val="000000" w:themeColor="text1"/>
        </w:rPr>
        <w:fldChar w:fldCharType="end"/>
      </w:r>
      <w:r w:rsidRPr="00E66C6D">
        <w:rPr>
          <w:color w:val="000000" w:themeColor="text1"/>
        </w:rPr>
        <w:t xml:space="preserve">, </w:t>
      </w:r>
      <w:r w:rsidR="001A2A0E">
        <w:rPr>
          <w:color w:val="000000" w:themeColor="text1"/>
        </w:rPr>
        <w:t>so this pattern once again depicts</w:t>
      </w:r>
      <w:r w:rsidRPr="00E66C6D">
        <w:rPr>
          <w:color w:val="000000" w:themeColor="text1"/>
        </w:rPr>
        <w:t xml:space="preserve"> a tendency towards less economic security for women.</w:t>
      </w:r>
    </w:p>
    <w:p w14:paraId="7C6C630B" w14:textId="4B2666ED" w:rsidR="00F244CE" w:rsidRPr="00E66C6D" w:rsidRDefault="0010102D" w:rsidP="00450916">
      <w:pPr>
        <w:pStyle w:val="MainParawithChapter"/>
        <w:ind w:left="0" w:firstLine="0"/>
        <w:jc w:val="both"/>
        <w:outlineLvl w:val="9"/>
        <w:rPr>
          <w:bCs/>
        </w:rPr>
      </w:pPr>
      <w:r w:rsidRPr="00991993">
        <w:rPr>
          <w:b/>
          <w:color w:val="000000" w:themeColor="text1"/>
        </w:rPr>
        <w:t xml:space="preserve">Occupational </w:t>
      </w:r>
      <w:r w:rsidRPr="00450916">
        <w:rPr>
          <w:b/>
          <w:bCs/>
          <w:color w:val="000000" w:themeColor="text1"/>
        </w:rPr>
        <w:t>segregation</w:t>
      </w:r>
      <w:r w:rsidRPr="00991993">
        <w:rPr>
          <w:b/>
          <w:color w:val="000000" w:themeColor="text1"/>
        </w:rPr>
        <w:t xml:space="preserve"> </w:t>
      </w:r>
      <w:r w:rsidR="006C7648">
        <w:rPr>
          <w:b/>
          <w:color w:val="000000" w:themeColor="text1"/>
        </w:rPr>
        <w:t xml:space="preserve">in terms of gender </w:t>
      </w:r>
      <w:r w:rsidR="00080542">
        <w:rPr>
          <w:b/>
          <w:color w:val="000000" w:themeColor="text1"/>
        </w:rPr>
        <w:t xml:space="preserve">originates in educational choices before </w:t>
      </w:r>
      <w:r w:rsidR="0098135D">
        <w:rPr>
          <w:b/>
          <w:color w:val="000000" w:themeColor="text1"/>
        </w:rPr>
        <w:t>e</w:t>
      </w:r>
      <w:r w:rsidRPr="00991993">
        <w:rPr>
          <w:b/>
          <w:color w:val="000000" w:themeColor="text1"/>
        </w:rPr>
        <w:t>ntry into the labor market.</w:t>
      </w:r>
      <w:r w:rsidRPr="00991993">
        <w:rPr>
          <w:color w:val="000000" w:themeColor="text1"/>
        </w:rPr>
        <w:t xml:space="preserve"> The concentration of women in elementary occupations corresponds to the previous finding that girls are less likely to be enrolled in secondary education than boys, and even more so in tertiary education. </w:t>
      </w:r>
      <w:r w:rsidR="00BC4808">
        <w:rPr>
          <w:color w:val="000000" w:themeColor="text1"/>
        </w:rPr>
        <w:t xml:space="preserve">In turn, </w:t>
      </w:r>
      <w:r w:rsidR="00BC4808" w:rsidRPr="00BC4808">
        <w:rPr>
          <w:color w:val="000000" w:themeColor="text1"/>
        </w:rPr>
        <w:t>the concentration of women in low-paid jobs and lower positions reinforces households’ decision not to invest heavily in girls’ education</w:t>
      </w:r>
      <w:r w:rsidR="008D399C">
        <w:rPr>
          <w:color w:val="000000" w:themeColor="text1"/>
        </w:rPr>
        <w:t>,</w:t>
      </w:r>
      <w:r w:rsidR="00BC4808" w:rsidRPr="00BC4808">
        <w:rPr>
          <w:color w:val="000000" w:themeColor="text1"/>
        </w:rPr>
        <w:t xml:space="preserve"> but to </w:t>
      </w:r>
      <w:r w:rsidR="008C5D46">
        <w:rPr>
          <w:color w:val="000000" w:themeColor="text1"/>
        </w:rPr>
        <w:t xml:space="preserve">instead </w:t>
      </w:r>
      <w:r w:rsidR="00BC4808" w:rsidRPr="00BC4808">
        <w:rPr>
          <w:color w:val="000000" w:themeColor="text1"/>
        </w:rPr>
        <w:t>concentrate resources on boys, sinc</w:t>
      </w:r>
      <w:r w:rsidR="008D399C">
        <w:rPr>
          <w:color w:val="000000" w:themeColor="text1"/>
        </w:rPr>
        <w:t>e the economic returns to their activities are higher</w:t>
      </w:r>
      <w:r w:rsidR="00BC4808" w:rsidRPr="00BC4808">
        <w:rPr>
          <w:color w:val="000000" w:themeColor="text1"/>
        </w:rPr>
        <w:t xml:space="preserve"> </w:t>
      </w:r>
      <w:r w:rsidR="00E12159" w:rsidRPr="00BC4808">
        <w:rPr>
          <w:color w:val="000000" w:themeColor="text1"/>
        </w:rPr>
        <w:fldChar w:fldCharType="begin"/>
      </w:r>
      <w:r w:rsidR="00BC4808" w:rsidRPr="00BC4808">
        <w:rPr>
          <w:color w:val="000000" w:themeColor="text1"/>
        </w:rPr>
        <w:instrText xml:space="preserve"> </w:instrText>
      </w:r>
      <w:r w:rsidR="009F7A22">
        <w:rPr>
          <w:color w:val="000000" w:themeColor="text1"/>
        </w:rPr>
        <w:instrText>ADDIN</w:instrText>
      </w:r>
      <w:r w:rsidR="00BC4808" w:rsidRPr="00BC4808">
        <w:rPr>
          <w:color w:val="000000" w:themeColor="text1"/>
        </w:rPr>
        <w:instrText xml:space="preserve"> EN.CITE &lt;EndNote&gt;&lt;Cite&gt;&lt;Author&gt;UNDP&lt;/Author&gt;&lt;Year&gt;2010&lt;/Year&gt;&lt;RecNum&gt;39&lt;/RecNum&gt;&lt;DisplayText&gt;(UNDP, 2010)&lt;/DisplayText&gt;&lt;record&gt;&lt;rec-number&gt;39&lt;/rec-number&gt;&lt;foreign-keys&gt;&lt;key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rsidRPr="00BC4808">
        <w:rPr>
          <w:color w:val="000000" w:themeColor="text1"/>
        </w:rPr>
        <w:fldChar w:fldCharType="separate"/>
      </w:r>
      <w:r w:rsidR="00BC4808" w:rsidRPr="00BC4808">
        <w:rPr>
          <w:noProof/>
          <w:color w:val="000000" w:themeColor="text1"/>
        </w:rPr>
        <w:t>(</w:t>
      </w:r>
      <w:hyperlink w:anchor="_ENREF_56" w:tooltip="UNDP, 2010 #39" w:history="1">
        <w:r w:rsidR="006A1532" w:rsidRPr="00BC4808">
          <w:rPr>
            <w:noProof/>
            <w:color w:val="000000" w:themeColor="text1"/>
          </w:rPr>
          <w:t>UNDP, 2010</w:t>
        </w:r>
      </w:hyperlink>
      <w:r w:rsidR="00BC4808" w:rsidRPr="00BC4808">
        <w:rPr>
          <w:noProof/>
          <w:color w:val="000000" w:themeColor="text1"/>
        </w:rPr>
        <w:t>)</w:t>
      </w:r>
      <w:r w:rsidR="00E12159" w:rsidRPr="00BC4808">
        <w:rPr>
          <w:color w:val="000000" w:themeColor="text1"/>
        </w:rPr>
        <w:fldChar w:fldCharType="end"/>
      </w:r>
      <w:r w:rsidR="00BC4808" w:rsidRPr="00BC4808">
        <w:rPr>
          <w:color w:val="000000" w:themeColor="text1"/>
        </w:rPr>
        <w:t xml:space="preserve">. </w:t>
      </w:r>
      <w:r w:rsidRPr="00991993">
        <w:rPr>
          <w:color w:val="000000" w:themeColor="text1"/>
        </w:rPr>
        <w:t>Furthermore, men and women tend to choose different fields of study (se</w:t>
      </w:r>
      <w:r w:rsidR="00E66C6D">
        <w:rPr>
          <w:color w:val="000000" w:themeColor="text1"/>
        </w:rPr>
        <w:t xml:space="preserve">e </w:t>
      </w:r>
      <w:r w:rsidR="00E12159">
        <w:rPr>
          <w:color w:val="000000" w:themeColor="text1"/>
        </w:rPr>
        <w:fldChar w:fldCharType="begin"/>
      </w:r>
      <w:r w:rsidR="00E66C6D">
        <w:rPr>
          <w:color w:val="000000" w:themeColor="text1"/>
        </w:rPr>
        <w:instrText xml:space="preserve"> </w:instrText>
      </w:r>
      <w:r w:rsidR="009F7A22">
        <w:rPr>
          <w:color w:val="000000" w:themeColor="text1"/>
        </w:rPr>
        <w:instrText>REF</w:instrText>
      </w:r>
      <w:r w:rsidR="00E66C6D">
        <w:rPr>
          <w:color w:val="000000" w:themeColor="text1"/>
        </w:rPr>
        <w:instrText xml:space="preserve"> _Ref221632096 \h </w:instrText>
      </w:r>
      <w:r w:rsidR="00E12159">
        <w:rPr>
          <w:color w:val="000000" w:themeColor="text1"/>
        </w:rPr>
      </w:r>
      <w:r w:rsidR="00E12159">
        <w:rPr>
          <w:color w:val="000000" w:themeColor="text1"/>
        </w:rPr>
        <w:fldChar w:fldCharType="separate"/>
      </w:r>
      <w:r w:rsidR="00183FFF" w:rsidRPr="002A04FD">
        <w:rPr>
          <w:b/>
          <w:sz w:val="22"/>
          <w:szCs w:val="22"/>
        </w:rPr>
        <w:t xml:space="preserve">Figure </w:t>
      </w:r>
      <w:r w:rsidR="00183FFF">
        <w:rPr>
          <w:b/>
          <w:noProof/>
          <w:sz w:val="22"/>
          <w:szCs w:val="22"/>
        </w:rPr>
        <w:t>9</w:t>
      </w:r>
      <w:r w:rsidR="00E12159">
        <w:rPr>
          <w:color w:val="000000" w:themeColor="text1"/>
        </w:rPr>
        <w:fldChar w:fldCharType="end"/>
      </w:r>
      <w:r w:rsidRPr="00E66C6D">
        <w:rPr>
          <w:color w:val="000000" w:themeColor="text1"/>
        </w:rPr>
        <w:t xml:space="preserve">), and this has been found to be linked to occupation, for instance in the Czech Republic </w:t>
      </w:r>
      <w:r w:rsidR="00E12159" w:rsidRPr="00E66C6D">
        <w:rPr>
          <w:color w:val="000000" w:themeColor="text1"/>
        </w:rPr>
        <w:fldChar w:fldCharType="begin"/>
      </w:r>
      <w:r w:rsidRPr="00E66C6D">
        <w:rPr>
          <w:color w:val="000000" w:themeColor="text1"/>
        </w:rPr>
        <w:instrText xml:space="preserve"> </w:instrText>
      </w:r>
      <w:r w:rsidR="009F7A22">
        <w:rPr>
          <w:color w:val="000000" w:themeColor="text1"/>
        </w:rPr>
        <w:instrText>ADDIN</w:instrText>
      </w:r>
      <w:r w:rsidRPr="00E66C6D">
        <w:rPr>
          <w:color w:val="000000" w:themeColor="text1"/>
        </w:rPr>
        <w:instrText xml:space="preserve"> EN.CITE &lt;EndNote&gt;&lt;Cite&gt;&lt;Author&gt;Flabbi&lt;/Author&gt;&lt;Year&gt;2011&lt;/Year&gt;&lt;RecNum&gt;12&lt;/RecNum&gt;&lt;DisplayText&gt;(Flabbi, 2011)&lt;/DisplayText&gt;&lt;record&gt;&lt;rec-number&gt;12&lt;/rec-number&gt;&lt;foreign-keys&gt;&lt;key app="EN" db-id="wes5dreptvrsr2eeartvxexxftt2tastxrfs"&gt;12&lt;/key&gt;&lt;/foreign-keys&gt;&lt;ref-type name="Journal Article"&gt;17&lt;/ref-type&gt;&lt;contributors&gt;&lt;authors&gt;&lt;author&gt;Luca Flabbi&lt;/author&gt;&lt;/authors&gt;&lt;/contributors&gt;&lt;titles&gt;&lt;title&gt;Gender Differences in Education, Career Choices, and Labor Market Outcomes on a Sample of OECD Countries&lt;/title&gt;&lt;secondary-title&gt;Background paper prepared for the World Development Report 2012&lt;/secondary-title&gt;&lt;/titles&gt;&lt;periodical&gt;&lt;full-title&gt;Background Paper prepared for the World Development Report 2012&lt;/full-title&gt;&lt;/periodical&gt;&lt;dates&gt;&lt;year&gt;2011&lt;/year&gt;&lt;/dates&gt;&lt;urls&gt;&lt;/urls&gt;&lt;/record&gt;&lt;/Cite&gt;&lt;/EndNote&gt;</w:instrText>
      </w:r>
      <w:r w:rsidR="00E12159" w:rsidRPr="00E66C6D">
        <w:rPr>
          <w:color w:val="000000" w:themeColor="text1"/>
        </w:rPr>
        <w:fldChar w:fldCharType="separate"/>
      </w:r>
      <w:r w:rsidRPr="00E66C6D">
        <w:rPr>
          <w:noProof/>
          <w:color w:val="000000" w:themeColor="text1"/>
        </w:rPr>
        <w:t>(</w:t>
      </w:r>
      <w:hyperlink w:anchor="_ENREF_18" w:tooltip="Flabbi, 2011 #12" w:history="1">
        <w:r w:rsidR="006A1532" w:rsidRPr="00E66C6D">
          <w:rPr>
            <w:noProof/>
            <w:color w:val="000000" w:themeColor="text1"/>
          </w:rPr>
          <w:t>Flabbi, 2011</w:t>
        </w:r>
      </w:hyperlink>
      <w:r w:rsidRPr="00E66C6D">
        <w:rPr>
          <w:noProof/>
          <w:color w:val="000000" w:themeColor="text1"/>
        </w:rPr>
        <w:t>)</w:t>
      </w:r>
      <w:r w:rsidR="00E12159" w:rsidRPr="00E66C6D">
        <w:rPr>
          <w:color w:val="000000" w:themeColor="text1"/>
        </w:rPr>
        <w:fldChar w:fldCharType="end"/>
      </w:r>
      <w:r w:rsidRPr="00E66C6D">
        <w:rPr>
          <w:color w:val="000000" w:themeColor="text1"/>
        </w:rPr>
        <w:t xml:space="preserve">. </w:t>
      </w:r>
      <w:r w:rsidR="00EC6983" w:rsidRPr="00E66C6D">
        <w:rPr>
          <w:color w:val="000000" w:themeColor="text1"/>
        </w:rPr>
        <w:t xml:space="preserve">In addition to lower levels of </w:t>
      </w:r>
      <w:r w:rsidR="00C43F79" w:rsidRPr="00E66C6D">
        <w:rPr>
          <w:color w:val="000000" w:themeColor="text1"/>
        </w:rPr>
        <w:t xml:space="preserve">female </w:t>
      </w:r>
      <w:r w:rsidR="00EC6983" w:rsidRPr="00E66C6D">
        <w:rPr>
          <w:color w:val="000000" w:themeColor="text1"/>
        </w:rPr>
        <w:t xml:space="preserve">educational attainment, </w:t>
      </w:r>
      <w:r w:rsidR="00C43F79" w:rsidRPr="00E66C6D">
        <w:rPr>
          <w:color w:val="000000" w:themeColor="text1"/>
        </w:rPr>
        <w:t xml:space="preserve">gender stereotypes that assign men the role of the decision-maker, as compared to women who should take care of the household, contribute to this observed segregation in terms of occupations </w:t>
      </w:r>
      <w:r w:rsidR="00E12159" w:rsidRPr="00E66C6D">
        <w:rPr>
          <w:color w:val="000000" w:themeColor="text1"/>
        </w:rPr>
        <w:fldChar w:fldCharType="begin"/>
      </w:r>
      <w:r w:rsidR="005C5EAA" w:rsidRPr="00E66C6D">
        <w:rPr>
          <w:color w:val="000000" w:themeColor="text1"/>
        </w:rPr>
        <w:instrText xml:space="preserve"> </w:instrText>
      </w:r>
      <w:r w:rsidR="009F7A22">
        <w:rPr>
          <w:color w:val="000000" w:themeColor="text1"/>
        </w:rPr>
        <w:instrText>ADDIN</w:instrText>
      </w:r>
      <w:r w:rsidR="005C5EAA" w:rsidRPr="00E66C6D">
        <w:rPr>
          <w:color w:val="000000" w:themeColor="text1"/>
        </w:rPr>
        <w:instrText xml:space="preserve"> EN.CITE &lt;EndNote&gt;&lt;Cite&gt;&lt;Author&gt;ADB&lt;/Author&gt;&lt;Year&gt;2006&lt;/Year&gt;&lt;RecNum&gt;44&lt;/RecNum&gt;&lt;DisplayText&gt;(ADB, 2006)&lt;/DisplayText&gt;&lt;record&gt;&lt;rec-number&gt;44&lt;/rec-number&gt;&lt;foreign-keys&gt;&lt;key app="EN" db-id="wes5dreptvrsr2eeartvxexxftt2tastxrfs"&gt;44&lt;/key&gt;&lt;/foreign-keys&gt;&lt;ref-type name="Book"&gt;6&lt;/ref-type&gt;&lt;contributors&gt;&lt;authors&gt;&lt;author&gt;ADB&lt;/author&gt;&lt;/authors&gt;&lt;/contributors&gt;&lt;titles&gt;&lt;title&gt;Tajikistan Country Gender Assessment&lt;/title&gt;&lt;/titles&gt;&lt;dates&gt;&lt;year&gt;2006&lt;/year&gt;&lt;/dates&gt;&lt;publisher&gt;Asian Development Bank&lt;/publisher&gt;&lt;urls&gt;&lt;/urls&gt;&lt;/record&gt;&lt;/Cite&gt;&lt;/EndNote&gt;</w:instrText>
      </w:r>
      <w:r w:rsidR="00E12159" w:rsidRPr="00E66C6D">
        <w:rPr>
          <w:color w:val="000000" w:themeColor="text1"/>
        </w:rPr>
        <w:fldChar w:fldCharType="separate"/>
      </w:r>
      <w:r w:rsidR="00C43F79" w:rsidRPr="00E66C6D">
        <w:rPr>
          <w:noProof/>
          <w:color w:val="000000" w:themeColor="text1"/>
        </w:rPr>
        <w:t>(</w:t>
      </w:r>
      <w:hyperlink w:anchor="_ENREF_2" w:tooltip="ADB, 2006 #44" w:history="1">
        <w:r w:rsidR="006A1532" w:rsidRPr="00E66C6D">
          <w:rPr>
            <w:noProof/>
            <w:color w:val="000000" w:themeColor="text1"/>
          </w:rPr>
          <w:t>ADB, 2006</w:t>
        </w:r>
      </w:hyperlink>
      <w:r w:rsidR="00C43F79" w:rsidRPr="00E66C6D">
        <w:rPr>
          <w:noProof/>
          <w:color w:val="000000" w:themeColor="text1"/>
        </w:rPr>
        <w:t>)</w:t>
      </w:r>
      <w:r w:rsidR="00E12159" w:rsidRPr="00E66C6D">
        <w:rPr>
          <w:color w:val="000000" w:themeColor="text1"/>
        </w:rPr>
        <w:fldChar w:fldCharType="end"/>
      </w:r>
      <w:r w:rsidR="00C43F79" w:rsidRPr="00E66C6D">
        <w:rPr>
          <w:color w:val="000000" w:themeColor="text1"/>
        </w:rPr>
        <w:t>.</w:t>
      </w:r>
    </w:p>
    <w:p w14:paraId="6520A60A" w14:textId="037B88BE" w:rsidR="00271999" w:rsidRPr="0005207E" w:rsidRDefault="002346AD" w:rsidP="0005207E">
      <w:pPr>
        <w:pStyle w:val="MainParawithChapter"/>
        <w:ind w:left="0" w:firstLine="0"/>
        <w:jc w:val="both"/>
        <w:outlineLvl w:val="9"/>
        <w:rPr>
          <w:b/>
        </w:rPr>
      </w:pPr>
      <w:r w:rsidRPr="0005207E">
        <w:rPr>
          <w:b/>
        </w:rPr>
        <w:t>Women are entitled to 140 days of paid m</w:t>
      </w:r>
      <w:r w:rsidR="00F244CE" w:rsidRPr="0005207E">
        <w:rPr>
          <w:b/>
        </w:rPr>
        <w:t xml:space="preserve">aternity </w:t>
      </w:r>
      <w:r w:rsidR="00F244CE" w:rsidRPr="0005207E">
        <w:rPr>
          <w:b/>
          <w:color w:val="000000" w:themeColor="text1"/>
        </w:rPr>
        <w:t>leave</w:t>
      </w:r>
      <w:r w:rsidR="00973273" w:rsidRPr="0005207E">
        <w:rPr>
          <w:b/>
          <w:color w:val="000000" w:themeColor="text1"/>
        </w:rPr>
        <w:t xml:space="preserve">, and pregnant women and </w:t>
      </w:r>
      <w:r w:rsidR="00973273" w:rsidRPr="0005207E">
        <w:rPr>
          <w:b/>
          <w:bCs/>
          <w:color w:val="000000" w:themeColor="text1"/>
        </w:rPr>
        <w:t>women</w:t>
      </w:r>
      <w:r w:rsidR="00973273" w:rsidRPr="0005207E">
        <w:rPr>
          <w:b/>
          <w:color w:val="000000" w:themeColor="text1"/>
        </w:rPr>
        <w:t xml:space="preserve"> with children are protected against </w:t>
      </w:r>
      <w:r w:rsidR="005C5EAA" w:rsidRPr="0005207E">
        <w:rPr>
          <w:b/>
          <w:color w:val="000000" w:themeColor="text1"/>
        </w:rPr>
        <w:t>refusal, termination of contract,</w:t>
      </w:r>
      <w:r w:rsidR="00973273" w:rsidRPr="0005207E">
        <w:rPr>
          <w:b/>
          <w:color w:val="000000" w:themeColor="text1"/>
        </w:rPr>
        <w:t xml:space="preserve"> or salary decreases on these grounds</w:t>
      </w:r>
      <w:r w:rsidR="00F244CE" w:rsidRPr="0005207E">
        <w:rPr>
          <w:b/>
        </w:rPr>
        <w:t>.</w:t>
      </w:r>
      <w:r w:rsidRPr="0005207E">
        <w:rPr>
          <w:b/>
        </w:rPr>
        <w:t xml:space="preserve"> </w:t>
      </w:r>
      <w:r>
        <w:t xml:space="preserve">Article 164 of the Labor Code states that women have the right to a total of 140 days of maternity </w:t>
      </w:r>
      <w:r w:rsidR="001D1E56">
        <w:t xml:space="preserve">leave </w:t>
      </w:r>
      <w:r>
        <w:t>that they can use at their own discretion</w:t>
      </w:r>
      <w:r w:rsidR="008270D5">
        <w:t xml:space="preserve"> before and after delivery. </w:t>
      </w:r>
      <w:r w:rsidR="007948A2">
        <w:t>It</w:t>
      </w:r>
      <w:r w:rsidR="00973273">
        <w:t xml:space="preserve"> can be extended in case of </w:t>
      </w:r>
      <w:r w:rsidR="00CE6AEA">
        <w:t xml:space="preserve">a </w:t>
      </w:r>
      <w:r w:rsidR="00973273">
        <w:t xml:space="preserve">difficult delivery or </w:t>
      </w:r>
      <w:r w:rsidR="00CE6AEA">
        <w:t xml:space="preserve">a </w:t>
      </w:r>
      <w:r w:rsidR="00973273">
        <w:t>multiple birth</w:t>
      </w:r>
      <w:r>
        <w:t xml:space="preserve">. </w:t>
      </w:r>
      <w:r w:rsidR="008270D5">
        <w:t xml:space="preserve">In contrast, male workers are not yet considered to have family responsibilities by the Labor Code, i.e. there are no provisions guiding paid or unpaid paternity leave. </w:t>
      </w:r>
      <w:r>
        <w:t xml:space="preserve">During maternity leave, women receive maternity benefits </w:t>
      </w:r>
      <w:r w:rsidR="00D0245E">
        <w:t>that amount to</w:t>
      </w:r>
      <w:r w:rsidR="00973273">
        <w:t xml:space="preserve"> 100 percent of their wage</w:t>
      </w:r>
      <w:r w:rsidR="008D5F22">
        <w:t xml:space="preserve">, </w:t>
      </w:r>
      <w:r w:rsidR="0010020F">
        <w:t>financed by Social Security</w:t>
      </w:r>
      <w:r w:rsidR="00973273">
        <w:t xml:space="preserve">. </w:t>
      </w:r>
      <w:r w:rsidR="00EA3FB1">
        <w:t>A</w:t>
      </w:r>
      <w:r w:rsidR="00257C85">
        <w:t>rticle 159 of t</w:t>
      </w:r>
      <w:r w:rsidR="009F1F40">
        <w:t>he Labor Code stipulates</w:t>
      </w:r>
      <w:r w:rsidR="00257C85">
        <w:t xml:space="preserve"> that employers may not refuse to employ women due to pregnancy, and </w:t>
      </w:r>
      <w:r w:rsidR="00EB4F69">
        <w:t xml:space="preserve">it </w:t>
      </w:r>
      <w:r w:rsidR="00257C85">
        <w:t xml:space="preserve">prohibits curtailing wages for this reason or because of family responsibilities. </w:t>
      </w:r>
      <w:r w:rsidR="009F1F40">
        <w:t xml:space="preserve">Following maternity leave, women can opt for </w:t>
      </w:r>
      <w:r w:rsidR="00FE26DB">
        <w:t>childcare</w:t>
      </w:r>
      <w:r w:rsidR="009F1F40">
        <w:t xml:space="preserve"> leave</w:t>
      </w:r>
      <w:r w:rsidR="00257C85">
        <w:t xml:space="preserve"> </w:t>
      </w:r>
      <w:r w:rsidR="00FE26DB">
        <w:t xml:space="preserve">that is covered by State social insurance for up to </w:t>
      </w:r>
      <w:r w:rsidR="0010020F">
        <w:t xml:space="preserve">one and a half years. </w:t>
      </w:r>
      <w:r w:rsidR="00FE1C79">
        <w:t xml:space="preserve">Article 172 of the Labor Code furthermore </w:t>
      </w:r>
      <w:r w:rsidR="00FE1C79">
        <w:lastRenderedPageBreak/>
        <w:t xml:space="preserve">protects pregnant women, women </w:t>
      </w:r>
      <w:r w:rsidR="008D399C">
        <w:t xml:space="preserve">with </w:t>
      </w:r>
      <w:r w:rsidR="007948A2">
        <w:t xml:space="preserve">small </w:t>
      </w:r>
      <w:r w:rsidR="008D399C">
        <w:t>children up to the age of three</w:t>
      </w:r>
      <w:r w:rsidR="00FE1C79">
        <w:t>, and single mothers with handicapped children below the age of 17 against dismissal.</w:t>
      </w:r>
      <w:r w:rsidR="005C5EAA">
        <w:t xml:space="preserve"> </w:t>
      </w:r>
      <w:r w:rsidR="00FE1C79">
        <w:t xml:space="preserve">Finally, the Labor Code restricts working overtime or during the night for women with family responsibilities, or calls for their transfer to lighter work (Article 164) </w:t>
      </w:r>
      <w:r w:rsidR="00E12159">
        <w:fldChar w:fldCharType="begin"/>
      </w:r>
      <w:r w:rsidR="0012736A">
        <w:instrText xml:space="preserve"> </w:instrText>
      </w:r>
      <w:r w:rsidR="009F7A22">
        <w:instrText>ADDIN</w:instrText>
      </w:r>
      <w:r w:rsidR="0012736A">
        <w:instrText xml:space="preserve"> EN.CITE &lt;EndNote&gt;&lt;Cite&gt;&lt;Author&gt;ILO&lt;/Author&gt;&lt;Year&gt;2009&lt;/Year&gt;&lt;RecNum&gt;50&lt;/RecNum&gt;&lt;DisplayText&gt;(IFC/World Bank, 2013; ILO, 2009)&lt;/DisplayText&gt;&lt;record&gt;&lt;rec-number&gt;50&lt;/rec-number&gt;&lt;foreign-keys&gt;&lt;key app="EN" db-id="wes5dreptvrsr2eeartvxexxftt2tastxrfs"&gt;50&lt;/key&gt;&lt;/foreign-keys&gt;&lt;ref-type name="Book"&gt;6&lt;/ref-type&gt;&lt;contributors&gt;&lt;authors&gt;&lt;author&gt;ILO&lt;/author&gt;&lt;/authors&gt;&lt;/contributors&gt;&lt;titles&gt;&lt;title&gt;Work and Family: The Republic of Tajikistan&lt;/title&gt;&lt;/titles&gt;&lt;dates&gt;&lt;year&gt;2009&lt;/year&gt;&lt;/dates&gt;&lt;pub-location&gt;Moscow&lt;/pub-location&gt;&lt;publisher&gt;International Labour Organization&lt;/publisher&gt;&lt;urls&gt;&lt;/urls&gt;&lt;/record&gt;&lt;/Cite&gt;&lt;Cite&gt;&lt;Author&gt;IFC/World Bank&lt;/Author&gt;&lt;Year&gt;2013&lt;/Year&gt;&lt;RecNum&gt;51&lt;/RecNum&gt;&lt;record&gt;&lt;rec-number&gt;51&lt;/rec-number&gt;&lt;foreign-keys&gt;&lt;key app="EN" db-id="wes5dreptvrsr2eeartvxexxftt2tastxrfs"&gt;51&lt;/key&gt;&lt;/foreign-keys&gt;&lt;ref-type name="Web Page"&gt;12&lt;/ref-type&gt;&lt;contributors&gt;&lt;authors&gt;&lt;author&gt;IFC/World Bank&lt;/author&gt;&lt;/authors&gt;&lt;/contributors&gt;&lt;titles&gt;&lt;title&gt;Women, Business and the Law. Creating Economic Opportunity for Women&lt;/title&gt;&lt;/titles&gt;&lt;number&gt;25/01/2013&lt;/number&gt;&lt;dates&gt;&lt;year&gt;2013&lt;/year&gt;&lt;/dates&gt;&lt;urls&gt;&lt;related-urls&gt;&lt;url&gt;http://wbl.worldbank.org/data/exploreeconomies/tajikistan/2011?topic=getting-a-job&lt;/url&gt;&lt;/related-urls&gt;&lt;/urls&gt;&lt;/record&gt;&lt;/Cite&gt;&lt;/EndNote&gt;</w:instrText>
      </w:r>
      <w:r w:rsidR="00E12159">
        <w:fldChar w:fldCharType="separate"/>
      </w:r>
      <w:r w:rsidR="00FB5BEB">
        <w:rPr>
          <w:noProof/>
        </w:rPr>
        <w:t>(</w:t>
      </w:r>
      <w:hyperlink w:anchor="_ENREF_26" w:tooltip="IFC/World Bank, 2013 #51" w:history="1">
        <w:r w:rsidR="006A1532">
          <w:rPr>
            <w:noProof/>
          </w:rPr>
          <w:t>IFC/World Bank, 2013</w:t>
        </w:r>
      </w:hyperlink>
      <w:r w:rsidR="00FB5BEB">
        <w:rPr>
          <w:noProof/>
        </w:rPr>
        <w:t xml:space="preserve">; </w:t>
      </w:r>
      <w:hyperlink w:anchor="_ENREF_27" w:tooltip="ILO, 2009 #50" w:history="1">
        <w:r w:rsidR="006A1532">
          <w:rPr>
            <w:noProof/>
          </w:rPr>
          <w:t>ILO, 2009</w:t>
        </w:r>
      </w:hyperlink>
      <w:r w:rsidR="00FB5BEB">
        <w:rPr>
          <w:noProof/>
        </w:rPr>
        <w:t>)</w:t>
      </w:r>
      <w:r w:rsidR="00E12159">
        <w:fldChar w:fldCharType="end"/>
      </w:r>
      <w:r w:rsidR="005C5EAA">
        <w:t>.</w:t>
      </w:r>
      <w:r w:rsidR="00FD785D">
        <w:t xml:space="preserve"> </w:t>
      </w:r>
      <w:r w:rsidR="00D0245E">
        <w:t>Notably, t</w:t>
      </w:r>
      <w:r w:rsidR="008D399C">
        <w:t>he latter elements, though protective in nature</w:t>
      </w:r>
      <w:r w:rsidR="00FD785D">
        <w:t>, conflict</w:t>
      </w:r>
      <w:r w:rsidR="007F332A">
        <w:t xml:space="preserve"> with</w:t>
      </w:r>
      <w:r w:rsidR="00FE1C79">
        <w:t xml:space="preserve"> values </w:t>
      </w:r>
      <w:r w:rsidR="007F332A">
        <w:t>in terms of women’s empowerment as embodied in the</w:t>
      </w:r>
      <w:r w:rsidR="00FE1C79">
        <w:t xml:space="preserve"> </w:t>
      </w:r>
      <w:r w:rsidR="00F97F79">
        <w:t>CEDAW</w:t>
      </w:r>
      <w:r w:rsidR="007F332A">
        <w:t xml:space="preserve"> </w:t>
      </w:r>
      <w:r w:rsidR="00E12159">
        <w:fldChar w:fldCharType="begin"/>
      </w:r>
      <w:r w:rsidR="00F45478">
        <w:instrText xml:space="preserve"> </w:instrText>
      </w:r>
      <w:r w:rsidR="009F7A22">
        <w:instrText>ADDIN</w:instrText>
      </w:r>
      <w:r w:rsidR="00F45478">
        <w:instrText xml:space="preserve"> EN.CITE &lt;EndNote&gt;&lt;Cite&gt;&lt;Author&gt;de Alwis&lt;/Author&gt;&lt;Year&gt;2009&lt;/Year&gt;&lt;RecNum&gt;67&lt;/RecNum&gt;&lt;DisplayText&gt;(de Alwis, 2009)&lt;/DisplayText&gt;&lt;record&gt;&lt;rec-number&gt;67&lt;/rec-number&gt;&lt;foreign-keys&gt;&lt;key app="EN" db-id="wes5dreptvrsr2eeartvxexxftt2tastxrfs"&gt;67&lt;/key&gt;&lt;/foreign-keys&gt;&lt;ref-type name="Book"&gt;6&lt;/ref-type&gt;&lt;contributors&gt;&lt;authors&gt;&lt;author&gt;Rangita de Silva de Alwis&lt;/author&gt;&lt;/authors&gt;&lt;/contributors&gt;&lt;titles&gt;&lt;title&gt;Advancing Equal Rights For Women and Girls. The Status of CEDAW Legislative Compliance in Eastern Europe and Central Asia&lt;/title&gt;&lt;/titles&gt;&lt;dates&gt;&lt;year&gt;2009&lt;/year&gt;&lt;/dates&gt;&lt;pub-location&gt;New York&lt;/pub-location&gt;&lt;publisher&gt;United Nations Population Fund&lt;/publisher&gt;&lt;urls&gt;&lt;/urls&gt;&lt;/record&gt;&lt;/Cite&gt;&lt;/EndNote&gt;</w:instrText>
      </w:r>
      <w:r w:rsidR="00E12159">
        <w:fldChar w:fldCharType="separate"/>
      </w:r>
      <w:r w:rsidR="00F45478">
        <w:rPr>
          <w:noProof/>
        </w:rPr>
        <w:t>(</w:t>
      </w:r>
      <w:hyperlink w:anchor="_ENREF_13" w:tooltip="de Alwis, 2009 #67" w:history="1">
        <w:r w:rsidR="006A1532">
          <w:rPr>
            <w:noProof/>
          </w:rPr>
          <w:t>de Alwis, 2009</w:t>
        </w:r>
      </w:hyperlink>
      <w:r w:rsidR="00F45478">
        <w:rPr>
          <w:noProof/>
        </w:rPr>
        <w:t>)</w:t>
      </w:r>
      <w:r w:rsidR="00E12159">
        <w:fldChar w:fldCharType="end"/>
      </w:r>
      <w:r w:rsidR="00F45478">
        <w:t>.</w:t>
      </w:r>
      <w:r w:rsidR="008F1F7E">
        <w:t xml:space="preserve"> </w:t>
      </w:r>
      <w:r w:rsidR="0005207E">
        <w:t>Finally, t</w:t>
      </w:r>
      <w:r w:rsidR="008F1F7E">
        <w:t xml:space="preserve">here are no laws in Tajikistan that would establish the public provision of child care, and care for children younger than the age of primary education is not subsidized by the state </w:t>
      </w:r>
      <w:r w:rsidR="00E12159">
        <w:fldChar w:fldCharType="begin"/>
      </w:r>
      <w:r w:rsidR="008F1F7E">
        <w:instrText xml:space="preserve"> ADDIN EN.CITE &lt;EndNote&gt;&lt;Cite&gt;&lt;Author&gt;IFC/World Bank&lt;/Author&gt;&lt;Year&gt;2013&lt;/Year&gt;&lt;RecNum&gt;51&lt;/RecNum&gt;&lt;DisplayText&gt;(IFC/World Bank, 2013)&lt;/DisplayText&gt;&lt;record&gt;&lt;rec-number&gt;51&lt;/rec-number&gt;&lt;foreign-keys&gt;&lt;key app="EN" db-id="wes5dreptvrsr2eeartvxexxftt2tastxrfs"&gt;51&lt;/key&gt;&lt;/foreign-keys&gt;&lt;ref-type name="Web Page"&gt;12&lt;/ref-type&gt;&lt;contributors&gt;&lt;authors&gt;&lt;author&gt;IFC/World Bank&lt;/author&gt;&lt;/authors&gt;&lt;/contributors&gt;&lt;titles&gt;&lt;title&gt;Women, Business and the Law. Creating Economic Opportunity for Women&lt;/title&gt;&lt;/titles&gt;&lt;number&gt;25/01/2013&lt;/number&gt;&lt;dates&gt;&lt;year&gt;2013&lt;/year&gt;&lt;/dates&gt;&lt;urls&gt;&lt;related-urls&gt;&lt;url&gt;http://wbl.worldbank.org/data/exploreeconomies/tajikistan/2011?topic=getting-a-job&lt;/url&gt;&lt;/related-urls&gt;&lt;/urls&gt;&lt;/record&gt;&lt;/Cite&gt;&lt;/EndNote&gt;</w:instrText>
      </w:r>
      <w:r w:rsidR="00E12159">
        <w:fldChar w:fldCharType="separate"/>
      </w:r>
      <w:r w:rsidR="008F1F7E">
        <w:rPr>
          <w:noProof/>
        </w:rPr>
        <w:t>(</w:t>
      </w:r>
      <w:hyperlink w:anchor="_ENREF_26" w:tooltip="IFC/World Bank, 2013 #51" w:history="1">
        <w:r w:rsidR="006A1532">
          <w:rPr>
            <w:noProof/>
          </w:rPr>
          <w:t>IFC/World Bank, 2013</w:t>
        </w:r>
      </w:hyperlink>
      <w:r w:rsidR="008F1F7E">
        <w:rPr>
          <w:noProof/>
        </w:rPr>
        <w:t>)</w:t>
      </w:r>
      <w:r w:rsidR="00E12159">
        <w:fldChar w:fldCharType="end"/>
      </w:r>
      <w:r w:rsidR="008F1F7E">
        <w:t>.</w:t>
      </w:r>
      <w:r w:rsidR="0005207E">
        <w:t xml:space="preserve"> </w:t>
      </w:r>
    </w:p>
    <w:p w14:paraId="308EB004" w14:textId="77777777" w:rsidR="0012736A" w:rsidRPr="00991993" w:rsidRDefault="0012736A" w:rsidP="004B1C94">
      <w:pPr>
        <w:pStyle w:val="Heading2"/>
        <w:numPr>
          <w:ilvl w:val="0"/>
          <w:numId w:val="5"/>
        </w:numPr>
      </w:pPr>
      <w:bookmarkStart w:id="60" w:name="_Toc226957252"/>
      <w:r>
        <w:t>Gender Disparities in Earnings</w:t>
      </w:r>
      <w:bookmarkEnd w:id="60"/>
    </w:p>
    <w:p w14:paraId="6D034FE2" w14:textId="3F4CD9AE" w:rsidR="0012736A" w:rsidRPr="00991993" w:rsidRDefault="0012736A" w:rsidP="00450916">
      <w:pPr>
        <w:pStyle w:val="MainParawithChapter"/>
        <w:ind w:left="0" w:firstLine="0"/>
        <w:jc w:val="both"/>
        <w:outlineLvl w:val="9"/>
      </w:pPr>
      <w:r w:rsidRPr="00991993">
        <w:rPr>
          <w:b/>
        </w:rPr>
        <w:t xml:space="preserve">Monthly earnings are considerably lower for women than for men; based on data from UNDP’s 2009 Social Exclusion Survey, the raw gender earnings gap in Tajikistan amounts to 18 percent. </w:t>
      </w:r>
      <w:r w:rsidR="00E12159" w:rsidRPr="00991993">
        <w:fldChar w:fldCharType="begin"/>
      </w:r>
      <w:r w:rsidRPr="00991993">
        <w:instrText xml:space="preserve"> </w:instrText>
      </w:r>
      <w:r w:rsidR="009F7A22">
        <w:instrText>ADDIN</w:instrText>
      </w:r>
      <w:r w:rsidRPr="00991993">
        <w:instrText xml:space="preserve"> EN.CITE &lt;EndNote&gt;&lt;Cite AuthorYear="1"&gt;&lt;Author&gt;Blunch&lt;/Author&gt;&lt;Year&gt;2010&lt;/Year&gt;&lt;RecNum&gt;37&lt;/RecNum&gt;&lt;DisplayText&gt;Blunch (2010)&lt;/DisplayText&gt;&lt;record&gt;&lt;rec-number&gt;37&lt;/rec-number&gt;&lt;foreign-keys&gt;&lt;key app="EN" db-id="wes5dreptvrsr2eeartvxexxftt2tastxrfs"&gt;37&lt;/key&gt;&lt;/foreign-keys&gt;&lt;ref-type name="Journal Article"&gt;17&lt;/ref-type&gt;&lt;contributors&gt;&lt;authors&gt;&lt;author&gt;Niels-Hugo Blunch&lt;/author&gt;&lt;/authors&gt;&lt;/contributors&gt;&lt;titles&gt;&lt;title&gt;The Gender Earnings Gap Revisited: A Comparative Study for Serbia and Five Countries in Eastern Europe and Central Asia&lt;/title&gt;&lt;secondary-title&gt;Background paper commissioned by the World Bank&amp;apos;s Poverty Reduction and Economic Management Unit, Europe and Central Asia Region Department&lt;/secondary-title&gt;&lt;/titles&gt;&lt;periodical&gt;&lt;full-title&gt;Background paper commissioned by the World Bank&amp;apos;s Poverty Reduction and Economic Management Unit, Europe and Central Asia Region Department&lt;/full-title&gt;&lt;/periodical&gt;&lt;dates&gt;&lt;year&gt;2010&lt;/year&gt;&lt;/dates&gt;&lt;urls&gt;&lt;/urls&gt;&lt;/record&gt;&lt;/Cite&gt;&lt;/EndNote&gt;</w:instrText>
      </w:r>
      <w:r w:rsidR="00E12159" w:rsidRPr="00991993">
        <w:fldChar w:fldCharType="separate"/>
      </w:r>
      <w:hyperlink w:anchor="_ENREF_8" w:tooltip="Blunch, 2010 #37" w:history="1">
        <w:r w:rsidR="006A1532" w:rsidRPr="00991993">
          <w:rPr>
            <w:noProof/>
          </w:rPr>
          <w:t>Blunch (2010</w:t>
        </w:r>
      </w:hyperlink>
      <w:r w:rsidRPr="00991993">
        <w:rPr>
          <w:noProof/>
        </w:rPr>
        <w:t>)</w:t>
      </w:r>
      <w:r w:rsidR="00E12159" w:rsidRPr="00991993">
        <w:fldChar w:fldCharType="end"/>
      </w:r>
      <w:r>
        <w:t xml:space="preserve"> makes use of</w:t>
      </w:r>
      <w:r w:rsidR="00D0245E">
        <w:t xml:space="preserve"> </w:t>
      </w:r>
      <w:r w:rsidRPr="00991993">
        <w:t>UNDP’s 2009 Social Exclusion Survey t</w:t>
      </w:r>
      <w:r w:rsidR="0030741C">
        <w:t>o analyze gender disparities in</w:t>
      </w:r>
      <w:r w:rsidRPr="00991993">
        <w:t xml:space="preserve"> six ECA countries. Monthly earnings of women are consistently lower than those of males, but the extent of this gap varie</w:t>
      </w:r>
      <w:r>
        <w:t>s across countries between 12 percent</w:t>
      </w:r>
      <w:r w:rsidRPr="00991993">
        <w:t xml:space="preserve"> i</w:t>
      </w:r>
      <w:r>
        <w:t>n Serbia, 18 percent in Macedonia and Tajikistan, 19 percent in Kazakhstan, 25 percent in Moldova, to finally 27 percent</w:t>
      </w:r>
      <w:r w:rsidRPr="00991993">
        <w:t xml:space="preserve"> in Ukraine. There is some evidence that the gap</w:t>
      </w:r>
      <w:r w:rsidR="004E2FBE">
        <w:t xml:space="preserve"> in Tajikistan has narrowed</w:t>
      </w:r>
      <w:r w:rsidRPr="00991993">
        <w:t>;</w:t>
      </w:r>
      <w:r w:rsidR="008C3162">
        <w:t xml:space="preserve"> however,</w:t>
      </w:r>
      <w:r w:rsidRPr="00991993">
        <w:t xml:space="preserve"> </w:t>
      </w:r>
      <w:r w:rsidR="00E12159" w:rsidRPr="00991993">
        <w:fldChar w:fldCharType="begin"/>
      </w:r>
      <w:r w:rsidRPr="00991993">
        <w:instrText xml:space="preserve"> </w:instrText>
      </w:r>
      <w:r w:rsidR="009F7A22">
        <w:instrText>ADDIN</w:instrText>
      </w:r>
      <w:r w:rsidRPr="00991993">
        <w:instrText xml:space="preserve"> EN.CITE &lt;EndNote&gt;&lt;Cite AuthorYear="1"&gt;&lt;Author&gt;Ñopo&lt;/Author&gt;&lt;Year&gt;2011&lt;/Year&gt;&lt;RecNum&gt;38&lt;/RecNum&gt;&lt;DisplayText&gt;Ñopo, Daza, and Ramos (2011)&lt;/DisplayText&gt;&lt;record&gt;&lt;rec-number&gt;38&lt;/rec-number&gt;&lt;foreign-keys&gt;&lt;key app="EN" db-id="wes5dreptvrsr2eeartvxexxftt2tastxrfs"&gt;38&lt;/key&gt;&lt;/foreign-keys&gt;&lt;ref-type name="Journal Article"&gt;17&lt;/ref-type&gt;&lt;contributors&gt;&lt;authors&gt;&lt;author&gt;Hugo Ñopo&lt;/author&gt;&lt;author&gt;Nancy Daza&lt;/author&gt;&lt;author&gt;Johanna Ramos&lt;/author&gt;&lt;/authors&gt;&lt;/contributors&gt;&lt;titles&gt;&lt;title&gt;Gender Earnings Gaps in the World&lt;/title&gt;&lt;secondary-title&gt;Background Paper prepared for the World Development Report 2012&lt;/secondary-title&gt;&lt;/titles&gt;&lt;periodical&gt;&lt;full-title&gt;Background Paper prepared for the World Development Report 2012&lt;/full-title&gt;&lt;/periodical&gt;&lt;dates&gt;&lt;year&gt;2011&lt;/year&gt;&lt;/dates&gt;&lt;urls&gt;&lt;/urls&gt;&lt;/record&gt;&lt;/Cite&gt;&lt;/EndNote&gt;</w:instrText>
      </w:r>
      <w:r w:rsidR="00E12159" w:rsidRPr="00991993">
        <w:fldChar w:fldCharType="separate"/>
      </w:r>
      <w:hyperlink w:anchor="_ENREF_38" w:tooltip="Ñopo, 2011 #38" w:history="1">
        <w:r w:rsidR="006A1532" w:rsidRPr="00991993">
          <w:rPr>
            <w:noProof/>
          </w:rPr>
          <w:t>Ñopo, Daza, and Ramos (2011</w:t>
        </w:r>
      </w:hyperlink>
      <w:r w:rsidRPr="00991993">
        <w:rPr>
          <w:noProof/>
        </w:rPr>
        <w:t>)</w:t>
      </w:r>
      <w:r w:rsidR="00E12159" w:rsidRPr="00991993">
        <w:fldChar w:fldCharType="end"/>
      </w:r>
      <w:r w:rsidRPr="00991993">
        <w:t xml:space="preserve"> – based on the 2003 TLSS –</w:t>
      </w:r>
      <w:r w:rsidR="0030741C">
        <w:t xml:space="preserve"> still</w:t>
      </w:r>
      <w:r w:rsidRPr="00991993">
        <w:t xml:space="preserve"> r</w:t>
      </w:r>
      <w:r>
        <w:t>eport a gender wage gap of 26 percent</w:t>
      </w:r>
      <w:r w:rsidR="007272F7">
        <w:t xml:space="preserve"> in Tajikistan. The methodologies, however, differ</w:t>
      </w:r>
      <w:r w:rsidRPr="00991993">
        <w:t xml:space="preserve"> insofar as the latter study is based on hourly, and not monthly earnings. In general, the use of hourly instead of monthly earnings usually tends to yield lower estimates of the gender wage gap, since men usually work more hours per month than women </w:t>
      </w:r>
      <w:r w:rsidR="00E12159" w:rsidRPr="00991993">
        <w:fldChar w:fldCharType="begin"/>
      </w:r>
      <w:r w:rsidR="00D93AAA">
        <w:instrText xml:space="preserve"> </w:instrText>
      </w:r>
      <w:r w:rsidR="009F7A22">
        <w:instrText>ADDIN</w:instrText>
      </w:r>
      <w:r w:rsidR="00D93AAA">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991993">
        <w:fldChar w:fldCharType="separate"/>
      </w:r>
      <w:r w:rsidR="00D93AAA">
        <w:rPr>
          <w:noProof/>
        </w:rPr>
        <w:t>(</w:t>
      </w:r>
      <w:hyperlink w:anchor="_ENREF_45" w:tooltip="Sattar, 2012 #3" w:history="1">
        <w:r w:rsidR="006A1532">
          <w:rPr>
            <w:noProof/>
          </w:rPr>
          <w:t>Sattar, 2012</w:t>
        </w:r>
      </w:hyperlink>
      <w:r w:rsidR="00D93AAA">
        <w:rPr>
          <w:noProof/>
        </w:rPr>
        <w:t>)</w:t>
      </w:r>
      <w:r w:rsidR="00E12159" w:rsidRPr="00991993">
        <w:fldChar w:fldCharType="end"/>
      </w:r>
      <w:r w:rsidRPr="00991993">
        <w:t>.</w:t>
      </w:r>
    </w:p>
    <w:p w14:paraId="331C876A" w14:textId="012CC711" w:rsidR="0012736A" w:rsidRPr="00991993" w:rsidRDefault="0012736A" w:rsidP="00450916">
      <w:pPr>
        <w:pStyle w:val="MainParawithChapter"/>
        <w:ind w:left="0" w:firstLine="0"/>
        <w:jc w:val="both"/>
        <w:outlineLvl w:val="9"/>
      </w:pPr>
      <w:r w:rsidRPr="00991993">
        <w:rPr>
          <w:b/>
        </w:rPr>
        <w:t xml:space="preserve">A substantial </w:t>
      </w:r>
      <w:r w:rsidRPr="00450916">
        <w:rPr>
          <w:b/>
          <w:bCs/>
          <w:color w:val="000000" w:themeColor="text1"/>
        </w:rPr>
        <w:t>part</w:t>
      </w:r>
      <w:r w:rsidRPr="00991993">
        <w:rPr>
          <w:b/>
        </w:rPr>
        <w:t xml:space="preserve"> of the observed gender disparities in earnings cannot be explained by observable individual characteristics that are rewarded by the labor market.</w:t>
      </w:r>
      <w:r w:rsidRPr="00991993">
        <w:t xml:space="preserve"> Theory suggests that human capital variables such as education and previous experience influence an individual</w:t>
      </w:r>
      <w:r w:rsidR="003C22D8">
        <w:t>’s productivity. In turn, this</w:t>
      </w:r>
      <w:r w:rsidRPr="00991993">
        <w:t xml:space="preserve"> is associated with the level of earnings, along with further factors including sector of employment, contract status, full- or part-time status, or location. In the </w:t>
      </w:r>
      <w:r w:rsidR="000540F6">
        <w:t xml:space="preserve">analyzed </w:t>
      </w:r>
      <w:r w:rsidRPr="00991993">
        <w:t>six ECA countries, however, the largest part of the observed gender wage gap cannot be explained by any of these</w:t>
      </w:r>
      <w:r w:rsidR="00B30216">
        <w:t xml:space="preserve"> factors: In Tajikistan, only 3 to </w:t>
      </w:r>
      <w:r w:rsidRPr="00991993">
        <w:t>4 percentage points of the observed earnings gap of 18 percent can be accounted for by the variab</w:t>
      </w:r>
      <w:r w:rsidR="00B30216">
        <w:t xml:space="preserve">les described above, whereas 14 to </w:t>
      </w:r>
      <w:r w:rsidRPr="00991993">
        <w:t>15 percentage points remain unexplained</w:t>
      </w:r>
      <w:r w:rsidR="00AB603E">
        <w:t xml:space="preserve"> </w:t>
      </w:r>
      <w:r w:rsidR="00E12159">
        <w:fldChar w:fldCharType="begin"/>
      </w:r>
      <w:r w:rsidR="00AB603E">
        <w:instrText xml:space="preserve"> </w:instrText>
      </w:r>
      <w:r w:rsidR="009F7A22">
        <w:instrText>ADDIN</w:instrText>
      </w:r>
      <w:r w:rsidR="00AB603E">
        <w:instrText xml:space="preserve"> EN.CITE &lt;EndNote&gt;&lt;Cite&gt;&lt;Author&gt;Blunch&lt;/Author&gt;&lt;Year&gt;2010&lt;/Year&gt;&lt;RecNum&gt;37&lt;/RecNum&gt;&lt;DisplayText&gt;(Blunch, 2010)&lt;/DisplayText&gt;&lt;record&gt;&lt;rec-number&gt;37&lt;/rec-number&gt;&lt;foreign-keys&gt;&lt;key app="EN" db-id="wes5dreptvrsr2eeartvxexxftt2tastxrfs"&gt;37&lt;/key&gt;&lt;/foreign-keys&gt;&lt;ref-type name="Journal Article"&gt;17&lt;/ref-type&gt;&lt;contributors&gt;&lt;authors&gt;&lt;author&gt;Niels-Hugo Blunch&lt;/author&gt;&lt;/authors&gt;&lt;/contributors&gt;&lt;titles&gt;&lt;title&gt;The Gender Earnings Gap Revisited: A Comparative Study for Serbia and Five Countries in Eastern Europe and Central Asia&lt;/title&gt;&lt;secondary-title&gt;Background paper commissioned by the World Bank&amp;apos;s Poverty Reduction and Economic Management Unit, Europe and Central Asia Region Department&lt;/secondary-title&gt;&lt;/titles&gt;&lt;periodical&gt;&lt;full-title&gt;Background paper commissioned by the World Bank&amp;apos;s Poverty Reduction and Economic Management Unit, Europe and Central Asia Region Department&lt;/full-title&gt;&lt;/periodical&gt;&lt;dates&gt;&lt;year&gt;2010&lt;/year&gt;&lt;/dates&gt;&lt;urls&gt;&lt;/urls&gt;&lt;/record&gt;&lt;/Cite&gt;&lt;/EndNote&gt;</w:instrText>
      </w:r>
      <w:r w:rsidR="00E12159">
        <w:fldChar w:fldCharType="separate"/>
      </w:r>
      <w:r w:rsidR="00AB603E">
        <w:rPr>
          <w:noProof/>
        </w:rPr>
        <w:t>(</w:t>
      </w:r>
      <w:hyperlink w:anchor="_ENREF_8" w:tooltip="Blunch, 2010 #37" w:history="1">
        <w:r w:rsidR="006A1532">
          <w:rPr>
            <w:noProof/>
          </w:rPr>
          <w:t>Blunch, 2010</w:t>
        </w:r>
      </w:hyperlink>
      <w:r w:rsidR="00AB603E">
        <w:rPr>
          <w:noProof/>
        </w:rPr>
        <w:t>)</w:t>
      </w:r>
      <w:r w:rsidR="00E12159">
        <w:fldChar w:fldCharType="end"/>
      </w:r>
      <w:r w:rsidRPr="00991993">
        <w:t>. This contrasts to findings in Weste</w:t>
      </w:r>
      <w:r w:rsidR="003C22D8">
        <w:t>rn European countries and the United States of America</w:t>
      </w:r>
      <w:r w:rsidRPr="00991993">
        <w:t xml:space="preserve">, where up to 90 percent of the earnings gap can be accounted for by observable variables at the individual level </w:t>
      </w:r>
      <w:r w:rsidR="00E12159" w:rsidRPr="00991993">
        <w:fldChar w:fldCharType="begin"/>
      </w:r>
      <w:r w:rsidR="00D93AAA">
        <w:instrText xml:space="preserve"> </w:instrText>
      </w:r>
      <w:r w:rsidR="009F7A22">
        <w:instrText>ADDIN</w:instrText>
      </w:r>
      <w:r w:rsidR="00D93AAA">
        <w:instrText xml:space="preserve"> EN.CITE &lt;EndNote&gt;&lt;Cite&gt;&lt;Author&gt;Sattar&lt;/Author&gt;&lt;Year&gt;2012&lt;/Year&gt;&lt;RecNum&gt;3&lt;/RecNum&gt;&lt;DisplayText&gt;(Sattar,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991993">
        <w:fldChar w:fldCharType="separate"/>
      </w:r>
      <w:r w:rsidR="00D93AAA">
        <w:rPr>
          <w:noProof/>
        </w:rPr>
        <w:t>(</w:t>
      </w:r>
      <w:hyperlink w:anchor="_ENREF_45" w:tooltip="Sattar, 2012 #3" w:history="1">
        <w:r w:rsidR="006A1532">
          <w:rPr>
            <w:noProof/>
          </w:rPr>
          <w:t>Sattar, 2012</w:t>
        </w:r>
      </w:hyperlink>
      <w:r w:rsidR="00D93AAA">
        <w:rPr>
          <w:noProof/>
        </w:rPr>
        <w:t>)</w:t>
      </w:r>
      <w:r w:rsidR="00E12159" w:rsidRPr="00991993">
        <w:fldChar w:fldCharType="end"/>
      </w:r>
      <w:r w:rsidRPr="00991993">
        <w:t xml:space="preserve">. Notably, and in contrast to Serbia, Macedonia, Kazakhstan, and Ukraine, educational attainment does not contribute to </w:t>
      </w:r>
      <w:r>
        <w:t>explaining</w:t>
      </w:r>
      <w:r w:rsidRPr="00991993">
        <w:t xml:space="preserve"> the gender gap</w:t>
      </w:r>
      <w:r w:rsidR="00AB603E">
        <w:t xml:space="preserve"> in Tajikistan</w:t>
      </w:r>
      <w:r w:rsidRPr="00991993">
        <w:t xml:space="preserve">, but merely sector of employment </w:t>
      </w:r>
      <w:r w:rsidR="00E12159" w:rsidRPr="00991993">
        <w:fldChar w:fldCharType="begin"/>
      </w:r>
      <w:r w:rsidRPr="00991993">
        <w:instrText xml:space="preserve"> </w:instrText>
      </w:r>
      <w:r w:rsidR="009F7A22">
        <w:instrText>ADDIN</w:instrText>
      </w:r>
      <w:r w:rsidRPr="00991993">
        <w:instrText xml:space="preserve"> EN.CITE &lt;EndNote&gt;&lt;Cite&gt;&lt;Author&gt;Blunch&lt;/Author&gt;&lt;Year&gt;2010&lt;/Year&gt;&lt;RecNum&gt;37&lt;/RecNum&gt;&lt;DisplayText&gt;(Blunch, 2010)&lt;/DisplayText&gt;&lt;record&gt;&lt;rec-number&gt;37&lt;/rec-number&gt;&lt;foreign-keys&gt;&lt;key app="EN" db-id="wes5dreptvrsr2eeartvxexxftt2tastxrfs"&gt;37&lt;/key&gt;&lt;/foreign-keys&gt;&lt;ref-type name="Journal Article"&gt;17&lt;/ref-type&gt;&lt;contributors&gt;&lt;authors&gt;&lt;author&gt;Niels-Hugo Blunch&lt;/author&gt;&lt;/authors&gt;&lt;/contributors&gt;&lt;titles&gt;&lt;title&gt;The Gender Earnings Gap Revisited: A Comparative Study for Serbia and Five Countries in Eastern Europe and Central Asia&lt;/title&gt;&lt;secondary-title&gt;Background paper commissioned by the World Bank&amp;apos;s Poverty Reduction and Economic Management Unit, Europe and Central Asia Region Department&lt;/secondary-title&gt;&lt;/titles&gt;&lt;periodical&gt;&lt;full-title&gt;Background paper commissioned by the World Bank&amp;apos;s Poverty Reduction and Economic Management Unit, Europe and Central Asia Region Department&lt;/full-title&gt;&lt;/periodical&gt;&lt;dates&gt;&lt;year&gt;2010&lt;/year&gt;&lt;/dates&gt;&lt;urls&gt;&lt;/urls&gt;&lt;/record&gt;&lt;/Cite&gt;&lt;/EndNote&gt;</w:instrText>
      </w:r>
      <w:r w:rsidR="00E12159" w:rsidRPr="00991993">
        <w:fldChar w:fldCharType="separate"/>
      </w:r>
      <w:r w:rsidRPr="00991993">
        <w:rPr>
          <w:noProof/>
        </w:rPr>
        <w:t>(</w:t>
      </w:r>
      <w:hyperlink w:anchor="_ENREF_8" w:tooltip="Blunch, 2010 #37" w:history="1">
        <w:r w:rsidR="006A1532" w:rsidRPr="00991993">
          <w:rPr>
            <w:noProof/>
          </w:rPr>
          <w:t>Blunch, 2010</w:t>
        </w:r>
      </w:hyperlink>
      <w:r w:rsidRPr="00991993">
        <w:rPr>
          <w:noProof/>
        </w:rPr>
        <w:t>)</w:t>
      </w:r>
      <w:r w:rsidR="00E12159" w:rsidRPr="00991993">
        <w:fldChar w:fldCharType="end"/>
      </w:r>
      <w:r w:rsidRPr="00991993">
        <w:t>.</w:t>
      </w:r>
    </w:p>
    <w:p w14:paraId="6883C027" w14:textId="093B7944" w:rsidR="0012736A" w:rsidRDefault="0012736A" w:rsidP="00450916">
      <w:pPr>
        <w:pStyle w:val="MainParawithChapter"/>
        <w:ind w:left="0" w:firstLine="0"/>
        <w:jc w:val="both"/>
        <w:outlineLvl w:val="9"/>
      </w:pPr>
      <w:r w:rsidRPr="00991993">
        <w:rPr>
          <w:b/>
        </w:rPr>
        <w:t xml:space="preserve">These </w:t>
      </w:r>
      <w:r w:rsidRPr="00450916">
        <w:rPr>
          <w:b/>
          <w:bCs/>
          <w:color w:val="000000" w:themeColor="text1"/>
        </w:rPr>
        <w:t>findings</w:t>
      </w:r>
      <w:r w:rsidRPr="00991993">
        <w:rPr>
          <w:b/>
        </w:rPr>
        <w:t xml:space="preserve"> indicate the presence of </w:t>
      </w:r>
      <w:r>
        <w:rPr>
          <w:b/>
        </w:rPr>
        <w:t xml:space="preserve">considerable </w:t>
      </w:r>
      <w:r w:rsidRPr="00991993">
        <w:rPr>
          <w:b/>
        </w:rPr>
        <w:t>gender-related earnings discrimination at the disadvantage of women</w:t>
      </w:r>
      <w:r w:rsidR="004D6BEC">
        <w:rPr>
          <w:b/>
        </w:rPr>
        <w:t xml:space="preserve"> despite</w:t>
      </w:r>
      <w:r>
        <w:rPr>
          <w:b/>
        </w:rPr>
        <w:t xml:space="preserve"> laws mandating equal pay for equal work</w:t>
      </w:r>
      <w:r w:rsidRPr="00991993">
        <w:rPr>
          <w:b/>
        </w:rPr>
        <w:t>.</w:t>
      </w:r>
      <w:r w:rsidRPr="00991993">
        <w:t xml:space="preserve"> Since a large part of the observed differences in women</w:t>
      </w:r>
      <w:r w:rsidR="00837061">
        <w:t>’s</w:t>
      </w:r>
      <w:r w:rsidRPr="00991993">
        <w:t xml:space="preserve"> and men’s earnings cannot be explained by human capital variables or further observable determinants, this suggests gender-related discrimination that could either be statistical or </w:t>
      </w:r>
      <w:r w:rsidRPr="00991993">
        <w:lastRenderedPageBreak/>
        <w:t>taste discrimination. The latter theory states that prejudiced employers continue to be present in the labor market due to a small share of women in the working force and some labor market friction</w:t>
      </w:r>
      <w:r w:rsidR="00AB603E">
        <w:t xml:space="preserve">s. In contrast, the </w:t>
      </w:r>
      <w:r w:rsidRPr="00991993">
        <w:t xml:space="preserve">former assumes that discrimination arises from the fact that employers have difficulty assessing the productivity of women because of their limited presence in the labor market </w:t>
      </w:r>
      <w:r w:rsidR="00E12159" w:rsidRPr="00991993">
        <w:fldChar w:fldCharType="begin"/>
      </w:r>
      <w:r w:rsidR="00D93AAA">
        <w:instrText xml:space="preserve"> </w:instrText>
      </w:r>
      <w:r w:rsidR="009F7A22">
        <w:instrText>ADDIN</w:instrText>
      </w:r>
      <w:r w:rsidR="00D93AAA">
        <w:instrText xml:space="preserve"> EN.CITE &lt;EndNote&gt;&lt;Cite&gt;&lt;Author&gt;Sattar&lt;/Author&gt;&lt;Year&gt;2012&lt;/Year&gt;&lt;RecNum&gt;3&lt;/RecNum&gt;&lt;Prefix&gt;cf. &lt;/Prefix&gt;&lt;DisplayText&gt;(cf. 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rsidRPr="00991993">
        <w:fldChar w:fldCharType="separate"/>
      </w:r>
      <w:r w:rsidR="00D93AAA">
        <w:rPr>
          <w:noProof/>
        </w:rPr>
        <w:t>(</w:t>
      </w:r>
      <w:hyperlink w:anchor="_ENREF_45" w:tooltip="Sattar, 2012 #3" w:history="1">
        <w:r w:rsidR="006A1532">
          <w:rPr>
            <w:noProof/>
          </w:rPr>
          <w:t>cf. Sattar, 2012</w:t>
        </w:r>
      </w:hyperlink>
      <w:r w:rsidR="00D93AAA">
        <w:rPr>
          <w:noProof/>
        </w:rPr>
        <w:t>)</w:t>
      </w:r>
      <w:r w:rsidR="00E12159" w:rsidRPr="00991993">
        <w:fldChar w:fldCharType="end"/>
      </w:r>
      <w:r w:rsidRPr="00991993">
        <w:t>.</w:t>
      </w:r>
      <w:r>
        <w:t xml:space="preserve"> In any case, the Labor Code </w:t>
      </w:r>
      <w:r w:rsidRPr="008B3F9C">
        <w:rPr>
          <w:i/>
        </w:rPr>
        <w:t>de jure</w:t>
      </w:r>
      <w:r>
        <w:t xml:space="preserve"> mandates equal pay for equal work (Ar</w:t>
      </w:r>
      <w:r w:rsidR="00AB603E">
        <w:t>ticle 102) and prohibits gender-</w:t>
      </w:r>
      <w:r>
        <w:t xml:space="preserve">related discrimination in hiring practices (Articles 7, 29, 159) </w:t>
      </w:r>
      <w:r w:rsidR="00E12159">
        <w:fldChar w:fldCharType="begin"/>
      </w:r>
      <w:r>
        <w:instrText xml:space="preserve"> </w:instrText>
      </w:r>
      <w:r w:rsidR="009F7A22">
        <w:instrText>ADDIN</w:instrText>
      </w:r>
      <w:r>
        <w:instrText xml:space="preserve"> EN.CITE &lt;EndNote&gt;&lt;Cite&gt;&lt;Author&gt;IFC/World Bank&lt;/Author&gt;&lt;Year&gt;2013&lt;/Year&gt;&lt;RecNum&gt;51&lt;/RecNum&gt;&lt;DisplayText&gt;(IFC/World Bank, 2013)&lt;/DisplayText&gt;&lt;record&gt;&lt;rec-number&gt;51&lt;/rec-number&gt;&lt;foreign-keys&gt;&lt;key app="EN" db-id="wes5dreptvrsr2eeartvxexxftt2tastxrfs"&gt;51&lt;/key&gt;&lt;/foreign-keys&gt;&lt;ref-type name="Web Page"&gt;12&lt;/ref-type&gt;&lt;contributors&gt;&lt;authors&gt;&lt;author&gt;IFC/World Bank&lt;/author&gt;&lt;/authors&gt;&lt;/contributors&gt;&lt;titles&gt;&lt;title&gt;Women, Business and the Law. Creating Economic Opportunity for Women&lt;/title&gt;&lt;/titles&gt;&lt;number&gt;25/01/2013&lt;/number&gt;&lt;dates&gt;&lt;year&gt;2013&lt;/year&gt;&lt;/dates&gt;&lt;urls&gt;&lt;related-urls&gt;&lt;url&gt;http://wbl.worldbank.org/data/exploreeconomies/tajikistan/2011?topic=getting-a-job&lt;/url&gt;&lt;/related-urls&gt;&lt;/urls&gt;&lt;/record&gt;&lt;/Cite&gt;&lt;/EndNote&gt;</w:instrText>
      </w:r>
      <w:r w:rsidR="00E12159">
        <w:fldChar w:fldCharType="separate"/>
      </w:r>
      <w:r>
        <w:rPr>
          <w:noProof/>
        </w:rPr>
        <w:t>(</w:t>
      </w:r>
      <w:hyperlink w:anchor="_ENREF_26" w:tooltip="IFC/World Bank, 2013 #51" w:history="1">
        <w:r w:rsidR="006A1532">
          <w:rPr>
            <w:noProof/>
          </w:rPr>
          <w:t>IFC/World Bank, 2013</w:t>
        </w:r>
      </w:hyperlink>
      <w:r>
        <w:rPr>
          <w:noProof/>
        </w:rPr>
        <w:t>)</w:t>
      </w:r>
      <w:r w:rsidR="00E12159">
        <w:fldChar w:fldCharType="end"/>
      </w:r>
      <w:r>
        <w:t xml:space="preserve">, but the presented evidence suggests that this is not </w:t>
      </w:r>
      <w:r w:rsidR="003C22D8" w:rsidRPr="008B3F9C">
        <w:rPr>
          <w:i/>
        </w:rPr>
        <w:t>de facto</w:t>
      </w:r>
      <w:r w:rsidR="003C22D8">
        <w:t xml:space="preserve"> </w:t>
      </w:r>
      <w:r>
        <w:t>enforced.</w:t>
      </w:r>
    </w:p>
    <w:p w14:paraId="216F7F6C" w14:textId="77777777" w:rsidR="00886F5D" w:rsidRDefault="00886F5D" w:rsidP="004B1C94">
      <w:pPr>
        <w:pStyle w:val="Heading2"/>
        <w:numPr>
          <w:ilvl w:val="0"/>
          <w:numId w:val="5"/>
        </w:numPr>
      </w:pPr>
      <w:bookmarkStart w:id="61" w:name="_Toc226957253"/>
      <w:r>
        <w:t>Informality and Migration</w:t>
      </w:r>
      <w:bookmarkEnd w:id="61"/>
    </w:p>
    <w:p w14:paraId="4D781140" w14:textId="1D4CA778" w:rsidR="00BC033D" w:rsidRDefault="007C49F1" w:rsidP="00450916">
      <w:pPr>
        <w:pStyle w:val="MainParawithChapter"/>
        <w:ind w:left="0" w:firstLine="0"/>
        <w:jc w:val="both"/>
        <w:outlineLvl w:val="9"/>
      </w:pPr>
      <w:r w:rsidRPr="00AA7DCE">
        <w:rPr>
          <w:b/>
        </w:rPr>
        <w:t xml:space="preserve">The reality of Tajikistan’s labor market is a three-fold division into formal employment, </w:t>
      </w:r>
      <w:r w:rsidRPr="00450916">
        <w:rPr>
          <w:b/>
          <w:bCs/>
          <w:color w:val="000000" w:themeColor="text1"/>
        </w:rPr>
        <w:t>employment</w:t>
      </w:r>
      <w:r w:rsidRPr="00AA7DCE">
        <w:rPr>
          <w:b/>
        </w:rPr>
        <w:t xml:space="preserve"> in the informal sector</w:t>
      </w:r>
      <w:r w:rsidR="008B2337" w:rsidRPr="00AA7DCE">
        <w:rPr>
          <w:b/>
        </w:rPr>
        <w:t xml:space="preserve">, and labor migration, and this division warrants an analysis along gender dimensions. </w:t>
      </w:r>
      <w:r w:rsidR="008B2337">
        <w:t xml:space="preserve">The creation of a sufficient amount of decent jobs in light of </w:t>
      </w:r>
      <w:r w:rsidR="002F0B02">
        <w:t>high</w:t>
      </w:r>
      <w:r w:rsidR="00F7121B">
        <w:t xml:space="preserve"> </w:t>
      </w:r>
      <w:r w:rsidR="008B2337">
        <w:t xml:space="preserve">population growth </w:t>
      </w:r>
      <w:r w:rsidR="002F0B02">
        <w:t xml:space="preserve">rates </w:t>
      </w:r>
      <w:r w:rsidR="008B2337">
        <w:t>and the transition to a market econo</w:t>
      </w:r>
      <w:r w:rsidR="00F47903">
        <w:t xml:space="preserve">my has </w:t>
      </w:r>
      <w:r w:rsidR="00F7121B">
        <w:t xml:space="preserve">continuously </w:t>
      </w:r>
      <w:r w:rsidR="00F47903">
        <w:t xml:space="preserve">been a </w:t>
      </w:r>
      <w:r w:rsidR="00A9264D">
        <w:t>demanding</w:t>
      </w:r>
      <w:r w:rsidR="00F7121B">
        <w:t xml:space="preserve"> task for Tajikistan. </w:t>
      </w:r>
      <w:r w:rsidR="00AB603E">
        <w:t>These factors have</w:t>
      </w:r>
      <w:r w:rsidR="00AA7DCE">
        <w:t xml:space="preserve"> also contributed to the aggravation of two other challenges, namely informal sector employment and </w:t>
      </w:r>
      <w:r w:rsidR="00D4740D">
        <w:t xml:space="preserve">labor </w:t>
      </w:r>
      <w:r w:rsidR="00AA7DCE">
        <w:t>migration</w:t>
      </w:r>
      <w:r w:rsidR="00207AE5">
        <w:t xml:space="preserve"> </w:t>
      </w:r>
      <w:r w:rsidR="00E12159">
        <w:fldChar w:fldCharType="begin"/>
      </w:r>
      <w:r w:rsidR="00207AE5">
        <w:instrText xml:space="preserve"> </w:instrText>
      </w:r>
      <w:r w:rsidR="009F7A22">
        <w:instrText>ADDIN</w:instrText>
      </w:r>
      <w:r w:rsidR="00207AE5">
        <w:instrText xml:space="preserve"> EN.CITE &lt;EndNote&gt;&lt;Cite&gt;&lt;Author&gt;UNDP&lt;/Author&gt;&lt;Year&gt;2010&lt;/Year&gt;&lt;RecNum&gt;39&lt;/RecNum&gt;&lt;DisplayText&gt;(UNDP, 2010)&lt;/DisplayText&gt;&lt;record&gt;&lt;rec-number&gt;39&lt;/rec-number&gt;&lt;foreign-keys&gt;&lt;key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fldChar w:fldCharType="separate"/>
      </w:r>
      <w:r w:rsidR="00207AE5">
        <w:rPr>
          <w:noProof/>
        </w:rPr>
        <w:t>(</w:t>
      </w:r>
      <w:hyperlink w:anchor="_ENREF_56" w:tooltip="UNDP, 2010 #39" w:history="1">
        <w:r w:rsidR="006A1532">
          <w:rPr>
            <w:noProof/>
          </w:rPr>
          <w:t>UNDP, 2010</w:t>
        </w:r>
      </w:hyperlink>
      <w:r w:rsidR="00207AE5">
        <w:rPr>
          <w:noProof/>
        </w:rPr>
        <w:t>)</w:t>
      </w:r>
      <w:r w:rsidR="00E12159">
        <w:fldChar w:fldCharType="end"/>
      </w:r>
      <w:r w:rsidR="00207AE5">
        <w:t>, so that t</w:t>
      </w:r>
      <w:r w:rsidR="00AA7DCE">
        <w:t xml:space="preserve">he </w:t>
      </w:r>
      <w:r w:rsidR="0009040A">
        <w:t xml:space="preserve">National Development Strategy until 2015 describes the Tajik labor market as </w:t>
      </w:r>
      <w:r w:rsidR="00D4740D">
        <w:t xml:space="preserve">effectually </w:t>
      </w:r>
      <w:r w:rsidR="0009040A">
        <w:t>divided into three parts</w:t>
      </w:r>
      <w:r w:rsidR="00207AE5">
        <w:t xml:space="preserve"> </w:t>
      </w:r>
      <w:r w:rsidR="00E12159">
        <w:fldChar w:fldCharType="begin"/>
      </w:r>
      <w:r w:rsidR="005C5EAA">
        <w:instrText xml:space="preserve"> </w:instrText>
      </w:r>
      <w:r w:rsidR="009F7A22">
        <w:instrText>ADDIN</w:instrText>
      </w:r>
      <w:r w:rsidR="005C5EAA">
        <w:instrText xml:space="preserve"> EN.CITE &lt;EndNote&gt;&lt;Cite&gt;&lt;Author&gt;Republic of Tajikistan&lt;/Author&gt;&lt;Year&gt;2007&lt;/Year&gt;&lt;RecNum&gt;43&lt;/RecNum&gt;&lt;DisplayText&gt;(Republic of Tajikistan, 2007)&lt;/DisplayText&gt;&lt;record&gt;&lt;rec-number&gt;43&lt;/rec-number&gt;&lt;foreign-keys&gt;&lt;key app="EN" db-id="wes5dreptvrsr2eeartvxexxftt2tastxrfs"&gt;43&lt;/key&gt;&lt;/foreign-keys&gt;&lt;ref-type name="Book"&gt;6&lt;/ref-type&gt;&lt;contributors&gt;&lt;authors&gt;&lt;author&gt;Republic of Tajikistan&lt;/author&gt;&lt;/authors&gt;&lt;/contributors&gt;&lt;titles&gt;&lt;title&gt;National Development Strategy of the Republic of Tajikistan for the Period to 2015&lt;/title&gt;&lt;/titles&gt;&lt;dates&gt;&lt;year&gt;2007&lt;/year&gt;&lt;/dates&gt;&lt;pub-location&gt;Dushanbe&lt;/pub-location&gt;&lt;urls&gt;&lt;/urls&gt;&lt;/record&gt;&lt;/Cite&gt;&lt;/EndNote&gt;</w:instrText>
      </w:r>
      <w:r w:rsidR="00E12159">
        <w:fldChar w:fldCharType="separate"/>
      </w:r>
      <w:r w:rsidR="00207AE5">
        <w:rPr>
          <w:noProof/>
        </w:rPr>
        <w:t>(</w:t>
      </w:r>
      <w:hyperlink w:anchor="_ENREF_42" w:tooltip="Republic of Tajikistan, 2007 #43" w:history="1">
        <w:r w:rsidR="006A1532">
          <w:rPr>
            <w:noProof/>
          </w:rPr>
          <w:t>Republic of Tajikistan, 2007</w:t>
        </w:r>
      </w:hyperlink>
      <w:r w:rsidR="00207AE5">
        <w:rPr>
          <w:noProof/>
        </w:rPr>
        <w:t>)</w:t>
      </w:r>
      <w:r w:rsidR="00E12159">
        <w:fldChar w:fldCharType="end"/>
      </w:r>
      <w:r w:rsidR="00207AE5">
        <w:t xml:space="preserve">. </w:t>
      </w:r>
      <w:r w:rsidR="00794D73">
        <w:t>B</w:t>
      </w:r>
      <w:r w:rsidR="00207AE5">
        <w:t>oth issues have different impacts on women and men respectively</w:t>
      </w:r>
      <w:r w:rsidR="00794D73">
        <w:t xml:space="preserve"> and </w:t>
      </w:r>
      <w:r w:rsidR="00207AE5">
        <w:t>therefore benefit from an analysis that adopts a gender perspective.</w:t>
      </w:r>
    </w:p>
    <w:p w14:paraId="123A94E0" w14:textId="0F3BBCD5" w:rsidR="002A3DAA" w:rsidRDefault="00271999" w:rsidP="00450916">
      <w:pPr>
        <w:pStyle w:val="MainParawithChapter"/>
        <w:ind w:left="0" w:firstLine="0"/>
        <w:jc w:val="both"/>
        <w:outlineLvl w:val="9"/>
      </w:pPr>
      <w:r w:rsidRPr="00991993">
        <w:rPr>
          <w:b/>
        </w:rPr>
        <w:t xml:space="preserve">The </w:t>
      </w:r>
      <w:r w:rsidR="002A3DAA">
        <w:rPr>
          <w:b/>
        </w:rPr>
        <w:t xml:space="preserve">size of the </w:t>
      </w:r>
      <w:r w:rsidRPr="00991993">
        <w:rPr>
          <w:b/>
        </w:rPr>
        <w:t xml:space="preserve">informal sector </w:t>
      </w:r>
      <w:r w:rsidR="00CE4AF6">
        <w:rPr>
          <w:b/>
        </w:rPr>
        <w:t xml:space="preserve">in the Tajik labor market </w:t>
      </w:r>
      <w:r w:rsidR="00DE0FC1">
        <w:rPr>
          <w:b/>
        </w:rPr>
        <w:t xml:space="preserve">reaches </w:t>
      </w:r>
      <w:r w:rsidR="00CE53E3">
        <w:rPr>
          <w:b/>
        </w:rPr>
        <w:t>considerable scale</w:t>
      </w:r>
      <w:r w:rsidR="002A3DAA">
        <w:rPr>
          <w:b/>
        </w:rPr>
        <w:t>.</w:t>
      </w:r>
      <w:r w:rsidRPr="00991993">
        <w:rPr>
          <w:b/>
        </w:rPr>
        <w:t xml:space="preserve"> </w:t>
      </w:r>
      <w:r w:rsidR="0032595A" w:rsidRPr="0032595A">
        <w:t xml:space="preserve">Since the informal sector is by definition not </w:t>
      </w:r>
      <w:r w:rsidR="0032595A">
        <w:t xml:space="preserve">taken into account by official labor market data, its measurement is inherently problematic. </w:t>
      </w:r>
      <w:r w:rsidR="008F44B2" w:rsidRPr="0032595A">
        <w:t>The National Human Development</w:t>
      </w:r>
      <w:r w:rsidR="008F44B2">
        <w:t xml:space="preserve"> Report 2006-2008 defines informal employment as a lack of legally registered working relations. Evaluations of project group experts state that approxi</w:t>
      </w:r>
      <w:r w:rsidR="00603D3F">
        <w:t>mately 47 percent of the total</w:t>
      </w:r>
      <w:r w:rsidR="008F44B2">
        <w:t xml:space="preserve"> employed in 2007 and 2008 respectively work</w:t>
      </w:r>
      <w:r w:rsidR="003C22D8">
        <w:t>ed</w:t>
      </w:r>
      <w:r w:rsidR="008F44B2">
        <w:t xml:space="preserve"> in the informal sector</w:t>
      </w:r>
      <w:r w:rsidR="008F44B2" w:rsidRPr="00991993">
        <w:t xml:space="preserve"> </w:t>
      </w:r>
      <w:r w:rsidR="00E12159" w:rsidRPr="00991993">
        <w:fldChar w:fldCharType="begin"/>
      </w:r>
      <w:r w:rsidR="008F44B2" w:rsidRPr="00991993">
        <w:instrText xml:space="preserve"> </w:instrText>
      </w:r>
      <w:r w:rsidR="009F7A22">
        <w:instrText>ADDIN</w:instrText>
      </w:r>
      <w:r w:rsidR="008F44B2" w:rsidRPr="00991993">
        <w:instrText xml:space="preserve"> EN.CITE &lt;EndNote&gt;&lt;Cite&gt;&lt;Author&gt;UNDP&lt;/Author&gt;&lt;Year&gt;2010&lt;/Year&gt;&lt;RecNum&gt;39&lt;/RecNum&gt;&lt;DisplayText&gt;(UNDP, 2010)&lt;/DisplayText&gt;&lt;record&gt;&lt;rec-number&gt;39&lt;/rec-number&gt;&lt;foreign-keys&gt;&lt;key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rsidRPr="00991993">
        <w:fldChar w:fldCharType="separate"/>
      </w:r>
      <w:r w:rsidR="008F44B2" w:rsidRPr="00991993">
        <w:rPr>
          <w:noProof/>
        </w:rPr>
        <w:t>(</w:t>
      </w:r>
      <w:hyperlink w:anchor="_ENREF_56" w:tooltip="UNDP, 2010 #39" w:history="1">
        <w:r w:rsidR="006A1532" w:rsidRPr="00991993">
          <w:rPr>
            <w:noProof/>
          </w:rPr>
          <w:t>UNDP, 2010</w:t>
        </w:r>
      </w:hyperlink>
      <w:r w:rsidR="008F44B2" w:rsidRPr="00991993">
        <w:rPr>
          <w:noProof/>
        </w:rPr>
        <w:t>)</w:t>
      </w:r>
      <w:r w:rsidR="00E12159" w:rsidRPr="00991993">
        <w:fldChar w:fldCharType="end"/>
      </w:r>
      <w:r w:rsidR="008F44B2" w:rsidRPr="00991993">
        <w:t>.</w:t>
      </w:r>
      <w:r w:rsidR="008F44B2">
        <w:t xml:space="preserve"> </w:t>
      </w:r>
      <w:r w:rsidR="00D642A8" w:rsidRPr="008F44B2">
        <w:t>B</w:t>
      </w:r>
      <w:r w:rsidR="00D642A8">
        <w:t>ased on the 2007 TLSS</w:t>
      </w:r>
      <w:r w:rsidR="00513E4D">
        <w:t xml:space="preserve"> that </w:t>
      </w:r>
      <w:r w:rsidR="00D642A8">
        <w:t>defines informal work</w:t>
      </w:r>
      <w:r w:rsidRPr="00991993">
        <w:t xml:space="preserve"> as the </w:t>
      </w:r>
      <w:r w:rsidR="00CE53E3">
        <w:t>absence</w:t>
      </w:r>
      <w:r w:rsidRPr="00991993">
        <w:t xml:space="preserve"> of a contract with the employer </w:t>
      </w:r>
      <w:r>
        <w:t xml:space="preserve">of the primary job, </w:t>
      </w:r>
      <w:r w:rsidR="00D642A8">
        <w:t xml:space="preserve">informal employment </w:t>
      </w:r>
      <w:r>
        <w:t>concerns 36 percent</w:t>
      </w:r>
      <w:r w:rsidR="00744903">
        <w:t xml:space="preserve"> </w:t>
      </w:r>
      <w:r w:rsidR="00E86343">
        <w:t>of all employees</w:t>
      </w:r>
      <w:r w:rsidR="00DE0FC1">
        <w:t xml:space="preserve"> </w:t>
      </w:r>
      <w:r w:rsidR="00E12159">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fldChar w:fldCharType="separate"/>
      </w:r>
      <w:r w:rsidR="00AD2051">
        <w:rPr>
          <w:noProof/>
        </w:rPr>
        <w:t>(</w:t>
      </w:r>
      <w:hyperlink w:anchor="_ENREF_77" w:tooltip="World Bank, 2009 #35" w:history="1">
        <w:r w:rsidR="006A1532">
          <w:rPr>
            <w:noProof/>
          </w:rPr>
          <w:t>World Bank, 2009c</w:t>
        </w:r>
      </w:hyperlink>
      <w:r w:rsidR="00AD2051">
        <w:rPr>
          <w:noProof/>
        </w:rPr>
        <w:t>)</w:t>
      </w:r>
      <w:r w:rsidR="00E12159">
        <w:fldChar w:fldCharType="end"/>
      </w:r>
      <w:r w:rsidR="008C5CFA">
        <w:t>.</w:t>
      </w:r>
      <w:r w:rsidRPr="00991993">
        <w:t xml:space="preserve"> </w:t>
      </w:r>
    </w:p>
    <w:p w14:paraId="6C6E19EF" w14:textId="294A93B7" w:rsidR="00744903" w:rsidRDefault="002A3DAA" w:rsidP="00450916">
      <w:pPr>
        <w:pStyle w:val="MainParawithChapter"/>
        <w:ind w:left="0" w:firstLine="0"/>
        <w:jc w:val="both"/>
        <w:outlineLvl w:val="9"/>
      </w:pPr>
      <w:r w:rsidRPr="007A48CD">
        <w:rPr>
          <w:b/>
        </w:rPr>
        <w:t>Informal sector employment is concentrated in the agricultural sector, and associated with being female and less well educated.</w:t>
      </w:r>
      <w:r>
        <w:t xml:space="preserve"> Employment in the info</w:t>
      </w:r>
      <w:r w:rsidR="00CE4AF6">
        <w:t>rmal sector</w:t>
      </w:r>
      <w:r w:rsidR="00794D73" w:rsidRPr="00991993">
        <w:t xml:space="preserve"> </w:t>
      </w:r>
      <w:r w:rsidR="00CE4AF6">
        <w:t>mostly prevails</w:t>
      </w:r>
      <w:r w:rsidR="00794D73" w:rsidRPr="00991993">
        <w:t xml:space="preserve"> in the</w:t>
      </w:r>
      <w:r w:rsidR="00794D73">
        <w:t xml:space="preserve"> agricultural sector, where 47 percent </w:t>
      </w:r>
      <w:r w:rsidR="00794D73" w:rsidRPr="00991993">
        <w:t xml:space="preserve">of the informally </w:t>
      </w:r>
      <w:r w:rsidR="00513E4D">
        <w:t xml:space="preserve">employed </w:t>
      </w:r>
      <w:r w:rsidR="00603D3F">
        <w:t>are active</w:t>
      </w:r>
      <w:r w:rsidR="00DE0FC1">
        <w:t xml:space="preserve"> according to the 2007 TLSS</w:t>
      </w:r>
      <w:r w:rsidR="00603D3F">
        <w:t>. F</w:t>
      </w:r>
      <w:r w:rsidR="00794D73" w:rsidRPr="00991993">
        <w:t xml:space="preserve">actors that are associated with </w:t>
      </w:r>
      <w:r w:rsidR="00603D3F">
        <w:t xml:space="preserve">working in the informal sector </w:t>
      </w:r>
      <w:r w:rsidR="00794D73" w:rsidRPr="00991993">
        <w:t xml:space="preserve">are being female, young, and having low levels of education </w:t>
      </w:r>
      <w:r w:rsidR="00E12159">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fldChar w:fldCharType="separate"/>
      </w:r>
      <w:r w:rsidR="00AD2051">
        <w:rPr>
          <w:noProof/>
        </w:rPr>
        <w:t>(</w:t>
      </w:r>
      <w:hyperlink w:anchor="_ENREF_77" w:tooltip="World Bank, 2009 #35" w:history="1">
        <w:r w:rsidR="006A1532">
          <w:rPr>
            <w:noProof/>
          </w:rPr>
          <w:t>World Bank, 2009c</w:t>
        </w:r>
      </w:hyperlink>
      <w:r w:rsidR="00AD2051">
        <w:rPr>
          <w:noProof/>
        </w:rPr>
        <w:t>)</w:t>
      </w:r>
      <w:r w:rsidR="00E12159">
        <w:fldChar w:fldCharType="end"/>
      </w:r>
      <w:r w:rsidR="00513E4D">
        <w:t xml:space="preserve">. </w:t>
      </w:r>
      <w:r w:rsidR="00EB6BD4">
        <w:t xml:space="preserve">Possible reasons that contribute to pushing women into the labor market </w:t>
      </w:r>
      <w:r w:rsidR="00E74FFE">
        <w:t>could include</w:t>
      </w:r>
      <w:r w:rsidR="00EB6BD4">
        <w:t xml:space="preserve"> insufficient income of men to adequately feed their families, or loss of male breadwinners during </w:t>
      </w:r>
      <w:r w:rsidR="007A48CD">
        <w:t xml:space="preserve">the civil war. If this is the case, informal sector employment is frequently the most </w:t>
      </w:r>
      <w:r w:rsidR="003C22D8">
        <w:t xml:space="preserve">readily </w:t>
      </w:r>
      <w:r w:rsidR="007A48CD">
        <w:t>available option in</w:t>
      </w:r>
      <w:r w:rsidR="00E74FFE">
        <w:t xml:space="preserve"> </w:t>
      </w:r>
      <w:r w:rsidR="007A48CD">
        <w:t>light of lower educational levels of women in combination with stark competition in the labor market</w:t>
      </w:r>
      <w:r w:rsidR="00D40723">
        <w:t xml:space="preserve"> </w:t>
      </w:r>
      <w:r w:rsidR="00E12159">
        <w:fldChar w:fldCharType="begin"/>
      </w:r>
      <w:r w:rsidR="005C5EAA">
        <w:instrText xml:space="preserve"> </w:instrText>
      </w:r>
      <w:r w:rsidR="009F7A22">
        <w:instrText>ADDIN</w:instrText>
      </w:r>
      <w:r w:rsidR="005C5EAA">
        <w:instrText xml:space="preserve"> EN.CITE &lt;EndNote&gt;&lt;Cite&gt;&lt;Author&gt;Maltseva&lt;/Author&gt;&lt;Year&gt;2007&lt;/Year&gt;&lt;RecNum&gt;41&lt;/RecNum&gt;&lt;DisplayText&gt;(Maltseva, 2007)&lt;/DisplayText&gt;&lt;record&gt;&lt;rec-number&gt;41&lt;/rec-number&gt;&lt;foreign-keys&gt;&lt;key app="EN" db-id="wes5dreptvrsr2eeartvxexxftt2tastxrfs"&gt;41&lt;/key&gt;&lt;/foreign-keys&gt;&lt;ref-type name="Book"&gt;6&lt;/ref-type&gt;&lt;contributors&gt;&lt;authors&gt;&lt;author&gt;Irina Maltseva&lt;/author&gt;&lt;/authors&gt;&lt;/contributors&gt;&lt;titles&gt;&lt;title&gt;Gender equality in the sphere of employment&lt;/title&gt;&lt;/titles&gt;&lt;dates&gt;&lt;year&gt;2007&lt;/year&gt;&lt;/dates&gt;&lt;pub-location&gt;Dushanbe&lt;/pub-location&gt;&lt;publisher&gt;United Nations Development Fund for Women&lt;/publisher&gt;&lt;urls&gt;&lt;/urls&gt;&lt;/record&gt;&lt;/Cite&gt;&lt;/EndNote&gt;</w:instrText>
      </w:r>
      <w:r w:rsidR="00E12159">
        <w:fldChar w:fldCharType="separate"/>
      </w:r>
      <w:r w:rsidR="00D40723">
        <w:rPr>
          <w:noProof/>
        </w:rPr>
        <w:t>(</w:t>
      </w:r>
      <w:hyperlink w:anchor="_ENREF_33" w:tooltip="Maltseva, 2007 #41" w:history="1">
        <w:r w:rsidR="006A1532">
          <w:rPr>
            <w:noProof/>
          </w:rPr>
          <w:t>Maltseva, 2007</w:t>
        </w:r>
      </w:hyperlink>
      <w:r w:rsidR="00D40723">
        <w:rPr>
          <w:noProof/>
        </w:rPr>
        <w:t>)</w:t>
      </w:r>
      <w:r w:rsidR="00E12159">
        <w:fldChar w:fldCharType="end"/>
      </w:r>
      <w:r w:rsidR="00D40723">
        <w:t>.</w:t>
      </w:r>
    </w:p>
    <w:p w14:paraId="56E5C761" w14:textId="499F8983" w:rsidR="002F0B02" w:rsidRPr="00991993" w:rsidRDefault="002F0B02" w:rsidP="00450916">
      <w:pPr>
        <w:pStyle w:val="MainParawithChapter"/>
        <w:ind w:left="0" w:firstLine="0"/>
        <w:jc w:val="both"/>
        <w:outlineLvl w:val="9"/>
      </w:pPr>
      <w:r w:rsidRPr="00513E4D">
        <w:rPr>
          <w:b/>
        </w:rPr>
        <w:t xml:space="preserve">Informal </w:t>
      </w:r>
      <w:r w:rsidRPr="00450916">
        <w:rPr>
          <w:b/>
          <w:bCs/>
          <w:color w:val="000000" w:themeColor="text1"/>
        </w:rPr>
        <w:t>sector</w:t>
      </w:r>
      <w:r w:rsidRPr="00513E4D">
        <w:rPr>
          <w:b/>
        </w:rPr>
        <w:t xml:space="preserve"> emp</w:t>
      </w:r>
      <w:r w:rsidR="00851B9D">
        <w:rPr>
          <w:b/>
        </w:rPr>
        <w:t>loyment is precarious in many</w:t>
      </w:r>
      <w:r w:rsidRPr="00513E4D">
        <w:rPr>
          <w:b/>
        </w:rPr>
        <w:t xml:space="preserve"> ways.</w:t>
      </w:r>
      <w:r>
        <w:t xml:space="preserve"> </w:t>
      </w:r>
      <w:r w:rsidRPr="00991993">
        <w:t>Informal employment implies that working c</w:t>
      </w:r>
      <w:r w:rsidR="009C3F16">
        <w:t>onditions are insecure and not subject to working regulations</w:t>
      </w:r>
      <w:r w:rsidR="00D4740D">
        <w:t xml:space="preserve">, so that labor violations </w:t>
      </w:r>
      <w:r w:rsidR="00603D3F">
        <w:t>occur more frequently. In addition, s</w:t>
      </w:r>
      <w:r w:rsidRPr="00991993">
        <w:t xml:space="preserve">alary levels tend </w:t>
      </w:r>
      <w:r w:rsidRPr="00991993">
        <w:lastRenderedPageBreak/>
        <w:t>to be lower</w:t>
      </w:r>
      <w:r w:rsidR="00472619">
        <w:t xml:space="preserve"> than in the formal sector. Obviously, n</w:t>
      </w:r>
      <w:r w:rsidR="009C3F16">
        <w:t>o social security coverage is provided and therefore leads to, among other</w:t>
      </w:r>
      <w:r w:rsidR="00D4740D">
        <w:t xml:space="preserve"> things, absence of any accrued</w:t>
      </w:r>
      <w:r w:rsidR="009C3F16">
        <w:t xml:space="preserve"> pension rights</w:t>
      </w:r>
      <w:r w:rsidR="007A48CD">
        <w:t>, thereby increasing the risk of poverty in old age and dependence on other household members</w:t>
      </w:r>
      <w:r w:rsidR="009C3F16">
        <w:t xml:space="preserve">. Moreover, </w:t>
      </w:r>
      <w:r w:rsidRPr="00991993">
        <w:t xml:space="preserve">opportunities to </w:t>
      </w:r>
      <w:r w:rsidR="009C3F16">
        <w:t>further develop skills</w:t>
      </w:r>
      <w:r w:rsidR="00485620">
        <w:t xml:space="preserve"> and to invest in </w:t>
      </w:r>
      <w:r w:rsidR="001022FA">
        <w:t>human capital</w:t>
      </w:r>
      <w:r w:rsidR="009C3F16">
        <w:t xml:space="preserve"> are extremely</w:t>
      </w:r>
      <w:r w:rsidRPr="00991993">
        <w:t xml:space="preserve"> limited </w:t>
      </w:r>
      <w:r w:rsidR="00E12159">
        <w:fldChar w:fldCharType="begin"/>
      </w:r>
      <w:r w:rsidR="005C5EAA">
        <w:instrText xml:space="preserve"> </w:instrText>
      </w:r>
      <w:r w:rsidR="009F7A22">
        <w:instrText>ADDIN</w:instrText>
      </w:r>
      <w:r w:rsidR="005C5EAA">
        <w:instrText xml:space="preserve"> EN.CITE &lt;EndNote&gt;&lt;Cite&gt;&lt;Author&gt;Maltseva&lt;/Author&gt;&lt;Year&gt;2007&lt;/Year&gt;&lt;RecNum&gt;41&lt;/RecNum&gt;&lt;DisplayText&gt;(Maltseva, 2007; Olimov, 2007)&lt;/DisplayText&gt;&lt;record&gt;&lt;rec-number&gt;41&lt;/rec-number&gt;&lt;foreign-keys&gt;&lt;key app="EN" db-id="wes5dreptvrsr2eeartvxexxftt2tastxrfs"&gt;41&lt;/key&gt;&lt;/foreign-keys&gt;&lt;ref-type name="Book"&gt;6&lt;/ref-type&gt;&lt;contributors&gt;&lt;authors&gt;&lt;author&gt;Irina Maltseva&lt;/author&gt;&lt;/authors&gt;&lt;/contributors&gt;&lt;titles&gt;&lt;title&gt;Gender equality in the sphere of employment&lt;/title&gt;&lt;/titles&gt;&lt;dates&gt;&lt;year&gt;2007&lt;/year&gt;&lt;/dates&gt;&lt;pub-location&gt;Dushanbe&lt;/pub-location&gt;&lt;publisher&gt;United Nations Development Fund for Women&lt;/publisher&gt;&lt;urls&gt;&lt;/urls&gt;&lt;/record&gt;&lt;/Cite&gt;&lt;Cite&gt;&lt;Author&gt;Olimov&lt;/Author&gt;&lt;Year&gt;2007&lt;/Year&gt;&lt;RecNum&gt;40&lt;/RecNum&gt;&lt;record&gt;&lt;rec-number&gt;40&lt;/rec-number&gt;&lt;foreign-keys&gt;&lt;key app="EN" db-id="wes5dreptvrsr2eeartvxexxftt2tastxrfs"&gt;40&lt;/key&gt;&lt;/foreign-keys&gt;&lt;ref-type name="Book"&gt;6&lt;/ref-type&gt;&lt;contributors&gt;&lt;authors&gt;&lt;author&gt;Jafar Olimov&lt;/author&gt;&lt;/authors&gt;&lt;/contributors&gt;&lt;titles&gt;&lt;title&gt;Informal economy in Tajikistan&lt;/title&gt;&lt;/titles&gt;&lt;dates&gt;&lt;year&gt;2007&lt;/year&gt;&lt;/dates&gt;&lt;pub-location&gt;Dushanbe&lt;/pub-location&gt;&lt;publisher&gt;United Nations Development Programme&lt;/publisher&gt;&lt;urls&gt;&lt;/urls&gt;&lt;/record&gt;&lt;/Cite&gt;&lt;/EndNote&gt;</w:instrText>
      </w:r>
      <w:r w:rsidR="00E12159">
        <w:fldChar w:fldCharType="separate"/>
      </w:r>
      <w:r>
        <w:rPr>
          <w:noProof/>
        </w:rPr>
        <w:t>(</w:t>
      </w:r>
      <w:hyperlink w:anchor="_ENREF_33" w:tooltip="Maltseva, 2007 #41" w:history="1">
        <w:r w:rsidR="006A1532">
          <w:rPr>
            <w:noProof/>
          </w:rPr>
          <w:t>Maltseva, 2007</w:t>
        </w:r>
      </w:hyperlink>
      <w:r>
        <w:rPr>
          <w:noProof/>
        </w:rPr>
        <w:t xml:space="preserve">; </w:t>
      </w:r>
      <w:hyperlink w:anchor="_ENREF_39" w:tooltip="Olimov, 2007 #40" w:history="1">
        <w:r w:rsidR="006A1532">
          <w:rPr>
            <w:noProof/>
          </w:rPr>
          <w:t>Olimov, 2007</w:t>
        </w:r>
      </w:hyperlink>
      <w:r>
        <w:rPr>
          <w:noProof/>
        </w:rPr>
        <w:t>)</w:t>
      </w:r>
      <w:r w:rsidR="00E12159">
        <w:fldChar w:fldCharType="end"/>
      </w:r>
      <w:r>
        <w:t>.</w:t>
      </w:r>
      <w:r w:rsidR="00356648">
        <w:t xml:space="preserve"> S</w:t>
      </w:r>
      <w:r w:rsidR="0058740F">
        <w:t>ince</w:t>
      </w:r>
      <w:r w:rsidR="007A48CD">
        <w:t xml:space="preserve"> reportedly</w:t>
      </w:r>
      <w:r w:rsidR="0058740F">
        <w:t xml:space="preserve"> more women than men are informally employed, these negative side effects affect women disproportionately and add to women’s economic dependence and insecurity.</w:t>
      </w:r>
    </w:p>
    <w:p w14:paraId="481EC142" w14:textId="51D6EC0E" w:rsidR="00027F5A" w:rsidRDefault="0050332E" w:rsidP="00FC4B48">
      <w:pPr>
        <w:pStyle w:val="MainParawithChapter"/>
        <w:ind w:left="0" w:firstLine="0"/>
        <w:jc w:val="both"/>
        <w:outlineLvl w:val="9"/>
        <w:rPr>
          <w:b/>
        </w:rPr>
      </w:pPr>
      <w:r w:rsidRPr="00054C3E">
        <w:rPr>
          <w:b/>
        </w:rPr>
        <w:t>The difficult state of Tajikistan’s economy has resulted in large, though difficult to quant</w:t>
      </w:r>
      <w:r w:rsidR="00054C3E" w:rsidRPr="00054C3E">
        <w:rPr>
          <w:b/>
        </w:rPr>
        <w:t>ify</w:t>
      </w:r>
      <w:r w:rsidR="00266159">
        <w:rPr>
          <w:b/>
        </w:rPr>
        <w:t>,</w:t>
      </w:r>
      <w:r w:rsidR="00054C3E" w:rsidRPr="00054C3E">
        <w:rPr>
          <w:b/>
        </w:rPr>
        <w:t xml:space="preserve"> streams of </w:t>
      </w:r>
      <w:r w:rsidR="00054C3E">
        <w:rPr>
          <w:b/>
        </w:rPr>
        <w:t xml:space="preserve">external </w:t>
      </w:r>
      <w:r w:rsidR="00054C3E" w:rsidRPr="00054C3E">
        <w:rPr>
          <w:b/>
        </w:rPr>
        <w:t>labor migration</w:t>
      </w:r>
      <w:r w:rsidR="000D2065">
        <w:rPr>
          <w:b/>
        </w:rPr>
        <w:t xml:space="preserve">, with remittances </w:t>
      </w:r>
      <w:r w:rsidR="000B2BD3">
        <w:rPr>
          <w:b/>
        </w:rPr>
        <w:t>constituting</w:t>
      </w:r>
      <w:r w:rsidR="007A48CD">
        <w:rPr>
          <w:b/>
        </w:rPr>
        <w:t xml:space="preserve"> a substantial share of</w:t>
      </w:r>
      <w:r w:rsidR="000D2065">
        <w:rPr>
          <w:b/>
        </w:rPr>
        <w:t xml:space="preserve"> GDP</w:t>
      </w:r>
      <w:r w:rsidR="00054C3E" w:rsidRPr="00054C3E">
        <w:rPr>
          <w:b/>
        </w:rPr>
        <w:t xml:space="preserve">. </w:t>
      </w:r>
      <w:r w:rsidR="00054C3E">
        <w:t>Estimates of external labor m</w:t>
      </w:r>
      <w:r w:rsidR="00266159">
        <w:t xml:space="preserve">igration range </w:t>
      </w:r>
      <w:r w:rsidR="00CE4AF6">
        <w:t xml:space="preserve">from 0.5 to </w:t>
      </w:r>
      <w:r w:rsidR="00054C3E">
        <w:t xml:space="preserve">1 million emigrants, depending on the </w:t>
      </w:r>
      <w:r w:rsidR="000D2065">
        <w:t xml:space="preserve">data </w:t>
      </w:r>
      <w:r w:rsidR="00054C3E">
        <w:t xml:space="preserve">source. </w:t>
      </w:r>
      <w:r w:rsidR="0023388E">
        <w:t xml:space="preserve">Economic reasons that motivate workers to </w:t>
      </w:r>
      <w:r w:rsidR="00266159">
        <w:t>look for jobs abroad include an</w:t>
      </w:r>
      <w:r w:rsidR="0023388E">
        <w:t xml:space="preserve"> insufficient number of jobs provided by the Tajik labor market, comparably low earning potential, limited possibilities for the development of necessary skills, as well as an overall weak business environment </w:t>
      </w:r>
      <w:r w:rsidR="00E12159">
        <w:fldChar w:fldCharType="begin"/>
      </w:r>
      <w:r w:rsidR="005C5EAA">
        <w:instrText xml:space="preserve"> </w:instrText>
      </w:r>
      <w:r w:rsidR="009F7A22">
        <w:instrText>ADDIN</w:instrText>
      </w:r>
      <w:r w:rsidR="005C5EAA">
        <w:instrText xml:space="preserve"> EN.CITE &lt;EndNote&gt;&lt;Cite&gt;&lt;Author&gt;UNDP&lt;/Author&gt;&lt;Year&gt;2011&lt;/Year&gt;&lt;RecNum&gt;36&lt;/RecNum&gt;&lt;DisplayText&gt;(UNDP, 2011)&lt;/DisplayText&gt;&lt;record&gt;&lt;rec-number&gt;36&lt;/rec-number&gt;&lt;foreign-keys&gt;&lt;key app="EN" db-id="wes5dreptvrsr2eeartvxexxftt2tastxrfs"&gt;36&lt;/key&gt;&lt;/foreign-keys&gt;&lt;ref-type name="Book"&gt;6&lt;/ref-type&gt;&lt;contributors&gt;&lt;authors&gt;&lt;author&gt;UNDP&lt;/author&gt;&lt;/authors&gt;&lt;/contributors&gt;&lt;titles&gt;&lt;title&gt;Regional Human Development Report: Beyond Transition: Towards Inclusive Societies&lt;/title&gt;&lt;/titles&gt;&lt;dates&gt;&lt;year&gt;2011&lt;/year&gt;&lt;/dates&gt;&lt;pub-location&gt;Bratislava&lt;/pub-location&gt;&lt;publisher&gt;United Nations Development Programme, Regional Bureau for Europe and CIS&lt;/publisher&gt;&lt;urls&gt;&lt;/urls&gt;&lt;/record&gt;&lt;/Cite&gt;&lt;/EndNote&gt;</w:instrText>
      </w:r>
      <w:r w:rsidR="00E12159">
        <w:fldChar w:fldCharType="separate"/>
      </w:r>
      <w:r w:rsidR="0023388E">
        <w:rPr>
          <w:noProof/>
        </w:rPr>
        <w:t>(</w:t>
      </w:r>
      <w:hyperlink w:anchor="_ENREF_57" w:tooltip="UNDP, 2011 #36" w:history="1">
        <w:r w:rsidR="006A1532">
          <w:rPr>
            <w:noProof/>
          </w:rPr>
          <w:t>UNDP, 2011</w:t>
        </w:r>
      </w:hyperlink>
      <w:r w:rsidR="0023388E">
        <w:rPr>
          <w:noProof/>
        </w:rPr>
        <w:t>)</w:t>
      </w:r>
      <w:r w:rsidR="00E12159">
        <w:fldChar w:fldCharType="end"/>
      </w:r>
      <w:r w:rsidR="00914D88">
        <w:t xml:space="preserve">. </w:t>
      </w:r>
      <w:r w:rsidR="00FD6F2D">
        <w:t xml:space="preserve">Tajikistan’s economy heavily depends on </w:t>
      </w:r>
      <w:r w:rsidR="00F52B81">
        <w:t xml:space="preserve">net </w:t>
      </w:r>
      <w:r w:rsidR="00FD6F2D">
        <w:t>remittance</w:t>
      </w:r>
      <w:r w:rsidR="00F52B81">
        <w:t xml:space="preserve"> inflow</w:t>
      </w:r>
      <w:r w:rsidR="00FD6F2D">
        <w:t xml:space="preserve">s that contribute approximately 40 percent to GDP, </w:t>
      </w:r>
      <w:r w:rsidR="00235D2A">
        <w:t>so that drops in remittances wer</w:t>
      </w:r>
      <w:r w:rsidR="006F1075">
        <w:t>e the main transmission channel</w:t>
      </w:r>
      <w:r w:rsidR="00235D2A">
        <w:t xml:space="preserve"> through which the global financial and economic crisis </w:t>
      </w:r>
      <w:r w:rsidR="00C51BB4">
        <w:t xml:space="preserve">adversely </w:t>
      </w:r>
      <w:r w:rsidR="00266159">
        <w:t>affected</w:t>
      </w:r>
      <w:r w:rsidR="00C51BB4">
        <w:t xml:space="preserve"> Tajikistan</w:t>
      </w:r>
      <w:r w:rsidR="00D857B8">
        <w:t xml:space="preserve"> </w:t>
      </w:r>
      <w:r w:rsidR="00E12159">
        <w:fldChar w:fldCharType="begin"/>
      </w:r>
      <w:r w:rsidR="004459DC">
        <w:instrText xml:space="preserve"> ADDIN EN.CITE &lt;EndNote&gt;&lt;Cite&gt;&lt;Author&gt;World Bank&lt;/Author&gt;&lt;Year&gt;2012&lt;/Year&gt;&lt;RecNum&gt;47&lt;/RecNum&gt;&lt;DisplayText&gt;(World Bank, 2012b)&lt;/DisplayText&gt;&lt;record&gt;&lt;rec-number&gt;47&lt;/rec-number&gt;&lt;foreign-keys&gt;&lt;key app="EN" db-id="wes5dreptvrsr2eeartvxexxftt2tastxrfs"&gt;47&lt;/key&gt;&lt;/foreign-keys&gt;&lt;ref-type name="Journal Article"&gt;17&lt;/ref-type&gt;&lt;contributors&gt;&lt;authors&gt;&lt;author&gt;World Bank&lt;/author&gt;&lt;/authors&gt;&lt;/contributors&gt;&lt;titles&gt;&lt;title&gt;Tajikistan: Sustaining Post-Crisis Recovery, Investment, and Growth&lt;/title&gt;&lt;secondary-title&gt;Tajikistan Economic Report&lt;/secondary-title&gt;&lt;/titles&gt;&lt;periodical&gt;&lt;full-title&gt;Tajikistan Economic Report&lt;/full-title&gt;&lt;/periodical&gt;&lt;volume&gt;Number 1&lt;/volume&gt;&lt;dates&gt;&lt;year&gt;2012&lt;/year&gt;&lt;/dates&gt;&lt;urls&gt;&lt;/urls&gt;&lt;/record&gt;&lt;/Cite&gt;&lt;/EndNote&gt;</w:instrText>
      </w:r>
      <w:r w:rsidR="00E12159">
        <w:fldChar w:fldCharType="separate"/>
      </w:r>
      <w:r w:rsidR="004459DC">
        <w:rPr>
          <w:noProof/>
        </w:rPr>
        <w:t>(</w:t>
      </w:r>
      <w:hyperlink w:anchor="_ENREF_83" w:tooltip="World Bank, 2012 #47" w:history="1">
        <w:r w:rsidR="006A1532">
          <w:rPr>
            <w:noProof/>
          </w:rPr>
          <w:t>World Bank, 2012b</w:t>
        </w:r>
      </w:hyperlink>
      <w:r w:rsidR="004459DC">
        <w:rPr>
          <w:noProof/>
        </w:rPr>
        <w:t>)</w:t>
      </w:r>
      <w:r w:rsidR="00E12159">
        <w:fldChar w:fldCharType="end"/>
      </w:r>
      <w:r w:rsidR="00C51BB4">
        <w:t>.</w:t>
      </w:r>
    </w:p>
    <w:p w14:paraId="5EE8E5D4" w14:textId="5EEFEA88" w:rsidR="0023388E" w:rsidRPr="00A26273" w:rsidRDefault="004D6BEC" w:rsidP="00450916">
      <w:pPr>
        <w:pStyle w:val="MainParawithChapter"/>
        <w:ind w:left="0" w:firstLine="0"/>
        <w:jc w:val="both"/>
        <w:outlineLvl w:val="9"/>
        <w:rPr>
          <w:b/>
        </w:rPr>
      </w:pPr>
      <w:r>
        <w:rPr>
          <w:b/>
        </w:rPr>
        <w:t>Despite</w:t>
      </w:r>
      <w:r w:rsidR="00C51BB4">
        <w:rPr>
          <w:b/>
        </w:rPr>
        <w:t xml:space="preserve"> the fact that external l</w:t>
      </w:r>
      <w:r w:rsidR="00054C3E">
        <w:rPr>
          <w:b/>
        </w:rPr>
        <w:t>abor m</w:t>
      </w:r>
      <w:r w:rsidR="00054C3E" w:rsidRPr="00851B9D">
        <w:rPr>
          <w:b/>
        </w:rPr>
        <w:t xml:space="preserve">igration is mainly a male phenomenon, </w:t>
      </w:r>
      <w:r>
        <w:rPr>
          <w:b/>
        </w:rPr>
        <w:t xml:space="preserve">it </w:t>
      </w:r>
      <w:r w:rsidR="00914D88">
        <w:rPr>
          <w:b/>
        </w:rPr>
        <w:t>affects the</w:t>
      </w:r>
      <w:r w:rsidR="00C51BB4">
        <w:rPr>
          <w:b/>
        </w:rPr>
        <w:t xml:space="preserve"> </w:t>
      </w:r>
      <w:r w:rsidR="00C51BB4" w:rsidRPr="00450916">
        <w:rPr>
          <w:b/>
          <w:bCs/>
          <w:color w:val="000000" w:themeColor="text1"/>
        </w:rPr>
        <w:t>economic</w:t>
      </w:r>
      <w:r w:rsidR="00C51BB4">
        <w:rPr>
          <w:b/>
        </w:rPr>
        <w:t xml:space="preserve"> and socia</w:t>
      </w:r>
      <w:r w:rsidR="006F1075">
        <w:rPr>
          <w:b/>
        </w:rPr>
        <w:t>l wellbeing</w:t>
      </w:r>
      <w:r w:rsidR="00914D88">
        <w:rPr>
          <w:b/>
        </w:rPr>
        <w:t xml:space="preserve"> of women and men alike</w:t>
      </w:r>
      <w:r w:rsidR="006F1075">
        <w:rPr>
          <w:b/>
        </w:rPr>
        <w:t>, though in differing</w:t>
      </w:r>
      <w:r w:rsidR="00C51BB4">
        <w:rPr>
          <w:b/>
        </w:rPr>
        <w:t xml:space="preserve"> ways.</w:t>
      </w:r>
      <w:r w:rsidR="00054C3E">
        <w:rPr>
          <w:b/>
        </w:rPr>
        <w:t xml:space="preserve"> </w:t>
      </w:r>
      <w:r w:rsidR="00DD5CED">
        <w:t>Approximately 95 percent of external lab</w:t>
      </w:r>
      <w:r w:rsidR="00031B4D">
        <w:t>or migrants are men, and an overwhelming</w:t>
      </w:r>
      <w:r w:rsidR="00786C00">
        <w:t xml:space="preserve"> majority leaves</w:t>
      </w:r>
      <w:r w:rsidR="00DD5CED">
        <w:t xml:space="preserve"> the country towards </w:t>
      </w:r>
      <w:r w:rsidR="00031B4D">
        <w:t>the Russian Federation</w:t>
      </w:r>
      <w:r w:rsidR="00DD5CED">
        <w:t xml:space="preserve">. Labor migration is particular </w:t>
      </w:r>
      <w:r w:rsidR="00031B4D">
        <w:t xml:space="preserve">prominent </w:t>
      </w:r>
      <w:r w:rsidR="00DD5CED">
        <w:t xml:space="preserve">among young and less educated males who work in jobs that require lower levels of skills, e.g. </w:t>
      </w:r>
      <w:r w:rsidR="00031B4D">
        <w:t xml:space="preserve">in </w:t>
      </w:r>
      <w:r w:rsidR="00DD5CED">
        <w:t>the construction sector</w:t>
      </w:r>
      <w:r w:rsidR="00031B4D">
        <w:t xml:space="preserve">. Of those who left the country to work abroad, </w:t>
      </w:r>
      <w:r w:rsidR="00D857B8">
        <w:t xml:space="preserve">approximately </w:t>
      </w:r>
      <w:r w:rsidR="00031B4D">
        <w:t xml:space="preserve">42 percent were previously </w:t>
      </w:r>
      <w:r w:rsidR="00D4740D">
        <w:t>unemployed</w:t>
      </w:r>
      <w:r w:rsidR="00031B4D">
        <w:t xml:space="preserve">, and </w:t>
      </w:r>
      <w:r w:rsidR="00D857B8">
        <w:t xml:space="preserve">one out of ten </w:t>
      </w:r>
      <w:r w:rsidR="00D4740D">
        <w:t xml:space="preserve">migrants </w:t>
      </w:r>
      <w:r w:rsidR="00D857B8">
        <w:t>was a student</w:t>
      </w:r>
      <w:r w:rsidR="00DD5CED">
        <w:t xml:space="preserve"> </w:t>
      </w:r>
      <w:r w:rsidR="00E12159">
        <w:fldChar w:fldCharType="begin"/>
      </w:r>
      <w:r w:rsidR="005C5EAA">
        <w:instrText xml:space="preserve"> </w:instrText>
      </w:r>
      <w:r w:rsidR="009F7A22">
        <w:instrText>ADDIN</w:instrText>
      </w:r>
      <w:r w:rsidR="005C5EAA">
        <w:instrText xml:space="preserve"> EN.CITE &lt;EndNote&gt;&lt;Cite&gt;&lt;Author&gt;ILO&lt;/Author&gt;&lt;Year&gt;2010&lt;/Year&gt;&lt;RecNum&gt;8&lt;/RecNum&gt;&lt;DisplayText&gt;(ILO, 2010)&lt;/DisplayText&gt;&lt;record&gt;&lt;rec-number&gt;8&lt;/rec-number&gt;&lt;foreign-keys&gt;&lt;key app="EN" db-id="wes5dreptvrsr2eeartvxexxftt2tastxrfs"&gt;8&lt;/key&gt;&lt;/foreign-keys&gt;&lt;ref-type name="Book"&gt;6&lt;/ref-type&gt;&lt;contributors&gt;&lt;authors&gt;&lt;author&gt;ILO&lt;/author&gt;&lt;/authors&gt;&lt;/contributors&gt;&lt;titles&gt;&lt;title&gt;Migrant Remittances to Tajikistan. The Potential for Savings, Economic Investment and Existing Financial Products to Attract Remittances&lt;/title&gt;&lt;/titles&gt;&lt;dates&gt;&lt;year&gt;2010&lt;/year&gt;&lt;/dates&gt;&lt;pub-location&gt;Moscow&lt;/pub-location&gt;&lt;publisher&gt;International Labour Organization&lt;/publisher&gt;&lt;urls&gt;&lt;/urls&gt;&lt;/record&gt;&lt;/Cite&gt;&lt;/EndNote&gt;</w:instrText>
      </w:r>
      <w:r w:rsidR="00E12159">
        <w:fldChar w:fldCharType="separate"/>
      </w:r>
      <w:r w:rsidR="00D857B8">
        <w:rPr>
          <w:noProof/>
        </w:rPr>
        <w:t>(</w:t>
      </w:r>
      <w:hyperlink w:anchor="_ENREF_28" w:tooltip="ILO, 2010 #8" w:history="1">
        <w:r w:rsidR="006A1532">
          <w:rPr>
            <w:noProof/>
          </w:rPr>
          <w:t>ILO, 2010</w:t>
        </w:r>
      </w:hyperlink>
      <w:r w:rsidR="00D857B8">
        <w:rPr>
          <w:noProof/>
        </w:rPr>
        <w:t>)</w:t>
      </w:r>
      <w:r w:rsidR="00E12159">
        <w:fldChar w:fldCharType="end"/>
      </w:r>
      <w:r w:rsidR="00031B4D">
        <w:t xml:space="preserve">. </w:t>
      </w:r>
      <w:r>
        <w:t xml:space="preserve">Remittances have </w:t>
      </w:r>
      <w:r w:rsidR="00B22122">
        <w:t xml:space="preserve">widely </w:t>
      </w:r>
      <w:r>
        <w:t xml:space="preserve">become </w:t>
      </w:r>
      <w:r w:rsidR="00D857B8">
        <w:t xml:space="preserve">an important source of income, and more so for poor </w:t>
      </w:r>
      <w:r w:rsidR="00914D88">
        <w:t>families.</w:t>
      </w:r>
      <w:r>
        <w:t xml:space="preserve"> S</w:t>
      </w:r>
      <w:r w:rsidR="00D857B8">
        <w:t xml:space="preserve">uccesses in poverty reduction in the last years are to </w:t>
      </w:r>
      <w:r w:rsidR="00786C00">
        <w:t xml:space="preserve">a </w:t>
      </w:r>
      <w:r w:rsidR="00D857B8">
        <w:t>large extent attributed to these inflows</w:t>
      </w:r>
      <w:r w:rsidR="00B22122">
        <w:t xml:space="preserve">, and households with at least one migrant are less at risk of being poor </w:t>
      </w:r>
      <w:r w:rsidR="00E12159">
        <w:fldChar w:fldCharType="begin"/>
      </w:r>
      <w:r w:rsidR="006A1532">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00E12159">
        <w:fldChar w:fldCharType="separate"/>
      </w:r>
      <w:r w:rsidR="00AD2051">
        <w:rPr>
          <w:noProof/>
        </w:rPr>
        <w:t>(</w:t>
      </w:r>
      <w:hyperlink w:anchor="_ENREF_77" w:tooltip="World Bank, 2009 #35" w:history="1">
        <w:r w:rsidR="006A1532">
          <w:rPr>
            <w:noProof/>
          </w:rPr>
          <w:t>World Bank, 2009c</w:t>
        </w:r>
      </w:hyperlink>
      <w:r w:rsidR="00AD2051">
        <w:rPr>
          <w:noProof/>
        </w:rPr>
        <w:t>)</w:t>
      </w:r>
      <w:r w:rsidR="00E12159">
        <w:fldChar w:fldCharType="end"/>
      </w:r>
      <w:r w:rsidR="00B22122">
        <w:t xml:space="preserve">. </w:t>
      </w:r>
      <w:r w:rsidR="009F14DA">
        <w:t>These positive effects, however, do not come for free, and migration impacts differently on the mainly male emigrants and the women and families who are left behind.</w:t>
      </w:r>
      <w:r w:rsidR="00EF544A">
        <w:t xml:space="preserve"> </w:t>
      </w:r>
    </w:p>
    <w:p w14:paraId="27C5E297" w14:textId="230FE180" w:rsidR="00A26273" w:rsidRDefault="007735E6" w:rsidP="00450916">
      <w:pPr>
        <w:pStyle w:val="MainParawithChapter"/>
        <w:ind w:left="0" w:firstLine="0"/>
        <w:jc w:val="both"/>
        <w:outlineLvl w:val="9"/>
        <w:rPr>
          <w:b/>
        </w:rPr>
      </w:pPr>
      <w:r>
        <w:rPr>
          <w:b/>
        </w:rPr>
        <w:t xml:space="preserve">Women are </w:t>
      </w:r>
      <w:r w:rsidRPr="00450916">
        <w:rPr>
          <w:b/>
          <w:bCs/>
          <w:color w:val="000000" w:themeColor="text1"/>
        </w:rPr>
        <w:t>frequently</w:t>
      </w:r>
      <w:r>
        <w:rPr>
          <w:b/>
        </w:rPr>
        <w:t xml:space="preserve"> not </w:t>
      </w:r>
      <w:r w:rsidR="00CF6D24">
        <w:rPr>
          <w:b/>
        </w:rPr>
        <w:t xml:space="preserve">the recipients of remittances sent by </w:t>
      </w:r>
      <w:r>
        <w:rPr>
          <w:b/>
        </w:rPr>
        <w:t>their husbands</w:t>
      </w:r>
      <w:r w:rsidR="00600051">
        <w:rPr>
          <w:b/>
        </w:rPr>
        <w:t xml:space="preserve"> and have </w:t>
      </w:r>
      <w:r w:rsidR="00765BE4">
        <w:rPr>
          <w:b/>
        </w:rPr>
        <w:t>to manage additional responsibilities and an intensified workload</w:t>
      </w:r>
      <w:r w:rsidR="00A26273">
        <w:rPr>
          <w:b/>
        </w:rPr>
        <w:t>.</w:t>
      </w:r>
      <w:r w:rsidR="00786C00">
        <w:rPr>
          <w:b/>
        </w:rPr>
        <w:t xml:space="preserve"> </w:t>
      </w:r>
      <w:r w:rsidR="00786C00">
        <w:t>In the absence of their husbands, women have to carry out additional tasks and contribute to a family’s income. At the same time,</w:t>
      </w:r>
      <w:r w:rsidR="00A26273">
        <w:rPr>
          <w:b/>
        </w:rPr>
        <w:t xml:space="preserve"> </w:t>
      </w:r>
      <w:r w:rsidR="00786C00">
        <w:rPr>
          <w:b/>
        </w:rPr>
        <w:t>i</w:t>
      </w:r>
      <w:r w:rsidR="00765BE4">
        <w:t>t has been reported that more often than not</w:t>
      </w:r>
      <w:r w:rsidR="00BB6E3D">
        <w:t>, it is not the wife who receives the remittances sent by m</w:t>
      </w:r>
      <w:r w:rsidR="00783504">
        <w:t>ale laborers, but their parents or</w:t>
      </w:r>
      <w:r w:rsidR="00BB6E3D">
        <w:t xml:space="preserve"> elderly r</w:t>
      </w:r>
      <w:r w:rsidR="00783504">
        <w:t>elatives</w:t>
      </w:r>
      <w:r w:rsidR="00F75C4B">
        <w:t xml:space="preserve"> </w:t>
      </w:r>
      <w:r w:rsidR="00E12159">
        <w:fldChar w:fldCharType="begin"/>
      </w:r>
      <w:r w:rsidR="000A6347">
        <w:instrText xml:space="preserve"> </w:instrText>
      </w:r>
      <w:r w:rsidR="009F7A22">
        <w:instrText>ADDIN</w:instrText>
      </w:r>
      <w:r w:rsidR="000A6347">
        <w:instrText xml:space="preserve"> EN.CITE &lt;EndNote&gt;&lt;Cite&gt;&lt;Author&gt;Maltseva&lt;/Author&gt;&lt;Year&gt;2007&lt;/Year&gt;&lt;RecNum&gt;41&lt;/RecNum&gt;&lt;DisplayText&gt;(Maltseva, 2007; OSCE, 2012; Somach &amp;amp; Rubin, 2010)&lt;/DisplayText&gt;&lt;record&gt;&lt;rec-number&gt;41&lt;/rec-number&gt;&lt;foreign-keys&gt;&lt;key app="EN" db-id="wes5dreptvrsr2eeartvxexxftt2tastxrfs"&gt;41&lt;/key&gt;&lt;/foreign-keys&gt;&lt;ref-type name="Book"&gt;6&lt;/ref-type&gt;&lt;contributors&gt;&lt;authors&gt;&lt;author&gt;Irina Maltseva&lt;/author&gt;&lt;/authors&gt;&lt;/contributors&gt;&lt;titles&gt;&lt;title&gt;Gender equality in the sphere of employment&lt;/title&gt;&lt;/titles&gt;&lt;dates&gt;&lt;year&gt;2007&lt;/year&gt;&lt;/dates&gt;&lt;pub-location&gt;Dushanbe&lt;/pub-location&gt;&lt;publisher&gt;United Nations Development Fund for Women&lt;/publisher&gt;&lt;urls&gt;&lt;/urls&gt;&lt;/record&gt;&lt;/Cite&gt;&lt;Cite&gt;&lt;Author&gt;Somach&lt;/Author&gt;&lt;Year&gt;2010&lt;/Year&gt;&lt;RecNum&gt;15&lt;/RecNum&gt;&lt;record&gt;&lt;rec-number&gt;15&lt;/rec-number&gt;&lt;foreign-keys&gt;&lt;key app="EN" db-id="wes5dreptvrsr2eeartvxexxftt2tastxrfs"&gt;15&lt;/key&gt;&lt;/foreign-keys&gt;&lt;ref-type name="Book"&gt;6&lt;/ref-type&gt;&lt;contributors&gt;&lt;authors&gt;&lt;author&gt;Susan Somach&lt;/author&gt;&lt;author&gt;Deborah Rubin&lt;/author&gt;&lt;/authors&gt;&lt;/contributors&gt;&lt;titles&gt;&lt;title&gt;Gender Assessment USAID/Central Asian Republic&lt;/title&gt;&lt;/titles&gt;&lt;dates&gt;&lt;year&gt;2010&lt;/year&gt;&lt;/dates&gt;&lt;publisher&gt;United States Agency for International Development Mission in the Central Asian Republics&lt;/publisher&gt;&lt;urls&gt;&lt;/urls&gt;&lt;/record&gt;&lt;/Cite&gt;&lt;Cite&gt;&lt;Author&gt;OSCE&lt;/Author&gt;&lt;Year&gt;2012&lt;/Year&gt;&lt;RecNum&gt;52&lt;/RecNum&gt;&lt;record&gt;&lt;rec-number&gt;52&lt;/rec-number&gt;&lt;foreign-keys&gt;&lt;key app="EN" db-id="wes5dreptvrsr2eeartvxexxftt2tastxrfs"&gt;52&lt;/key&gt;&lt;/foreign-keys&gt;&lt;ref-type name="Book"&gt;6&lt;/ref-type&gt;&lt;contributors&gt;&lt;authors&gt;&lt;author&gt;OSCE&lt;/author&gt;&lt;/authors&gt;&lt;/contributors&gt;&lt;titles&gt;&lt;title&gt;Social and Economic Inclusion of Women From Migrant Households in Tajikistan&lt;/title&gt;&lt;/titles&gt;&lt;dates&gt;&lt;year&gt;2012&lt;/year&gt;&lt;/dates&gt;&lt;pub-location&gt;Warsaw&lt;/pub-location&gt;&lt;publisher&gt;Office for Democratic Institutions and Human Rights&lt;/publisher&gt;&lt;urls&gt;&lt;/urls&gt;&lt;/record&gt;&lt;/Cite&gt;&lt;/EndNote&gt;</w:instrText>
      </w:r>
      <w:r w:rsidR="00E12159">
        <w:fldChar w:fldCharType="separate"/>
      </w:r>
      <w:r w:rsidR="000A6347">
        <w:rPr>
          <w:noProof/>
        </w:rPr>
        <w:t>(</w:t>
      </w:r>
      <w:hyperlink w:anchor="_ENREF_33" w:tooltip="Maltseva, 2007 #41" w:history="1">
        <w:r w:rsidR="006A1532">
          <w:rPr>
            <w:noProof/>
          </w:rPr>
          <w:t>Maltseva, 2007</w:t>
        </w:r>
      </w:hyperlink>
      <w:r w:rsidR="000A6347">
        <w:rPr>
          <w:noProof/>
        </w:rPr>
        <w:t xml:space="preserve">; </w:t>
      </w:r>
      <w:hyperlink w:anchor="_ENREF_40" w:tooltip="OSCE, 2012 #52" w:history="1">
        <w:r w:rsidR="006A1532">
          <w:rPr>
            <w:noProof/>
          </w:rPr>
          <w:t>OSCE, 2012</w:t>
        </w:r>
      </w:hyperlink>
      <w:r w:rsidR="000A6347">
        <w:rPr>
          <w:noProof/>
        </w:rPr>
        <w:t xml:space="preserve">; </w:t>
      </w:r>
      <w:hyperlink w:anchor="_ENREF_49" w:tooltip="Somach, 2010 #15" w:history="1">
        <w:r w:rsidR="006A1532">
          <w:rPr>
            <w:noProof/>
          </w:rPr>
          <w:t>Somach &amp; Rubin, 2010</w:t>
        </w:r>
      </w:hyperlink>
      <w:r w:rsidR="000A6347">
        <w:rPr>
          <w:noProof/>
        </w:rPr>
        <w:t>)</w:t>
      </w:r>
      <w:r w:rsidR="00E12159">
        <w:fldChar w:fldCharType="end"/>
      </w:r>
      <w:r w:rsidR="00BB6E3D">
        <w:t xml:space="preserve">. </w:t>
      </w:r>
      <w:r w:rsidR="00270DFE">
        <w:t>E</w:t>
      </w:r>
      <w:r w:rsidR="00336BA6">
        <w:t xml:space="preserve">ven in the absence of </w:t>
      </w:r>
      <w:r w:rsidR="00325D2B">
        <w:t xml:space="preserve">a </w:t>
      </w:r>
      <w:r w:rsidR="00336BA6">
        <w:t xml:space="preserve">male head of household, </w:t>
      </w:r>
      <w:r w:rsidR="00325D2B">
        <w:t>women</w:t>
      </w:r>
      <w:r w:rsidR="00D4740D">
        <w:t xml:space="preserve"> are </w:t>
      </w:r>
      <w:r w:rsidR="00765BE4">
        <w:t>constrained in their economic activity</w:t>
      </w:r>
      <w:r w:rsidR="009853CD">
        <w:t xml:space="preserve"> and decision-making power</w:t>
      </w:r>
      <w:r w:rsidR="00765BE4">
        <w:t xml:space="preserve"> by prevailing societal norms of gender roles</w:t>
      </w:r>
      <w:r w:rsidR="00336BA6">
        <w:t>, weakened cohesion in the family</w:t>
      </w:r>
      <w:r w:rsidR="00765BE4">
        <w:t xml:space="preserve"> and lower levels o</w:t>
      </w:r>
      <w:r w:rsidR="00A15286">
        <w:t>f education</w:t>
      </w:r>
      <w:r w:rsidR="00CF529B">
        <w:t>.</w:t>
      </w:r>
    </w:p>
    <w:p w14:paraId="6D9275E6" w14:textId="171226CF" w:rsidR="006342E8" w:rsidRPr="006342E8" w:rsidRDefault="00B8405D" w:rsidP="00450916">
      <w:pPr>
        <w:pStyle w:val="MainParawithChapter"/>
        <w:ind w:left="0" w:firstLine="0"/>
        <w:jc w:val="both"/>
        <w:outlineLvl w:val="9"/>
        <w:rPr>
          <w:b/>
        </w:rPr>
      </w:pPr>
      <w:r>
        <w:rPr>
          <w:b/>
        </w:rPr>
        <w:t xml:space="preserve">Rough estimates indicate that approximately one third of migrants’ wives have been </w:t>
      </w:r>
      <w:r w:rsidRPr="00450916">
        <w:rPr>
          <w:b/>
          <w:bCs/>
          <w:color w:val="000000" w:themeColor="text1"/>
        </w:rPr>
        <w:t>economically</w:t>
      </w:r>
      <w:r>
        <w:rPr>
          <w:b/>
        </w:rPr>
        <w:t xml:space="preserve"> abandoned by their husbands</w:t>
      </w:r>
      <w:r w:rsidR="0028263A">
        <w:rPr>
          <w:b/>
        </w:rPr>
        <w:t xml:space="preserve">, thereby leaving them </w:t>
      </w:r>
      <w:r w:rsidR="004D3C43">
        <w:rPr>
          <w:b/>
        </w:rPr>
        <w:t xml:space="preserve">in an economically and socially </w:t>
      </w:r>
      <w:r w:rsidR="0028263A">
        <w:rPr>
          <w:b/>
        </w:rPr>
        <w:t>precarious state</w:t>
      </w:r>
      <w:r>
        <w:rPr>
          <w:b/>
        </w:rPr>
        <w:t xml:space="preserve">. </w:t>
      </w:r>
      <w:r>
        <w:t xml:space="preserve">A 2009 IOM </w:t>
      </w:r>
      <w:r w:rsidR="007C54B7">
        <w:t xml:space="preserve">base line </w:t>
      </w:r>
      <w:r>
        <w:t xml:space="preserve">study </w:t>
      </w:r>
      <w:r w:rsidR="004D3C43">
        <w:t xml:space="preserve">roughly </w:t>
      </w:r>
      <w:r w:rsidR="004D75FA">
        <w:lastRenderedPageBreak/>
        <w:t>estimates that more t</w:t>
      </w:r>
      <w:r w:rsidR="002025AC">
        <w:t xml:space="preserve">han one third of labor migrants send only </w:t>
      </w:r>
      <w:r w:rsidR="004D75FA">
        <w:t>USD 500 or less per year to their families in Tajikistan, and considers those families as economically abandoned and</w:t>
      </w:r>
      <w:r w:rsidR="002025AC">
        <w:t xml:space="preserve"> living below or at the poverty </w:t>
      </w:r>
      <w:r w:rsidR="004D3C43">
        <w:t xml:space="preserve">line </w:t>
      </w:r>
      <w:r w:rsidR="00E12159">
        <w:fldChar w:fldCharType="begin"/>
      </w:r>
      <w:r w:rsidR="002025AC">
        <w:instrText xml:space="preserve"> </w:instrText>
      </w:r>
      <w:r w:rsidR="009F7A22">
        <w:instrText>ADDIN</w:instrText>
      </w:r>
      <w:r w:rsidR="002025AC">
        <w:instrText xml:space="preserve"> EN.CITE &lt;EndNote&gt;&lt;Cite&gt;&lt;Author&gt;IOM&lt;/Author&gt;&lt;Year&gt;2009&lt;/Year&gt;&lt;RecNum&gt;53&lt;/RecNum&gt;&lt;DisplayText&gt;(IOM, 2009)&lt;/DisplayText&gt;&lt;record&gt;&lt;rec-number&gt;53&lt;/rec-number&gt;&lt;foreign-keys&gt;&lt;key app="EN" db-id="wes5dreptvrsr2eeartvxexxftt2tastxrfs"&gt;53&lt;/key&gt;&lt;/foreign-keys&gt;&lt;ref-type name="Book"&gt;6&lt;/ref-type&gt;&lt;contributors&gt;&lt;authors&gt;&lt;author&gt;IOM&lt;/author&gt;&lt;/authors&gt;&lt;/contributors&gt;&lt;titles&gt;&lt;title&gt;Abandoned Wives of Tajik Labor Migrants. IOM Study on the socio-economic characteristics of abandoned wives of Tajik labor migrants and their survival capabilities&lt;/title&gt;&lt;/titles&gt;&lt;dates&gt;&lt;year&gt;2009&lt;/year&gt;&lt;/dates&gt;&lt;pub-location&gt;Dushanbe&lt;/pub-location&gt;&lt;publisher&gt;International Organization for Migration&lt;/publisher&gt;&lt;urls&gt;&lt;/urls&gt;&lt;/record&gt;&lt;/Cite&gt;&lt;/EndNote&gt;</w:instrText>
      </w:r>
      <w:r w:rsidR="00E12159">
        <w:fldChar w:fldCharType="separate"/>
      </w:r>
      <w:r w:rsidR="002025AC">
        <w:rPr>
          <w:noProof/>
        </w:rPr>
        <w:t>(</w:t>
      </w:r>
      <w:hyperlink w:anchor="_ENREF_29" w:tooltip="IOM, 2009 #53" w:history="1">
        <w:r w:rsidR="006A1532">
          <w:rPr>
            <w:noProof/>
          </w:rPr>
          <w:t>IOM, 2009</w:t>
        </w:r>
      </w:hyperlink>
      <w:r w:rsidR="002025AC">
        <w:rPr>
          <w:noProof/>
        </w:rPr>
        <w:t>)</w:t>
      </w:r>
      <w:r w:rsidR="00E12159">
        <w:fldChar w:fldCharType="end"/>
      </w:r>
      <w:r w:rsidR="002025AC">
        <w:t xml:space="preserve">. </w:t>
      </w:r>
      <w:r w:rsidR="00936987">
        <w:t xml:space="preserve">The socio-economic situation </w:t>
      </w:r>
      <w:r w:rsidR="006B0DC1">
        <w:t>of a</w:t>
      </w:r>
      <w:r w:rsidR="00FF5E98">
        <w:t>bandoned wives</w:t>
      </w:r>
      <w:r w:rsidR="00FF5E98">
        <w:rPr>
          <w:rStyle w:val="FootnoteReference"/>
        </w:rPr>
        <w:footnoteReference w:id="10"/>
      </w:r>
      <w:r w:rsidR="006B0DC1">
        <w:t xml:space="preserve"> </w:t>
      </w:r>
      <w:r w:rsidR="00936987">
        <w:t xml:space="preserve">is found to be precarious in terms of insufficient resources to satisfy basic needs, making them dependent on external assistance, and </w:t>
      </w:r>
      <w:r w:rsidR="008810B9">
        <w:t xml:space="preserve">in </w:t>
      </w:r>
      <w:r w:rsidR="00936987">
        <w:t xml:space="preserve">minor social status, also regarding the relationship towards the husband’s relatives. </w:t>
      </w:r>
      <w:r w:rsidR="008031B8">
        <w:t>A majority is economically inactive, and finding a job is impeded by low skill levels, limited access to loans, or domestic responsibilities such as household chores or childcare. A</w:t>
      </w:r>
      <w:r w:rsidR="00842C8F">
        <w:t xml:space="preserve">bandoned wives report </w:t>
      </w:r>
      <w:r w:rsidR="0028263A">
        <w:t>substantial emotional distress, and finally</w:t>
      </w:r>
      <w:r w:rsidR="00914D88">
        <w:t>,</w:t>
      </w:r>
      <w:r w:rsidR="00842C8F">
        <w:t xml:space="preserve"> many women apparently are not aware of state support structure</w:t>
      </w:r>
      <w:r w:rsidR="00914D88">
        <w:t>s</w:t>
      </w:r>
      <w:r w:rsidR="00842C8F">
        <w:t xml:space="preserve"> and</w:t>
      </w:r>
      <w:r w:rsidR="008810B9">
        <w:t xml:space="preserve"> are</w:t>
      </w:r>
      <w:r w:rsidR="00842C8F">
        <w:t xml:space="preserve"> not sufficiently inform</w:t>
      </w:r>
      <w:r w:rsidR="00914D88">
        <w:t>ed</w:t>
      </w:r>
      <w:r w:rsidR="00842C8F">
        <w:t xml:space="preserve"> to exercise</w:t>
      </w:r>
      <w:r w:rsidR="00914D88">
        <w:t xml:space="preserve"> their rights</w:t>
      </w:r>
      <w:r w:rsidR="0028263A">
        <w:t xml:space="preserve"> </w:t>
      </w:r>
      <w:r w:rsidR="00E12159">
        <w:fldChar w:fldCharType="begin"/>
      </w:r>
      <w:r w:rsidR="0028263A">
        <w:instrText xml:space="preserve"> </w:instrText>
      </w:r>
      <w:r w:rsidR="009F7A22">
        <w:instrText>ADDIN</w:instrText>
      </w:r>
      <w:r w:rsidR="0028263A">
        <w:instrText xml:space="preserve"> EN.CITE &lt;EndNote&gt;&lt;Cite&gt;&lt;Author&gt;IOM&lt;/Author&gt;&lt;Year&gt;2009&lt;/Year&gt;&lt;RecNum&gt;53&lt;/RecNum&gt;&lt;DisplayText&gt;(IOM, 2009; OSCE, 2012)&lt;/DisplayText&gt;&lt;record&gt;&lt;rec-number&gt;53&lt;/rec-number&gt;&lt;foreign-keys&gt;&lt;key app="EN" db-id="wes5dreptvrsr2eeartvxexxftt2tastxrfs"&gt;53&lt;/key&gt;&lt;/foreign-keys&gt;&lt;ref-type name="Book"&gt;6&lt;/ref-type&gt;&lt;contributors&gt;&lt;authors&gt;&lt;author&gt;IOM&lt;/author&gt;&lt;/authors&gt;&lt;/contributors&gt;&lt;titles&gt;&lt;title&gt;Abandoned Wives of Tajik Labor Migrants. IOM Study on the socio-economic characteristics of abandoned wives of Tajik labor migrants and their survival capabilities&lt;/title&gt;&lt;/titles&gt;&lt;dates&gt;&lt;year&gt;2009&lt;/year&gt;&lt;/dates&gt;&lt;pub-location&gt;Dushanbe&lt;/pub-location&gt;&lt;publisher&gt;International Organization for Migration&lt;/publisher&gt;&lt;urls&gt;&lt;/urls&gt;&lt;/record&gt;&lt;/Cite&gt;&lt;Cite&gt;&lt;Author&gt;OSCE&lt;/Author&gt;&lt;Year&gt;2012&lt;/Year&gt;&lt;RecNum&gt;52&lt;/RecNum&gt;&lt;record&gt;&lt;rec-number&gt;52&lt;/rec-number&gt;&lt;foreign-keys&gt;&lt;key app="EN" db-id="wes5dreptvrsr2eeartvxexxftt2tastxrfs"&gt;52&lt;/key&gt;&lt;/foreign-keys&gt;&lt;ref-type name="Book"&gt;6&lt;/ref-type&gt;&lt;contributors&gt;&lt;authors&gt;&lt;author&gt;OSCE&lt;/author&gt;&lt;/authors&gt;&lt;/contributors&gt;&lt;titles&gt;&lt;title&gt;Social and Economic Inclusion of Women From Migrant Households in Tajikistan&lt;/title&gt;&lt;/titles&gt;&lt;dates&gt;&lt;year&gt;2012&lt;/year&gt;&lt;/dates&gt;&lt;pub-location&gt;Warsaw&lt;/pub-location&gt;&lt;publisher&gt;Office for Democratic Institutions and Human Rights&lt;/publisher&gt;&lt;urls&gt;&lt;/urls&gt;&lt;/record&gt;&lt;/Cite&gt;&lt;/EndNote&gt;</w:instrText>
      </w:r>
      <w:r w:rsidR="00E12159">
        <w:fldChar w:fldCharType="separate"/>
      </w:r>
      <w:r w:rsidR="0028263A">
        <w:rPr>
          <w:noProof/>
        </w:rPr>
        <w:t>(</w:t>
      </w:r>
      <w:hyperlink w:anchor="_ENREF_29" w:tooltip="IOM, 2009 #53" w:history="1">
        <w:r w:rsidR="006A1532">
          <w:rPr>
            <w:noProof/>
          </w:rPr>
          <w:t>IOM, 2009</w:t>
        </w:r>
      </w:hyperlink>
      <w:r w:rsidR="0028263A">
        <w:rPr>
          <w:noProof/>
        </w:rPr>
        <w:t xml:space="preserve">; </w:t>
      </w:r>
      <w:hyperlink w:anchor="_ENREF_40" w:tooltip="OSCE, 2012 #52" w:history="1">
        <w:r w:rsidR="006A1532">
          <w:rPr>
            <w:noProof/>
          </w:rPr>
          <w:t>OSCE, 2012</w:t>
        </w:r>
      </w:hyperlink>
      <w:r w:rsidR="0028263A">
        <w:rPr>
          <w:noProof/>
        </w:rPr>
        <w:t>)</w:t>
      </w:r>
      <w:r w:rsidR="00E12159">
        <w:fldChar w:fldCharType="end"/>
      </w:r>
      <w:r w:rsidR="00842C8F">
        <w:t>.</w:t>
      </w:r>
      <w:r w:rsidR="004D3C43">
        <w:t xml:space="preserve"> In this context, officially not registered marriages, e.g. marriages concluded in a Muslim ceremony only, are particularly problematic as they leave women without any rights, making it easier for men to abandon their wives</w:t>
      </w:r>
      <w:r w:rsidR="00FB4131">
        <w:t xml:space="preserve"> without any support</w:t>
      </w:r>
      <w:r w:rsidR="004D3C43">
        <w:t xml:space="preserve"> </w:t>
      </w:r>
      <w:r w:rsidR="00E12159">
        <w:fldChar w:fldCharType="begin"/>
      </w:r>
      <w:r w:rsidR="00FB4131">
        <w:instrText xml:space="preserve"> </w:instrText>
      </w:r>
      <w:r w:rsidR="009F7A22">
        <w:instrText>ADDIN</w:instrText>
      </w:r>
      <w:r w:rsidR="00FB4131">
        <w:instrText xml:space="preserve"> EN.CITE &lt;EndNote&gt;&lt;Cite&gt;&lt;Author&gt;Giovarelli&lt;/Author&gt;&lt;Year&gt;2008&lt;/Year&gt;&lt;RecNum&gt;66&lt;/RecNum&gt;&lt;DisplayText&gt;(Giovarelli &amp;amp; Undeland, 2008)&lt;/DisplayText&gt;&lt;record&gt;&lt;rec-number&gt;66&lt;/rec-number&gt;&lt;foreign-keys&gt;&lt;key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Tajikistan&lt;/title&gt;&lt;/titles&gt;&lt;dates&gt;&lt;year&gt;2008&lt;/year&gt;&lt;/dates&gt;&lt;urls&gt;&lt;/urls&gt;&lt;/record&gt;&lt;/Cite&gt;&lt;/EndNote&gt;</w:instrText>
      </w:r>
      <w:r w:rsidR="00E12159">
        <w:fldChar w:fldCharType="separate"/>
      </w:r>
      <w:r w:rsidR="00FB4131">
        <w:rPr>
          <w:noProof/>
        </w:rPr>
        <w:t>(</w:t>
      </w:r>
      <w:hyperlink w:anchor="_ENREF_19" w:tooltip="Giovarelli, 2008 #66" w:history="1">
        <w:r w:rsidR="006A1532">
          <w:rPr>
            <w:noProof/>
          </w:rPr>
          <w:t>Giovarelli &amp; Undeland, 2008</w:t>
        </w:r>
      </w:hyperlink>
      <w:r w:rsidR="00FB4131">
        <w:rPr>
          <w:noProof/>
        </w:rPr>
        <w:t>)</w:t>
      </w:r>
      <w:r w:rsidR="00E12159">
        <w:fldChar w:fldCharType="end"/>
      </w:r>
      <w:r w:rsidR="00FB4131">
        <w:t>.</w:t>
      </w:r>
    </w:p>
    <w:p w14:paraId="26C1D77E" w14:textId="1E8101CD" w:rsidR="00E9519F" w:rsidRDefault="00FF5E98" w:rsidP="00450916">
      <w:pPr>
        <w:pStyle w:val="MainParawithChapter"/>
        <w:ind w:left="0" w:firstLine="0"/>
        <w:jc w:val="both"/>
        <w:outlineLvl w:val="9"/>
        <w:rPr>
          <w:b/>
        </w:rPr>
      </w:pPr>
      <w:r>
        <w:rPr>
          <w:b/>
        </w:rPr>
        <w:t xml:space="preserve">The wellbeing of labor migrants </w:t>
      </w:r>
      <w:r w:rsidR="00CF529B">
        <w:rPr>
          <w:b/>
        </w:rPr>
        <w:t>is adversely affected by</w:t>
      </w:r>
      <w:r>
        <w:rPr>
          <w:b/>
        </w:rPr>
        <w:t xml:space="preserve"> violations</w:t>
      </w:r>
      <w:r w:rsidR="00CF529B">
        <w:rPr>
          <w:b/>
        </w:rPr>
        <w:t xml:space="preserve"> of rights of migrants</w:t>
      </w:r>
      <w:r w:rsidR="00827EF8">
        <w:rPr>
          <w:b/>
        </w:rPr>
        <w:t>, deteriorated health status, and</w:t>
      </w:r>
      <w:r>
        <w:rPr>
          <w:b/>
        </w:rPr>
        <w:t xml:space="preserve"> higher r</w:t>
      </w:r>
      <w:r w:rsidR="00827EF8">
        <w:rPr>
          <w:b/>
        </w:rPr>
        <w:t>isk of communicable diseases</w:t>
      </w:r>
      <w:r>
        <w:rPr>
          <w:b/>
        </w:rPr>
        <w:t xml:space="preserve">. </w:t>
      </w:r>
      <w:r w:rsidR="00CF529B">
        <w:t>Since a</w:t>
      </w:r>
      <w:r>
        <w:t xml:space="preserve"> </w:t>
      </w:r>
      <w:r w:rsidR="00CF529B">
        <w:t xml:space="preserve">large </w:t>
      </w:r>
      <w:r>
        <w:t xml:space="preserve">majority of labor migrants are working abroad illegally, </w:t>
      </w:r>
      <w:r w:rsidR="00CF529B">
        <w:t>violations of rights are frequent and occur with regard to poor working conditions, insufficient safety measures, and no respect for basic rights</w:t>
      </w:r>
      <w:r w:rsidR="002A31D0">
        <w:t xml:space="preserve">. Migrants are willing to compromise their health in order to earn as much money as possible abroad, </w:t>
      </w:r>
      <w:r w:rsidR="006342D2">
        <w:t>evidenced by reported deaths and</w:t>
      </w:r>
      <w:r w:rsidR="002A31D0">
        <w:t xml:space="preserve"> working injuries</w:t>
      </w:r>
      <w:r w:rsidR="006342D2">
        <w:t xml:space="preserve"> among migrant workers </w:t>
      </w:r>
      <w:r w:rsidR="00E12159">
        <w:fldChar w:fldCharType="begin"/>
      </w:r>
      <w:r w:rsidR="00CF529B">
        <w:instrText xml:space="preserve"> </w:instrText>
      </w:r>
      <w:r w:rsidR="009F7A22">
        <w:instrText>ADDIN</w:instrText>
      </w:r>
      <w:r w:rsidR="00CF529B">
        <w:instrText xml:space="preserve"> EN.CITE &lt;EndNote&gt;&lt;Cite&gt;&lt;Author&gt;UNDP&lt;/Author&gt;&lt;Year&gt;2010&lt;/Year&gt;&lt;RecNum&gt;39&lt;/RecNum&gt;&lt;DisplayText&gt;(UNDP, 2010)&lt;/DisplayText&gt;&lt;record&gt;&lt;rec-number&gt;39&lt;/rec-number&gt;&lt;foreign-keys&gt;&lt;key app="EN" db-id="wes5dreptvrsr2eeartvxexxftt2tastxrfs"&gt;39&lt;/key&gt;&lt;/foreign-keys&gt;&lt;ref-type name="Book"&gt;6&lt;/ref-type&gt;&lt;contributors&gt;&lt;authors&gt;&lt;author&gt;UNDP&lt;/author&gt;&lt;/authors&gt;&lt;/contributors&gt;&lt;titles&gt;&lt;title&gt;National Human Development Report 2008-2009: Employment in the context of human development&lt;/title&gt;&lt;/titles&gt;&lt;dates&gt;&lt;year&gt;2010&lt;/year&gt;&lt;/dates&gt;&lt;pub-location&gt;Dushanbe&lt;/pub-location&gt;&lt;publisher&gt;United Nations Development Programme Tajikistan&lt;/publisher&gt;&lt;urls&gt;&lt;/urls&gt;&lt;/record&gt;&lt;/Cite&gt;&lt;/EndNote&gt;</w:instrText>
      </w:r>
      <w:r w:rsidR="00E12159">
        <w:fldChar w:fldCharType="separate"/>
      </w:r>
      <w:r w:rsidR="00CF529B">
        <w:rPr>
          <w:noProof/>
        </w:rPr>
        <w:t>(</w:t>
      </w:r>
      <w:hyperlink w:anchor="_ENREF_56" w:tooltip="UNDP, 2010 #39" w:history="1">
        <w:r w:rsidR="006A1532">
          <w:rPr>
            <w:noProof/>
          </w:rPr>
          <w:t>UNDP, 2010</w:t>
        </w:r>
      </w:hyperlink>
      <w:r w:rsidR="00CF529B">
        <w:rPr>
          <w:noProof/>
        </w:rPr>
        <w:t>)</w:t>
      </w:r>
      <w:r w:rsidR="00E12159">
        <w:fldChar w:fldCharType="end"/>
      </w:r>
      <w:r w:rsidR="002A31D0">
        <w:t xml:space="preserve">. </w:t>
      </w:r>
      <w:r w:rsidR="00D823C8">
        <w:t>Communicable diseases such as tuberculosis, but also sexually transmitted diseases including HIV/AIDS</w:t>
      </w:r>
      <w:r w:rsidR="00914D88">
        <w:t>,</w:t>
      </w:r>
      <w:r w:rsidR="00D823C8">
        <w:t xml:space="preserve"> spread due to inadequate living conditions, poor </w:t>
      </w:r>
      <w:r w:rsidR="006342D2">
        <w:t>sanitation</w:t>
      </w:r>
      <w:r w:rsidR="00D823C8">
        <w:t>, and</w:t>
      </w:r>
      <w:r w:rsidR="0097227A">
        <w:t xml:space="preserve"> </w:t>
      </w:r>
      <w:r w:rsidR="00D823C8">
        <w:t xml:space="preserve">unprotected intercourse with infected partners </w:t>
      </w:r>
      <w:r w:rsidR="00E12159">
        <w:fldChar w:fldCharType="begin"/>
      </w:r>
      <w:r w:rsidR="00D823C8">
        <w:instrText xml:space="preserve"> </w:instrText>
      </w:r>
      <w:r w:rsidR="009F7A22">
        <w:instrText>ADDIN</w:instrText>
      </w:r>
      <w:r w:rsidR="00D823C8">
        <w:instrText xml:space="preserve"> EN.CITE &lt;EndNote&gt;&lt;Cite&gt;&lt;Author&gt;Somach&lt;/Author&gt;&lt;Year&gt;2010&lt;/Year&gt;&lt;RecNum&gt;15&lt;/RecNum&gt;&lt;DisplayText&gt;(Somach &amp;amp; Rubin, 2010)&lt;/DisplayText&gt;&lt;record&gt;&lt;rec-number&gt;15&lt;/rec-number&gt;&lt;foreign-keys&gt;&lt;key app="EN" db-id="wes5dreptvrsr2eeartvxexxftt2tastxrfs"&gt;15&lt;/key&gt;&lt;/foreign-keys&gt;&lt;ref-type name="Book"&gt;6&lt;/ref-type&gt;&lt;contributors&gt;&lt;authors&gt;&lt;author&gt;Susan Somach&lt;/author&gt;&lt;author&gt;Deborah Rubin&lt;/author&gt;&lt;/authors&gt;&lt;/contributors&gt;&lt;titles&gt;&lt;title&gt;Gender Assessment USAID/Central Asian Republic&lt;/title&gt;&lt;/titles&gt;&lt;dates&gt;&lt;year&gt;2010&lt;/year&gt;&lt;/dates&gt;&lt;publisher&gt;United States Agency for International Development Mission in the Central Asian Republics&lt;/publisher&gt;&lt;urls&gt;&lt;/urls&gt;&lt;/record&gt;&lt;/Cite&gt;&lt;/EndNote&gt;</w:instrText>
      </w:r>
      <w:r w:rsidR="00E12159">
        <w:fldChar w:fldCharType="separate"/>
      </w:r>
      <w:r w:rsidR="00D823C8">
        <w:rPr>
          <w:noProof/>
        </w:rPr>
        <w:t>(</w:t>
      </w:r>
      <w:hyperlink w:anchor="_ENREF_49" w:tooltip="Somach, 2010 #15" w:history="1">
        <w:r w:rsidR="006A1532">
          <w:rPr>
            <w:noProof/>
          </w:rPr>
          <w:t>Somach &amp; Rubin, 2010</w:t>
        </w:r>
      </w:hyperlink>
      <w:r w:rsidR="00D823C8">
        <w:rPr>
          <w:noProof/>
        </w:rPr>
        <w:t>)</w:t>
      </w:r>
      <w:r w:rsidR="00E12159">
        <w:fldChar w:fldCharType="end"/>
      </w:r>
      <w:r w:rsidR="00D823C8">
        <w:t>.</w:t>
      </w:r>
    </w:p>
    <w:p w14:paraId="7574B5A4" w14:textId="77777777" w:rsidR="003356B8" w:rsidRDefault="003356B8">
      <w:pPr>
        <w:rPr>
          <w:b/>
        </w:rPr>
      </w:pPr>
      <w:bookmarkStart w:id="62" w:name="_Toc226957254"/>
      <w:r>
        <w:rPr>
          <w:bCs/>
          <w:caps/>
        </w:rPr>
        <w:br w:type="page"/>
      </w:r>
    </w:p>
    <w:p w14:paraId="19694F9D" w14:textId="77777777" w:rsidR="00113271" w:rsidRDefault="00BB433A" w:rsidP="00450916">
      <w:pPr>
        <w:pStyle w:val="Heading1"/>
      </w:pPr>
      <w:r>
        <w:lastRenderedPageBreak/>
        <w:t>Entrepreneurship</w:t>
      </w:r>
      <w:bookmarkEnd w:id="62"/>
    </w:p>
    <w:p w14:paraId="781FF766" w14:textId="12099313" w:rsidR="00113271" w:rsidRDefault="00A17CBD" w:rsidP="00450916">
      <w:pPr>
        <w:pStyle w:val="MainParawithChapter"/>
        <w:ind w:left="0" w:firstLine="0"/>
        <w:jc w:val="both"/>
        <w:outlineLvl w:val="9"/>
      </w:pPr>
      <w:r>
        <w:rPr>
          <w:b/>
        </w:rPr>
        <w:t>Stressing th</w:t>
      </w:r>
      <w:r w:rsidR="00B009A4">
        <w:rPr>
          <w:b/>
        </w:rPr>
        <w:t xml:space="preserve">e </w:t>
      </w:r>
      <w:r w:rsidR="00B009A4" w:rsidRPr="00416D69">
        <w:rPr>
          <w:b/>
        </w:rPr>
        <w:t>impo</w:t>
      </w:r>
      <w:r w:rsidR="00B009A4">
        <w:rPr>
          <w:b/>
        </w:rPr>
        <w:t>rtance of entrepreneurship</w:t>
      </w:r>
      <w:r w:rsidR="00B009A4">
        <w:rPr>
          <w:rStyle w:val="FootnoteReference"/>
          <w:b/>
        </w:rPr>
        <w:footnoteReference w:id="11"/>
      </w:r>
      <w:r w:rsidR="00B009A4">
        <w:rPr>
          <w:b/>
        </w:rPr>
        <w:t xml:space="preserve"> as an engine </w:t>
      </w:r>
      <w:r w:rsidR="00B009A4" w:rsidRPr="00416D69">
        <w:rPr>
          <w:b/>
        </w:rPr>
        <w:t xml:space="preserve">of economic </w:t>
      </w:r>
      <w:r w:rsidR="00B009A4">
        <w:rPr>
          <w:b/>
        </w:rPr>
        <w:t xml:space="preserve">growth </w:t>
      </w:r>
      <w:r w:rsidR="00B009A4" w:rsidRPr="00416D69">
        <w:rPr>
          <w:b/>
        </w:rPr>
        <w:t xml:space="preserve">and social </w:t>
      </w:r>
      <w:r w:rsidR="00B009A4" w:rsidRPr="00450916">
        <w:rPr>
          <w:b/>
          <w:bCs/>
          <w:color w:val="000000" w:themeColor="text1"/>
        </w:rPr>
        <w:t>development</w:t>
      </w:r>
      <w:r w:rsidR="00B009A4">
        <w:rPr>
          <w:b/>
        </w:rPr>
        <w:t xml:space="preserve"> has b</w:t>
      </w:r>
      <w:r w:rsidR="00455CBB">
        <w:rPr>
          <w:b/>
        </w:rPr>
        <w:t>e</w:t>
      </w:r>
      <w:r w:rsidR="00B009A4">
        <w:rPr>
          <w:b/>
        </w:rPr>
        <w:t xml:space="preserve">en a </w:t>
      </w:r>
      <w:r w:rsidR="0022747B" w:rsidRPr="00416D69">
        <w:rPr>
          <w:b/>
        </w:rPr>
        <w:t>major feature of</w:t>
      </w:r>
      <w:r w:rsidR="00FF0933" w:rsidRPr="00416D69">
        <w:rPr>
          <w:b/>
        </w:rPr>
        <w:t xml:space="preserve"> </w:t>
      </w:r>
      <w:r w:rsidR="0082556C">
        <w:rPr>
          <w:b/>
        </w:rPr>
        <w:t xml:space="preserve">the </w:t>
      </w:r>
      <w:r w:rsidR="00FF0933" w:rsidRPr="00416D69">
        <w:rPr>
          <w:b/>
        </w:rPr>
        <w:t xml:space="preserve">transition from a planned to a liberalized market economy </w:t>
      </w:r>
      <w:r w:rsidR="00B009A4">
        <w:rPr>
          <w:b/>
        </w:rPr>
        <w:t>in ECA countries.</w:t>
      </w:r>
      <w:r w:rsidR="00CB67F5">
        <w:rPr>
          <w:b/>
        </w:rPr>
        <w:t xml:space="preserve"> </w:t>
      </w:r>
      <w:r w:rsidR="00416D69">
        <w:t>After</w:t>
      </w:r>
      <w:r w:rsidR="003628C6">
        <w:t xml:space="preserve"> independence of</w:t>
      </w:r>
      <w:r w:rsidR="0022747B">
        <w:t xml:space="preserve"> the USSR, </w:t>
      </w:r>
      <w:r w:rsidR="006010E8">
        <w:t xml:space="preserve">the unviability of many state enterprises </w:t>
      </w:r>
      <w:r w:rsidR="000361E0">
        <w:t>became apparent</w:t>
      </w:r>
      <w:r w:rsidR="00455CBB">
        <w:t xml:space="preserve"> in</w:t>
      </w:r>
      <w:r w:rsidR="003628C6">
        <w:t xml:space="preserve"> </w:t>
      </w:r>
      <w:r w:rsidR="006010E8">
        <w:t xml:space="preserve">light of price liberalization, </w:t>
      </w:r>
      <w:r w:rsidR="00416D69">
        <w:t xml:space="preserve">new budget constraints </w:t>
      </w:r>
      <w:r w:rsidR="006010E8">
        <w:t xml:space="preserve">and the </w:t>
      </w:r>
      <w:r w:rsidR="003628C6">
        <w:t>abolition</w:t>
      </w:r>
      <w:r w:rsidR="006010E8">
        <w:t xml:space="preserve"> of </w:t>
      </w:r>
      <w:r w:rsidR="003628C6">
        <w:t xml:space="preserve">centralized </w:t>
      </w:r>
      <w:r w:rsidR="000361E0">
        <w:t>organizational a</w:t>
      </w:r>
      <w:r w:rsidR="00373769">
        <w:t xml:space="preserve">rrangements that had </w:t>
      </w:r>
      <w:r w:rsidR="003628C6">
        <w:t>previously</w:t>
      </w:r>
      <w:r w:rsidR="00373769">
        <w:t xml:space="preserve"> </w:t>
      </w:r>
      <w:r w:rsidR="000361E0">
        <w:t>guided production and trade. To fill the void,</w:t>
      </w:r>
      <w:r w:rsidR="000B51FA">
        <w:t xml:space="preserve"> two ch</w:t>
      </w:r>
      <w:r w:rsidR="003628C6">
        <w:t>allenges had to be tackled, that is,</w:t>
      </w:r>
      <w:r w:rsidR="000B51FA">
        <w:t xml:space="preserve"> the restructuring of existing enterprises according to the rules of a free market, and the encouragement of the creation of new businesses</w:t>
      </w:r>
      <w:r w:rsidR="00373769">
        <w:t xml:space="preserve"> in an environment that </w:t>
      </w:r>
      <w:r w:rsidR="003628C6">
        <w:t>is supposed to reward</w:t>
      </w:r>
      <w:r w:rsidR="00373769">
        <w:t xml:space="preserve"> production and innovation </w:t>
      </w:r>
      <w:r w:rsidR="00E12159">
        <w:fldChar w:fldCharType="begin"/>
      </w:r>
      <w:r w:rsidR="000B51FA">
        <w:instrText xml:space="preserve"> </w:instrText>
      </w:r>
      <w:r w:rsidR="009F7A22">
        <w:instrText>ADDIN</w:instrText>
      </w:r>
      <w:r w:rsidR="000B51FA">
        <w:instrText xml:space="preserve"> EN.CITE &lt;EndNote&gt;&lt;Cite&gt;&lt;Author&gt;World Bank&lt;/Author&gt;&lt;Year&gt;2002&lt;/Year&gt;&lt;RecNum&gt;48&lt;/RecNum&gt;&lt;DisplayText&gt;(World Bank, 2002)&lt;/DisplayText&gt;&lt;record&gt;&lt;rec-number&gt;48&lt;/rec-number&gt;&lt;foreign-keys&gt;&lt;key app="EN" db-id="wes5dreptvrsr2eeartvxexxftt2tastxrfs"&gt;48&lt;/key&gt;&lt;/foreign-keys&gt;&lt;ref-type name="Book"&gt;6&lt;/ref-type&gt;&lt;contributors&gt;&lt;authors&gt;&lt;author&gt;World Bank&lt;/author&gt;&lt;/authors&gt;&lt;/contributors&gt;&lt;titles&gt;&lt;title&gt;Transition: The First Ten Years: Analysis and Lessons for Eastern Europe and the Former Soviet Union&lt;/title&gt;&lt;/titles&gt;&lt;dates&gt;&lt;year&gt;2002&lt;/year&gt;&lt;/dates&gt;&lt;pub-location&gt;Washington, DC&lt;/pub-location&gt;&lt;publisher&gt;World Bank&lt;/publisher&gt;&lt;urls&gt;&lt;/urls&gt;&lt;/record&gt;&lt;/Cite&gt;&lt;/EndNote&gt;</w:instrText>
      </w:r>
      <w:r w:rsidR="00E12159">
        <w:fldChar w:fldCharType="separate"/>
      </w:r>
      <w:r w:rsidR="000B51FA">
        <w:rPr>
          <w:noProof/>
        </w:rPr>
        <w:t>(</w:t>
      </w:r>
      <w:hyperlink w:anchor="_ENREF_72" w:tooltip="World Bank, 2002 #48" w:history="1">
        <w:r w:rsidR="006A1532">
          <w:rPr>
            <w:noProof/>
          </w:rPr>
          <w:t>World Bank, 2002</w:t>
        </w:r>
      </w:hyperlink>
      <w:r w:rsidR="000B51FA">
        <w:rPr>
          <w:noProof/>
        </w:rPr>
        <w:t>)</w:t>
      </w:r>
      <w:r w:rsidR="00E12159">
        <w:fldChar w:fldCharType="end"/>
      </w:r>
      <w:r w:rsidR="00C45FDA">
        <w:t>.</w:t>
      </w:r>
      <w:r w:rsidR="000B51FA">
        <w:t xml:space="preserve"> </w:t>
      </w:r>
    </w:p>
    <w:p w14:paraId="7D62FB30" w14:textId="1C8AAC52" w:rsidR="00113271" w:rsidRPr="00E640FA" w:rsidRDefault="00373769" w:rsidP="00450916">
      <w:pPr>
        <w:pStyle w:val="MainParawithChapter"/>
        <w:ind w:left="0" w:firstLine="0"/>
        <w:jc w:val="both"/>
        <w:outlineLvl w:val="9"/>
      </w:pPr>
      <w:r w:rsidRPr="00B90D90">
        <w:rPr>
          <w:b/>
        </w:rPr>
        <w:t xml:space="preserve">Running a business in Tajikistan still faces severe constraints and women in entrepreneurship are the </w:t>
      </w:r>
      <w:r w:rsidRPr="00450916">
        <w:rPr>
          <w:b/>
          <w:bCs/>
          <w:color w:val="000000" w:themeColor="text1"/>
        </w:rPr>
        <w:t>exception</w:t>
      </w:r>
      <w:r w:rsidRPr="00B90D90">
        <w:rPr>
          <w:b/>
        </w:rPr>
        <w:t xml:space="preserve"> rather than </w:t>
      </w:r>
      <w:r w:rsidR="00B90D90" w:rsidRPr="00B90D90">
        <w:rPr>
          <w:b/>
        </w:rPr>
        <w:t>the rule.</w:t>
      </w:r>
      <w:r w:rsidR="00E640FA">
        <w:rPr>
          <w:b/>
        </w:rPr>
        <w:t xml:space="preserve"> </w:t>
      </w:r>
      <w:r w:rsidR="00E640FA">
        <w:t xml:space="preserve">Based on the Enterprise Surveys, the </w:t>
      </w:r>
      <w:r w:rsidR="00DF0655">
        <w:t xml:space="preserve">high </w:t>
      </w:r>
      <w:r w:rsidR="00E640FA">
        <w:t>prevalence of corruption and inadequate</w:t>
      </w:r>
      <w:r w:rsidR="00DF0655">
        <w:t xml:space="preserve"> infrastructure, e.g. in terms of power supply, hinder</w:t>
      </w:r>
      <w:r w:rsidR="00E640FA">
        <w:t xml:space="preserve"> </w:t>
      </w:r>
      <w:r w:rsidR="00DF0655">
        <w:t>the</w:t>
      </w:r>
      <w:r w:rsidR="00DF7AC4">
        <w:t xml:space="preserve"> proper</w:t>
      </w:r>
      <w:r w:rsidR="00DF0655">
        <w:t xml:space="preserve"> functioning of </w:t>
      </w:r>
      <w:r w:rsidR="00E640FA">
        <w:t>priv</w:t>
      </w:r>
      <w:r w:rsidR="00DF0655">
        <w:t>ate businesses</w:t>
      </w:r>
      <w:r w:rsidR="003628C6">
        <w:t>. Compared to other</w:t>
      </w:r>
      <w:r w:rsidR="005572FA">
        <w:t xml:space="preserve"> countries</w:t>
      </w:r>
      <w:r w:rsidR="003628C6">
        <w:t xml:space="preserve"> in Europe and Central Asia</w:t>
      </w:r>
      <w:r w:rsidR="005572FA">
        <w:t xml:space="preserve">, female participation </w:t>
      </w:r>
      <w:r w:rsidR="00AC435A">
        <w:t>in the management of</w:t>
      </w:r>
      <w:r w:rsidR="005572FA">
        <w:t xml:space="preserve"> businesses is </w:t>
      </w:r>
      <w:r w:rsidR="003628C6">
        <w:t>very limited</w:t>
      </w:r>
      <w:r w:rsidR="001077F4">
        <w:t xml:space="preserve"> </w:t>
      </w:r>
      <w:r w:rsidR="00E12159">
        <w:fldChar w:fldCharType="begin"/>
      </w:r>
      <w:r w:rsidR="00624BF3">
        <w:instrText xml:space="preserve"> ADDIN EN.CITE &lt;EndNote&gt;&lt;Cite&gt;&lt;Author&gt;IFC&lt;/Author&gt;&lt;Year&gt;2009&lt;/Year&gt;&lt;RecNum&gt;49&lt;/RecNum&gt;&lt;DisplayText&gt;(IFC, 2009b)&lt;/DisplayText&gt;&lt;record&gt;&lt;rec-number&gt;49&lt;/rec-number&gt;&lt;foreign-keys&gt;&lt;key app="EN" db-id="wes5dreptvrsr2eeartvxexxftt2tastxrfs"&gt;49&lt;/key&gt;&lt;/foreign-keys&gt;&lt;ref-type name="Journal Article"&gt;17&lt;/ref-type&gt;&lt;contributors&gt;&lt;authors&gt;&lt;author&gt;IFC&lt;/author&gt;&lt;/authors&gt;&lt;/contributors&gt;&lt;titles&gt;&lt;title&gt;Running a Business in Tajikistan&lt;/title&gt;&lt;secondary-title&gt;Enterprise Surveys Country Note Series&lt;/secondary-title&gt;&lt;/titles&gt;&lt;periodical&gt;&lt;full-title&gt;Enterprise Surveys Country Note Series&lt;/full-title&gt;&lt;/periodical&gt;&lt;volume&gt;No. 4&lt;/volume&gt;&lt;dates&gt;&lt;year&gt;2009&lt;/year&gt;&lt;/dates&gt;&lt;urls&gt;&lt;/urls&gt;&lt;/record&gt;&lt;/Cite&gt;&lt;/EndNote&gt;</w:instrText>
      </w:r>
      <w:r w:rsidR="00E12159">
        <w:fldChar w:fldCharType="separate"/>
      </w:r>
      <w:r w:rsidR="00624BF3">
        <w:rPr>
          <w:noProof/>
        </w:rPr>
        <w:t>(</w:t>
      </w:r>
      <w:hyperlink w:anchor="_ENREF_24" w:tooltip="IFC, 2009 #49" w:history="1">
        <w:r w:rsidR="006A1532">
          <w:rPr>
            <w:noProof/>
          </w:rPr>
          <w:t>IFC, 2009b</w:t>
        </w:r>
      </w:hyperlink>
      <w:r w:rsidR="00624BF3">
        <w:rPr>
          <w:noProof/>
        </w:rPr>
        <w:t>)</w:t>
      </w:r>
      <w:r w:rsidR="00E12159">
        <w:fldChar w:fldCharType="end"/>
      </w:r>
      <w:r w:rsidR="005572FA">
        <w:t>. The following section reviews key issues with regard to women’s involvement in entrepreneurship</w:t>
      </w:r>
      <w:r w:rsidR="0011042B">
        <w:t xml:space="preserve"> and the characteristics and performance of their firms as compared to companies run by men. It further considers constraints that specifically women face regarding access to financial </w:t>
      </w:r>
      <w:r w:rsidR="00C07CF8">
        <w:t>resources</w:t>
      </w:r>
      <w:r w:rsidR="0011042B">
        <w:t xml:space="preserve"> and land.</w:t>
      </w:r>
      <w:r w:rsidR="005572FA">
        <w:t xml:space="preserve"> </w:t>
      </w:r>
    </w:p>
    <w:p w14:paraId="594B5972" w14:textId="77777777" w:rsidR="00113271" w:rsidRDefault="00FF0933" w:rsidP="004B1C94">
      <w:pPr>
        <w:pStyle w:val="Heading2"/>
        <w:numPr>
          <w:ilvl w:val="0"/>
          <w:numId w:val="6"/>
        </w:numPr>
      </w:pPr>
      <w:bookmarkStart w:id="63" w:name="_Toc226957255"/>
      <w:r>
        <w:t>Female and Male Involvement in Entrepreneurship</w:t>
      </w:r>
      <w:bookmarkEnd w:id="63"/>
    </w:p>
    <w:p w14:paraId="3AB351BE" w14:textId="77777777" w:rsidR="00D232C1" w:rsidRPr="00464965" w:rsidRDefault="00B27F4A" w:rsidP="00450916">
      <w:pPr>
        <w:pStyle w:val="MainParawithChapter"/>
        <w:ind w:left="0" w:firstLine="0"/>
        <w:jc w:val="both"/>
        <w:outlineLvl w:val="9"/>
        <w:rPr>
          <w:b/>
        </w:rPr>
      </w:pPr>
      <w:r>
        <w:rPr>
          <w:b/>
        </w:rPr>
        <w:t xml:space="preserve">Compared </w:t>
      </w:r>
      <w:r w:rsidR="00C62E04">
        <w:rPr>
          <w:b/>
        </w:rPr>
        <w:t>to other countries in Europe and Central Asia</w:t>
      </w:r>
      <w:r>
        <w:rPr>
          <w:b/>
        </w:rPr>
        <w:t xml:space="preserve">, </w:t>
      </w:r>
      <w:r w:rsidR="00232136">
        <w:rPr>
          <w:b/>
        </w:rPr>
        <w:t>only</w:t>
      </w:r>
      <w:r w:rsidR="00D2143B">
        <w:rPr>
          <w:b/>
        </w:rPr>
        <w:t xml:space="preserve"> very</w:t>
      </w:r>
      <w:r w:rsidR="00806337">
        <w:rPr>
          <w:b/>
        </w:rPr>
        <w:t xml:space="preserve"> few new businesses have been </w:t>
      </w:r>
      <w:r w:rsidR="00232136" w:rsidRPr="00450916">
        <w:rPr>
          <w:b/>
          <w:bCs/>
          <w:color w:val="000000" w:themeColor="text1"/>
        </w:rPr>
        <w:t>registered</w:t>
      </w:r>
      <w:r w:rsidR="00232136">
        <w:rPr>
          <w:b/>
        </w:rPr>
        <w:t xml:space="preserve"> in Tajikistan e</w:t>
      </w:r>
      <w:r w:rsidR="00806337">
        <w:rPr>
          <w:b/>
        </w:rPr>
        <w:t>ach year, though</w:t>
      </w:r>
      <w:r w:rsidR="002E1174">
        <w:rPr>
          <w:b/>
        </w:rPr>
        <w:t xml:space="preserve"> there has been an upward trend recently</w:t>
      </w:r>
      <w:r>
        <w:rPr>
          <w:b/>
        </w:rPr>
        <w:t xml:space="preserve">. </w:t>
      </w:r>
      <w:r w:rsidR="00A25BC7">
        <w:t>The measurement of the size of the private sector, and more so of female involvement in entrepreneurship, is a difficult task in Europe and Central Asia</w:t>
      </w:r>
      <w:r w:rsidR="00806337">
        <w:t xml:space="preserve"> due to limited data availability</w:t>
      </w:r>
      <w:r w:rsidR="00A25BC7">
        <w:t>.</w:t>
      </w:r>
      <w:r w:rsidR="003C47F2">
        <w:t xml:space="preserve"> As an indication of</w:t>
      </w:r>
      <w:r w:rsidR="00A25BC7">
        <w:t xml:space="preserve"> </w:t>
      </w:r>
      <w:r w:rsidR="00D2143B">
        <w:t xml:space="preserve">new business creation in the formal sector, </w:t>
      </w:r>
      <w:r w:rsidR="00E12159">
        <w:fldChar w:fldCharType="begin"/>
      </w:r>
      <w:r w:rsidR="00784D88">
        <w:instrText xml:space="preserve"> </w:instrText>
      </w:r>
      <w:r w:rsidR="009F7A22">
        <w:instrText>REF</w:instrText>
      </w:r>
      <w:r w:rsidR="00784D88">
        <w:instrText xml:space="preserve"> _Ref225824637 \h </w:instrText>
      </w:r>
      <w:r w:rsidR="00E12159">
        <w:fldChar w:fldCharType="separate"/>
      </w:r>
      <w:r w:rsidR="00183FFF" w:rsidRPr="007715A3">
        <w:rPr>
          <w:b/>
          <w:sz w:val="22"/>
          <w:szCs w:val="22"/>
        </w:rPr>
        <w:t xml:space="preserve">Figure </w:t>
      </w:r>
      <w:r w:rsidR="00183FFF">
        <w:rPr>
          <w:b/>
          <w:noProof/>
          <w:sz w:val="22"/>
          <w:szCs w:val="22"/>
        </w:rPr>
        <w:t>15</w:t>
      </w:r>
      <w:r w:rsidR="00E12159">
        <w:fldChar w:fldCharType="end"/>
      </w:r>
      <w:r w:rsidR="00784D88">
        <w:t xml:space="preserve"> </w:t>
      </w:r>
      <w:r w:rsidR="00F213A2">
        <w:t xml:space="preserve">shows the number of new </w:t>
      </w:r>
      <w:r w:rsidR="00806337">
        <w:t xml:space="preserve">business </w:t>
      </w:r>
      <w:r w:rsidR="00F213A2">
        <w:t>registrati</w:t>
      </w:r>
      <w:r w:rsidR="00D2143B">
        <w:t xml:space="preserve">ons per 1,000 people </w:t>
      </w:r>
      <w:r w:rsidR="00C07CF8">
        <w:t xml:space="preserve">aged between </w:t>
      </w:r>
      <w:r w:rsidR="00806337">
        <w:t xml:space="preserve">15 and </w:t>
      </w:r>
      <w:r w:rsidR="00D2143B">
        <w:t>64</w:t>
      </w:r>
      <w:r w:rsidR="00764035">
        <w:t xml:space="preserve"> per year</w:t>
      </w:r>
      <w:r w:rsidR="00D2143B">
        <w:t>.</w:t>
      </w:r>
      <w:r w:rsidR="00F213A2">
        <w:t xml:space="preserve"> </w:t>
      </w:r>
      <w:r w:rsidR="0060790F">
        <w:t>T</w:t>
      </w:r>
      <w:r w:rsidR="00806337">
        <w:t xml:space="preserve">he </w:t>
      </w:r>
      <w:r w:rsidR="0060790F">
        <w:t xml:space="preserve">average </w:t>
      </w:r>
      <w:r w:rsidR="00806337">
        <w:t>number of</w:t>
      </w:r>
      <w:r w:rsidR="005B3ED1">
        <w:t xml:space="preserve"> registrations </w:t>
      </w:r>
      <w:r w:rsidR="00806337">
        <w:t>in the ECA region is</w:t>
      </w:r>
      <w:r w:rsidR="005B3ED1">
        <w:t xml:space="preserve"> more than four times higher than in Tajikistan. </w:t>
      </w:r>
      <w:r w:rsidR="00764035">
        <w:t>However, in contrast to</w:t>
      </w:r>
      <w:r w:rsidR="00133D22">
        <w:t xml:space="preserve"> the overall downward trend of new business registrations </w:t>
      </w:r>
      <w:r w:rsidR="0060790F">
        <w:t>on the regional level</w:t>
      </w:r>
      <w:r w:rsidR="00133D22">
        <w:t xml:space="preserve"> after 2007, i.e. coinciding with the onset of the global and economic financial crisis, the number notably doubled in Tajikistan between 2008 and 2009.</w:t>
      </w:r>
    </w:p>
    <w:p w14:paraId="0C53AC03" w14:textId="77777777" w:rsidR="00464965" w:rsidRDefault="00464965" w:rsidP="00450916">
      <w:pPr>
        <w:pStyle w:val="MainParawithChapter"/>
        <w:ind w:left="0" w:firstLine="0"/>
        <w:jc w:val="both"/>
        <w:outlineLvl w:val="9"/>
        <w:rPr>
          <w:b/>
        </w:rPr>
      </w:pPr>
      <w:r>
        <w:rPr>
          <w:b/>
        </w:rPr>
        <w:t>Women are less likely to attempt to start up a business, but succeed as often as male entrepreneurs in case they do so.</w:t>
      </w:r>
      <w:r w:rsidR="00C72C1B">
        <w:rPr>
          <w:b/>
        </w:rPr>
        <w:t xml:space="preserve"> </w:t>
      </w:r>
      <w:r w:rsidR="00C72C1B">
        <w:t>The Life in Transition Survey</w:t>
      </w:r>
      <w:r w:rsidR="005B3123">
        <w:t xml:space="preserve">s </w:t>
      </w:r>
      <w:proofErr w:type="gramStart"/>
      <w:r w:rsidR="005B3123">
        <w:t>include</w:t>
      </w:r>
      <w:proofErr w:type="gramEnd"/>
      <w:r w:rsidR="00C72C1B">
        <w:t xml:space="preserve"> gender-disaggregated data on attempts and success in starting a business. </w:t>
      </w:r>
      <w:r w:rsidR="005B3123">
        <w:t>More men than women attempted to start a business in 2010</w:t>
      </w:r>
      <w:r w:rsidR="00E7277C">
        <w:t xml:space="preserve"> (11 and 7 percent respectively, </w:t>
      </w:r>
      <w:r w:rsidR="005B3123">
        <w:t xml:space="preserve">see </w:t>
      </w:r>
      <w:r w:rsidR="00E12159">
        <w:fldChar w:fldCharType="begin"/>
      </w:r>
      <w:r w:rsidR="005B3123">
        <w:instrText xml:space="preserve"> REF _Ref226724038 \h </w:instrText>
      </w:r>
      <w:r w:rsidR="00E12159">
        <w:fldChar w:fldCharType="separate"/>
      </w:r>
      <w:r w:rsidR="00183FFF" w:rsidRPr="00784D88">
        <w:rPr>
          <w:b/>
          <w:sz w:val="22"/>
          <w:szCs w:val="22"/>
        </w:rPr>
        <w:t xml:space="preserve">Figure </w:t>
      </w:r>
      <w:r w:rsidR="00183FFF">
        <w:rPr>
          <w:b/>
          <w:noProof/>
          <w:sz w:val="22"/>
          <w:szCs w:val="22"/>
        </w:rPr>
        <w:t>16</w:t>
      </w:r>
      <w:r w:rsidR="00E12159">
        <w:fldChar w:fldCharType="end"/>
      </w:r>
      <w:r w:rsidR="00E7277C">
        <w:t>). I</w:t>
      </w:r>
      <w:r w:rsidR="005B3123">
        <w:t xml:space="preserve">f women decide to engage in in entrepreneurial activities, </w:t>
      </w:r>
      <w:r w:rsidR="00E7277C">
        <w:t xml:space="preserve">however, </w:t>
      </w:r>
      <w:r w:rsidR="005B3123">
        <w:t>they are not less successf</w:t>
      </w:r>
      <w:r w:rsidR="00E7277C">
        <w:t xml:space="preserve">ul than their male counterparts, as more than </w:t>
      </w:r>
      <w:r w:rsidR="00C201F6">
        <w:t>half</w:t>
      </w:r>
      <w:r w:rsidR="00E7277C">
        <w:t xml:space="preserve"> of both male and female entrepreneurs succeed in starting up a business.</w:t>
      </w:r>
    </w:p>
    <w:p w14:paraId="00FA953C" w14:textId="1792A623" w:rsidR="00464965" w:rsidRPr="009B4A0A" w:rsidRDefault="00485A84" w:rsidP="00450916">
      <w:pPr>
        <w:pStyle w:val="MainParawithChapter"/>
        <w:ind w:left="0" w:firstLine="0"/>
        <w:jc w:val="both"/>
        <w:outlineLvl w:val="9"/>
      </w:pPr>
      <w:r>
        <w:rPr>
          <w:b/>
        </w:rPr>
        <w:lastRenderedPageBreak/>
        <w:t xml:space="preserve">Aversion to </w:t>
      </w:r>
      <w:proofErr w:type="gramStart"/>
      <w:r>
        <w:rPr>
          <w:b/>
        </w:rPr>
        <w:t>r</w:t>
      </w:r>
      <w:r w:rsidR="00464965">
        <w:rPr>
          <w:b/>
        </w:rPr>
        <w:t>isk  might</w:t>
      </w:r>
      <w:proofErr w:type="gramEnd"/>
      <w:r w:rsidR="00464965">
        <w:rPr>
          <w:b/>
        </w:rPr>
        <w:t xml:space="preserve"> be one factor that prevents women from starting a business.</w:t>
      </w:r>
      <w:r w:rsidR="009B4A0A">
        <w:rPr>
          <w:b/>
        </w:rPr>
        <w:t xml:space="preserve"> </w:t>
      </w:r>
      <w:r w:rsidR="009B4A0A" w:rsidRPr="009B4A0A">
        <w:t xml:space="preserve">The </w:t>
      </w:r>
      <w:proofErr w:type="spellStart"/>
      <w:r w:rsidR="009B4A0A">
        <w:t>LiTS</w:t>
      </w:r>
      <w:proofErr w:type="spellEnd"/>
      <w:r w:rsidR="009B4A0A">
        <w:t xml:space="preserve"> furthermore includes a measure of willingness to take risks on a ten-point scale, where a score of zero in</w:t>
      </w:r>
      <w:r w:rsidR="00F11055">
        <w:t>dicates complete risk aversion</w:t>
      </w:r>
      <w:r w:rsidR="009B4A0A">
        <w:t xml:space="preserve">, and a score of ten indicates a high willingness to take risk. </w:t>
      </w:r>
      <w:r w:rsidR="00F74846">
        <w:t xml:space="preserve">While there are no statistically significant gender disparities in terms of risk aversion between men and women who decide to start a business, women who </w:t>
      </w:r>
      <w:r w:rsidR="00F11055">
        <w:t xml:space="preserve">decide to </w:t>
      </w:r>
      <w:r w:rsidR="00F74846">
        <w:t xml:space="preserve">abstain from entrepreneurial activities are less willing to take risks than their male counterparts (see </w:t>
      </w:r>
      <w:r w:rsidR="00E12159">
        <w:fldChar w:fldCharType="begin"/>
      </w:r>
      <w:r w:rsidR="00F74846">
        <w:instrText xml:space="preserve"> REF _Ref226724038 \h </w:instrText>
      </w:r>
      <w:r w:rsidR="00E12159">
        <w:fldChar w:fldCharType="separate"/>
      </w:r>
      <w:r w:rsidR="00183FFF" w:rsidRPr="00784D88">
        <w:rPr>
          <w:b/>
          <w:sz w:val="22"/>
          <w:szCs w:val="22"/>
        </w:rPr>
        <w:t xml:space="preserve">Figure </w:t>
      </w:r>
      <w:r w:rsidR="00183FFF">
        <w:rPr>
          <w:b/>
          <w:noProof/>
          <w:sz w:val="22"/>
          <w:szCs w:val="22"/>
        </w:rPr>
        <w:t>16</w:t>
      </w:r>
      <w:r w:rsidR="00E12159">
        <w:fldChar w:fldCharType="end"/>
      </w:r>
      <w:r w:rsidR="00F74846">
        <w:t>). Additionally, successful entrepreneurs appear to be less risk averse than those who failed, but no gender differences emerge in this respect.</w:t>
      </w:r>
    </w:p>
    <w:p w14:paraId="283BBD5F" w14:textId="77777777" w:rsidR="007715A3" w:rsidRPr="007715A3" w:rsidRDefault="007715A3" w:rsidP="009F7A22">
      <w:pPr>
        <w:pStyle w:val="MainParawithChapter"/>
        <w:numPr>
          <w:ilvl w:val="0"/>
          <w:numId w:val="0"/>
        </w:numPr>
        <w:spacing w:after="60"/>
        <w:jc w:val="center"/>
        <w:outlineLvl w:val="9"/>
        <w:rPr>
          <w:b/>
          <w:sz w:val="22"/>
          <w:szCs w:val="22"/>
        </w:rPr>
      </w:pPr>
      <w:bookmarkStart w:id="64" w:name="_Ref225824637"/>
      <w:bookmarkStart w:id="65" w:name="_Toc232694753"/>
      <w:proofErr w:type="gramStart"/>
      <w:r w:rsidRPr="007715A3">
        <w:rPr>
          <w:b/>
          <w:sz w:val="22"/>
          <w:szCs w:val="22"/>
        </w:rPr>
        <w:t xml:space="preserve">Figure </w:t>
      </w:r>
      <w:r w:rsidR="00E12159" w:rsidRPr="007715A3">
        <w:rPr>
          <w:b/>
          <w:sz w:val="22"/>
          <w:szCs w:val="22"/>
        </w:rPr>
        <w:fldChar w:fldCharType="begin"/>
      </w:r>
      <w:r w:rsidRPr="007715A3">
        <w:rPr>
          <w:b/>
          <w:sz w:val="22"/>
          <w:szCs w:val="22"/>
        </w:rPr>
        <w:instrText xml:space="preserve"> </w:instrText>
      </w:r>
      <w:r w:rsidR="009F7A22">
        <w:rPr>
          <w:b/>
          <w:sz w:val="22"/>
          <w:szCs w:val="22"/>
        </w:rPr>
        <w:instrText>SEQ</w:instrText>
      </w:r>
      <w:r w:rsidRPr="007715A3">
        <w:rPr>
          <w:b/>
          <w:sz w:val="22"/>
          <w:szCs w:val="22"/>
        </w:rPr>
        <w:instrText xml:space="preserve"> Figure \* ARABIC </w:instrText>
      </w:r>
      <w:r w:rsidR="00E12159" w:rsidRPr="007715A3">
        <w:rPr>
          <w:b/>
          <w:sz w:val="22"/>
          <w:szCs w:val="22"/>
        </w:rPr>
        <w:fldChar w:fldCharType="separate"/>
      </w:r>
      <w:r w:rsidR="00183FFF">
        <w:rPr>
          <w:b/>
          <w:noProof/>
          <w:sz w:val="22"/>
          <w:szCs w:val="22"/>
        </w:rPr>
        <w:t>15</w:t>
      </w:r>
      <w:r w:rsidR="00E12159" w:rsidRPr="007715A3">
        <w:rPr>
          <w:b/>
          <w:sz w:val="22"/>
          <w:szCs w:val="22"/>
        </w:rPr>
        <w:fldChar w:fldCharType="end"/>
      </w:r>
      <w:bookmarkEnd w:id="64"/>
      <w:r w:rsidRPr="007715A3">
        <w:rPr>
          <w:b/>
          <w:sz w:val="22"/>
          <w:szCs w:val="22"/>
        </w:rPr>
        <w:t>.</w:t>
      </w:r>
      <w:proofErr w:type="gramEnd"/>
      <w:r w:rsidRPr="007715A3">
        <w:rPr>
          <w:b/>
          <w:sz w:val="22"/>
          <w:szCs w:val="22"/>
        </w:rPr>
        <w:t xml:space="preserve"> Density of new businesses, 2004-2009</w:t>
      </w:r>
      <w:bookmarkEnd w:id="65"/>
    </w:p>
    <w:p w14:paraId="16DC9D30" w14:textId="77777777" w:rsidR="007715A3" w:rsidRDefault="007715A3" w:rsidP="007715A3">
      <w:pPr>
        <w:pStyle w:val="MainParawithChapter"/>
        <w:numPr>
          <w:ilvl w:val="0"/>
          <w:numId w:val="0"/>
        </w:numPr>
        <w:spacing w:after="0"/>
        <w:jc w:val="both"/>
        <w:outlineLvl w:val="9"/>
        <w:rPr>
          <w:sz w:val="22"/>
          <w:szCs w:val="22"/>
        </w:rPr>
      </w:pPr>
      <w:r>
        <w:rPr>
          <w:noProof/>
        </w:rPr>
        <w:drawing>
          <wp:inline distT="0" distB="0" distL="0" distR="0" wp14:anchorId="0A2F99EC" wp14:editId="5F3099EC">
            <wp:extent cx="5486400" cy="1619055"/>
            <wp:effectExtent l="0" t="0" r="25400" b="32385"/>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25BC7">
        <w:rPr>
          <w:i/>
          <w:sz w:val="22"/>
          <w:szCs w:val="22"/>
        </w:rPr>
        <w:t xml:space="preserve">Notes: </w:t>
      </w:r>
      <w:r>
        <w:rPr>
          <w:sz w:val="22"/>
          <w:szCs w:val="22"/>
        </w:rPr>
        <w:t>Density of new business refers to new registrations per 1,000 people aged 15-64.</w:t>
      </w:r>
    </w:p>
    <w:p w14:paraId="2886F7D8" w14:textId="77777777" w:rsidR="007715A3" w:rsidRDefault="007715A3" w:rsidP="009F7A22">
      <w:pPr>
        <w:jc w:val="both"/>
        <w:rPr>
          <w:sz w:val="22"/>
          <w:szCs w:val="22"/>
        </w:rPr>
      </w:pPr>
      <w:r w:rsidRPr="00081D55">
        <w:rPr>
          <w:i/>
          <w:sz w:val="22"/>
          <w:szCs w:val="22"/>
        </w:rPr>
        <w:t>Source:</w:t>
      </w:r>
      <w:r w:rsidRPr="00081D55">
        <w:rPr>
          <w:sz w:val="22"/>
          <w:szCs w:val="22"/>
        </w:rPr>
        <w:t xml:space="preserve"> World Development Indicators Database, World Bank, Washington DC, </w:t>
      </w:r>
      <w:hyperlink r:id="rId46" w:history="1">
        <w:r w:rsidRPr="00081D55">
          <w:rPr>
            <w:sz w:val="22"/>
            <w:szCs w:val="22"/>
          </w:rPr>
          <w:t>http://data.worldbank.org/data-catalog/world-development-indicators</w:t>
        </w:r>
      </w:hyperlink>
      <w:r w:rsidRPr="00081D55">
        <w:rPr>
          <w:sz w:val="22"/>
          <w:szCs w:val="22"/>
        </w:rPr>
        <w:t>.</w:t>
      </w:r>
    </w:p>
    <w:p w14:paraId="5CDEDA8B" w14:textId="77777777" w:rsidR="009F7A22" w:rsidRPr="009F7A22" w:rsidRDefault="009F7A22" w:rsidP="009F7A22">
      <w:pPr>
        <w:jc w:val="both"/>
        <w:rPr>
          <w:sz w:val="22"/>
          <w:szCs w:val="22"/>
        </w:rPr>
      </w:pPr>
    </w:p>
    <w:p w14:paraId="6C72EA1C" w14:textId="77777777" w:rsidR="0059496C" w:rsidRDefault="0056252A" w:rsidP="009F7A22">
      <w:pPr>
        <w:pStyle w:val="MainParawithChapter"/>
        <w:numPr>
          <w:ilvl w:val="0"/>
          <w:numId w:val="0"/>
        </w:numPr>
        <w:spacing w:after="60"/>
        <w:jc w:val="center"/>
        <w:outlineLvl w:val="9"/>
        <w:rPr>
          <w:b/>
          <w:sz w:val="22"/>
          <w:szCs w:val="22"/>
        </w:rPr>
      </w:pPr>
      <w:bookmarkStart w:id="66" w:name="_Ref226724038"/>
      <w:bookmarkStart w:id="67" w:name="_Toc232694754"/>
      <w:r>
        <w:rPr>
          <w:b/>
          <w:noProof/>
          <w:sz w:val="22"/>
          <w:szCs w:val="22"/>
        </w:rPr>
        <mc:AlternateContent>
          <mc:Choice Requires="wps">
            <w:drawing>
              <wp:anchor distT="0" distB="0" distL="114300" distR="114300" simplePos="0" relativeHeight="251666432" behindDoc="0" locked="0" layoutInCell="1" allowOverlap="1" wp14:anchorId="668DCC7F" wp14:editId="68EB1534">
                <wp:simplePos x="0" y="0"/>
                <wp:positionH relativeFrom="column">
                  <wp:posOffset>2743200</wp:posOffset>
                </wp:positionH>
                <wp:positionV relativeFrom="paragraph">
                  <wp:posOffset>205105</wp:posOffset>
                </wp:positionV>
                <wp:extent cx="2971800" cy="2286000"/>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286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6F0687" w14:textId="77777777" w:rsidR="00E44497" w:rsidRDefault="00E44497" w:rsidP="002B70BF">
                            <w:pPr>
                              <w:ind w:right="-3"/>
                            </w:pPr>
                            <w:r>
                              <w:rPr>
                                <w:noProof/>
                              </w:rPr>
                              <w:drawing>
                                <wp:inline distT="0" distB="0" distL="0" distR="0" wp14:anchorId="0781475E" wp14:editId="059B87AA">
                                  <wp:extent cx="2698555" cy="2159440"/>
                                  <wp:effectExtent l="0" t="0" r="19685" b="25400"/>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32" type="#_x0000_t202" style="position:absolute;left:0;text-align:left;margin-left:3in;margin-top:16.15pt;width:234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" filled="f" stroked="f">
                <v:path arrowok="t"/>
                <v:textbox>
                  <w:txbxContent>
                    <w:p w14:paraId="266F0687" w14:textId="77777777" w:rsidR="00E44497" w:rsidRDefault="00E44497" w:rsidP="002B70BF">
                      <w:pPr>
                        <w:ind w:right="-3"/>
                      </w:pPr>
                      <w:r>
                        <w:rPr>
                          <w:noProof/>
                        </w:rPr>
                        <w:drawing>
                          <wp:inline distT="0" distB="0" distL="0" distR="0" wp14:anchorId="0781475E" wp14:editId="059B87AA">
                            <wp:extent cx="2698555" cy="2159440"/>
                            <wp:effectExtent l="0" t="0" r="19685" b="25400"/>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664384" behindDoc="0" locked="0" layoutInCell="1" allowOverlap="1" wp14:anchorId="1D994967" wp14:editId="1CA1C245">
                <wp:simplePos x="0" y="0"/>
                <wp:positionH relativeFrom="column">
                  <wp:posOffset>-114300</wp:posOffset>
                </wp:positionH>
                <wp:positionV relativeFrom="paragraph">
                  <wp:posOffset>205105</wp:posOffset>
                </wp:positionV>
                <wp:extent cx="2971800" cy="2286000"/>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286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43D21F" w14:textId="77777777" w:rsidR="00E44497" w:rsidRDefault="00E44497" w:rsidP="008B523D">
                            <w:r>
                              <w:rPr>
                                <w:noProof/>
                              </w:rPr>
                              <w:drawing>
                                <wp:inline distT="0" distB="0" distL="0" distR="0" wp14:anchorId="3AB0462C" wp14:editId="1780CF6B">
                                  <wp:extent cx="2698555" cy="2156655"/>
                                  <wp:effectExtent l="0" t="0" r="19685" b="2794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3" type="#_x0000_t202" style="position:absolute;left:0;text-align:left;margin-left:-9pt;margin-top:16.15pt;width:234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" filled="f" stroked="f">
                <v:path arrowok="t"/>
                <v:textbox>
                  <w:txbxContent>
                    <w:p w14:paraId="7A43D21F" w14:textId="77777777" w:rsidR="00E44497" w:rsidRDefault="00E44497" w:rsidP="008B523D">
                      <w:r>
                        <w:rPr>
                          <w:noProof/>
                        </w:rPr>
                        <w:drawing>
                          <wp:inline distT="0" distB="0" distL="0" distR="0" wp14:anchorId="3AB0462C" wp14:editId="1780CF6B">
                            <wp:extent cx="2698555" cy="2156655"/>
                            <wp:effectExtent l="0" t="0" r="19685" b="2794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w10:wrap type="square"/>
              </v:shape>
            </w:pict>
          </mc:Fallback>
        </mc:AlternateContent>
      </w:r>
      <w:proofErr w:type="gramStart"/>
      <w:r w:rsidR="007715A3" w:rsidRPr="00784D88">
        <w:rPr>
          <w:b/>
          <w:sz w:val="22"/>
          <w:szCs w:val="22"/>
        </w:rPr>
        <w:t xml:space="preserve">Figure </w:t>
      </w:r>
      <w:r w:rsidR="00E12159" w:rsidRPr="00784D88">
        <w:rPr>
          <w:b/>
          <w:sz w:val="22"/>
          <w:szCs w:val="22"/>
        </w:rPr>
        <w:fldChar w:fldCharType="begin"/>
      </w:r>
      <w:r w:rsidR="007715A3" w:rsidRPr="00784D88">
        <w:rPr>
          <w:b/>
          <w:sz w:val="22"/>
          <w:szCs w:val="22"/>
        </w:rPr>
        <w:instrText xml:space="preserve"> </w:instrText>
      </w:r>
      <w:r w:rsidR="009F7A22">
        <w:rPr>
          <w:b/>
          <w:sz w:val="22"/>
          <w:szCs w:val="22"/>
        </w:rPr>
        <w:instrText>SEQ</w:instrText>
      </w:r>
      <w:r w:rsidR="007715A3" w:rsidRPr="00784D88">
        <w:rPr>
          <w:b/>
          <w:sz w:val="22"/>
          <w:szCs w:val="22"/>
        </w:rPr>
        <w:instrText xml:space="preserve"> Figure \* ARABIC </w:instrText>
      </w:r>
      <w:r w:rsidR="00E12159" w:rsidRPr="00784D88">
        <w:rPr>
          <w:b/>
          <w:sz w:val="22"/>
          <w:szCs w:val="22"/>
        </w:rPr>
        <w:fldChar w:fldCharType="separate"/>
      </w:r>
      <w:r w:rsidR="00183FFF">
        <w:rPr>
          <w:b/>
          <w:noProof/>
          <w:sz w:val="22"/>
          <w:szCs w:val="22"/>
        </w:rPr>
        <w:t>16</w:t>
      </w:r>
      <w:r w:rsidR="00E12159" w:rsidRPr="00784D88">
        <w:rPr>
          <w:b/>
          <w:sz w:val="22"/>
          <w:szCs w:val="22"/>
        </w:rPr>
        <w:fldChar w:fldCharType="end"/>
      </w:r>
      <w:bookmarkEnd w:id="66"/>
      <w:r w:rsidR="007715A3" w:rsidRPr="00784D88">
        <w:rPr>
          <w:b/>
          <w:sz w:val="22"/>
          <w:szCs w:val="22"/>
        </w:rPr>
        <w:t>.</w:t>
      </w:r>
      <w:proofErr w:type="gramEnd"/>
      <w:r w:rsidR="007715A3" w:rsidRPr="00784D88">
        <w:rPr>
          <w:b/>
          <w:sz w:val="22"/>
          <w:szCs w:val="22"/>
        </w:rPr>
        <w:t xml:space="preserve"> Attempts and success in starting a business</w:t>
      </w:r>
      <w:r w:rsidR="00410BB0">
        <w:rPr>
          <w:b/>
          <w:sz w:val="22"/>
          <w:szCs w:val="22"/>
        </w:rPr>
        <w:t xml:space="preserve"> (in %), by gender</w:t>
      </w:r>
      <w:r w:rsidR="00AB0263">
        <w:rPr>
          <w:b/>
          <w:sz w:val="22"/>
          <w:szCs w:val="22"/>
        </w:rPr>
        <w:t>, 2010</w:t>
      </w:r>
      <w:bookmarkEnd w:id="67"/>
    </w:p>
    <w:p w14:paraId="0F8C3401" w14:textId="77777777" w:rsidR="009F7A22" w:rsidRDefault="009F7A22" w:rsidP="008B523D">
      <w:pPr>
        <w:pStyle w:val="MainParawithChapter"/>
        <w:numPr>
          <w:ilvl w:val="0"/>
          <w:numId w:val="0"/>
        </w:numPr>
        <w:spacing w:after="0"/>
        <w:jc w:val="both"/>
        <w:outlineLvl w:val="9"/>
        <w:rPr>
          <w:i/>
          <w:sz w:val="22"/>
          <w:szCs w:val="22"/>
        </w:rPr>
      </w:pPr>
    </w:p>
    <w:p w14:paraId="10B3B959" w14:textId="77777777" w:rsidR="008B523D" w:rsidRPr="008B523D" w:rsidRDefault="008B523D" w:rsidP="008B523D">
      <w:pPr>
        <w:pStyle w:val="MainParawithChapter"/>
        <w:numPr>
          <w:ilvl w:val="0"/>
          <w:numId w:val="0"/>
        </w:numPr>
        <w:spacing w:after="0"/>
        <w:jc w:val="both"/>
        <w:outlineLvl w:val="9"/>
        <w:rPr>
          <w:sz w:val="22"/>
          <w:szCs w:val="22"/>
        </w:rPr>
      </w:pPr>
      <w:r w:rsidRPr="00A25BC7">
        <w:rPr>
          <w:i/>
          <w:sz w:val="22"/>
          <w:szCs w:val="22"/>
        </w:rPr>
        <w:t>Notes</w:t>
      </w:r>
      <w:r>
        <w:rPr>
          <w:i/>
          <w:sz w:val="22"/>
          <w:szCs w:val="22"/>
        </w:rPr>
        <w:t xml:space="preserve">: </w:t>
      </w:r>
      <w:r>
        <w:rPr>
          <w:sz w:val="22"/>
          <w:szCs w:val="22"/>
        </w:rPr>
        <w:t>Willingness to take risk ranges from 1 to 10, where 1 ind</w:t>
      </w:r>
      <w:r w:rsidR="00C72C1B">
        <w:rPr>
          <w:sz w:val="22"/>
          <w:szCs w:val="22"/>
        </w:rPr>
        <w:t>icates not willing</w:t>
      </w:r>
      <w:r>
        <w:rPr>
          <w:sz w:val="22"/>
          <w:szCs w:val="22"/>
        </w:rPr>
        <w:t xml:space="preserve"> to take risk at all, and 10 means very much willing to take risk. Data is weighted. ***Gender differences significant at the 1% level, ** gender differences significant at the 5% level, ***gender differences significant at the 10% level.</w:t>
      </w:r>
    </w:p>
    <w:p w14:paraId="59DA3A89" w14:textId="74BDE25B" w:rsidR="008B523D" w:rsidRDefault="008B523D" w:rsidP="00C72C1B">
      <w:pPr>
        <w:jc w:val="both"/>
        <w:rPr>
          <w:sz w:val="22"/>
          <w:szCs w:val="22"/>
        </w:rPr>
      </w:pPr>
      <w:r w:rsidRPr="00081D55">
        <w:rPr>
          <w:i/>
          <w:sz w:val="22"/>
          <w:szCs w:val="22"/>
        </w:rPr>
        <w:t>Source:</w:t>
      </w:r>
      <w:r w:rsidRPr="00081D55">
        <w:rPr>
          <w:sz w:val="22"/>
          <w:szCs w:val="22"/>
        </w:rPr>
        <w:t xml:space="preserve"> </w:t>
      </w:r>
      <w:proofErr w:type="spellStart"/>
      <w:r w:rsidRPr="006C2225">
        <w:rPr>
          <w:sz w:val="22"/>
          <w:szCs w:val="22"/>
        </w:rPr>
        <w:t>LiTS</w:t>
      </w:r>
      <w:proofErr w:type="spellEnd"/>
      <w:r w:rsidRPr="006C2225">
        <w:rPr>
          <w:sz w:val="22"/>
          <w:szCs w:val="22"/>
        </w:rPr>
        <w:t xml:space="preserve"> II </w:t>
      </w:r>
      <w:r w:rsidR="00E12159" w:rsidRPr="006C2225">
        <w:rPr>
          <w:sz w:val="22"/>
          <w:szCs w:val="22"/>
        </w:rPr>
        <w:fldChar w:fldCharType="begin"/>
      </w:r>
      <w:r w:rsidRPr="006C2225">
        <w:rPr>
          <w:sz w:val="22"/>
          <w:szCs w:val="22"/>
        </w:rPr>
        <w:instrText xml:space="preserve"> </w:instrText>
      </w:r>
      <w:r w:rsidR="009F7A22">
        <w:rPr>
          <w:sz w:val="22"/>
          <w:szCs w:val="22"/>
        </w:rPr>
        <w:instrText>ADDIN</w:instrText>
      </w:r>
      <w:r w:rsidRPr="006C2225">
        <w:rPr>
          <w:sz w:val="22"/>
          <w:szCs w:val="22"/>
        </w:rPr>
        <w:instrText xml:space="preserve"> EN.CITE &lt;EndNote&gt;&lt;Cite&gt;&lt;Author&gt;EBRD and World Bank&lt;/Author&gt;&lt;Year&gt;2011&lt;/Year&gt;&lt;RecNum&gt;74&lt;/RecNum&gt;&lt;DisplayText&gt;(EBRD and World Bank, 2011)&lt;/DisplayText&gt;&lt;record&gt;&lt;rec-number&gt;74&lt;/rec-number&gt;&lt;foreign-keys&gt;&lt;key app="EN" db-id="wes5dreptvrsr2eeartvxexxftt2tastxrfs"&gt;74&lt;/key&gt;&lt;/foreign-keys&gt;&lt;ref-type name="Dataset"&gt;59&lt;/ref-type&gt;&lt;contributors&gt;&lt;authors&gt;&lt;author&gt;EBRD and World Bank&lt;/author&gt;&lt;/authors&gt;&lt;/contributors&gt;&lt;titles&gt;&lt;title&gt;The Life in Transition Survey (LiTS) II&lt;/title&gt;&lt;/titles&gt;&lt;dates&gt;&lt;year&gt;2011&lt;/year&gt;&lt;/dates&gt;&lt;urls&gt;&lt;/urls&gt;&lt;/record&gt;&lt;/Cite&gt;&lt;/EndNote&gt;</w:instrText>
      </w:r>
      <w:r w:rsidR="00E12159" w:rsidRPr="006C2225">
        <w:rPr>
          <w:sz w:val="22"/>
          <w:szCs w:val="22"/>
        </w:rPr>
        <w:fldChar w:fldCharType="separate"/>
      </w:r>
      <w:r w:rsidRPr="006C2225">
        <w:rPr>
          <w:sz w:val="22"/>
          <w:szCs w:val="22"/>
        </w:rPr>
        <w:t>(</w:t>
      </w:r>
      <w:hyperlink w:anchor="_ENREF_16" w:tooltip="EBRD and World Bank, 2011 #74" w:history="1">
        <w:r w:rsidR="006A1532" w:rsidRPr="006C2225">
          <w:rPr>
            <w:sz w:val="22"/>
            <w:szCs w:val="22"/>
          </w:rPr>
          <w:t>EBRD and World Bank, 2011</w:t>
        </w:r>
      </w:hyperlink>
      <w:r w:rsidRPr="006C2225">
        <w:rPr>
          <w:sz w:val="22"/>
          <w:szCs w:val="22"/>
        </w:rPr>
        <w:t>)</w:t>
      </w:r>
      <w:r w:rsidR="00E12159" w:rsidRPr="006C2225">
        <w:rPr>
          <w:sz w:val="22"/>
          <w:szCs w:val="22"/>
        </w:rPr>
        <w:fldChar w:fldCharType="end"/>
      </w:r>
      <w:r w:rsidRPr="00081D55">
        <w:rPr>
          <w:sz w:val="22"/>
          <w:szCs w:val="22"/>
        </w:rPr>
        <w:t>.</w:t>
      </w:r>
    </w:p>
    <w:p w14:paraId="2404843F" w14:textId="77777777" w:rsidR="00C72C1B" w:rsidRPr="008B523D" w:rsidRDefault="00C72C1B" w:rsidP="00C72C1B">
      <w:pPr>
        <w:jc w:val="both"/>
      </w:pPr>
    </w:p>
    <w:p w14:paraId="5C521CA2" w14:textId="42A43D17" w:rsidR="00CF5746" w:rsidRPr="009F7A22" w:rsidRDefault="00224B66" w:rsidP="00A25BC7">
      <w:pPr>
        <w:pStyle w:val="MainParawithChapter"/>
        <w:ind w:left="0" w:firstLine="0"/>
        <w:jc w:val="both"/>
        <w:outlineLvl w:val="9"/>
      </w:pPr>
      <w:r w:rsidRPr="00224B66">
        <w:rPr>
          <w:b/>
        </w:rPr>
        <w:t xml:space="preserve">The </w:t>
      </w:r>
      <w:r w:rsidR="00C62E04">
        <w:rPr>
          <w:b/>
        </w:rPr>
        <w:t xml:space="preserve">extremely </w:t>
      </w:r>
      <w:r w:rsidR="00C62E04" w:rsidRPr="00450916">
        <w:rPr>
          <w:b/>
          <w:bCs/>
          <w:color w:val="000000" w:themeColor="text1"/>
        </w:rPr>
        <w:t>few</w:t>
      </w:r>
      <w:r w:rsidRPr="00224B66">
        <w:rPr>
          <w:b/>
        </w:rPr>
        <w:t xml:space="preserve"> employers who are active in Tajikistan are predominantly males.</w:t>
      </w:r>
      <w:r w:rsidR="0060790F">
        <w:t xml:space="preserve"> Alt</w:t>
      </w:r>
      <w:r>
        <w:t xml:space="preserve">hough </w:t>
      </w:r>
      <w:r w:rsidR="00CE3C7F">
        <w:t xml:space="preserve">the number of </w:t>
      </w:r>
      <w:r w:rsidR="00485A84">
        <w:t xml:space="preserve">private sector </w:t>
      </w:r>
      <w:r w:rsidR="00CE3C7F">
        <w:t xml:space="preserve">employers in Europe and Central Asia is </w:t>
      </w:r>
      <w:r w:rsidR="00CE3C7F">
        <w:lastRenderedPageBreak/>
        <w:t>already relatively little compared to other regions in the world, it</w:t>
      </w:r>
      <w:r w:rsidR="00A76C1E">
        <w:t xml:space="preserve"> is even smaller in Tajikistan. Across the total of individuals who are </w:t>
      </w:r>
      <w:r w:rsidR="0059760B">
        <w:t>either in paid employment or self-employed</w:t>
      </w:r>
      <w:r w:rsidR="00343487">
        <w:t xml:space="preserve"> in 2009</w:t>
      </w:r>
      <w:r w:rsidR="0059760B">
        <w:t xml:space="preserve">, only 0.4 </w:t>
      </w:r>
      <w:r w:rsidR="00C62E04">
        <w:t>percent is</w:t>
      </w:r>
      <w:r w:rsidR="0059760B">
        <w:t xml:space="preserve"> </w:t>
      </w:r>
      <w:r w:rsidR="00935935">
        <w:t xml:space="preserve">classified as </w:t>
      </w:r>
      <w:r w:rsidR="0059760B">
        <w:t>employers</w:t>
      </w:r>
      <w:r w:rsidR="0059760B">
        <w:rPr>
          <w:rStyle w:val="FootnoteReference"/>
        </w:rPr>
        <w:footnoteReference w:id="12"/>
      </w:r>
      <w:r w:rsidR="00935935">
        <w:t>. Furthermore, there are pron</w:t>
      </w:r>
      <w:r w:rsidR="00040F70">
        <w:t>ounced gender disparities as this figure</w:t>
      </w:r>
      <w:r w:rsidR="00935935">
        <w:t xml:space="preserve"> amounts to 0.7 percent for males, but only 0.1 percent for females. </w:t>
      </w:r>
      <w:r w:rsidR="00040F70">
        <w:t>The share of employers varies cons</w:t>
      </w:r>
      <w:r w:rsidR="0060790F">
        <w:t>iderably across the region, from</w:t>
      </w:r>
      <w:r w:rsidR="00040F70">
        <w:t xml:space="preserve"> relatively similar levels for instance in Armenia (0.5 percent), to 4 percent in Bulg</w:t>
      </w:r>
      <w:r w:rsidR="001C7E87">
        <w:t>aria, and up to 6 percent in Turkey. In any</w:t>
      </w:r>
      <w:r w:rsidR="0060790F">
        <w:t xml:space="preserve"> country, the prevalent pattern</w:t>
      </w:r>
      <w:r w:rsidR="001C7E87">
        <w:t xml:space="preserve"> is that males are more likely to be employers than females </w:t>
      </w:r>
      <w:r w:rsidR="00E12159">
        <w:fldChar w:fldCharType="begin"/>
      </w:r>
      <w:r w:rsidR="001C7E87">
        <w:instrText xml:space="preserve"> </w:instrText>
      </w:r>
      <w:r w:rsidR="009F7A22">
        <w:instrText>ADDIN</w:instrText>
      </w:r>
      <w:r w:rsidR="001C7E87">
        <w:instrText xml:space="preserve"> EN.CITE &lt;EndNote&gt;&lt;Cite&gt;&lt;Author&gt;UNECE&lt;/Author&gt;&lt;Year&gt;2012&lt;/Year&gt;&lt;RecNum&gt;33&lt;/RecNum&gt;&lt;DisplayText&gt;(UNECE, 2012)&lt;/DisplayText&gt;&lt;record&gt;&lt;rec-number&gt;33&lt;/rec-number&gt;&lt;foreign-keys&gt;&lt;key app="EN" db-id="wes5dreptvrsr2eeartvxexxftt2tastxrfs"&gt;33&lt;/key&gt;&lt;/foreign-keys&gt;&lt;ref-type name="Book"&gt;6&lt;/ref-type&gt;&lt;contributors&gt;&lt;authors&gt;&lt;author&gt;UNECE&lt;/author&gt;&lt;/authors&gt;&lt;/contributors&gt;&lt;titles&gt;&lt;title&gt;Statistical Database&lt;/title&gt;&lt;/titles&gt;&lt;dates&gt;&lt;year&gt;2012&lt;/year&gt;&lt;/dates&gt;&lt;pub-location&gt;Geneva&lt;/pub-location&gt;&lt;publisher&gt;United Nations Economic Commission for Europe&lt;/publisher&gt;&lt;urls&gt;&lt;/urls&gt;&lt;/record&gt;&lt;/Cite&gt;&lt;/EndNote&gt;</w:instrText>
      </w:r>
      <w:r w:rsidR="00E12159">
        <w:fldChar w:fldCharType="separate"/>
      </w:r>
      <w:r w:rsidR="001C7E87">
        <w:rPr>
          <w:noProof/>
        </w:rPr>
        <w:t>(</w:t>
      </w:r>
      <w:hyperlink w:anchor="_ENREF_58" w:tooltip="UNECE, 2012 #33" w:history="1">
        <w:r w:rsidR="006A1532">
          <w:rPr>
            <w:noProof/>
          </w:rPr>
          <w:t>UNECE, 2012</w:t>
        </w:r>
      </w:hyperlink>
      <w:r w:rsidR="001C7E87">
        <w:rPr>
          <w:noProof/>
        </w:rPr>
        <w:t>)</w:t>
      </w:r>
      <w:r w:rsidR="00E12159">
        <w:fldChar w:fldCharType="end"/>
      </w:r>
      <w:r w:rsidR="001C7E87">
        <w:t>.</w:t>
      </w:r>
    </w:p>
    <w:p w14:paraId="55215216" w14:textId="4683454A" w:rsidR="0059760B" w:rsidRDefault="00C62E04" w:rsidP="00450916">
      <w:pPr>
        <w:pStyle w:val="MainParawithChapter"/>
        <w:ind w:left="0" w:firstLine="0"/>
        <w:jc w:val="both"/>
        <w:outlineLvl w:val="9"/>
      </w:pPr>
      <w:r>
        <w:rPr>
          <w:b/>
        </w:rPr>
        <w:t>Women</w:t>
      </w:r>
      <w:r w:rsidR="0059760B">
        <w:rPr>
          <w:b/>
        </w:rPr>
        <w:t xml:space="preserve"> constitute approximately one third of indivi</w:t>
      </w:r>
      <w:r>
        <w:rPr>
          <w:b/>
        </w:rPr>
        <w:t>dual entrepreneurs, but are considerably</w:t>
      </w:r>
      <w:r w:rsidR="0059760B">
        <w:rPr>
          <w:b/>
        </w:rPr>
        <w:t xml:space="preserve"> less </w:t>
      </w:r>
      <w:r w:rsidR="0059760B" w:rsidRPr="00450916">
        <w:rPr>
          <w:b/>
          <w:bCs/>
          <w:color w:val="000000" w:themeColor="text1"/>
        </w:rPr>
        <w:t>frequently</w:t>
      </w:r>
      <w:r w:rsidR="0059760B">
        <w:rPr>
          <w:b/>
        </w:rPr>
        <w:t xml:space="preserve"> involved in the management of </w:t>
      </w:r>
      <w:r w:rsidR="0059760B" w:rsidRPr="0060790F">
        <w:rPr>
          <w:b/>
          <w:i/>
        </w:rPr>
        <w:t>dekhan</w:t>
      </w:r>
      <w:r w:rsidR="0059760B">
        <w:rPr>
          <w:b/>
        </w:rPr>
        <w:t xml:space="preserve"> farms and small and medium enterprises. </w:t>
      </w:r>
      <w:r w:rsidR="0059760B" w:rsidRPr="00E32F11">
        <w:t xml:space="preserve">The </w:t>
      </w:r>
      <w:r w:rsidR="0059760B">
        <w:t>IFC SME Survey</w:t>
      </w:r>
      <w:r w:rsidR="0059760B">
        <w:rPr>
          <w:rStyle w:val="FootnoteReference"/>
        </w:rPr>
        <w:footnoteReference w:id="13"/>
      </w:r>
      <w:r w:rsidR="0059760B">
        <w:t xml:space="preserve"> focuses on different aspects of the business environment from the point of view of small and medium enterprises </w:t>
      </w:r>
      <w:r w:rsidR="00E12159">
        <w:fldChar w:fldCharType="begin"/>
      </w:r>
      <w:r w:rsidR="00624BF3">
        <w:instrText xml:space="preserve"> ADDIN EN.CITE &lt;EndNote&gt;&lt;Cite&gt;&lt;Author&gt;IFC&lt;/Author&gt;&lt;Year&gt;2009&lt;/Year&gt;&lt;RecNum&gt;64&lt;/RecNum&gt;&lt;DisplayText&gt;(IFC, 2009a)&lt;/DisplayText&gt;&lt;record&gt;&lt;rec-number&gt;64&lt;/rec-number&gt;&lt;foreign-keys&gt;&lt;key app="EN" db-id="wes5dreptvrsr2eeartvxexxftt2tastxrfs"&gt;64&lt;/key&gt;&lt;/foreign-keys&gt;&lt;ref-type name="Book"&gt;6&lt;/ref-type&gt;&lt;contributors&gt;&lt;authors&gt;&lt;author&gt;IFC&lt;/author&gt;&lt;/authors&gt;&lt;/contributors&gt;&lt;titles&gt;&lt;title&gt;Business Environment in Tajikistan as Seen by Small and Medium Enterprises&lt;/title&gt;&lt;/titles&gt;&lt;dates&gt;&lt;year&gt;2009&lt;/year&gt;&lt;/dates&gt;&lt;pub-location&gt;Dushanbe&lt;/pub-location&gt;&lt;publisher&gt;International Finance Corporation&lt;/publisher&gt;&lt;urls&gt;&lt;/urls&gt;&lt;/record&gt;&lt;/Cite&gt;&lt;/EndNote&gt;</w:instrText>
      </w:r>
      <w:r w:rsidR="00E12159">
        <w:fldChar w:fldCharType="separate"/>
      </w:r>
      <w:r w:rsidR="00624BF3">
        <w:rPr>
          <w:noProof/>
        </w:rPr>
        <w:t>(</w:t>
      </w:r>
      <w:hyperlink w:anchor="_ENREF_23" w:tooltip="IFC, 2009 #64" w:history="1">
        <w:r w:rsidR="006A1532">
          <w:rPr>
            <w:noProof/>
          </w:rPr>
          <w:t>IFC, 2009a</w:t>
        </w:r>
      </w:hyperlink>
      <w:r w:rsidR="00624BF3">
        <w:rPr>
          <w:noProof/>
        </w:rPr>
        <w:t>)</w:t>
      </w:r>
      <w:r w:rsidR="00E12159">
        <w:fldChar w:fldCharType="end"/>
      </w:r>
      <w:r w:rsidR="0059760B">
        <w:t xml:space="preserve">. The importance of the SME </w:t>
      </w:r>
      <w:r w:rsidR="00C33C69">
        <w:t xml:space="preserve">(small and medium enterprise) </w:t>
      </w:r>
      <w:r w:rsidR="0059760B">
        <w:t>sector is illustrated by the fact that it represented approximately 50 percent of total employment in 2007, with two thirds of SME workers being active in the agricultural sector. Between 2002 and 2007, the</w:t>
      </w:r>
      <w:r w:rsidR="0060790F">
        <w:t xml:space="preserve"> average annual growth rates were</w:t>
      </w:r>
      <w:r w:rsidR="0059760B">
        <w:t xml:space="preserve"> 10 percent for the number of individual entrepreneurs, 16 percent for </w:t>
      </w:r>
      <w:r w:rsidR="0059760B" w:rsidRPr="00C07CF8">
        <w:rPr>
          <w:i/>
        </w:rPr>
        <w:t>dekhan</w:t>
      </w:r>
      <w:r w:rsidR="0059760B">
        <w:t xml:space="preserve"> farms, but only 5 percent for small and medium companies. Women are relatively well presented in the individual entrepreneur segment, where 3</w:t>
      </w:r>
      <w:r w:rsidR="00C33C69">
        <w:t>6 percent of all</w:t>
      </w:r>
      <w:r w:rsidR="0059760B">
        <w:t xml:space="preserve"> managers are female. However, </w:t>
      </w:r>
      <w:r w:rsidR="005B4CA2">
        <w:t xml:space="preserve">they </w:t>
      </w:r>
      <w:r w:rsidR="0059760B">
        <w:t>manage only 16 percent of sma</w:t>
      </w:r>
      <w:r w:rsidR="00F11055">
        <w:t>ll and medium enterprises, and less than ten</w:t>
      </w:r>
      <w:r w:rsidR="0059760B">
        <w:t xml:space="preserve"> percent of all </w:t>
      </w:r>
      <w:r w:rsidR="0059760B" w:rsidRPr="00C33C69">
        <w:rPr>
          <w:i/>
        </w:rPr>
        <w:t xml:space="preserve">dekhan </w:t>
      </w:r>
      <w:r w:rsidR="0059760B">
        <w:t xml:space="preserve">farms. The latter finding is all the more striking as women constitute half of the workers in this segment, and </w:t>
      </w:r>
      <w:r>
        <w:t xml:space="preserve">this </w:t>
      </w:r>
      <w:r w:rsidR="0059760B">
        <w:t xml:space="preserve">needs to seen in relation to factors that constrain female entrepreneurship (see below). </w:t>
      </w:r>
    </w:p>
    <w:p w14:paraId="7A56EAA8" w14:textId="3642D98D" w:rsidR="0059760B" w:rsidRPr="0059760B" w:rsidRDefault="0059760B" w:rsidP="00450916">
      <w:pPr>
        <w:pStyle w:val="MainParawithChapter"/>
        <w:ind w:left="0" w:firstLine="0"/>
        <w:jc w:val="both"/>
        <w:outlineLvl w:val="9"/>
        <w:rPr>
          <w:b/>
        </w:rPr>
      </w:pPr>
      <w:r>
        <w:rPr>
          <w:b/>
        </w:rPr>
        <w:t>Less than</w:t>
      </w:r>
      <w:r w:rsidR="00C62E04">
        <w:rPr>
          <w:b/>
        </w:rPr>
        <w:t xml:space="preserve"> twelve </w:t>
      </w:r>
      <w:r w:rsidRPr="00DF7AC4">
        <w:rPr>
          <w:b/>
        </w:rPr>
        <w:t>percent of top managers in Tajikistan</w:t>
      </w:r>
      <w:r>
        <w:rPr>
          <w:b/>
        </w:rPr>
        <w:t xml:space="preserve">’s private nonagricultural </w:t>
      </w:r>
      <w:r w:rsidRPr="00450916">
        <w:rPr>
          <w:b/>
          <w:bCs/>
          <w:color w:val="000000" w:themeColor="text1"/>
        </w:rPr>
        <w:t>economy</w:t>
      </w:r>
      <w:r w:rsidRPr="00DF7AC4">
        <w:rPr>
          <w:b/>
        </w:rPr>
        <w:t xml:space="preserve"> are female</w:t>
      </w:r>
      <w:r>
        <w:rPr>
          <w:b/>
        </w:rPr>
        <w:t xml:space="preserve">, though </w:t>
      </w:r>
      <w:r w:rsidR="00C62E04">
        <w:rPr>
          <w:b/>
        </w:rPr>
        <w:t xml:space="preserve">women’s </w:t>
      </w:r>
      <w:r>
        <w:rPr>
          <w:b/>
        </w:rPr>
        <w:t xml:space="preserve">involvement </w:t>
      </w:r>
      <w:r w:rsidR="00C62E04">
        <w:rPr>
          <w:b/>
        </w:rPr>
        <w:t xml:space="preserve">in top management </w:t>
      </w:r>
      <w:r>
        <w:rPr>
          <w:b/>
        </w:rPr>
        <w:t>differs depending on firm characteristics</w:t>
      </w:r>
      <w:r w:rsidRPr="00DF7AC4">
        <w:rPr>
          <w:b/>
        </w:rPr>
        <w:t xml:space="preserve">. </w:t>
      </w:r>
      <w:r>
        <w:t>The 2008 Business Environment and Ente</w:t>
      </w:r>
      <w:r w:rsidR="00366228">
        <w:t>rprise Performance Survey</w:t>
      </w:r>
      <w:r>
        <w:rPr>
          <w:rStyle w:val="FootnoteReference"/>
        </w:rPr>
        <w:footnoteReference w:id="14"/>
      </w:r>
      <w:r>
        <w:t xml:space="preserve"> finds that only twelve percent of companies in the private non-agricultural sector with more than five employees is run by women. This means, it is only in Kosovo, Azerbaijan, and Uzbekistan that even fewer women participate in the top management of a company </w:t>
      </w:r>
      <w:r w:rsidR="00E12159">
        <w:fldChar w:fldCharType="begin"/>
      </w:r>
      <w:r w:rsidR="00624BF3">
        <w:instrText xml:space="preserve"> ADDIN EN.CITE &lt;EndNote&gt;&lt;Cite&gt;&lt;Author&gt;IFC&lt;/Author&gt;&lt;Year&gt;2009&lt;/Year&gt;&lt;RecNum&gt;49&lt;/RecNum&gt;&lt;DisplayText&gt;(IFC, 2009b)&lt;/DisplayText&gt;&lt;record&gt;&lt;rec-number&gt;49&lt;/rec-number&gt;&lt;foreign-keys&gt;&lt;key app="EN" db-id="wes5dreptvrsr2eeartvxexxftt2tastxrfs"&gt;49&lt;/key&gt;&lt;/foreign-keys&gt;&lt;ref-type name="Journal Article"&gt;17&lt;/ref-type&gt;&lt;contributors&gt;&lt;authors&gt;&lt;author&gt;IFC&lt;/author&gt;&lt;/authors&gt;&lt;/contributors&gt;&lt;titles&gt;&lt;title&gt;Running a Business in Tajikistan&lt;/title&gt;&lt;secondary-title&gt;Enterprise Surveys Country Note Series&lt;/secondary-title&gt;&lt;/titles&gt;&lt;periodical&gt;&lt;full-title&gt;Enterprise Surveys Country Note Series&lt;/full-title&gt;&lt;/periodical&gt;&lt;volume&gt;No. 4&lt;/volume&gt;&lt;dates&gt;&lt;year&gt;2009&lt;/year&gt;&lt;/dates&gt;&lt;urls&gt;&lt;/urls&gt;&lt;/record&gt;&lt;/Cite&gt;&lt;/EndNote&gt;</w:instrText>
      </w:r>
      <w:r w:rsidR="00E12159">
        <w:fldChar w:fldCharType="separate"/>
      </w:r>
      <w:r w:rsidR="00624BF3">
        <w:rPr>
          <w:noProof/>
        </w:rPr>
        <w:t>(</w:t>
      </w:r>
      <w:hyperlink w:anchor="_ENREF_24" w:tooltip="IFC, 2009 #49" w:history="1">
        <w:r w:rsidR="006A1532">
          <w:rPr>
            <w:noProof/>
          </w:rPr>
          <w:t>IFC, 2009b</w:t>
        </w:r>
      </w:hyperlink>
      <w:r w:rsidR="00624BF3">
        <w:rPr>
          <w:noProof/>
        </w:rPr>
        <w:t>)</w:t>
      </w:r>
      <w:r w:rsidR="00E12159">
        <w:fldChar w:fldCharType="end"/>
      </w:r>
      <w:r>
        <w:t>. The extent of female involvement, however, differs across characteristics of the interviewed firms. 28 percent of firms in the retail sector have a female top manager, whereas this share is only</w:t>
      </w:r>
      <w:r w:rsidR="004D4C34">
        <w:t xml:space="preserve"> between 7 and</w:t>
      </w:r>
      <w:r>
        <w:t xml:space="preserve"> 8 percent in manufacturing and other services firms. Moreover, small enterprises with up to 19 employees are more likely to be run by a woman (14 percent) </w:t>
      </w:r>
      <w:r>
        <w:lastRenderedPageBreak/>
        <w:t>than medium and large companies (10 percent respectively)</w:t>
      </w:r>
      <w:r w:rsidR="004D4C34">
        <w:t>. Fina</w:t>
      </w:r>
      <w:r w:rsidR="002B33B8">
        <w:t xml:space="preserve">lly, </w:t>
      </w:r>
      <w:r w:rsidR="00F11055">
        <w:t xml:space="preserve">women more often lead </w:t>
      </w:r>
      <w:r w:rsidR="002B33B8">
        <w:t>firms located in Dushanbe</w:t>
      </w:r>
      <w:r w:rsidR="004D4C34">
        <w:t xml:space="preserve"> and business</w:t>
      </w:r>
      <w:r w:rsidR="002B33B8">
        <w:t>es</w:t>
      </w:r>
      <w:r w:rsidR="004D4C34">
        <w:t xml:space="preserve"> in foreign ownership </w:t>
      </w:r>
      <w:r>
        <w:t xml:space="preserve">(see </w:t>
      </w:r>
      <w:r w:rsidR="00E12159">
        <w:fldChar w:fldCharType="begin"/>
      </w:r>
      <w:r>
        <w:instrText xml:space="preserve"> </w:instrText>
      </w:r>
      <w:r w:rsidR="009F7A22">
        <w:instrText>REF</w:instrText>
      </w:r>
      <w:r>
        <w:instrText xml:space="preserve"> _Ref221241727 \h </w:instrText>
      </w:r>
      <w:r w:rsidR="00E12159">
        <w:fldChar w:fldCharType="separate"/>
      </w:r>
      <w:r w:rsidR="00183FFF" w:rsidRPr="00CF5746">
        <w:rPr>
          <w:b/>
          <w:sz w:val="22"/>
          <w:szCs w:val="22"/>
        </w:rPr>
        <w:t xml:space="preserve">Figure </w:t>
      </w:r>
      <w:r w:rsidR="00183FFF">
        <w:rPr>
          <w:b/>
          <w:noProof/>
          <w:sz w:val="22"/>
          <w:szCs w:val="22"/>
        </w:rPr>
        <w:t>17</w:t>
      </w:r>
      <w:r w:rsidR="00E12159">
        <w:fldChar w:fldCharType="end"/>
      </w:r>
      <w:r>
        <w:t xml:space="preserve">). </w:t>
      </w:r>
    </w:p>
    <w:p w14:paraId="737538F9" w14:textId="77777777" w:rsidR="00CF5746" w:rsidRPr="00CF5746" w:rsidRDefault="00CF5746" w:rsidP="00CF5746">
      <w:pPr>
        <w:spacing w:after="60"/>
        <w:jc w:val="center"/>
        <w:rPr>
          <w:b/>
          <w:sz w:val="22"/>
          <w:szCs w:val="22"/>
        </w:rPr>
      </w:pPr>
      <w:bookmarkStart w:id="68" w:name="_Ref221241727"/>
      <w:bookmarkStart w:id="69" w:name="_Toc232694755"/>
      <w:proofErr w:type="gramStart"/>
      <w:r w:rsidRPr="00CF5746">
        <w:rPr>
          <w:b/>
          <w:sz w:val="22"/>
          <w:szCs w:val="22"/>
        </w:rPr>
        <w:t xml:space="preserve">Figure </w:t>
      </w:r>
      <w:r w:rsidR="00E12159" w:rsidRPr="00CF5746">
        <w:rPr>
          <w:b/>
          <w:sz w:val="22"/>
          <w:szCs w:val="22"/>
        </w:rPr>
        <w:fldChar w:fldCharType="begin"/>
      </w:r>
      <w:r w:rsidRPr="00CF5746">
        <w:rPr>
          <w:b/>
          <w:sz w:val="22"/>
          <w:szCs w:val="22"/>
        </w:rPr>
        <w:instrText xml:space="preserve"> </w:instrText>
      </w:r>
      <w:r w:rsidR="009F7A22">
        <w:rPr>
          <w:b/>
          <w:sz w:val="22"/>
          <w:szCs w:val="22"/>
        </w:rPr>
        <w:instrText>SEQ</w:instrText>
      </w:r>
      <w:r w:rsidRPr="00CF5746">
        <w:rPr>
          <w:b/>
          <w:sz w:val="22"/>
          <w:szCs w:val="22"/>
        </w:rPr>
        <w:instrText xml:space="preserve"> Figure \* ARABIC </w:instrText>
      </w:r>
      <w:r w:rsidR="00E12159" w:rsidRPr="00CF5746">
        <w:rPr>
          <w:b/>
          <w:sz w:val="22"/>
          <w:szCs w:val="22"/>
        </w:rPr>
        <w:fldChar w:fldCharType="separate"/>
      </w:r>
      <w:r w:rsidR="00183FFF">
        <w:rPr>
          <w:b/>
          <w:noProof/>
          <w:sz w:val="22"/>
          <w:szCs w:val="22"/>
        </w:rPr>
        <w:t>17</w:t>
      </w:r>
      <w:r w:rsidR="00E12159" w:rsidRPr="00CF5746">
        <w:rPr>
          <w:b/>
          <w:sz w:val="22"/>
          <w:szCs w:val="22"/>
        </w:rPr>
        <w:fldChar w:fldCharType="end"/>
      </w:r>
      <w:bookmarkEnd w:id="68"/>
      <w:r w:rsidRPr="00CF5746">
        <w:rPr>
          <w:b/>
          <w:sz w:val="22"/>
          <w:szCs w:val="22"/>
        </w:rPr>
        <w:t>.</w:t>
      </w:r>
      <w:proofErr w:type="gramEnd"/>
      <w:r w:rsidRPr="00CF5746">
        <w:rPr>
          <w:b/>
          <w:sz w:val="22"/>
          <w:szCs w:val="22"/>
        </w:rPr>
        <w:t xml:space="preserve"> Percent of firms with female top manager </w:t>
      </w:r>
      <w:r w:rsidR="0067777B">
        <w:rPr>
          <w:b/>
          <w:sz w:val="22"/>
          <w:szCs w:val="22"/>
        </w:rPr>
        <w:t xml:space="preserve">and female participation in ownership </w:t>
      </w:r>
      <w:r w:rsidRPr="00CF5746">
        <w:rPr>
          <w:b/>
          <w:sz w:val="22"/>
          <w:szCs w:val="22"/>
        </w:rPr>
        <w:t>(%), by characteristics of firm, 2008</w:t>
      </w:r>
      <w:bookmarkEnd w:id="69"/>
    </w:p>
    <w:p w14:paraId="731791BA" w14:textId="77777777" w:rsidR="007E1F5D" w:rsidRDefault="0067777B" w:rsidP="007E1F5D">
      <w:pPr>
        <w:pStyle w:val="MainParawithChapter"/>
        <w:numPr>
          <w:ilvl w:val="0"/>
          <w:numId w:val="0"/>
        </w:numPr>
        <w:spacing w:after="0"/>
        <w:jc w:val="both"/>
        <w:outlineLvl w:val="9"/>
        <w:rPr>
          <w:b/>
        </w:rPr>
      </w:pPr>
      <w:r>
        <w:rPr>
          <w:noProof/>
        </w:rPr>
        <w:drawing>
          <wp:inline distT="0" distB="0" distL="0" distR="0" wp14:anchorId="04A6A058" wp14:editId="07620A31">
            <wp:extent cx="5486400" cy="2518215"/>
            <wp:effectExtent l="0" t="0" r="25400" b="2222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A3E94B6" w14:textId="77777777" w:rsidR="007E1F5D" w:rsidRDefault="007E1F5D" w:rsidP="003C64EF">
      <w:pPr>
        <w:pStyle w:val="MainParawithChapter"/>
        <w:numPr>
          <w:ilvl w:val="0"/>
          <w:numId w:val="0"/>
        </w:numPr>
        <w:spacing w:after="0"/>
        <w:jc w:val="both"/>
        <w:outlineLvl w:val="9"/>
        <w:rPr>
          <w:sz w:val="22"/>
          <w:szCs w:val="22"/>
        </w:rPr>
      </w:pPr>
      <w:r>
        <w:rPr>
          <w:i/>
          <w:sz w:val="22"/>
          <w:szCs w:val="22"/>
        </w:rPr>
        <w:t xml:space="preserve">Notes: </w:t>
      </w:r>
      <w:r w:rsidR="003C64EF">
        <w:rPr>
          <w:sz w:val="22"/>
          <w:szCs w:val="22"/>
        </w:rPr>
        <w:t xml:space="preserve">RRP = Region of Republican Subordination. Exporters refer to firms whose direct exports are ten percent or more of sales. Foreign ownership applies to firms where ten percent or more of ownership is foreign.  </w:t>
      </w:r>
    </w:p>
    <w:p w14:paraId="7DDC0BF7" w14:textId="77777777" w:rsidR="00113271" w:rsidRDefault="003C64EF" w:rsidP="005B4CA2">
      <w:pPr>
        <w:pStyle w:val="MainParawithChapter"/>
        <w:numPr>
          <w:ilvl w:val="0"/>
          <w:numId w:val="0"/>
        </w:numPr>
        <w:jc w:val="both"/>
        <w:outlineLvl w:val="9"/>
        <w:rPr>
          <w:sz w:val="22"/>
          <w:szCs w:val="22"/>
        </w:rPr>
      </w:pPr>
      <w:r w:rsidRPr="00B00903">
        <w:rPr>
          <w:i/>
          <w:sz w:val="22"/>
          <w:szCs w:val="22"/>
        </w:rPr>
        <w:t>Source:</w:t>
      </w:r>
      <w:r>
        <w:rPr>
          <w:sz w:val="22"/>
          <w:szCs w:val="22"/>
        </w:rPr>
        <w:t xml:space="preserve"> </w:t>
      </w:r>
      <w:r w:rsidR="00CF641A">
        <w:rPr>
          <w:sz w:val="22"/>
          <w:szCs w:val="22"/>
        </w:rPr>
        <w:t>Enterprise Surveys</w:t>
      </w:r>
      <w:r w:rsidR="0068406D">
        <w:rPr>
          <w:sz w:val="22"/>
          <w:szCs w:val="22"/>
        </w:rPr>
        <w:t xml:space="preserve">, </w:t>
      </w:r>
      <w:r w:rsidR="007F4E5A">
        <w:rPr>
          <w:sz w:val="22"/>
          <w:szCs w:val="22"/>
        </w:rPr>
        <w:t>World Bank, Washington, DC</w:t>
      </w:r>
      <w:r w:rsidR="0068406D">
        <w:rPr>
          <w:sz w:val="22"/>
          <w:szCs w:val="22"/>
        </w:rPr>
        <w:t xml:space="preserve">, </w:t>
      </w:r>
      <w:hyperlink r:id="rId50" w:history="1">
        <w:r w:rsidR="004A3D71" w:rsidRPr="00C06A58">
          <w:rPr>
            <w:rStyle w:val="Hyperlink"/>
            <w:sz w:val="22"/>
            <w:szCs w:val="22"/>
          </w:rPr>
          <w:t>http://www.enterprisesurveys.org/</w:t>
        </w:r>
      </w:hyperlink>
      <w:r w:rsidR="00DB3870">
        <w:rPr>
          <w:sz w:val="22"/>
          <w:szCs w:val="22"/>
        </w:rPr>
        <w:t>.</w:t>
      </w:r>
    </w:p>
    <w:p w14:paraId="7DC3FA9D" w14:textId="77777777" w:rsidR="00AB14DE" w:rsidRPr="00BC7326" w:rsidRDefault="00D94E35" w:rsidP="00450916">
      <w:pPr>
        <w:pStyle w:val="MainParawithChapter"/>
        <w:ind w:left="0" w:firstLine="0"/>
        <w:jc w:val="both"/>
        <w:outlineLvl w:val="9"/>
        <w:rPr>
          <w:b/>
        </w:rPr>
      </w:pPr>
      <w:r>
        <w:rPr>
          <w:b/>
        </w:rPr>
        <w:t xml:space="preserve">While </w:t>
      </w:r>
      <w:r w:rsidR="004A3D71" w:rsidRPr="00450916">
        <w:rPr>
          <w:b/>
          <w:bCs/>
          <w:color w:val="000000" w:themeColor="text1"/>
        </w:rPr>
        <w:t>women</w:t>
      </w:r>
      <w:r w:rsidR="004A3D71" w:rsidRPr="00D94E35">
        <w:rPr>
          <w:b/>
        </w:rPr>
        <w:t xml:space="preserve"> participate in the ownership of one third of the firms in the</w:t>
      </w:r>
      <w:r w:rsidR="00AB14DE" w:rsidRPr="00D94E35">
        <w:rPr>
          <w:b/>
        </w:rPr>
        <w:t xml:space="preserve"> </w:t>
      </w:r>
      <w:r>
        <w:rPr>
          <w:b/>
        </w:rPr>
        <w:t>private nonagricultural sector in total, these shares are remarkably highe</w:t>
      </w:r>
      <w:r w:rsidR="00A45C3A">
        <w:rPr>
          <w:b/>
        </w:rPr>
        <w:t>r in large firms</w:t>
      </w:r>
      <w:r w:rsidR="00B41C1E">
        <w:rPr>
          <w:b/>
        </w:rPr>
        <w:t xml:space="preserve"> and firms in the retail sector</w:t>
      </w:r>
      <w:r>
        <w:rPr>
          <w:b/>
        </w:rPr>
        <w:t xml:space="preserve">. </w:t>
      </w:r>
      <w:r w:rsidR="00343487">
        <w:rPr>
          <w:b/>
        </w:rPr>
        <w:t xml:space="preserve"> </w:t>
      </w:r>
      <w:r w:rsidR="00A45C3A">
        <w:t xml:space="preserve">On average, women participate in the ownership of 34 percent of the firms that were surveyed </w:t>
      </w:r>
      <w:r w:rsidR="00B41C1E">
        <w:t>in the BEEPS in 2008</w:t>
      </w:r>
      <w:r w:rsidR="00BC7326">
        <w:t>. This rate is comparable to the average across countries in Europe and Central Asia</w:t>
      </w:r>
      <w:r w:rsidR="00B41C1E">
        <w:t xml:space="preserve">. As it is </w:t>
      </w:r>
      <w:r w:rsidR="00A45C3A">
        <w:t xml:space="preserve">the case with women in top management, female ownership also varies according to a firm’s characteristics. </w:t>
      </w:r>
      <w:r w:rsidR="00FF0034">
        <w:t xml:space="preserve">Interestingly, women participate in the ownership of half of </w:t>
      </w:r>
      <w:r w:rsidR="001D3274">
        <w:t xml:space="preserve">all </w:t>
      </w:r>
      <w:r w:rsidR="00FF0034">
        <w:t>large companies with more than a 100 employees, as well as of 51 percent of firms located in Dushanbe. Female ownership participation is also more</w:t>
      </w:r>
      <w:r w:rsidR="00AC435A">
        <w:t xml:space="preserve"> frequent in the retail sector </w:t>
      </w:r>
      <w:r w:rsidR="00E00A80">
        <w:t>(</w:t>
      </w:r>
      <w:r w:rsidR="00AC435A">
        <w:t>45 percent).</w:t>
      </w:r>
      <w:r w:rsidR="00E00A80">
        <w:t xml:space="preserve"> This contrasts with </w:t>
      </w:r>
      <w:r w:rsidR="007D53B4">
        <w:t xml:space="preserve">small businesses </w:t>
      </w:r>
      <w:r w:rsidR="001D3274">
        <w:t>with 5 to 19 employees, of which</w:t>
      </w:r>
      <w:r w:rsidR="002C0132">
        <w:t xml:space="preserve"> only 28 percent have women involved in ownership, other services firms (29 percent), and firms located in the Region of Republican Subordination (19 percent)</w:t>
      </w:r>
      <w:r w:rsidR="001D3274" w:rsidRPr="001D3274">
        <w:t xml:space="preserve"> </w:t>
      </w:r>
      <w:r w:rsidR="001D3274">
        <w:t xml:space="preserve">(see </w:t>
      </w:r>
      <w:r w:rsidR="00E12159">
        <w:fldChar w:fldCharType="begin"/>
      </w:r>
      <w:r w:rsidR="001D3274">
        <w:instrText xml:space="preserve"> </w:instrText>
      </w:r>
      <w:r w:rsidR="009F7A22">
        <w:instrText>REF</w:instrText>
      </w:r>
      <w:r w:rsidR="001D3274">
        <w:instrText xml:space="preserve"> _Ref221241727 \h </w:instrText>
      </w:r>
      <w:r w:rsidR="00E12159">
        <w:fldChar w:fldCharType="separate"/>
      </w:r>
      <w:r w:rsidR="00183FFF" w:rsidRPr="00CF5746">
        <w:rPr>
          <w:b/>
          <w:sz w:val="22"/>
          <w:szCs w:val="22"/>
        </w:rPr>
        <w:t xml:space="preserve">Figure </w:t>
      </w:r>
      <w:r w:rsidR="00183FFF">
        <w:rPr>
          <w:b/>
          <w:noProof/>
          <w:sz w:val="22"/>
          <w:szCs w:val="22"/>
        </w:rPr>
        <w:t>17</w:t>
      </w:r>
      <w:r w:rsidR="00E12159">
        <w:fldChar w:fldCharType="end"/>
      </w:r>
      <w:r w:rsidR="001D3274">
        <w:t>)</w:t>
      </w:r>
      <w:r w:rsidR="002C0132">
        <w:t>.</w:t>
      </w:r>
    </w:p>
    <w:p w14:paraId="62724AD9" w14:textId="1DD4248D" w:rsidR="00DB3870" w:rsidRPr="00714D72" w:rsidRDefault="00275628" w:rsidP="00450916">
      <w:pPr>
        <w:pStyle w:val="MainParawithChapter"/>
        <w:ind w:left="0" w:firstLine="0"/>
        <w:jc w:val="both"/>
        <w:outlineLvl w:val="9"/>
        <w:rPr>
          <w:b/>
        </w:rPr>
      </w:pPr>
      <w:r w:rsidRPr="008A434F">
        <w:rPr>
          <w:b/>
        </w:rPr>
        <w:t>F</w:t>
      </w:r>
      <w:r w:rsidR="006108C8" w:rsidRPr="008A434F">
        <w:rPr>
          <w:b/>
        </w:rPr>
        <w:t xml:space="preserve">emale involvement in ownership and the share of women among top managers </w:t>
      </w:r>
      <w:r w:rsidRPr="008A434F">
        <w:rPr>
          <w:b/>
        </w:rPr>
        <w:t>are usually positively associated</w:t>
      </w:r>
      <w:r w:rsidR="006108C8" w:rsidRPr="008A434F">
        <w:rPr>
          <w:b/>
        </w:rPr>
        <w:t xml:space="preserve">. </w:t>
      </w:r>
      <w:r w:rsidR="006108C8">
        <w:t xml:space="preserve">In most circumstances, </w:t>
      </w:r>
      <w:r w:rsidR="006324EF">
        <w:t xml:space="preserve">higher shares of female participation in ownership </w:t>
      </w:r>
      <w:r w:rsidR="007D7F5E">
        <w:t>coincide with more women</w:t>
      </w:r>
      <w:r w:rsidR="007E162D">
        <w:t xml:space="preserve"> </w:t>
      </w:r>
      <w:r>
        <w:t>in a firm’s top management</w:t>
      </w:r>
      <w:r w:rsidR="007E162D">
        <w:t>. Women</w:t>
      </w:r>
      <w:r>
        <w:t xml:space="preserve"> on average</w:t>
      </w:r>
      <w:r w:rsidR="007E162D">
        <w:t xml:space="preserve"> run 12 percent of all businesses, but this share increases to 30 percent in case of female participation in ownership, whereas it is only </w:t>
      </w:r>
      <w:r>
        <w:t>3 percent if owners a</w:t>
      </w:r>
      <w:r w:rsidR="008A434F">
        <w:t xml:space="preserve">re exclusively men </w:t>
      </w:r>
      <w:r w:rsidR="00E12159">
        <w:fldChar w:fldCharType="begin"/>
      </w:r>
      <w:r w:rsidR="008A434F">
        <w:instrText xml:space="preserve"> </w:instrText>
      </w:r>
      <w:r w:rsidR="009F7A22">
        <w:instrText>ADDIN</w:instrText>
      </w:r>
      <w:r w:rsidR="008A434F">
        <w:instrText xml:space="preserve"> EN.CITE &lt;EndNote&gt;&lt;Cite&gt;&lt;Author&gt;World Bank&lt;/Author&gt;&lt;Year&gt;2008&lt;/Year&gt;&lt;RecNum&gt;65&lt;/RecNum&gt;&lt;DisplayText&gt;(World Bank, 2008)&lt;/DisplayText&gt;&lt;record&gt;&lt;rec-number&gt;65&lt;/rec-number&gt;&lt;foreign-keys&gt;&lt;key app="EN" db-id="wes5dreptvrsr2eeartvxexxftt2tastxrfs"&gt;65&lt;/key&gt;&lt;/foreign-keys&gt;&lt;ref-type name="Book"&gt;6&lt;/ref-type&gt;&lt;contributors&gt;&lt;authors&gt;&lt;author&gt;World Bank&lt;/author&gt;&lt;/authors&gt;&lt;/contributors&gt;&lt;titles&gt;&lt;title&gt;Enterprise Surveys&lt;/title&gt;&lt;/titles&gt;&lt;dates&gt;&lt;year&gt;2008&lt;/year&gt;&lt;/dates&gt;&lt;pub-location&gt;Washington, DC&lt;/pub-location&gt;&lt;publisher&gt;World Bank&lt;/publisher&gt;&lt;urls&gt;&lt;/urls&gt;&lt;/record&gt;&lt;/Cite&gt;&lt;/EndNote&gt;</w:instrText>
      </w:r>
      <w:r w:rsidR="00E12159">
        <w:fldChar w:fldCharType="separate"/>
      </w:r>
      <w:r w:rsidR="008A434F">
        <w:rPr>
          <w:noProof/>
        </w:rPr>
        <w:t>(</w:t>
      </w:r>
      <w:hyperlink w:anchor="_ENREF_74" w:tooltip="World Bank, 2008 #65" w:history="1">
        <w:r w:rsidR="006A1532">
          <w:rPr>
            <w:noProof/>
          </w:rPr>
          <w:t>World Bank, 2008</w:t>
        </w:r>
      </w:hyperlink>
      <w:r w:rsidR="008A434F">
        <w:rPr>
          <w:noProof/>
        </w:rPr>
        <w:t>)</w:t>
      </w:r>
      <w:r w:rsidR="00E12159">
        <w:fldChar w:fldCharType="end"/>
      </w:r>
      <w:r w:rsidR="008A434F">
        <w:t>. This association</w:t>
      </w:r>
      <w:r>
        <w:t xml:space="preserve"> mat</w:t>
      </w:r>
      <w:r w:rsidR="008A434F">
        <w:t>erializes across</w:t>
      </w:r>
      <w:r>
        <w:t xml:space="preserve"> different firm character</w:t>
      </w:r>
      <w:r w:rsidR="008A434F">
        <w:t>istics, f</w:t>
      </w:r>
      <w:r w:rsidR="006324EF">
        <w:t xml:space="preserve">or instance, not only are more women involved in the ownership of firms in the retail sector, but the share of female top managers is also above the average. </w:t>
      </w:r>
      <w:r w:rsidR="007E162D">
        <w:t xml:space="preserve">Regarding the size of a firm, however, this pattern deviates, as the share of female top managers decreases </w:t>
      </w:r>
      <w:r w:rsidR="00592C7A">
        <w:t>with increasing size of the firm</w:t>
      </w:r>
      <w:r w:rsidR="007E162D">
        <w:t xml:space="preserve">, whereas the opposite is </w:t>
      </w:r>
      <w:r w:rsidR="007E162D">
        <w:lastRenderedPageBreak/>
        <w:t xml:space="preserve">true for female participation in ownership (see </w:t>
      </w:r>
      <w:r w:rsidR="00E12159">
        <w:fldChar w:fldCharType="begin"/>
      </w:r>
      <w:r w:rsidR="007E162D">
        <w:instrText xml:space="preserve"> </w:instrText>
      </w:r>
      <w:r w:rsidR="009F7A22">
        <w:instrText>REF</w:instrText>
      </w:r>
      <w:r w:rsidR="007E162D">
        <w:instrText xml:space="preserve"> _Ref221241727 \h </w:instrText>
      </w:r>
      <w:r w:rsidR="00E12159">
        <w:fldChar w:fldCharType="separate"/>
      </w:r>
      <w:r w:rsidR="00183FFF" w:rsidRPr="00CF5746">
        <w:rPr>
          <w:b/>
          <w:sz w:val="22"/>
          <w:szCs w:val="22"/>
        </w:rPr>
        <w:t xml:space="preserve">Figure </w:t>
      </w:r>
      <w:r w:rsidR="00183FFF">
        <w:rPr>
          <w:b/>
          <w:noProof/>
          <w:sz w:val="22"/>
          <w:szCs w:val="22"/>
        </w:rPr>
        <w:t>17</w:t>
      </w:r>
      <w:r w:rsidR="00E12159">
        <w:fldChar w:fldCharType="end"/>
      </w:r>
      <w:r w:rsidR="007E162D" w:rsidRPr="007D7F5E">
        <w:t>)</w:t>
      </w:r>
      <w:r w:rsidR="007E162D">
        <w:t xml:space="preserve">. </w:t>
      </w:r>
      <w:r w:rsidR="007D7F5E">
        <w:t>Nevertheless, the reasons for these observations are unclear, as this could reflect occupational segregation in the labor market, the preferences of female owners to hire women as top managers, or be the result of other un</w:t>
      </w:r>
      <w:r w:rsidR="000E17EC">
        <w:t xml:space="preserve">observed firm characteristics </w:t>
      </w:r>
      <w:r w:rsidR="00E12159">
        <w:fldChar w:fldCharType="begin"/>
      </w:r>
      <w:r w:rsidR="00D93AAA">
        <w:instrText xml:space="preserve"> </w:instrText>
      </w:r>
      <w:r w:rsidR="009F7A22">
        <w:instrText>ADDIN</w:instrText>
      </w:r>
      <w:r w:rsidR="00D93AAA">
        <w:instrText xml:space="preserve"> EN.CITE &lt;EndNote&gt;&lt;Cite&gt;&lt;Author&gt;Sattar&lt;/Author&gt;&lt;Year&gt;2012&lt;/Year&gt;&lt;RecNum&gt;3&lt;/RecNum&gt;&lt;Prefix&gt;cf. &lt;/Prefix&gt;&lt;DisplayText&gt;(cf. Sattar, 2012)&lt;/DisplayText&gt;&lt;record&gt;&lt;rec-number&gt;3&lt;/rec-number&gt;&lt;foreign-keys&gt;&lt;key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rsidR="00E12159">
        <w:fldChar w:fldCharType="separate"/>
      </w:r>
      <w:r w:rsidR="00D93AAA">
        <w:rPr>
          <w:noProof/>
        </w:rPr>
        <w:t>(</w:t>
      </w:r>
      <w:hyperlink w:anchor="_ENREF_45" w:tooltip="Sattar, 2012 #3" w:history="1">
        <w:r w:rsidR="006A1532">
          <w:rPr>
            <w:noProof/>
          </w:rPr>
          <w:t>cf. Sattar, 2012</w:t>
        </w:r>
      </w:hyperlink>
      <w:r w:rsidR="00D93AAA">
        <w:rPr>
          <w:noProof/>
        </w:rPr>
        <w:t>)</w:t>
      </w:r>
      <w:r w:rsidR="00E12159">
        <w:fldChar w:fldCharType="end"/>
      </w:r>
      <w:r w:rsidR="006933AF">
        <w:t>.</w:t>
      </w:r>
    </w:p>
    <w:p w14:paraId="55AE63BD" w14:textId="446115B8" w:rsidR="00714D72" w:rsidRPr="00E8479E" w:rsidRDefault="00714D72" w:rsidP="00450916">
      <w:pPr>
        <w:pStyle w:val="MainParawithChapter"/>
        <w:ind w:left="0" w:firstLine="0"/>
        <w:jc w:val="both"/>
        <w:outlineLvl w:val="9"/>
        <w:rPr>
          <w:b/>
        </w:rPr>
      </w:pPr>
      <w:r>
        <w:rPr>
          <w:b/>
        </w:rPr>
        <w:t xml:space="preserve">Annual employment growth as an indicator for business performance is higher in firms that are run by men than by women. </w:t>
      </w:r>
      <w:r>
        <w:t xml:space="preserve">In 2008, average annual employment growth across all firms amounted to six percent, but there is a considerable gap, as employment in firms with male top managers grew on average by seven percent, but only by three percent in companies that are managed by women. The reason for this finding is unclear, but </w:t>
      </w:r>
      <w:r w:rsidR="003020D5">
        <w:t xml:space="preserve">at first sight, </w:t>
      </w:r>
      <w:r>
        <w:t xml:space="preserve">it does not seem to be driven by the economic sector of a company, or its size. For instance, the male-dominated industry sector has the lowest growth rates in </w:t>
      </w:r>
      <w:r w:rsidR="003020D5">
        <w:t xml:space="preserve">employment, whereas the retail sector, where a larger share of women is involved in management responsibilities, on average shows the highest growth rates. The same is trues regarding the size of a company </w:t>
      </w:r>
      <w:r w:rsidR="00E12159">
        <w:fldChar w:fldCharType="begin"/>
      </w:r>
      <w:r w:rsidR="003020D5">
        <w:instrText xml:space="preserve"> </w:instrText>
      </w:r>
      <w:r w:rsidR="009F7A22">
        <w:instrText>ADDIN</w:instrText>
      </w:r>
      <w:r w:rsidR="003020D5">
        <w:instrText xml:space="preserve"> EN.CITE &lt;EndNote&gt;&lt;Cite&gt;&lt;Author&gt;World Bank&lt;/Author&gt;&lt;Year&gt;2008&lt;/Year&gt;&lt;RecNum&gt;65&lt;/RecNum&gt;&lt;DisplayText&gt;(World Bank, 2008)&lt;/DisplayText&gt;&lt;record&gt;&lt;rec-number&gt;65&lt;/rec-number&gt;&lt;foreign-keys&gt;&lt;key app="EN" db-id="wes5dreptvrsr2eeartvxexxftt2tastxrfs"&gt;65&lt;/key&gt;&lt;/foreign-keys&gt;&lt;ref-type name="Book"&gt;6&lt;/ref-type&gt;&lt;contributors&gt;&lt;authors&gt;&lt;author&gt;World Bank&lt;/author&gt;&lt;/authors&gt;&lt;/contributors&gt;&lt;titles&gt;&lt;title&gt;Enterprise Surveys&lt;/title&gt;&lt;/titles&gt;&lt;dates&gt;&lt;year&gt;2008&lt;/year&gt;&lt;/dates&gt;&lt;pub-location&gt;Washington, DC&lt;/pub-location&gt;&lt;publisher&gt;World Bank&lt;/publisher&gt;&lt;urls&gt;&lt;/urls&gt;&lt;/record&gt;&lt;/Cite&gt;&lt;/EndNote&gt;</w:instrText>
      </w:r>
      <w:r w:rsidR="00E12159">
        <w:fldChar w:fldCharType="separate"/>
      </w:r>
      <w:r w:rsidR="003020D5">
        <w:rPr>
          <w:noProof/>
        </w:rPr>
        <w:t>(</w:t>
      </w:r>
      <w:hyperlink w:anchor="_ENREF_74" w:tooltip="World Bank, 2008 #65" w:history="1">
        <w:r w:rsidR="006A1532">
          <w:rPr>
            <w:noProof/>
          </w:rPr>
          <w:t>World Bank, 2008</w:t>
        </w:r>
      </w:hyperlink>
      <w:r w:rsidR="003020D5">
        <w:rPr>
          <w:noProof/>
        </w:rPr>
        <w:t>)</w:t>
      </w:r>
      <w:r w:rsidR="00E12159">
        <w:fldChar w:fldCharType="end"/>
      </w:r>
      <w:r w:rsidR="003020D5">
        <w:t>.</w:t>
      </w:r>
    </w:p>
    <w:p w14:paraId="1E351BA2" w14:textId="77777777" w:rsidR="00EB766A" w:rsidRDefault="00593B5E" w:rsidP="004B1C94">
      <w:pPr>
        <w:pStyle w:val="Heading2"/>
        <w:numPr>
          <w:ilvl w:val="0"/>
          <w:numId w:val="6"/>
        </w:numPr>
      </w:pPr>
      <w:bookmarkStart w:id="70" w:name="_Toc226957256"/>
      <w:r>
        <w:t>Constraints on Women’s Entrepreneurship</w:t>
      </w:r>
      <w:bookmarkEnd w:id="70"/>
    </w:p>
    <w:p w14:paraId="7671E4C0" w14:textId="77777777" w:rsidR="005B3ED1" w:rsidRDefault="00A45707" w:rsidP="00450916">
      <w:pPr>
        <w:pStyle w:val="MainParawithChapter"/>
        <w:ind w:left="0" w:firstLine="0"/>
        <w:jc w:val="both"/>
        <w:outlineLvl w:val="9"/>
      </w:pPr>
      <w:r w:rsidRPr="00A45707">
        <w:rPr>
          <w:b/>
        </w:rPr>
        <w:t xml:space="preserve">Limited female involvement in entrepreneurial activities </w:t>
      </w:r>
      <w:r w:rsidR="003A1D85">
        <w:rPr>
          <w:b/>
        </w:rPr>
        <w:t xml:space="preserve">needs to be seen in </w:t>
      </w:r>
      <w:r w:rsidR="007256A4">
        <w:rPr>
          <w:b/>
        </w:rPr>
        <w:t xml:space="preserve">the </w:t>
      </w:r>
      <w:r w:rsidR="003A1D85">
        <w:rPr>
          <w:b/>
        </w:rPr>
        <w:t>light of several</w:t>
      </w:r>
      <w:r w:rsidRPr="00A45707">
        <w:rPr>
          <w:b/>
        </w:rPr>
        <w:t xml:space="preserve"> constraints, that is, </w:t>
      </w:r>
      <w:r w:rsidR="005B3ED1" w:rsidRPr="00A45707">
        <w:rPr>
          <w:b/>
        </w:rPr>
        <w:t>access</w:t>
      </w:r>
      <w:r>
        <w:rPr>
          <w:b/>
        </w:rPr>
        <w:t xml:space="preserve"> </w:t>
      </w:r>
      <w:r w:rsidR="0082556C">
        <w:rPr>
          <w:b/>
        </w:rPr>
        <w:t>to land, fi</w:t>
      </w:r>
      <w:r w:rsidR="007256A4">
        <w:rPr>
          <w:b/>
        </w:rPr>
        <w:t xml:space="preserve">nance, </w:t>
      </w:r>
      <w:r w:rsidR="002C6861">
        <w:rPr>
          <w:b/>
        </w:rPr>
        <w:t xml:space="preserve">information and </w:t>
      </w:r>
      <w:r w:rsidR="00BA08F7">
        <w:rPr>
          <w:b/>
        </w:rPr>
        <w:t>networks</w:t>
      </w:r>
      <w:r w:rsidR="003A1D85">
        <w:rPr>
          <w:b/>
        </w:rPr>
        <w:t>, as well as</w:t>
      </w:r>
      <w:r w:rsidR="00685823">
        <w:rPr>
          <w:b/>
        </w:rPr>
        <w:t xml:space="preserve"> gender sensitive barriers in the business environment</w:t>
      </w:r>
      <w:r w:rsidR="0082556C">
        <w:rPr>
          <w:b/>
        </w:rPr>
        <w:t>.</w:t>
      </w:r>
      <w:r w:rsidR="00256393">
        <w:rPr>
          <w:b/>
        </w:rPr>
        <w:t xml:space="preserve"> </w:t>
      </w:r>
      <w:r w:rsidR="00BA08F7" w:rsidRPr="00BA08F7">
        <w:t>Women’s limited participation in entrepreneurial</w:t>
      </w:r>
      <w:r w:rsidR="007256A4">
        <w:t xml:space="preserve"> activities</w:t>
      </w:r>
      <w:r w:rsidR="00BA08F7" w:rsidRPr="00BA08F7">
        <w:t xml:space="preserve"> </w:t>
      </w:r>
      <w:r w:rsidR="00764035">
        <w:t>warrants analysis</w:t>
      </w:r>
      <w:r w:rsidR="00BA08F7" w:rsidRPr="00BA08F7">
        <w:t xml:space="preserve"> in relation to </w:t>
      </w:r>
      <w:r w:rsidR="00BA08F7">
        <w:t xml:space="preserve">the constraints they face in doing business. </w:t>
      </w:r>
      <w:r w:rsidR="007256A4">
        <w:t>This section summarizes s</w:t>
      </w:r>
      <w:r w:rsidR="00685823">
        <w:t>everal</w:t>
      </w:r>
      <w:r w:rsidR="003A1D85">
        <w:t xml:space="preserve"> issues </w:t>
      </w:r>
      <w:r w:rsidR="007256A4">
        <w:t xml:space="preserve">that </w:t>
      </w:r>
      <w:r w:rsidR="003A1D85">
        <w:t>arise, namely</w:t>
      </w:r>
      <w:r w:rsidR="00BA08F7">
        <w:t>, access to land, finance, and networks</w:t>
      </w:r>
      <w:r w:rsidR="003A1D85">
        <w:t xml:space="preserve"> and information</w:t>
      </w:r>
      <w:r w:rsidR="00685823">
        <w:t>. Moreover, barriers in the business environment seem to affect male and female entrepreneurs at different scales.</w:t>
      </w:r>
      <w:r w:rsidR="00BA08F7">
        <w:t xml:space="preserve"> </w:t>
      </w:r>
      <w:r w:rsidR="00BA08F7" w:rsidRPr="00BA08F7">
        <w:t>Overall</w:t>
      </w:r>
      <w:r w:rsidR="00BA08F7">
        <w:t>, the analysis of access as granted by la</w:t>
      </w:r>
      <w:r w:rsidR="00764035">
        <w:t>w would be insufficient as man</w:t>
      </w:r>
      <w:r w:rsidR="00BC1A68">
        <w:t>y additional</w:t>
      </w:r>
      <w:r w:rsidR="00BA08F7">
        <w:t xml:space="preserve"> factors, stemming from cultural or social realities, hinder wom</w:t>
      </w:r>
      <w:r w:rsidR="00685823">
        <w:t>en’s access to resources.</w:t>
      </w:r>
    </w:p>
    <w:p w14:paraId="0A617DDC" w14:textId="77777777" w:rsidR="00BC1A68" w:rsidRPr="00BC1A68" w:rsidRDefault="00BC1A68" w:rsidP="00450916">
      <w:pPr>
        <w:pStyle w:val="MainParawithChapter"/>
        <w:ind w:left="0" w:firstLine="0"/>
        <w:jc w:val="both"/>
        <w:outlineLvl w:val="9"/>
        <w:rPr>
          <w:b/>
        </w:rPr>
      </w:pPr>
      <w:r w:rsidRPr="00BC1A68">
        <w:rPr>
          <w:b/>
        </w:rPr>
        <w:t xml:space="preserve">By law, the Republic of Tajikistan strives to provide equal access to economic resources for men and women alike. </w:t>
      </w:r>
      <w:r w:rsidR="00D56EA5">
        <w:t xml:space="preserve">In 2005, the </w:t>
      </w:r>
      <w:r w:rsidR="00482E27">
        <w:t xml:space="preserve">law of the Republic of Tajikistan on “Guarantees of Equal Rights for Men and Women and Equal Opportunities in the Exercise of such Rights” was passed that stipulates in Article 12 that </w:t>
      </w:r>
      <w:r w:rsidR="00482E27" w:rsidRPr="00482E27">
        <w:rPr>
          <w:i/>
        </w:rPr>
        <w:t>“State bodies, local government b</w:t>
      </w:r>
      <w:r w:rsidR="00CF37E6">
        <w:rPr>
          <w:i/>
        </w:rPr>
        <w:t>odies and heads of organiz</w:t>
      </w:r>
      <w:r w:rsidR="00482E27" w:rsidRPr="00482E27">
        <w:rPr>
          <w:i/>
        </w:rPr>
        <w:t>ations of all property forms are obliged to ensure equal access for men and women to the economic resources of society, including movable and immovable property, land, financial assets, credits, and also ensuring free enterprise and any other activity that is not prohibited by legislative acts”</w:t>
      </w:r>
      <w:r w:rsidR="00482E27">
        <w:t>.</w:t>
      </w:r>
    </w:p>
    <w:p w14:paraId="592607CF" w14:textId="01D25526" w:rsidR="009D49C1" w:rsidRPr="009D49C1" w:rsidRDefault="009D49C1" w:rsidP="00450916">
      <w:pPr>
        <w:pStyle w:val="MainParawithChapter"/>
        <w:ind w:left="0" w:firstLine="0"/>
        <w:jc w:val="both"/>
        <w:outlineLvl w:val="9"/>
      </w:pPr>
      <w:r w:rsidRPr="000857C9">
        <w:rPr>
          <w:b/>
        </w:rPr>
        <w:t xml:space="preserve">An analysis of factors that constrain women’s access to land finds that </w:t>
      </w:r>
      <w:r w:rsidR="003A1D85">
        <w:rPr>
          <w:b/>
        </w:rPr>
        <w:t>the legislative framework</w:t>
      </w:r>
      <w:r w:rsidRPr="000857C9">
        <w:rPr>
          <w:b/>
        </w:rPr>
        <w:t xml:space="preserve"> </w:t>
      </w:r>
      <w:r w:rsidR="005D029D" w:rsidRPr="000857C9">
        <w:rPr>
          <w:b/>
          <w:i/>
        </w:rPr>
        <w:t xml:space="preserve">de jure </w:t>
      </w:r>
      <w:r w:rsidRPr="000857C9">
        <w:rPr>
          <w:b/>
        </w:rPr>
        <w:t xml:space="preserve">supports gender equality, but is </w:t>
      </w:r>
      <w:r w:rsidR="005D029D" w:rsidRPr="000857C9">
        <w:rPr>
          <w:b/>
          <w:i/>
        </w:rPr>
        <w:t>de facto</w:t>
      </w:r>
      <w:r w:rsidR="00440A56" w:rsidRPr="000857C9">
        <w:rPr>
          <w:b/>
        </w:rPr>
        <w:t xml:space="preserve"> </w:t>
      </w:r>
      <w:r w:rsidRPr="000857C9">
        <w:rPr>
          <w:b/>
        </w:rPr>
        <w:t>undermined by customary norms.</w:t>
      </w:r>
      <w:r w:rsidR="00B520CC" w:rsidRPr="000857C9">
        <w:rPr>
          <w:b/>
        </w:rPr>
        <w:t xml:space="preserve"> </w:t>
      </w:r>
      <w:r w:rsidR="005D029D" w:rsidRPr="005D029D">
        <w:t xml:space="preserve">Tajik </w:t>
      </w:r>
      <w:r w:rsidR="005D029D">
        <w:t xml:space="preserve">law grants women and men equal property rights, that is, the legal framework in place is non-discriminatory in nature. </w:t>
      </w:r>
      <w:r w:rsidR="000857C9">
        <w:t>It is, however, based on the unrealistic assumption that men and women have equal rights and decision-mak</w:t>
      </w:r>
      <w:r w:rsidR="007256A4">
        <w:t>ing power within a household and</w:t>
      </w:r>
      <w:r w:rsidR="000857C9">
        <w:t xml:space="preserve"> </w:t>
      </w:r>
      <w:r w:rsidR="007256A4">
        <w:t xml:space="preserve">that </w:t>
      </w:r>
      <w:r w:rsidR="003A1D85">
        <w:t xml:space="preserve">all </w:t>
      </w:r>
      <w:r w:rsidR="000857C9">
        <w:t>marriages are formally registered, leaving aside illegal</w:t>
      </w:r>
      <w:r w:rsidR="009629F4">
        <w:t>, but widespread and</w:t>
      </w:r>
      <w:r w:rsidR="000857C9">
        <w:t xml:space="preserve"> </w:t>
      </w:r>
      <w:r w:rsidR="003A1D85">
        <w:t xml:space="preserve">socially accepted </w:t>
      </w:r>
      <w:r w:rsidR="000857C9">
        <w:t>customs such as early marri</w:t>
      </w:r>
      <w:r w:rsidR="007256A4">
        <w:t>age and polygamous</w:t>
      </w:r>
      <w:r w:rsidR="00FD024D">
        <w:t xml:space="preserve"> relationships</w:t>
      </w:r>
      <w:r w:rsidR="003A1D85">
        <w:t xml:space="preserve"> that do not entail any legal guarantees</w:t>
      </w:r>
      <w:r w:rsidR="00FD024D">
        <w:t xml:space="preserve">. Social and cultural realities therefore </w:t>
      </w:r>
      <w:r w:rsidR="000857C9">
        <w:t>require specific provision</w:t>
      </w:r>
      <w:r w:rsidR="00D6435D">
        <w:t>s</w:t>
      </w:r>
      <w:r w:rsidR="000857C9">
        <w:t xml:space="preserve"> to effecti</w:t>
      </w:r>
      <w:r w:rsidR="00FD024D">
        <w:t xml:space="preserve">vely guarantee women’s rights </w:t>
      </w:r>
      <w:r w:rsidR="00E12159">
        <w:fldChar w:fldCharType="begin"/>
      </w:r>
      <w:r w:rsidR="00FD024D">
        <w:instrText xml:space="preserve"> </w:instrText>
      </w:r>
      <w:r w:rsidR="009F7A22">
        <w:instrText>ADDIN</w:instrText>
      </w:r>
      <w:r w:rsidR="00FD024D">
        <w:instrText xml:space="preserve"> EN.CITE &lt;EndNote&gt;&lt;Cite&gt;&lt;Author&gt;Giovarelli&lt;/Author&gt;&lt;Year&gt;2008&lt;/Year&gt;&lt;RecNum&gt;66&lt;/RecNum&gt;&lt;DisplayText&gt;(Giovarelli &amp;amp; Undeland, 2008)&lt;/DisplayText&gt;&lt;record&gt;&lt;rec-number&gt;66&lt;/rec-number&gt;&lt;foreign-keys&gt;&lt;key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Tajikistan&lt;/title&gt;&lt;/titles&gt;&lt;dates&gt;&lt;year&gt;2008&lt;/year&gt;&lt;/dates&gt;&lt;urls&gt;&lt;/urls&gt;&lt;/record&gt;&lt;/Cite&gt;&lt;/EndNote&gt;</w:instrText>
      </w:r>
      <w:r w:rsidR="00E12159">
        <w:fldChar w:fldCharType="separate"/>
      </w:r>
      <w:r w:rsidR="00FD024D">
        <w:rPr>
          <w:noProof/>
        </w:rPr>
        <w:t>(</w:t>
      </w:r>
      <w:hyperlink w:anchor="_ENREF_19" w:tooltip="Giovarelli, 2008 #66" w:history="1">
        <w:r w:rsidR="006A1532">
          <w:rPr>
            <w:noProof/>
          </w:rPr>
          <w:t>Giovarelli &amp; Undeland, 2008</w:t>
        </w:r>
      </w:hyperlink>
      <w:r w:rsidR="00FD024D">
        <w:rPr>
          <w:noProof/>
        </w:rPr>
        <w:t>)</w:t>
      </w:r>
      <w:r w:rsidR="00E12159">
        <w:fldChar w:fldCharType="end"/>
      </w:r>
      <w:r w:rsidR="00C60DD8">
        <w:t>.</w:t>
      </w:r>
      <w:r w:rsidR="009629F4">
        <w:t xml:space="preserve"> </w:t>
      </w:r>
      <w:r w:rsidR="007B6ADA">
        <w:t xml:space="preserve">Furthermore, </w:t>
      </w:r>
      <w:r w:rsidR="00C8325B">
        <w:t xml:space="preserve">problems arise from the fact </w:t>
      </w:r>
      <w:r w:rsidR="00D6435D">
        <w:t xml:space="preserve">that </w:t>
      </w:r>
      <w:r w:rsidR="00C8325B">
        <w:t xml:space="preserve">effective </w:t>
      </w:r>
      <w:r w:rsidR="00C8325B">
        <w:lastRenderedPageBreak/>
        <w:t>implementation mechanism</w:t>
      </w:r>
      <w:r w:rsidR="00D6435D">
        <w:t>s</w:t>
      </w:r>
      <w:r w:rsidR="00C8325B">
        <w:t xml:space="preserve"> are </w:t>
      </w:r>
      <w:r w:rsidR="00D6435D">
        <w:t xml:space="preserve">largely </w:t>
      </w:r>
      <w:r w:rsidR="00C8325B">
        <w:t xml:space="preserve">missing. For instance, the lack of definitions of </w:t>
      </w:r>
      <w:r w:rsidR="006B1962">
        <w:t xml:space="preserve">crucial </w:t>
      </w:r>
      <w:r w:rsidR="00C8325B">
        <w:t xml:space="preserve">terms </w:t>
      </w:r>
      <w:r w:rsidR="006B1962">
        <w:t xml:space="preserve">such </w:t>
      </w:r>
      <w:r w:rsidR="00C8325B">
        <w:t>as “single women” and “women bread-winner” render the use of privileges assign</w:t>
      </w:r>
      <w:r w:rsidR="00F626FF">
        <w:t>ed to these statuses</w:t>
      </w:r>
      <w:r w:rsidR="00C8325B">
        <w:t xml:space="preserve"> problematic</w:t>
      </w:r>
      <w:r w:rsidR="00F626FF">
        <w:t xml:space="preserve"> </w:t>
      </w:r>
      <w:r w:rsidR="00E12159">
        <w:fldChar w:fldCharType="begin"/>
      </w:r>
      <w:r w:rsidR="00F626FF">
        <w:instrText xml:space="preserve"> </w:instrText>
      </w:r>
      <w:r w:rsidR="009F7A22">
        <w:instrText>ADDIN</w:instrText>
      </w:r>
      <w:r w:rsidR="00F626FF">
        <w:instrText xml:space="preserve"> EN.CITE &lt;EndNote&gt;&lt;Cite&gt;&lt;Author&gt;Mirzoeva&lt;/Author&gt;&lt;Year&gt;2009&lt;/Year&gt;&lt;RecNum&gt;68&lt;/RecNum&gt;&lt;DisplayText&gt;(Mirzoeva, 2009)&lt;/DisplayText&gt;&lt;record&gt;&lt;rec-number&gt;68&lt;/rec-number&gt;&lt;foreign-keys&gt;&lt;key app="EN" db-id="wes5dreptvrsr2eeartvxexxftt2tastxrfs"&gt;68&lt;/key&gt;&lt;/foreign-keys&gt;&lt;ref-type name="Journal Article"&gt;17&lt;/ref-type&gt;&lt;contributors&gt;&lt;authors&gt;&lt;author&gt;Viloyat Mirzoeva&lt;/author&gt;&lt;/authors&gt;&lt;/contributors&gt;&lt;titles&gt;&lt;title&gt;Gender Issues in Land Reform in Tajikistan&lt;/title&gt;&lt;secondary-title&gt;Economics and Rural Development&lt;/secondary-title&gt;&lt;/titles&gt;&lt;periodical&gt;&lt;full-title&gt;Economics and Rural Development&lt;/full-title&gt;&lt;/periodical&gt;&lt;pages&gt;23-29&lt;/pages&gt;&lt;volume&gt;5&lt;/volume&gt;&lt;number&gt;2&lt;/number&gt;&lt;dates&gt;&lt;year&gt;2009&lt;/year&gt;&lt;/dates&gt;&lt;urls&gt;&lt;/urls&gt;&lt;/record&gt;&lt;/Cite&gt;&lt;/EndNote&gt;</w:instrText>
      </w:r>
      <w:r w:rsidR="00E12159">
        <w:fldChar w:fldCharType="separate"/>
      </w:r>
      <w:r w:rsidR="00F626FF">
        <w:rPr>
          <w:noProof/>
        </w:rPr>
        <w:t>(</w:t>
      </w:r>
      <w:hyperlink w:anchor="_ENREF_36" w:tooltip="Mirzoeva, 2009 #68" w:history="1">
        <w:r w:rsidR="006A1532">
          <w:rPr>
            <w:noProof/>
          </w:rPr>
          <w:t>Mirzoeva, 2009</w:t>
        </w:r>
      </w:hyperlink>
      <w:r w:rsidR="00F626FF">
        <w:rPr>
          <w:noProof/>
        </w:rPr>
        <w:t>)</w:t>
      </w:r>
      <w:r w:rsidR="00E12159">
        <w:fldChar w:fldCharType="end"/>
      </w:r>
      <w:r w:rsidR="00C8325B">
        <w:t xml:space="preserve">. </w:t>
      </w:r>
    </w:p>
    <w:p w14:paraId="23067475" w14:textId="022C82EB" w:rsidR="00DF1947" w:rsidRDefault="00DE05A9" w:rsidP="00450916">
      <w:pPr>
        <w:pStyle w:val="MainParawithChapter"/>
        <w:ind w:left="0" w:firstLine="0"/>
        <w:jc w:val="both"/>
        <w:outlineLvl w:val="9"/>
      </w:pPr>
      <w:r>
        <w:rPr>
          <w:b/>
        </w:rPr>
        <w:t xml:space="preserve">In stark contrast to the large number of women working as hired laborers on </w:t>
      </w:r>
      <w:r w:rsidRPr="00D6435D">
        <w:rPr>
          <w:b/>
          <w:i/>
        </w:rPr>
        <w:t>dekhan</w:t>
      </w:r>
      <w:r>
        <w:rPr>
          <w:b/>
        </w:rPr>
        <w:t xml:space="preserve"> farms, this is not reflected in land ownership pattern</w:t>
      </w:r>
      <w:r w:rsidR="0085298F">
        <w:rPr>
          <w:b/>
        </w:rPr>
        <w:t xml:space="preserve">s and female involvement in farm </w:t>
      </w:r>
      <w:r>
        <w:rPr>
          <w:b/>
        </w:rPr>
        <w:t xml:space="preserve">management. </w:t>
      </w:r>
      <w:r w:rsidR="00F626FF" w:rsidRPr="00F626FF">
        <w:rPr>
          <w:i/>
        </w:rPr>
        <w:t>Dekhan</w:t>
      </w:r>
      <w:r w:rsidR="00F626FF">
        <w:t xml:space="preserve"> </w:t>
      </w:r>
      <w:r w:rsidR="003A1D85">
        <w:t>farmland</w:t>
      </w:r>
      <w:r w:rsidR="00F626FF" w:rsidRPr="00F626FF">
        <w:t xml:space="preserve"> is land that was previously owned by collective or state farms</w:t>
      </w:r>
      <w:r w:rsidR="00D6435D">
        <w:t xml:space="preserve">. </w:t>
      </w:r>
      <w:r w:rsidR="006B1962">
        <w:t>After independence, i</w:t>
      </w:r>
      <w:r w:rsidR="00D6435D">
        <w:t xml:space="preserve">t </w:t>
      </w:r>
      <w:r w:rsidR="0093154F">
        <w:t xml:space="preserve">was to </w:t>
      </w:r>
      <w:r w:rsidR="00CE34D1">
        <w:t xml:space="preserve">supposed to </w:t>
      </w:r>
      <w:r w:rsidR="0093154F">
        <w:t>be distributed among the indiv</w:t>
      </w:r>
      <w:r w:rsidR="006B1962">
        <w:t xml:space="preserve">idual members </w:t>
      </w:r>
      <w:r w:rsidR="00B8785C">
        <w:t xml:space="preserve">with the chance to become a professional </w:t>
      </w:r>
      <w:r w:rsidR="00B8785C" w:rsidRPr="00B8785C">
        <w:rPr>
          <w:i/>
        </w:rPr>
        <w:t>dekhan</w:t>
      </w:r>
      <w:r w:rsidR="00B8785C">
        <w:t xml:space="preserve"> farmer</w:t>
      </w:r>
      <w:r w:rsidR="006B1962">
        <w:t>. M</w:t>
      </w:r>
      <w:r w:rsidR="0093154F">
        <w:t>any members</w:t>
      </w:r>
      <w:r w:rsidR="006B1962">
        <w:t>, however,</w:t>
      </w:r>
      <w:r w:rsidR="0093154F">
        <w:t xml:space="preserve"> have not made use of this right and effectively </w:t>
      </w:r>
      <w:r w:rsidR="003552C6">
        <w:t>work a</w:t>
      </w:r>
      <w:r w:rsidR="00CE34D1">
        <w:t xml:space="preserve">s hired laborers for </w:t>
      </w:r>
      <w:proofErr w:type="gramStart"/>
      <w:r w:rsidR="00CE34D1">
        <w:t xml:space="preserve">the </w:t>
      </w:r>
      <w:r w:rsidR="003552C6" w:rsidRPr="00D6435D">
        <w:rPr>
          <w:i/>
        </w:rPr>
        <w:t>dekhan</w:t>
      </w:r>
      <w:proofErr w:type="gramEnd"/>
      <w:r w:rsidR="003552C6">
        <w:t xml:space="preserve"> farm management. The composition of the management, in turn, frequently reflects the occupational differentiation during the Soviet era, as women were only rarely working in the management of the agricultural sector, but were rather active in the social sector, services, or agricultural processing.</w:t>
      </w:r>
      <w:r w:rsidR="0084473E">
        <w:t xml:space="preserve"> As a result, men emerged as</w:t>
      </w:r>
      <w:r w:rsidR="00315324">
        <w:t xml:space="preserve"> the main winners of the process of restructuring of collective and state farms and dominate the manageme</w:t>
      </w:r>
      <w:r w:rsidR="00D6435D">
        <w:t xml:space="preserve">nt of dekhan farms, </w:t>
      </w:r>
      <w:r w:rsidR="00D904B8">
        <w:t>with less than ten</w:t>
      </w:r>
      <w:r w:rsidR="00D6435D">
        <w:t xml:space="preserve"> </w:t>
      </w:r>
      <w:r w:rsidR="00315324">
        <w:t>percent being run by women</w:t>
      </w:r>
      <w:r w:rsidR="003D59C7">
        <w:t xml:space="preserve"> </w:t>
      </w:r>
      <w:r w:rsidR="00E12159">
        <w:fldChar w:fldCharType="begin"/>
      </w:r>
      <w:r w:rsidR="00624BF3">
        <w:instrText xml:space="preserve"> ADDIN EN.CITE &lt;EndNote&gt;&lt;Cite&gt;&lt;Author&gt;Giovarelli&lt;/Author&gt;&lt;Year&gt;2008&lt;/Year&gt;&lt;RecNum&gt;66&lt;/RecNum&gt;&lt;DisplayText&gt;(Giovarelli &amp;amp; Undeland, 2008; IFC, 2009a)&lt;/DisplayText&gt;&lt;record&gt;&lt;rec-number&gt;66&lt;/rec-number&gt;&lt;foreign-keys&gt;&lt;key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Cite&gt;&lt;Author&gt;IFC&lt;/Author&gt;&lt;Year&gt;2009&lt;/Year&gt;&lt;RecNum&gt;64&lt;/RecNum&gt;&lt;record&gt;&lt;rec-number&gt;64&lt;/rec-number&gt;&lt;foreign-keys&gt;&lt;key app="EN" db-id="wes5dreptvrsr2eeartvxexxftt2tastxrfs"&gt;64&lt;/key&gt;&lt;/foreign-keys&gt;&lt;ref-type name="Book"&gt;6&lt;/ref-type&gt;&lt;contributors&gt;&lt;authors&gt;&lt;author&gt;IFC&lt;/author&gt;&lt;/authors&gt;&lt;/contributors&gt;&lt;titles&gt;&lt;title&gt;Business Environment in Tajikistan as Seen by Small and Medium Enterprises&lt;/title&gt;&lt;/titles&gt;&lt;dates&gt;&lt;year&gt;2009&lt;/year&gt;&lt;/dates&gt;&lt;pub-location&gt;Dushanbe&lt;/pub-location&gt;&lt;publisher&gt;International Finance Corporation&lt;/publisher&gt;&lt;urls&gt;&lt;/urls&gt;&lt;/record&gt;&lt;/Cite&gt;&lt;/EndNote&gt;</w:instrText>
      </w:r>
      <w:r w:rsidR="00E12159">
        <w:fldChar w:fldCharType="separate"/>
      </w:r>
      <w:r w:rsidR="00624BF3">
        <w:rPr>
          <w:noProof/>
        </w:rPr>
        <w:t>(</w:t>
      </w:r>
      <w:hyperlink w:anchor="_ENREF_19" w:tooltip="Giovarelli, 2008 #66" w:history="1">
        <w:r w:rsidR="006A1532">
          <w:rPr>
            <w:noProof/>
          </w:rPr>
          <w:t>Giovarelli &amp; Undeland, 2008</w:t>
        </w:r>
      </w:hyperlink>
      <w:r w:rsidR="00624BF3">
        <w:rPr>
          <w:noProof/>
        </w:rPr>
        <w:t xml:space="preserve">; </w:t>
      </w:r>
      <w:hyperlink w:anchor="_ENREF_23" w:tooltip="IFC, 2009 #64" w:history="1">
        <w:r w:rsidR="006A1532">
          <w:rPr>
            <w:noProof/>
          </w:rPr>
          <w:t>IFC, 2009a</w:t>
        </w:r>
      </w:hyperlink>
      <w:r w:rsidR="00624BF3">
        <w:rPr>
          <w:noProof/>
        </w:rPr>
        <w:t>)</w:t>
      </w:r>
      <w:r w:rsidR="00E12159">
        <w:fldChar w:fldCharType="end"/>
      </w:r>
      <w:r w:rsidR="00315324">
        <w:t>.</w:t>
      </w:r>
    </w:p>
    <w:p w14:paraId="49AE6154" w14:textId="7656CC8C" w:rsidR="005B3123" w:rsidRPr="005B3123" w:rsidRDefault="00D44256" w:rsidP="005B3123">
      <w:pPr>
        <w:pStyle w:val="MainParawithChapter"/>
        <w:ind w:left="0" w:firstLine="0"/>
        <w:jc w:val="both"/>
        <w:outlineLvl w:val="9"/>
      </w:pPr>
      <w:r w:rsidRPr="00D44256">
        <w:rPr>
          <w:b/>
        </w:rPr>
        <w:t>Financial inclusion is extremely limited in Tajikistan, but more so for women.</w:t>
      </w:r>
      <w:r>
        <w:t xml:space="preserve"> </w:t>
      </w:r>
      <w:r w:rsidR="00227BB4">
        <w:t xml:space="preserve">Data from the Global </w:t>
      </w:r>
      <w:proofErr w:type="spellStart"/>
      <w:r w:rsidR="00227BB4">
        <w:t>Findex</w:t>
      </w:r>
      <w:proofErr w:type="spellEnd"/>
      <w:r w:rsidR="00227BB4">
        <w:t xml:space="preserve"> Database show that t</w:t>
      </w:r>
      <w:r w:rsidR="00397419">
        <w:t>he percent</w:t>
      </w:r>
      <w:r w:rsidR="002C67F1">
        <w:t>age of the population</w:t>
      </w:r>
      <w:r w:rsidR="00397419">
        <w:t xml:space="preserve"> in Tajikistan </w:t>
      </w:r>
      <w:r w:rsidR="002C67F1">
        <w:t>that</w:t>
      </w:r>
      <w:r w:rsidR="00397419">
        <w:t xml:space="preserve"> has access to an account or loans from a formal financial institution is exceptionally</w:t>
      </w:r>
      <w:r>
        <w:t xml:space="preserve"> small compared to the average for ECA countries. Only three percent of men and two percent of women have an account at a financial institution, while the regional average amounts to 50 and 40 percent respectively</w:t>
      </w:r>
      <w:r w:rsidR="00227BB4">
        <w:t xml:space="preserve"> </w:t>
      </w:r>
      <w:r w:rsidR="00E12159">
        <w:fldChar w:fldCharType="begin"/>
      </w:r>
      <w:r w:rsidR="00227BB4">
        <w:instrText xml:space="preserve"> ADDIN EN.CITE &lt;EndNote&gt;&lt;Cite&gt;&lt;Author&gt;Demirguc-Kunt&lt;/Author&gt;&lt;Year&gt;2012&lt;/Year&gt;&lt;RecNum&gt;82&lt;/RecNum&gt;&lt;DisplayText&gt;(Demirguc-Kunt &amp;amp; Klapper, 2012)&lt;/DisplayText&gt;&lt;record&gt;&lt;rec-number&gt;82&lt;/rec-number&gt;&lt;foreign-keys&gt;&lt;key app="EN" db-id="wes5dreptvrsr2eeartvxexxftt2tastxrfs"&gt;82&lt;/key&gt;&lt;/foreign-keys&gt;&lt;ref-type name="Journal Article"&gt;17&lt;/ref-type&gt;&lt;contributors&gt;&lt;authors&gt;&lt;author&gt;Asli Demirguc-Kunt&lt;/author&gt;&lt;author&gt;Leora Klapper&lt;/author&gt;&lt;/authors&gt;&lt;/contributors&gt;&lt;titles&gt;&lt;title&gt;Measuring Financial Inclusion. The Global Findex Database&lt;/title&gt;&lt;secondary-title&gt;World Bank Policy Research Working Paper 6025&lt;/secondary-title&gt;&lt;/titles&gt;&lt;periodical&gt;&lt;full-title&gt;World BAnk Policy Research Working Paper 6025&lt;/full-title&gt;&lt;/periodical&gt;&lt;dates&gt;&lt;year&gt;2012&lt;/year&gt;&lt;/dates&gt;&lt;urls&gt;&lt;/urls&gt;&lt;/record&gt;&lt;/Cite&gt;&lt;/EndNote&gt;</w:instrText>
      </w:r>
      <w:r w:rsidR="00E12159">
        <w:fldChar w:fldCharType="separate"/>
      </w:r>
      <w:r w:rsidR="00227BB4">
        <w:rPr>
          <w:noProof/>
        </w:rPr>
        <w:t>(</w:t>
      </w:r>
      <w:hyperlink w:anchor="_ENREF_14" w:tooltip="Demirguc-Kunt, 2012 #82" w:history="1">
        <w:r w:rsidR="006A1532">
          <w:rPr>
            <w:noProof/>
          </w:rPr>
          <w:t>Demirguc-Kunt &amp; Klapper, 2012</w:t>
        </w:r>
      </w:hyperlink>
      <w:r w:rsidR="00227BB4">
        <w:rPr>
          <w:noProof/>
        </w:rPr>
        <w:t>)</w:t>
      </w:r>
      <w:r w:rsidR="00E12159">
        <w:fldChar w:fldCharType="end"/>
      </w:r>
      <w:r>
        <w:t xml:space="preserve">. </w:t>
      </w:r>
      <w:r w:rsidR="00DE247B">
        <w:t>Besides, women use their accounts less frequently for business purposes or for receiving wages than men</w:t>
      </w:r>
      <w:r w:rsidR="00DF6631">
        <w:t xml:space="preserve"> (see </w:t>
      </w:r>
      <w:r w:rsidR="00E12159">
        <w:fldChar w:fldCharType="begin"/>
      </w:r>
      <w:r w:rsidR="00DF6631">
        <w:instrText xml:space="preserve"> REF _Ref226702129 \h </w:instrText>
      </w:r>
      <w:r w:rsidR="00E12159">
        <w:fldChar w:fldCharType="separate"/>
      </w:r>
      <w:r w:rsidR="00183FFF" w:rsidRPr="00BB565D">
        <w:rPr>
          <w:b/>
          <w:sz w:val="22"/>
          <w:szCs w:val="22"/>
        </w:rPr>
        <w:t xml:space="preserve">Figure </w:t>
      </w:r>
      <w:r w:rsidR="00183FFF">
        <w:rPr>
          <w:b/>
          <w:noProof/>
          <w:sz w:val="22"/>
          <w:szCs w:val="22"/>
        </w:rPr>
        <w:t>18</w:t>
      </w:r>
      <w:r w:rsidR="00E12159">
        <w:fldChar w:fldCharType="end"/>
      </w:r>
      <w:r w:rsidR="00DF6631">
        <w:t>)</w:t>
      </w:r>
      <w:r w:rsidR="00DE247B">
        <w:t xml:space="preserve">. </w:t>
      </w:r>
      <w:r>
        <w:t>Tajik women are</w:t>
      </w:r>
      <w:r w:rsidR="00036F84">
        <w:t xml:space="preserve"> furthermore </w:t>
      </w:r>
      <w:r>
        <w:t>less likely t</w:t>
      </w:r>
      <w:r w:rsidR="00DF6631">
        <w:t xml:space="preserve">o </w:t>
      </w:r>
      <w:r w:rsidR="00704D35">
        <w:t>take</w:t>
      </w:r>
      <w:r w:rsidR="00DF6631">
        <w:t xml:space="preserve"> a loan (28 and 36 percent respectively regardless of the source) in general, and take up a loan at</w:t>
      </w:r>
      <w:r>
        <w:t xml:space="preserve"> a formal financial institution</w:t>
      </w:r>
      <w:r w:rsidR="00DF6631">
        <w:t xml:space="preserve"> half as often as</w:t>
      </w:r>
      <w:r>
        <w:t xml:space="preserve"> men (thr</w:t>
      </w:r>
      <w:r w:rsidR="00036F84">
        <w:t>e</w:t>
      </w:r>
      <w:r w:rsidR="00227BB4">
        <w:t>e and six percent respectively).</w:t>
      </w:r>
      <w:r w:rsidR="005B3123" w:rsidRPr="005B3123">
        <w:rPr>
          <w:b/>
        </w:rPr>
        <w:t xml:space="preserve"> </w:t>
      </w:r>
    </w:p>
    <w:p w14:paraId="41D8AF87" w14:textId="26CC653A" w:rsidR="009F7A22" w:rsidRDefault="005B3123" w:rsidP="005B3123">
      <w:pPr>
        <w:pStyle w:val="MainParawithChapter"/>
        <w:ind w:left="0" w:firstLine="0"/>
        <w:jc w:val="both"/>
        <w:outlineLvl w:val="9"/>
      </w:pPr>
      <w:r>
        <w:rPr>
          <w:b/>
        </w:rPr>
        <w:t xml:space="preserve">Women face specific difficulty accessing finance that do not stem from legal provisions, but rather from lack of collaterals, education, skills, and knowledge, and gender stereotypes. </w:t>
      </w:r>
      <w:r>
        <w:t xml:space="preserve">For many women, access to credit is constrained by lack of collaterals, as certificates for houses or land ownership are regularly registered with the husband without listing further family members. Additionally, women are customarily not considered to have any rights to moveable household property. As a result, less than half of women lenders resort to commonly used collaterals such as land or livestock, but need to find other means, for instance their jewelry </w:t>
      </w:r>
      <w:r w:rsidR="00E12159">
        <w:fldChar w:fldCharType="begin"/>
      </w:r>
      <w:r w:rsidR="00FC7961">
        <w:instrText xml:space="preserve"> ADDIN EN.CITE &lt;EndNote&gt;&lt;Cite&gt;&lt;Author&gt;Giovarelli&lt;/Author&gt;&lt;Year&gt;2008&lt;/Year&gt;&lt;RecNum&gt;66&lt;/RecNum&gt;&lt;DisplayText&gt;(Giovarelli &amp;amp; Undeland, 2008; Shahriari et al., 2009)&lt;/DisplayText&gt;&lt;record&gt;&lt;rec-number&gt;66&lt;/rec-number&gt;&lt;foreign-keys&gt;&lt;key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Cite&gt;&lt;Author&gt;Shahriari&lt;/Author&gt;&lt;Year&gt;2009&lt;/Year&gt;&lt;RecNum&gt;69&lt;/RecNum&gt;&lt;record&gt;&lt;rec-number&gt;69&lt;/rec-number&gt;&lt;foreign-keys&gt;&lt;key app="EN" db-id="wes5dreptvrsr2eeartvxexxftt2tastxrfs"&gt;69&lt;/key&gt;&lt;/foreign-keys&gt;&lt;ref-type name="Journal Article"&gt;17&lt;/ref-type&gt;&lt;contributors&gt;&lt;authors&gt;&lt;author&gt;Helen Shahriari&lt;/author&gt;&lt;author&gt;Alexander M. Danzer&lt;/author&gt;&lt;author&gt;Renee Giovarelli&lt;/author&gt;&lt;author&gt;Asyl Undeland&lt;/author&gt;&lt;/authors&gt;&lt;/contributors&gt;&lt;titles&gt;&lt;title&gt;Improving Women&amp;apos;s Access to Land and Financial Resources in Tajikistan&lt;/title&gt;&lt;/titles&gt;&lt;dates&gt;&lt;year&gt;2009&lt;/year&gt;&lt;/dates&gt;&lt;urls&gt;&lt;/urls&gt;&lt;/record&gt;&lt;/Cite&gt;&lt;/EndNote&gt;</w:instrText>
      </w:r>
      <w:r w:rsidR="00E12159">
        <w:fldChar w:fldCharType="separate"/>
      </w:r>
      <w:r w:rsidR="00FC7961">
        <w:rPr>
          <w:noProof/>
        </w:rPr>
        <w:t>(</w:t>
      </w:r>
      <w:hyperlink w:anchor="_ENREF_19" w:tooltip="Giovarelli, 2008 #66" w:history="1">
        <w:r w:rsidR="006A1532">
          <w:rPr>
            <w:noProof/>
          </w:rPr>
          <w:t>Giovarelli &amp; Undeland, 2008</w:t>
        </w:r>
      </w:hyperlink>
      <w:r w:rsidR="00FC7961">
        <w:rPr>
          <w:noProof/>
        </w:rPr>
        <w:t xml:space="preserve">; </w:t>
      </w:r>
      <w:hyperlink w:anchor="_ENREF_47" w:tooltip="Shahriari, 2009 #69" w:history="1">
        <w:r w:rsidR="006A1532">
          <w:rPr>
            <w:noProof/>
          </w:rPr>
          <w:t>Shahriari et al., 2009</w:t>
        </w:r>
      </w:hyperlink>
      <w:r w:rsidR="00FC7961">
        <w:rPr>
          <w:noProof/>
        </w:rPr>
        <w:t>)</w:t>
      </w:r>
      <w:r w:rsidR="00E12159">
        <w:fldChar w:fldCharType="end"/>
      </w:r>
      <w:r>
        <w:t xml:space="preserve">. In a qualitative study, interviewed women list lack of confidence, business skills, and understanding of the working of credits and loans as further reasons that restrict their access to finance. Finally, it is strongly perceived that women simply should not take a credit, that they should take care of the family, and that they should not be in contact with strangers, particularly men </w:t>
      </w:r>
      <w:r w:rsidR="00E12159">
        <w:fldChar w:fldCharType="begin"/>
      </w:r>
      <w:r>
        <w:instrText xml:space="preserve"> ADDIN EN.CITE &lt;EndNote&gt;&lt;Cite&gt;&lt;Author&gt;Giovarelli&lt;/Author&gt;&lt;Year&gt;2008&lt;/Year&gt;&lt;RecNum&gt;66&lt;/RecNum&gt;&lt;DisplayText&gt;(Giovarelli &amp;amp; Undeland, 2008)&lt;/DisplayText&gt;&lt;record&gt;&lt;rec-number&gt;66&lt;/rec-number&gt;&lt;foreign-keys&gt;&lt;key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Tajikistan&lt;/title&gt;&lt;/titles&gt;&lt;dates&gt;&lt;year&gt;2008&lt;/year&gt;&lt;/dates&gt;&lt;urls&gt;&lt;/urls&gt;&lt;/record&gt;&lt;/Cite&gt;&lt;/EndNote&gt;</w:instrText>
      </w:r>
      <w:r w:rsidR="00E12159">
        <w:fldChar w:fldCharType="separate"/>
      </w:r>
      <w:r>
        <w:rPr>
          <w:noProof/>
        </w:rPr>
        <w:t>(</w:t>
      </w:r>
      <w:hyperlink w:anchor="_ENREF_19" w:tooltip="Giovarelli, 2008 #66" w:history="1">
        <w:r w:rsidR="006A1532">
          <w:rPr>
            <w:noProof/>
          </w:rPr>
          <w:t>Giovarelli &amp; Undeland, 2008</w:t>
        </w:r>
      </w:hyperlink>
      <w:r>
        <w:rPr>
          <w:noProof/>
        </w:rPr>
        <w:t>)</w:t>
      </w:r>
      <w:r w:rsidR="00E12159">
        <w:fldChar w:fldCharType="end"/>
      </w:r>
      <w:r>
        <w:t>.</w:t>
      </w:r>
    </w:p>
    <w:p w14:paraId="30D2A9FB" w14:textId="77777777" w:rsidR="00BB565D" w:rsidRDefault="0056252A" w:rsidP="003A0E52">
      <w:pPr>
        <w:spacing w:after="60"/>
        <w:jc w:val="center"/>
        <w:rPr>
          <w:b/>
          <w:sz w:val="22"/>
          <w:szCs w:val="22"/>
        </w:rPr>
      </w:pPr>
      <w:bookmarkStart w:id="71" w:name="_Ref226702129"/>
      <w:bookmarkStart w:id="72" w:name="_Toc232694756"/>
      <w:r>
        <w:rPr>
          <w:b/>
          <w:noProof/>
        </w:rPr>
        <w:lastRenderedPageBreak/>
        <mc:AlternateContent>
          <mc:Choice Requires="wps">
            <w:drawing>
              <wp:anchor distT="0" distB="0" distL="114300" distR="114300" simplePos="0" relativeHeight="251670528" behindDoc="0" locked="0" layoutInCell="1" allowOverlap="1" wp14:anchorId="572DB272" wp14:editId="0F23A58B">
                <wp:simplePos x="0" y="0"/>
                <wp:positionH relativeFrom="column">
                  <wp:posOffset>2672715</wp:posOffset>
                </wp:positionH>
                <wp:positionV relativeFrom="paragraph">
                  <wp:posOffset>305435</wp:posOffset>
                </wp:positionV>
                <wp:extent cx="2927985" cy="251460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985" cy="2514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755AD3" w14:textId="77777777" w:rsidR="00E44497" w:rsidRDefault="00E44497" w:rsidP="00DF6631">
                            <w:r>
                              <w:rPr>
                                <w:noProof/>
                              </w:rPr>
                              <w:drawing>
                                <wp:inline distT="0" distB="0" distL="0" distR="0" wp14:anchorId="43A1EFA6" wp14:editId="36737A7D">
                                  <wp:extent cx="2698555" cy="2336995"/>
                                  <wp:effectExtent l="0" t="0" r="19685" b="2540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4" type="#_x0000_t202" style="position:absolute;left:0;text-align:left;margin-left:210.45pt;margin-top:24.05pt;width:230.55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" filled="f" stroked="f">
                <v:path arrowok="t"/>
                <v:textbox>
                  <w:txbxContent>
                    <w:p w14:paraId="4B755AD3" w14:textId="77777777" w:rsidR="00E44497" w:rsidRDefault="00E44497" w:rsidP="00DF6631">
                      <w:r>
                        <w:rPr>
                          <w:noProof/>
                        </w:rPr>
                        <w:drawing>
                          <wp:inline distT="0" distB="0" distL="0" distR="0" wp14:anchorId="43A1EFA6" wp14:editId="36737A7D">
                            <wp:extent cx="2698555" cy="2336995"/>
                            <wp:effectExtent l="0" t="0" r="19685" b="2540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668480" behindDoc="0" locked="0" layoutInCell="1" allowOverlap="1" wp14:anchorId="65928F13" wp14:editId="4287B3FA">
                <wp:simplePos x="0" y="0"/>
                <wp:positionH relativeFrom="column">
                  <wp:posOffset>-114300</wp:posOffset>
                </wp:positionH>
                <wp:positionV relativeFrom="paragraph">
                  <wp:posOffset>305435</wp:posOffset>
                </wp:positionV>
                <wp:extent cx="2971800" cy="2514600"/>
                <wp:effectExtent l="0" t="0" r="0" b="0"/>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514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4AB751" w14:textId="77777777" w:rsidR="00E44497" w:rsidRDefault="00E44497" w:rsidP="00DF6631">
                            <w:r>
                              <w:rPr>
                                <w:noProof/>
                              </w:rPr>
                              <w:drawing>
                                <wp:inline distT="0" distB="0" distL="0" distR="0" wp14:anchorId="072ED652" wp14:editId="2AE0B127">
                                  <wp:extent cx="2700000" cy="2337630"/>
                                  <wp:effectExtent l="0" t="0" r="18415" b="24765"/>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35" type="#_x0000_t202" style="position:absolute;left:0;text-align:left;margin-left:-9pt;margin-top:24.05pt;width:234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" filled="f" stroked="f">
                <v:path arrowok="t"/>
                <v:textbox>
                  <w:txbxContent>
                    <w:p w14:paraId="1F4AB751" w14:textId="77777777" w:rsidR="00E44497" w:rsidRDefault="00E44497" w:rsidP="00DF6631">
                      <w:r>
                        <w:rPr>
                          <w:noProof/>
                        </w:rPr>
                        <w:drawing>
                          <wp:inline distT="0" distB="0" distL="0" distR="0" wp14:anchorId="072ED652" wp14:editId="2AE0B127">
                            <wp:extent cx="2700000" cy="2337630"/>
                            <wp:effectExtent l="0" t="0" r="18415" b="24765"/>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v:textbox>
                <w10:wrap type="square"/>
              </v:shape>
            </w:pict>
          </mc:Fallback>
        </mc:AlternateContent>
      </w:r>
      <w:proofErr w:type="gramStart"/>
      <w:r w:rsidR="00BB565D" w:rsidRPr="00BB565D">
        <w:rPr>
          <w:b/>
          <w:sz w:val="22"/>
          <w:szCs w:val="22"/>
        </w:rPr>
        <w:t xml:space="preserve">Figure </w:t>
      </w:r>
      <w:r w:rsidR="00E12159" w:rsidRPr="00BB565D">
        <w:rPr>
          <w:b/>
          <w:sz w:val="22"/>
          <w:szCs w:val="22"/>
        </w:rPr>
        <w:fldChar w:fldCharType="begin"/>
      </w:r>
      <w:r w:rsidR="00BB565D" w:rsidRPr="00BB565D">
        <w:rPr>
          <w:b/>
          <w:sz w:val="22"/>
          <w:szCs w:val="22"/>
        </w:rPr>
        <w:instrText xml:space="preserve"> SEQ Figure \* ARABIC </w:instrText>
      </w:r>
      <w:r w:rsidR="00E12159" w:rsidRPr="00BB565D">
        <w:rPr>
          <w:b/>
          <w:sz w:val="22"/>
          <w:szCs w:val="22"/>
        </w:rPr>
        <w:fldChar w:fldCharType="separate"/>
      </w:r>
      <w:r w:rsidR="00183FFF">
        <w:rPr>
          <w:b/>
          <w:noProof/>
          <w:sz w:val="22"/>
          <w:szCs w:val="22"/>
        </w:rPr>
        <w:t>18</w:t>
      </w:r>
      <w:r w:rsidR="00E12159" w:rsidRPr="00BB565D">
        <w:rPr>
          <w:b/>
          <w:sz w:val="22"/>
          <w:szCs w:val="22"/>
        </w:rPr>
        <w:fldChar w:fldCharType="end"/>
      </w:r>
      <w:bookmarkEnd w:id="71"/>
      <w:r w:rsidR="00BB565D" w:rsidRPr="00BB565D">
        <w:rPr>
          <w:b/>
          <w:sz w:val="22"/>
          <w:szCs w:val="22"/>
        </w:rPr>
        <w:t>.</w:t>
      </w:r>
      <w:proofErr w:type="gramEnd"/>
      <w:r w:rsidR="00BB565D" w:rsidRPr="00BB565D">
        <w:rPr>
          <w:b/>
          <w:sz w:val="22"/>
          <w:szCs w:val="22"/>
        </w:rPr>
        <w:t xml:space="preserve"> Purposes of accounts and sources of loans (in %),</w:t>
      </w:r>
      <w:r w:rsidR="00BB565D">
        <w:rPr>
          <w:b/>
          <w:sz w:val="22"/>
          <w:szCs w:val="22"/>
        </w:rPr>
        <w:t xml:space="preserve"> by gender,</w:t>
      </w:r>
      <w:r w:rsidR="00BB565D" w:rsidRPr="00BB565D">
        <w:rPr>
          <w:b/>
          <w:sz w:val="22"/>
          <w:szCs w:val="22"/>
        </w:rPr>
        <w:t xml:space="preserve"> 2011</w:t>
      </w:r>
      <w:bookmarkEnd w:id="72"/>
    </w:p>
    <w:p w14:paraId="1CCFD728" w14:textId="77777777" w:rsidR="00BB565D" w:rsidRPr="00B00903" w:rsidRDefault="00BB565D" w:rsidP="00B00903">
      <w:pPr>
        <w:pStyle w:val="MainParawithChapter"/>
        <w:numPr>
          <w:ilvl w:val="0"/>
          <w:numId w:val="0"/>
        </w:numPr>
        <w:spacing w:after="0"/>
        <w:jc w:val="both"/>
        <w:outlineLvl w:val="9"/>
        <w:rPr>
          <w:sz w:val="22"/>
          <w:szCs w:val="22"/>
        </w:rPr>
      </w:pPr>
      <w:r w:rsidRPr="00B00903">
        <w:rPr>
          <w:i/>
          <w:sz w:val="22"/>
          <w:szCs w:val="22"/>
        </w:rPr>
        <w:t>Notes:</w:t>
      </w:r>
      <w:r w:rsidR="003A0E52" w:rsidRPr="00B00903">
        <w:rPr>
          <w:i/>
          <w:sz w:val="22"/>
          <w:szCs w:val="22"/>
        </w:rPr>
        <w:t xml:space="preserve"> </w:t>
      </w:r>
      <w:r w:rsidR="00B00903" w:rsidRPr="00B00903">
        <w:rPr>
          <w:sz w:val="22"/>
          <w:szCs w:val="22"/>
        </w:rPr>
        <w:t>Percentages refer to people aged 15+.</w:t>
      </w:r>
    </w:p>
    <w:p w14:paraId="6C7DCC41" w14:textId="1DE3D4FA" w:rsidR="00BB565D" w:rsidRDefault="00B00903" w:rsidP="00B00903">
      <w:pPr>
        <w:pStyle w:val="MainParawithChapter"/>
        <w:numPr>
          <w:ilvl w:val="0"/>
          <w:numId w:val="0"/>
        </w:numPr>
        <w:spacing w:after="0"/>
        <w:jc w:val="both"/>
        <w:outlineLvl w:val="9"/>
        <w:rPr>
          <w:i/>
          <w:sz w:val="22"/>
          <w:szCs w:val="22"/>
        </w:rPr>
      </w:pPr>
      <w:r>
        <w:rPr>
          <w:i/>
          <w:sz w:val="22"/>
          <w:szCs w:val="22"/>
        </w:rPr>
        <w:t>Source</w:t>
      </w:r>
      <w:r w:rsidR="00BB565D" w:rsidRPr="00B00903">
        <w:rPr>
          <w:i/>
          <w:sz w:val="22"/>
          <w:szCs w:val="22"/>
        </w:rPr>
        <w:t>:</w:t>
      </w:r>
      <w:r w:rsidRPr="003221C1">
        <w:rPr>
          <w:sz w:val="22"/>
          <w:szCs w:val="22"/>
        </w:rPr>
        <w:t xml:space="preserve"> </w:t>
      </w:r>
      <w:r w:rsidR="00E12159" w:rsidRPr="003221C1">
        <w:rPr>
          <w:sz w:val="22"/>
          <w:szCs w:val="22"/>
        </w:rPr>
        <w:fldChar w:fldCharType="begin"/>
      </w:r>
      <w:r w:rsidR="003221C1" w:rsidRPr="003221C1">
        <w:rPr>
          <w:sz w:val="22"/>
          <w:szCs w:val="22"/>
        </w:rPr>
        <w:instrText xml:space="preserve"> ADDIN EN.CITE &lt;EndNote&gt;&lt;Cite AuthorYear="1"&gt;&lt;Author&gt;Demirguc-Kunt&lt;/Author&gt;&lt;Year&gt;2012&lt;/Year&gt;&lt;RecNum&gt;82&lt;/RecNum&gt;&lt;DisplayText&gt;Demirguc-Kunt and Klapper (2012)&lt;/DisplayText&gt;&lt;record&gt;&lt;rec-number&gt;82&lt;/rec-number&gt;&lt;foreign-keys&gt;&lt;key app="EN" db-id="wes5dreptvrsr2eeartvxexxftt2tastxrfs"&gt;82&lt;/key&gt;&lt;/foreign-keys&gt;&lt;ref-type name="Journal Article"&gt;17&lt;/ref-type&gt;&lt;contributors&gt;&lt;authors&gt;&lt;author&gt;Asli Demirguc-Kunt&lt;/author&gt;&lt;author&gt;Leora Klapper&lt;/author&gt;&lt;/authors&gt;&lt;/contributors&gt;&lt;titles&gt;&lt;title&gt;Measuring Financial Inclusion. The Global Findex Database&lt;/title&gt;&lt;secondary-title&gt;World Bank Policy Research Working Paper 6025&lt;/secondary-title&gt;&lt;/titles&gt;&lt;periodical&gt;&lt;full-title&gt;World BAnk Policy Research Working Paper 6025&lt;/full-title&gt;&lt;/periodical&gt;&lt;dates&gt;&lt;year&gt;2012&lt;/year&gt;&lt;/dates&gt;&lt;urls&gt;&lt;/urls&gt;&lt;/record&gt;&lt;/Cite&gt;&lt;/EndNote&gt;</w:instrText>
      </w:r>
      <w:r w:rsidR="00E12159" w:rsidRPr="003221C1">
        <w:rPr>
          <w:sz w:val="22"/>
          <w:szCs w:val="22"/>
        </w:rPr>
        <w:fldChar w:fldCharType="separate"/>
      </w:r>
      <w:hyperlink w:anchor="_ENREF_14" w:tooltip="Demirguc-Kunt, 2012 #82" w:history="1">
        <w:r w:rsidR="006A1532" w:rsidRPr="003221C1">
          <w:rPr>
            <w:noProof/>
            <w:sz w:val="22"/>
            <w:szCs w:val="22"/>
          </w:rPr>
          <w:t>Demirguc-Kunt and Klapper (2012</w:t>
        </w:r>
      </w:hyperlink>
      <w:r w:rsidR="003221C1" w:rsidRPr="003221C1">
        <w:rPr>
          <w:noProof/>
          <w:sz w:val="22"/>
          <w:szCs w:val="22"/>
        </w:rPr>
        <w:t>)</w:t>
      </w:r>
      <w:r w:rsidR="00E12159" w:rsidRPr="003221C1">
        <w:rPr>
          <w:sz w:val="22"/>
          <w:szCs w:val="22"/>
        </w:rPr>
        <w:fldChar w:fldCharType="end"/>
      </w:r>
      <w:r w:rsidR="003221C1" w:rsidRPr="003221C1">
        <w:rPr>
          <w:sz w:val="22"/>
          <w:szCs w:val="22"/>
        </w:rPr>
        <w:t>.</w:t>
      </w:r>
    </w:p>
    <w:p w14:paraId="3111D8B1" w14:textId="77777777" w:rsidR="00B00903" w:rsidRPr="00B00903" w:rsidRDefault="00B00903" w:rsidP="00B00903">
      <w:pPr>
        <w:pStyle w:val="MainParawithChapter"/>
        <w:numPr>
          <w:ilvl w:val="0"/>
          <w:numId w:val="0"/>
        </w:numPr>
        <w:spacing w:after="0"/>
        <w:jc w:val="both"/>
        <w:outlineLvl w:val="9"/>
        <w:rPr>
          <w:i/>
          <w:sz w:val="22"/>
          <w:szCs w:val="22"/>
        </w:rPr>
      </w:pPr>
    </w:p>
    <w:p w14:paraId="14B2DA8A" w14:textId="644CB61D" w:rsidR="00D708EF" w:rsidRPr="00486669" w:rsidRDefault="00486669" w:rsidP="00450916">
      <w:pPr>
        <w:pStyle w:val="MainParawithChapter"/>
        <w:ind w:left="0" w:firstLine="0"/>
        <w:jc w:val="both"/>
        <w:outlineLvl w:val="9"/>
        <w:rPr>
          <w:b/>
        </w:rPr>
      </w:pPr>
      <w:r w:rsidRPr="00486669">
        <w:rPr>
          <w:b/>
        </w:rPr>
        <w:t>Micro crediting has become increasingly popular in Tajikistan, with a majority of lenders being women</w:t>
      </w:r>
      <w:r w:rsidR="00D6435D">
        <w:rPr>
          <w:b/>
        </w:rPr>
        <w:t xml:space="preserve"> with a</w:t>
      </w:r>
      <w:r w:rsidR="001F13A9">
        <w:rPr>
          <w:b/>
        </w:rPr>
        <w:t xml:space="preserve"> higher level of educational attainment</w:t>
      </w:r>
      <w:r w:rsidRPr="00486669">
        <w:rPr>
          <w:b/>
        </w:rPr>
        <w:t>.</w:t>
      </w:r>
      <w:r w:rsidR="00585A3B">
        <w:rPr>
          <w:b/>
        </w:rPr>
        <w:t xml:space="preserve"> </w:t>
      </w:r>
      <w:r w:rsidR="00585A3B">
        <w:t>The development of micro crediting was strongly supp</w:t>
      </w:r>
      <w:r w:rsidR="008248F2">
        <w:t>o</w:t>
      </w:r>
      <w:r w:rsidR="000B2556">
        <w:t>rted by donor organizations. M</w:t>
      </w:r>
      <w:r w:rsidR="00EC1B08">
        <w:t>icro finance organizations (MFO)</w:t>
      </w:r>
      <w:r w:rsidR="008248F2">
        <w:t xml:space="preserve"> have often</w:t>
      </w:r>
      <w:r w:rsidR="000B2556">
        <w:t xml:space="preserve"> been</w:t>
      </w:r>
      <w:r w:rsidR="008248F2">
        <w:t xml:space="preserve"> built on N</w:t>
      </w:r>
      <w:r w:rsidR="000B2556">
        <w:t>GOs already in place, and a majority of them is organized in the Association of Micro Finance Organizations in Tajikist</w:t>
      </w:r>
      <w:r w:rsidR="00EC1B08">
        <w:t xml:space="preserve">an (AMFOT). According to AMFOT data from 2007, 62 percent of lenders were female, and notably, agricultural land is never put forward as collateral. </w:t>
      </w:r>
      <w:r w:rsidR="001F13A9">
        <w:t>It is remarkable that lending data of IMON, the largest micro finance organization represented by AMFOT, indicate that female lenders tend to be between 31 and 50 years</w:t>
      </w:r>
      <w:r w:rsidR="00AB6909">
        <w:t xml:space="preserve"> old</w:t>
      </w:r>
      <w:r w:rsidR="001F13A9">
        <w:t xml:space="preserve">, and have at least completed secondary education or some form of higher education, including vocational training. </w:t>
      </w:r>
      <w:r w:rsidR="00EC1B08">
        <w:t xml:space="preserve">In contrast to men, women prefer group loans, </w:t>
      </w:r>
      <w:r w:rsidR="00B41513">
        <w:t>in which case they appoint</w:t>
      </w:r>
      <w:r w:rsidR="00EC1B08">
        <w:t xml:space="preserve"> a representative who interacts with the MFO, so that they do not have to leave their homes. </w:t>
      </w:r>
      <w:r w:rsidR="00C714EF">
        <w:t xml:space="preserve">Besides, there are reported cases in which more experienced business women act as intermediaries and relend to other women who usually could not access credits, thereby circumventing limited access to finance that might be driven by cultural and social norms </w:t>
      </w:r>
      <w:r w:rsidR="00E12159">
        <w:fldChar w:fldCharType="begin"/>
      </w:r>
      <w:r w:rsidR="00C714EF">
        <w:instrText xml:space="preserve"> </w:instrText>
      </w:r>
      <w:r w:rsidR="009F7A22">
        <w:instrText>ADDIN</w:instrText>
      </w:r>
      <w:r w:rsidR="00C714EF">
        <w:instrText xml:space="preserve"> EN.CITE &lt;EndNote&gt;&lt;Cite&gt;&lt;Author&gt;Giovarelli&lt;/Author&gt;&lt;Year&gt;2008&lt;/Year&gt;&lt;RecNum&gt;66&lt;/RecNum&gt;&lt;DisplayText&gt;(Giovarelli &amp;amp; Undeland, 2008)&lt;/DisplayText&gt;&lt;record&gt;&lt;rec-number&gt;66&lt;/rec-number&gt;&lt;foreign-keys&gt;&lt;key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Tajikistan&lt;/title&gt;&lt;/titles&gt;&lt;dates&gt;&lt;year&gt;2008&lt;/year&gt;&lt;/dates&gt;&lt;urls&gt;&lt;/urls&gt;&lt;/record&gt;&lt;/Cite&gt;&lt;/EndNote&gt;</w:instrText>
      </w:r>
      <w:r w:rsidR="00E12159">
        <w:fldChar w:fldCharType="separate"/>
      </w:r>
      <w:r w:rsidR="00C714EF">
        <w:rPr>
          <w:noProof/>
        </w:rPr>
        <w:t>(</w:t>
      </w:r>
      <w:hyperlink w:anchor="_ENREF_19" w:tooltip="Giovarelli, 2008 #66" w:history="1">
        <w:r w:rsidR="006A1532">
          <w:rPr>
            <w:noProof/>
          </w:rPr>
          <w:t>Giovarelli &amp; Undeland, 2008</w:t>
        </w:r>
      </w:hyperlink>
      <w:r w:rsidR="00C714EF">
        <w:rPr>
          <w:noProof/>
        </w:rPr>
        <w:t>)</w:t>
      </w:r>
      <w:r w:rsidR="00E12159">
        <w:fldChar w:fldCharType="end"/>
      </w:r>
      <w:r w:rsidR="00C714EF">
        <w:t>.</w:t>
      </w:r>
    </w:p>
    <w:p w14:paraId="2C76AA9D" w14:textId="3DC0F5ED" w:rsidR="00593B5E" w:rsidRPr="00EC2D22" w:rsidRDefault="00EC2D22" w:rsidP="00450916">
      <w:pPr>
        <w:pStyle w:val="MainParawithChapter"/>
        <w:ind w:left="0" w:firstLine="0"/>
        <w:jc w:val="both"/>
        <w:outlineLvl w:val="9"/>
        <w:rPr>
          <w:b/>
        </w:rPr>
      </w:pPr>
      <w:r w:rsidRPr="00EC2D22">
        <w:rPr>
          <w:b/>
        </w:rPr>
        <w:t xml:space="preserve">Access to information and networks is extremely limited for Tajik women, specifically in rural and conservative areas. </w:t>
      </w:r>
      <w:r w:rsidR="00592BD4">
        <w:t>Once again, the resurgence of traditional gender roles and religious customs have contributed to the discouragement of exchange of information and knowledge and isolation</w:t>
      </w:r>
      <w:r w:rsidR="000F22FB">
        <w:t xml:space="preserve"> </w:t>
      </w:r>
      <w:r w:rsidR="00E12159">
        <w:fldChar w:fldCharType="begin"/>
      </w:r>
      <w:r w:rsidR="000F22FB">
        <w:instrText xml:space="preserve"> </w:instrText>
      </w:r>
      <w:r w:rsidR="009F7A22">
        <w:instrText>ADDIN</w:instrText>
      </w:r>
      <w:r w:rsidR="000F22FB">
        <w:instrText xml:space="preserve"> EN.CITE &lt;EndNote&gt;&lt;Cite&gt;&lt;Author&gt;Giovarelli&lt;/Author&gt;&lt;Year&gt;2008&lt;/Year&gt;&lt;RecNum&gt;66&lt;/RecNum&gt;&lt;DisplayText&gt;(Giovarelli &amp;amp; Undeland, 2008)&lt;/DisplayText&gt;&lt;record&gt;&lt;rec-number&gt;66&lt;/rec-number&gt;&lt;foreign-keys&gt;&lt;key app="EN" db-id="wes5dreptvrsr2eeartvxexxftt2tastxrfs"&gt;66&lt;/key&gt;&lt;/foreign-keys&gt;&lt;ref-type name="Book"&gt;6&lt;/ref-type&gt;&lt;contributors&gt;&lt;authors&gt;&lt;author&gt;Renee Giovarelli&lt;/author&gt;&lt;author&gt;Asyl Undeland&lt;/author&gt;&lt;/authors&gt;&lt;/contributors&gt;&lt;titles&gt;&lt;title&gt;Understanding Household Level Barriers Constraining Women&amp;apos;s Access to Land and Financial Resources in Tajikistan&lt;/title&gt;&lt;/titles&gt;&lt;dates&gt;&lt;year&gt;2008&lt;/year&gt;&lt;/dates&gt;&lt;urls&gt;&lt;/urls&gt;&lt;/record&gt;&lt;/Cite&gt;&lt;/EndNote&gt;</w:instrText>
      </w:r>
      <w:r w:rsidR="00E12159">
        <w:fldChar w:fldCharType="separate"/>
      </w:r>
      <w:r w:rsidR="000F22FB">
        <w:rPr>
          <w:noProof/>
        </w:rPr>
        <w:t>(</w:t>
      </w:r>
      <w:hyperlink w:anchor="_ENREF_19" w:tooltip="Giovarelli, 2008 #66" w:history="1">
        <w:r w:rsidR="006A1532">
          <w:rPr>
            <w:noProof/>
          </w:rPr>
          <w:t>Giovarelli &amp; Undeland, 2008</w:t>
        </w:r>
      </w:hyperlink>
      <w:r w:rsidR="000F22FB">
        <w:rPr>
          <w:noProof/>
        </w:rPr>
        <w:t>)</w:t>
      </w:r>
      <w:r w:rsidR="00E12159">
        <w:fldChar w:fldCharType="end"/>
      </w:r>
      <w:r w:rsidR="00592BD4">
        <w:t xml:space="preserve">. </w:t>
      </w:r>
      <w:r w:rsidR="003A01C6">
        <w:t>According to a baseline study on knowledge, attitudes and practices of farmers regarding land restructuring,</w:t>
      </w:r>
      <w:r w:rsidR="00FF00CD">
        <w:t xml:space="preserve"> it was found that women</w:t>
      </w:r>
      <w:r w:rsidR="003A01C6">
        <w:t xml:space="preserve"> lack access to information on lan</w:t>
      </w:r>
      <w:r w:rsidR="00FF00CD">
        <w:t>d restructuring and their rights</w:t>
      </w:r>
      <w:r w:rsidR="003A01C6">
        <w:t xml:space="preserve">. In addition, men are more </w:t>
      </w:r>
      <w:r w:rsidR="00AB6909">
        <w:t xml:space="preserve">than </w:t>
      </w:r>
      <w:r w:rsidR="003A01C6">
        <w:t>three times more likely than women to receive an invitation to a workshop, which also limits</w:t>
      </w:r>
      <w:r w:rsidR="00AB6909">
        <w:t xml:space="preserve"> opportunities</w:t>
      </w:r>
      <w:r w:rsidR="003A01C6">
        <w:t xml:space="preserve"> to provide women with information at this occasion. In this context, adequate provision of information</w:t>
      </w:r>
      <w:r w:rsidR="00FF00CD">
        <w:t xml:space="preserve"> also implies that generally</w:t>
      </w:r>
      <w:r w:rsidR="003A01C6">
        <w:t xml:space="preserve"> lower l</w:t>
      </w:r>
      <w:r w:rsidR="00FF00CD">
        <w:t xml:space="preserve">evels of education of females are taken into account </w:t>
      </w:r>
      <w:r w:rsidR="00E12159">
        <w:fldChar w:fldCharType="begin"/>
      </w:r>
      <w:r w:rsidR="000F22FB">
        <w:instrText xml:space="preserve"> </w:instrText>
      </w:r>
      <w:r w:rsidR="009F7A22">
        <w:instrText>ADDIN</w:instrText>
      </w:r>
      <w:r w:rsidR="000F22FB">
        <w:instrText xml:space="preserve"> EN.CITE &lt;EndNote&gt;&lt;Cite&gt;&lt;Author&gt;Abbott&lt;/Author&gt;&lt;Year&gt;2007&lt;/Year&gt;&lt;RecNum&gt;70&lt;/RecNum&gt;&lt;DisplayText&gt;(Abbott, 2007)&lt;/DisplayText&gt;&lt;record&gt;&lt;rec-number&gt;70&lt;/rec-number&gt;&lt;foreign-keys&gt;&lt;key app="EN" db-id="wes5dreptvrsr2eeartvxexxftt2tastxrfs"&gt;70&lt;/key&gt;&lt;/foreign-keys&gt;&lt;ref-type name="Book"&gt;6&lt;/ref-type&gt;&lt;contributors&gt;&lt;authors&gt;&lt;author&gt;Eric A. Abbott&lt;/author&gt;&lt;/authors&gt;&lt;/contributors&gt;&lt;titles&gt;&lt;title&gt;Farmland Restructuring: A Baseline Survey of Knowledge, Attitudes and Practices of Tajikistan Farmers Concerning Land Use Rights and Farm Restructuring&lt;/title&gt;&lt;/titles&gt;&lt;dates&gt;&lt;year&gt;2007&lt;/year&gt;&lt;/dates&gt;&lt;publisher&gt;USAID&lt;/publisher&gt;&lt;urls&gt;&lt;/urls&gt;&lt;/record&gt;&lt;/Cite&gt;&lt;/EndNote&gt;</w:instrText>
      </w:r>
      <w:r w:rsidR="00E12159">
        <w:fldChar w:fldCharType="separate"/>
      </w:r>
      <w:r w:rsidR="000F22FB">
        <w:rPr>
          <w:noProof/>
        </w:rPr>
        <w:t>(</w:t>
      </w:r>
      <w:hyperlink w:anchor="_ENREF_1" w:tooltip="Abbott, 2007 #70" w:history="1">
        <w:r w:rsidR="006A1532">
          <w:rPr>
            <w:noProof/>
          </w:rPr>
          <w:t>Abbott, 2007</w:t>
        </w:r>
      </w:hyperlink>
      <w:r w:rsidR="000F22FB">
        <w:rPr>
          <w:noProof/>
        </w:rPr>
        <w:t>)</w:t>
      </w:r>
      <w:r w:rsidR="00E12159">
        <w:fldChar w:fldCharType="end"/>
      </w:r>
      <w:r w:rsidR="00FF00CD">
        <w:t xml:space="preserve">. </w:t>
      </w:r>
    </w:p>
    <w:p w14:paraId="5F7C11A4" w14:textId="640EC1E9" w:rsidR="0055035F" w:rsidRPr="00227BB4" w:rsidRDefault="00CB3B2D" w:rsidP="00227BB4">
      <w:pPr>
        <w:pStyle w:val="MainParawithChapter"/>
        <w:ind w:left="0" w:firstLine="0"/>
        <w:jc w:val="both"/>
        <w:outlineLvl w:val="9"/>
        <w:rPr>
          <w:b/>
          <w:bCs/>
          <w:caps/>
          <w:sz w:val="32"/>
          <w:szCs w:val="32"/>
        </w:rPr>
      </w:pPr>
      <w:r w:rsidRPr="00AB6909">
        <w:rPr>
          <w:b/>
        </w:rPr>
        <w:lastRenderedPageBreak/>
        <w:t>Enterprises run by female top managers seem to face more hurd</w:t>
      </w:r>
      <w:r w:rsidR="00693D19" w:rsidRPr="00AB6909">
        <w:rPr>
          <w:b/>
        </w:rPr>
        <w:t xml:space="preserve">les in terms of regulations, </w:t>
      </w:r>
      <w:r w:rsidRPr="00AB6909">
        <w:rPr>
          <w:b/>
        </w:rPr>
        <w:t>taxes</w:t>
      </w:r>
      <w:r w:rsidR="00506DBF">
        <w:rPr>
          <w:b/>
        </w:rPr>
        <w:t>,</w:t>
      </w:r>
      <w:r w:rsidR="00693D19" w:rsidRPr="00AB6909">
        <w:rPr>
          <w:b/>
        </w:rPr>
        <w:t xml:space="preserve"> and corruption</w:t>
      </w:r>
      <w:r w:rsidRPr="00AB6909">
        <w:rPr>
          <w:b/>
        </w:rPr>
        <w:t xml:space="preserve">. </w:t>
      </w:r>
      <w:r>
        <w:t>According to t</w:t>
      </w:r>
      <w:r w:rsidR="003E7574">
        <w:t>he 2008 BEEPS, the average number of days until obtaining an operating license amounts to 29 days for firms run by women, but only to 22 days for male top managers</w:t>
      </w:r>
      <w:r w:rsidR="00F561F9">
        <w:t xml:space="preserve"> </w:t>
      </w:r>
      <w:r w:rsidR="00E12159">
        <w:fldChar w:fldCharType="begin"/>
      </w:r>
      <w:r w:rsidR="00F561F9">
        <w:instrText xml:space="preserve"> </w:instrText>
      </w:r>
      <w:r w:rsidR="009F7A22">
        <w:instrText>ADDIN</w:instrText>
      </w:r>
      <w:r w:rsidR="00F561F9">
        <w:instrText xml:space="preserve"> EN.CITE &lt;EndNote&gt;&lt;Cite&gt;&lt;Author&gt;World Bank&lt;/Author&gt;&lt;Year&gt;2008&lt;/Year&gt;&lt;RecNum&gt;65&lt;/RecNum&gt;&lt;DisplayText&gt;(World Bank, 2008)&lt;/DisplayText&gt;&lt;record&gt;&lt;rec-number&gt;65&lt;/rec-number&gt;&lt;foreign-keys&gt;&lt;key app="EN" db-id="wes5dreptvrsr2eeartvxexxftt2tastxrfs"&gt;65&lt;/key&gt;&lt;/foreign-keys&gt;&lt;ref-type name="Book"&gt;6&lt;/ref-type&gt;&lt;contributors&gt;&lt;authors&gt;&lt;author&gt;World Bank&lt;/author&gt;&lt;/authors&gt;&lt;/contributors&gt;&lt;titles&gt;&lt;title&gt;Enterprise Surveys&lt;/title&gt;&lt;/titles&gt;&lt;dates&gt;&lt;year&gt;2008&lt;/year&gt;&lt;/dates&gt;&lt;pub-location&gt;Washington, DC&lt;/pub-location&gt;&lt;publisher&gt;World Bank&lt;/publisher&gt;&lt;urls&gt;&lt;/urls&gt;&lt;/record&gt;&lt;/Cite&gt;&lt;/EndNote&gt;</w:instrText>
      </w:r>
      <w:r w:rsidR="00E12159">
        <w:fldChar w:fldCharType="separate"/>
      </w:r>
      <w:r w:rsidR="00F561F9">
        <w:rPr>
          <w:noProof/>
        </w:rPr>
        <w:t>(</w:t>
      </w:r>
      <w:hyperlink w:anchor="_ENREF_74" w:tooltip="World Bank, 2008 #65" w:history="1">
        <w:r w:rsidR="006A1532">
          <w:rPr>
            <w:noProof/>
          </w:rPr>
          <w:t>World Bank, 2008</w:t>
        </w:r>
      </w:hyperlink>
      <w:r w:rsidR="00F561F9">
        <w:rPr>
          <w:noProof/>
        </w:rPr>
        <w:t>)</w:t>
      </w:r>
      <w:r w:rsidR="00E12159">
        <w:fldChar w:fldCharType="end"/>
      </w:r>
      <w:r w:rsidR="00F561F9">
        <w:t xml:space="preserve">. This result is apparently not driven by the concentration of female managers in the retail sector, as the average time to obtain a permit does not vary largely across manufacturing, retail, and other services firms (23, 20, and 23 days respectively). </w:t>
      </w:r>
      <w:r w:rsidR="00FA5437">
        <w:t xml:space="preserve">Moreover, the percentage of firms that identify tax rates, tax administration, or business licensing or permits as major constraints is consistently considerably higher among firms with female top managers. </w:t>
      </w:r>
      <w:r w:rsidR="008C522D">
        <w:t xml:space="preserve">With regard to access to finance, one quarter of firms considers this point as a major constraint, and this is notably the same for female and male top managers alike. Finally, </w:t>
      </w:r>
      <w:r w:rsidR="00693D19">
        <w:t xml:space="preserve">while more than </w:t>
      </w:r>
      <w:r w:rsidR="008C522D">
        <w:t xml:space="preserve">half of the firms </w:t>
      </w:r>
      <w:r w:rsidR="00693D19">
        <w:t>with female leadership consider</w:t>
      </w:r>
      <w:r w:rsidR="008C522D">
        <w:t xml:space="preserve"> that</w:t>
      </w:r>
      <w:r w:rsidR="00693D19">
        <w:t xml:space="preserve"> corruption negatively affects their business activities, this is only one third among firms that are run by men.</w:t>
      </w:r>
      <w:r w:rsidR="0055035F" w:rsidRPr="00227BB4">
        <w:rPr>
          <w:bCs/>
          <w:szCs w:val="32"/>
        </w:rPr>
        <w:br w:type="page"/>
      </w:r>
    </w:p>
    <w:p w14:paraId="35BD9ACB" w14:textId="77777777" w:rsidR="00BB3138" w:rsidRPr="00BB3138" w:rsidRDefault="00BB3138" w:rsidP="00BB3138">
      <w:pPr>
        <w:pStyle w:val="Heading1"/>
      </w:pPr>
      <w:bookmarkStart w:id="73" w:name="_Toc226957257"/>
      <w:r w:rsidRPr="00BB3138">
        <w:lastRenderedPageBreak/>
        <w:t>Conclusions and Policy Recommendations</w:t>
      </w:r>
      <w:bookmarkEnd w:id="73"/>
    </w:p>
    <w:p w14:paraId="45E82BE5" w14:textId="77777777" w:rsidR="00BB3138" w:rsidRDefault="00960442" w:rsidP="00BB3138">
      <w:pPr>
        <w:pStyle w:val="MainParawithChapter"/>
        <w:ind w:left="0" w:firstLine="0"/>
        <w:jc w:val="both"/>
        <w:outlineLvl w:val="9"/>
        <w:rPr>
          <w:b/>
        </w:rPr>
      </w:pPr>
      <w:r>
        <w:rPr>
          <w:b/>
        </w:rPr>
        <w:t>In spite of efforts towards gr</w:t>
      </w:r>
      <w:r w:rsidR="006349DE">
        <w:rPr>
          <w:b/>
        </w:rPr>
        <w:t>e</w:t>
      </w:r>
      <w:r>
        <w:rPr>
          <w:b/>
        </w:rPr>
        <w:t xml:space="preserve">ater equality among men and women in Tajikistan, significant </w:t>
      </w:r>
      <w:r w:rsidR="00DC0F66">
        <w:rPr>
          <w:b/>
        </w:rPr>
        <w:t xml:space="preserve">gender </w:t>
      </w:r>
      <w:r w:rsidR="00BB3138" w:rsidRPr="00BB3138">
        <w:rPr>
          <w:b/>
        </w:rPr>
        <w:t xml:space="preserve">disparities </w:t>
      </w:r>
      <w:r w:rsidR="00F35902">
        <w:rPr>
          <w:b/>
        </w:rPr>
        <w:t>occur widely</w:t>
      </w:r>
      <w:r w:rsidR="007E6F5A">
        <w:rPr>
          <w:b/>
        </w:rPr>
        <w:t xml:space="preserve">. </w:t>
      </w:r>
      <w:r w:rsidR="00B211EE">
        <w:t>Men’s and women’s unequal capacity to exercise agency and</w:t>
      </w:r>
      <w:r w:rsidR="001005F2">
        <w:t xml:space="preserve"> gender</w:t>
      </w:r>
      <w:r w:rsidR="00B211EE">
        <w:t xml:space="preserve"> disparities in human capital endowments and economic opportunities are closely related and seem to ac</w:t>
      </w:r>
      <w:r w:rsidR="00F35902">
        <w:t>t in mutually reinforcing ways.</w:t>
      </w:r>
      <w:r w:rsidR="00DC0F66">
        <w:t xml:space="preserve"> </w:t>
      </w:r>
      <w:r w:rsidR="001005F2">
        <w:t xml:space="preserve">The strong resurgence of gender stereotypes and traditional practices that had been banned in Soviet times, e.g. the practices of early marriage and </w:t>
      </w:r>
      <w:r w:rsidR="00423CAC">
        <w:t>polygamous relat</w:t>
      </w:r>
      <w:r w:rsidR="00704D35">
        <w:t>ionships, has</w:t>
      </w:r>
      <w:r w:rsidR="00423CAC">
        <w:t xml:space="preserve"> apparentl</w:t>
      </w:r>
      <w:r w:rsidR="00704D35">
        <w:t>y been detrimental to reducing gender disparities</w:t>
      </w:r>
      <w:r w:rsidR="00423CAC">
        <w:t xml:space="preserve"> in Tajikistan.</w:t>
      </w:r>
    </w:p>
    <w:p w14:paraId="76E8DB56" w14:textId="77777777" w:rsidR="007F3A54" w:rsidRPr="00792D92" w:rsidRDefault="007F3A54" w:rsidP="007F3A54">
      <w:pPr>
        <w:pStyle w:val="MainParawithChapter"/>
        <w:ind w:left="0" w:firstLine="0"/>
        <w:jc w:val="both"/>
        <w:outlineLvl w:val="9"/>
        <w:rPr>
          <w:b/>
        </w:rPr>
      </w:pPr>
      <w:r w:rsidRPr="00792D92">
        <w:rPr>
          <w:b/>
        </w:rPr>
        <w:t xml:space="preserve">Women’s agency in Tajikistan is constrained by </w:t>
      </w:r>
      <w:r>
        <w:rPr>
          <w:b/>
        </w:rPr>
        <w:t xml:space="preserve">weak </w:t>
      </w:r>
      <w:r w:rsidRPr="00792D92">
        <w:rPr>
          <w:b/>
        </w:rPr>
        <w:t>implementation of gender policies and patriarc</w:t>
      </w:r>
      <w:r>
        <w:rPr>
          <w:b/>
        </w:rPr>
        <w:t xml:space="preserve">hal systems of decision-making. </w:t>
      </w:r>
      <w:r>
        <w:t xml:space="preserve">Gender equality has been </w:t>
      </w:r>
      <w:r w:rsidRPr="00F2438F">
        <w:rPr>
          <w:i/>
        </w:rPr>
        <w:t>de jure</w:t>
      </w:r>
      <w:r>
        <w:t xml:space="preserve"> enshrined in Tajikistan’s legal system, but the achievement of </w:t>
      </w:r>
      <w:r w:rsidRPr="00F2438F">
        <w:rPr>
          <w:i/>
        </w:rPr>
        <w:t>de facto</w:t>
      </w:r>
      <w:r>
        <w:t xml:space="preserve"> equality of men and women is still a process under way that has been hampered by poor implementation and coordination mechanisms and limited monitoring and evaluation. Men dominate decision-making processes in virtually all spheres and women’s voices are frequently excluded, be it at home, at work, or in politics. </w:t>
      </w:r>
    </w:p>
    <w:p w14:paraId="5E3368B4" w14:textId="77777777" w:rsidR="007F3A54" w:rsidRDefault="007F3A54" w:rsidP="007F3A54">
      <w:pPr>
        <w:pStyle w:val="MainParawithChapter"/>
        <w:ind w:left="0" w:firstLine="0"/>
        <w:jc w:val="both"/>
        <w:outlineLvl w:val="9"/>
      </w:pPr>
      <w:r w:rsidRPr="00F2438F">
        <w:rPr>
          <w:b/>
        </w:rPr>
        <w:t xml:space="preserve">Gender disparities in favor of boys exist at all levels of education, but </w:t>
      </w:r>
      <w:r w:rsidR="006349DE">
        <w:rPr>
          <w:b/>
        </w:rPr>
        <w:t>widen</w:t>
      </w:r>
      <w:r w:rsidRPr="00F2438F">
        <w:rPr>
          <w:b/>
        </w:rPr>
        <w:t xml:space="preserve"> </w:t>
      </w:r>
      <w:r>
        <w:rPr>
          <w:b/>
        </w:rPr>
        <w:t xml:space="preserve">during </w:t>
      </w:r>
      <w:r w:rsidRPr="00F2438F">
        <w:rPr>
          <w:b/>
        </w:rPr>
        <w:t xml:space="preserve">secondary </w:t>
      </w:r>
      <w:r>
        <w:rPr>
          <w:b/>
        </w:rPr>
        <w:t xml:space="preserve">education </w:t>
      </w:r>
      <w:r w:rsidRPr="00F2438F">
        <w:rPr>
          <w:b/>
        </w:rPr>
        <w:t>and</w:t>
      </w:r>
      <w:r>
        <w:rPr>
          <w:b/>
        </w:rPr>
        <w:t xml:space="preserve"> are extremely pronounced in</w:t>
      </w:r>
      <w:r w:rsidRPr="00F2438F">
        <w:rPr>
          <w:b/>
        </w:rPr>
        <w:t xml:space="preserve"> tertiary education</w:t>
      </w:r>
      <w:r>
        <w:rPr>
          <w:b/>
        </w:rPr>
        <w:t xml:space="preserve">. </w:t>
      </w:r>
      <w:r>
        <w:t>In regional comparison, gender gaps are already substantial for secondary education, but the ratio of female to male tertiary enrollment is among the lowest worldwide. Studies suggest that financial constraints, expected returns to education, and traditional gender stereotypes that narrowly define the role of women and girls in society are important factors that prevent girls from pursuing higher education.</w:t>
      </w:r>
    </w:p>
    <w:p w14:paraId="7544A1F8" w14:textId="33A5EA78" w:rsidR="007F3A54" w:rsidRPr="007E37C4" w:rsidRDefault="007F3A54" w:rsidP="007F3A54">
      <w:pPr>
        <w:pStyle w:val="MainParawithChapter"/>
        <w:ind w:left="0" w:firstLine="0"/>
        <w:jc w:val="both"/>
        <w:outlineLvl w:val="9"/>
        <w:rPr>
          <w:b/>
        </w:rPr>
      </w:pPr>
      <w:r w:rsidRPr="0021573D">
        <w:rPr>
          <w:b/>
        </w:rPr>
        <w:t>High child and maternal mortality, rising HIV prevalence among women, and women’s risk of bei</w:t>
      </w:r>
      <w:r>
        <w:rPr>
          <w:b/>
        </w:rPr>
        <w:t>ng exposed to domestic violence are serious</w:t>
      </w:r>
      <w:r w:rsidRPr="0021573D">
        <w:rPr>
          <w:b/>
        </w:rPr>
        <w:t xml:space="preserve"> health i</w:t>
      </w:r>
      <w:r>
        <w:rPr>
          <w:b/>
        </w:rPr>
        <w:t>ssues.</w:t>
      </w:r>
      <w:r w:rsidRPr="0021573D">
        <w:rPr>
          <w:b/>
        </w:rPr>
        <w:t xml:space="preserve"> </w:t>
      </w:r>
      <w:r>
        <w:t>The overall health situation had significantly deteriorated in the aftermath of independence and years of civil war. Life expectancy for both men and women is below the regional average, but more so for men. Due to unacceptably high mortality rates, the Republic of Tajikistan has declared child and maternal health a key priority. Further concerns arise from the fact that a range of social, cultural and economic realities constrains women and girls from effectively protecting themselves from HIV infection and domestic violence</w:t>
      </w:r>
      <w:r w:rsidR="00407847">
        <w:t>, which in turn can impact upon women’s productive capacity.</w:t>
      </w:r>
    </w:p>
    <w:p w14:paraId="6506AC77" w14:textId="77777777" w:rsidR="007F3A54" w:rsidRDefault="007F3A54" w:rsidP="007F3A54">
      <w:pPr>
        <w:pStyle w:val="MainParawithChapter"/>
        <w:ind w:left="0" w:firstLine="0"/>
        <w:jc w:val="both"/>
        <w:outlineLvl w:val="9"/>
      </w:pPr>
      <w:r w:rsidRPr="00002376">
        <w:rPr>
          <w:b/>
        </w:rPr>
        <w:t xml:space="preserve">Tajikistan’s labor market is characterized by gaps </w:t>
      </w:r>
      <w:r>
        <w:rPr>
          <w:b/>
        </w:rPr>
        <w:t xml:space="preserve">in </w:t>
      </w:r>
      <w:r w:rsidRPr="00002376">
        <w:rPr>
          <w:b/>
        </w:rPr>
        <w:t xml:space="preserve">economic activity, gender-based </w:t>
      </w:r>
      <w:proofErr w:type="spellStart"/>
      <w:r w:rsidRPr="00002376">
        <w:rPr>
          <w:b/>
        </w:rPr>
        <w:t>sectoral</w:t>
      </w:r>
      <w:proofErr w:type="spellEnd"/>
      <w:r w:rsidRPr="00002376">
        <w:rPr>
          <w:b/>
        </w:rPr>
        <w:t xml:space="preserve"> and occu</w:t>
      </w:r>
      <w:r>
        <w:rPr>
          <w:b/>
        </w:rPr>
        <w:t xml:space="preserve">pational segregation, and </w:t>
      </w:r>
      <w:r w:rsidRPr="00002376">
        <w:rPr>
          <w:b/>
        </w:rPr>
        <w:t xml:space="preserve">earnings disparities. </w:t>
      </w:r>
      <w:r>
        <w:t>While women constitute 45 percent of the total labor force, two thirds of the economically inactive are female, as they are frequently expected to carry out domestic responsibilities. Women are disproportionately present in the agricultural sector and in low-paid, low productivity works, as well as in the informal sector of the labor market. Moreover, there are indications for gender-related earnings discrimination. Mainly male labor migration impacts on the economic and social wellbeing of migrants and their families in ambivalent ways.</w:t>
      </w:r>
    </w:p>
    <w:p w14:paraId="4C13375B" w14:textId="77777777" w:rsidR="00506DBF" w:rsidRPr="00506DBF" w:rsidRDefault="007F3A54" w:rsidP="007F3A54">
      <w:pPr>
        <w:pStyle w:val="MainParawithChapter"/>
        <w:ind w:left="0" w:firstLine="0"/>
        <w:jc w:val="both"/>
        <w:outlineLvl w:val="9"/>
        <w:rPr>
          <w:b/>
        </w:rPr>
      </w:pPr>
      <w:r w:rsidRPr="0070560F">
        <w:rPr>
          <w:b/>
        </w:rPr>
        <w:lastRenderedPageBreak/>
        <w:t>Female entrepreneurs are the exception rather than the rule and face constraints in their access to land, finance, and networks.</w:t>
      </w:r>
      <w:r>
        <w:rPr>
          <w:b/>
        </w:rPr>
        <w:t xml:space="preserve"> </w:t>
      </w:r>
      <w:r>
        <w:t>Possibly related to different levels of risk aversion, women attempt to start a business less frequently than men, although they are not less successful in case they do so. Just twelve percent of top managers are women, but this share varies according to firm characteristics, with female involvement being higher in the retail sector, in small companies, and in the capital. Female entrepreneurs appear to be constrained in their access to land, finance, and networks, and enterprises run by female top managers more often report hurdles in terms of regulations, taxes, and corruption.</w:t>
      </w:r>
    </w:p>
    <w:p w14:paraId="183F8E01" w14:textId="63919D2F" w:rsidR="00BB3138" w:rsidRPr="007F3A54" w:rsidRDefault="007F3A54" w:rsidP="00BB3138">
      <w:pPr>
        <w:pStyle w:val="MainParawithChapter"/>
        <w:ind w:left="0" w:firstLine="0"/>
        <w:jc w:val="both"/>
        <w:outlineLvl w:val="9"/>
        <w:rPr>
          <w:b/>
        </w:rPr>
      </w:pPr>
      <w:r>
        <w:rPr>
          <w:b/>
        </w:rPr>
        <w:t>T</w:t>
      </w:r>
      <w:r w:rsidR="00BB3138" w:rsidRPr="007F3A54">
        <w:rPr>
          <w:b/>
        </w:rPr>
        <w:t xml:space="preserve">he following policy </w:t>
      </w:r>
      <w:r w:rsidR="002C01D3" w:rsidRPr="007F3A54">
        <w:rPr>
          <w:b/>
        </w:rPr>
        <w:t xml:space="preserve">measures </w:t>
      </w:r>
      <w:r w:rsidR="00485A84">
        <w:rPr>
          <w:b/>
        </w:rPr>
        <w:t xml:space="preserve">are proposed for </w:t>
      </w:r>
      <w:r w:rsidR="00DC0F66" w:rsidRPr="007F3A54">
        <w:rPr>
          <w:b/>
        </w:rPr>
        <w:t>discussion</w:t>
      </w:r>
      <w:r w:rsidR="00911AA5" w:rsidRPr="007F3A54">
        <w:rPr>
          <w:b/>
        </w:rPr>
        <w:t xml:space="preserve"> </w:t>
      </w:r>
      <w:r w:rsidR="005443D2" w:rsidRPr="007F3A54">
        <w:rPr>
          <w:b/>
        </w:rPr>
        <w:t xml:space="preserve">among policy-makers, civil society actors, and </w:t>
      </w:r>
      <w:r w:rsidR="007765DD">
        <w:rPr>
          <w:b/>
        </w:rPr>
        <w:t>development partners:</w:t>
      </w:r>
      <w:r w:rsidR="007C4C27" w:rsidRPr="007F3A54">
        <w:rPr>
          <w:b/>
        </w:rPr>
        <w:t xml:space="preserve"> </w:t>
      </w:r>
    </w:p>
    <w:p w14:paraId="21336295" w14:textId="6447F0C2" w:rsidR="00407847" w:rsidRDefault="00E5113F" w:rsidP="00721C4C">
      <w:pPr>
        <w:pStyle w:val="Sub-Para1underXY"/>
        <w:ind w:left="1077" w:hanging="357"/>
        <w:jc w:val="both"/>
      </w:pPr>
      <w:r w:rsidRPr="007C4C27">
        <w:rPr>
          <w:b/>
        </w:rPr>
        <w:t xml:space="preserve">In order to </w:t>
      </w:r>
      <w:r w:rsidR="007765DD">
        <w:rPr>
          <w:b/>
        </w:rPr>
        <w:t>unlock</w:t>
      </w:r>
      <w:r w:rsidR="00923173" w:rsidRPr="007C4C27">
        <w:rPr>
          <w:b/>
        </w:rPr>
        <w:t xml:space="preserve"> the full potential of the existing legal framework, </w:t>
      </w:r>
      <w:r w:rsidR="007C4C27" w:rsidRPr="007C4C27">
        <w:rPr>
          <w:b/>
        </w:rPr>
        <w:t>a critical review of implementation</w:t>
      </w:r>
      <w:r w:rsidR="009A30C0">
        <w:rPr>
          <w:b/>
        </w:rPr>
        <w:t>, monitoring and evaluation,</w:t>
      </w:r>
      <w:r w:rsidR="007C4C27" w:rsidRPr="007C4C27">
        <w:rPr>
          <w:b/>
        </w:rPr>
        <w:t xml:space="preserve"> and coordination mechanisms </w:t>
      </w:r>
      <w:r w:rsidR="00DC0F66">
        <w:rPr>
          <w:b/>
        </w:rPr>
        <w:t>may</w:t>
      </w:r>
      <w:r w:rsidR="007C4C27" w:rsidRPr="007C4C27">
        <w:rPr>
          <w:b/>
        </w:rPr>
        <w:t xml:space="preserve"> be </w:t>
      </w:r>
      <w:r w:rsidR="00DC0F66">
        <w:rPr>
          <w:b/>
        </w:rPr>
        <w:t>valuable.</w:t>
      </w:r>
      <w:r w:rsidR="007C4C27" w:rsidRPr="007C4C27">
        <w:rPr>
          <w:b/>
        </w:rPr>
        <w:t xml:space="preserve"> </w:t>
      </w:r>
      <w:r w:rsidR="00044B9C">
        <w:t>C</w:t>
      </w:r>
      <w:r w:rsidR="00350400">
        <w:t>onsiderable efforts have already been made to set up a legal framework that follows general principles of gender e</w:t>
      </w:r>
      <w:r w:rsidR="00044B9C">
        <w:t xml:space="preserve">quality and non-discrimination. </w:t>
      </w:r>
      <w:r w:rsidR="000601EB">
        <w:t xml:space="preserve">In order to </w:t>
      </w:r>
      <w:r w:rsidR="007C4C27">
        <w:t>live up to its</w:t>
      </w:r>
      <w:r w:rsidR="000601EB">
        <w:t xml:space="preserve"> full potential, the government might wish to review how implementation mechanisms</w:t>
      </w:r>
      <w:r w:rsidR="009A30C0">
        <w:t xml:space="preserve"> and monitoring and evaluation</w:t>
      </w:r>
      <w:r w:rsidR="000601EB">
        <w:t xml:space="preserve"> can be </w:t>
      </w:r>
      <w:r w:rsidR="00E70809">
        <w:t>reinforced</w:t>
      </w:r>
      <w:r w:rsidR="000601EB">
        <w:t xml:space="preserve"> and cooperation between the various stakeholders involved can be improved</w:t>
      </w:r>
      <w:r w:rsidR="00246437">
        <w:t>. Policy measures could include</w:t>
      </w:r>
      <w:r w:rsidR="007C5381">
        <w:t xml:space="preserve"> strengthening the Committee for Women and Family Affairs</w:t>
      </w:r>
      <w:r w:rsidR="000601EB">
        <w:t>. Brin</w:t>
      </w:r>
      <w:r w:rsidR="007C5381">
        <w:t xml:space="preserve">ging existing </w:t>
      </w:r>
      <w:r w:rsidR="000601EB">
        <w:t>laws and regulations in compliance wit</w:t>
      </w:r>
      <w:r w:rsidR="007C5381">
        <w:t xml:space="preserve">h the Law on State </w:t>
      </w:r>
      <w:r w:rsidR="006349DE">
        <w:t>Guarantees</w:t>
      </w:r>
      <w:r w:rsidR="007C5381">
        <w:t xml:space="preserve"> and analyzing draft laws routinely from a gender perspective</w:t>
      </w:r>
      <w:r w:rsidR="004A3CB4">
        <w:t>.</w:t>
      </w:r>
      <w:r w:rsidR="00407847">
        <w:t xml:space="preserve"> </w:t>
      </w:r>
    </w:p>
    <w:p w14:paraId="7F20C047" w14:textId="6E50D244" w:rsidR="00407847" w:rsidRDefault="00407847" w:rsidP="00866C03">
      <w:pPr>
        <w:pStyle w:val="Sub-Para1underXY"/>
        <w:numPr>
          <w:ilvl w:val="0"/>
          <w:numId w:val="0"/>
        </w:numPr>
        <w:ind w:left="1080"/>
        <w:jc w:val="both"/>
      </w:pPr>
      <w:r>
        <w:t>In particular the following addition or revisions would strengthen the legal framework: (</w:t>
      </w:r>
      <w:proofErr w:type="spellStart"/>
      <w:r>
        <w:t>i</w:t>
      </w:r>
      <w:proofErr w:type="spellEnd"/>
      <w:r>
        <w:t>) Amendments to the Law and statues to provide greater clarity on the mechanisms for the provision of state guarantees for the provision of access to economic resources, in particular land and other property. (ii) Clarification on the nature and scope of Temporary Special Measures (as this tool is currently being underutilized) and (iii) revisions to the Criminal Code and the Code of Criminal Procedure that would strengthen the protection of the rights of women victims of domestic violence, in line with the new legislation on domestic violence. In addition, the creation of mechanisms for a gender-sensitive review of law, policies and departmental programs prior to their submission for executive or parliamentary approval could be instituted to ensure compliance with the law.</w:t>
      </w:r>
    </w:p>
    <w:p w14:paraId="6B9E0708" w14:textId="4BED74A7" w:rsidR="002C3D71" w:rsidRDefault="00CC0458" w:rsidP="00721C4C">
      <w:pPr>
        <w:pStyle w:val="Sub-Para1underXY"/>
        <w:ind w:left="1077" w:hanging="357"/>
        <w:jc w:val="both"/>
      </w:pPr>
      <w:r>
        <w:rPr>
          <w:b/>
        </w:rPr>
        <w:t>Increasing female enrolment in secondary and tertia</w:t>
      </w:r>
      <w:r w:rsidR="00C02150">
        <w:rPr>
          <w:b/>
        </w:rPr>
        <w:t xml:space="preserve">ry education should be </w:t>
      </w:r>
      <w:r w:rsidR="00E02D0C">
        <w:rPr>
          <w:b/>
        </w:rPr>
        <w:t>monitored carefully and appropriate policy responses adopted</w:t>
      </w:r>
      <w:r w:rsidR="00C02150">
        <w:rPr>
          <w:b/>
        </w:rPr>
        <w:t>.</w:t>
      </w:r>
      <w:r w:rsidR="002E3DB7">
        <w:t xml:space="preserve"> </w:t>
      </w:r>
      <w:r w:rsidR="006E5CD1">
        <w:t xml:space="preserve">Financial incentives to reduce </w:t>
      </w:r>
      <w:r w:rsidR="00DD556D">
        <w:t xml:space="preserve">costs of education </w:t>
      </w:r>
      <w:r w:rsidR="006E5CD1">
        <w:t xml:space="preserve">proved to be successful in other countries, such as </w:t>
      </w:r>
      <w:r w:rsidR="00D768D7">
        <w:t xml:space="preserve">scholarships or stipends for disadvantaged pupils, particularly girls (e.g. in Cambodia) or conditional cash transfers </w:t>
      </w:r>
      <w:r w:rsidR="003F38AA">
        <w:t>targeted to girls from underprivileged rural households</w:t>
      </w:r>
      <w:r w:rsidR="00D768D7">
        <w:t xml:space="preserve"> (e.g. in Yemen</w:t>
      </w:r>
      <w:r w:rsidR="006D4DC6">
        <w:t>, Pakistan</w:t>
      </w:r>
      <w:r w:rsidR="00D768D7">
        <w:t>)</w:t>
      </w:r>
      <w:r w:rsidR="006A747A">
        <w:t xml:space="preserve"> </w:t>
      </w:r>
      <w:r w:rsidR="003F38AA">
        <w:fldChar w:fldCharType="begin"/>
      </w:r>
      <w:r w:rsidR="006A1532">
        <w:instrText xml:space="preserve"> ADDIN EN.CITE &lt;EndNote&gt;&lt;Cite&gt;&lt;Author&gt;Bank&lt;/Author&gt;&lt;Year&gt;2011&lt;/Year&gt;&lt;RecNum&gt;87&lt;/RecNum&gt;&lt;DisplayText&gt;(Alam et al., 2011; World Bank, 2011a)&lt;/DisplayText&gt;&lt;record&gt;&lt;rec-number&gt;87&lt;/rec-number&gt;&lt;foreign-keys&gt;&lt;key app="EN" db-id="wes5dreptvrsr2eeartvxexxftt2tastxrfs"&gt;87&lt;/key&gt;&lt;/foreign-keys&gt;&lt;ref-type name="Book"&gt;6&lt;/ref-type&gt;&lt;contributors&gt;&lt;authors&gt;&lt;author&gt;World Bank&lt;/author&gt;&lt;/authors&gt;&lt;/contributors&gt;&lt;titles&gt;&lt;title&gt;Getting to Equal. Promoting Gender Equality through Human Development&lt;/title&gt;&lt;/titles&gt;&lt;dates&gt;&lt;year&gt;2011&lt;/year&gt;&lt;/dates&gt;&lt;pub-location&gt;Washington, DC&lt;/pub-location&gt;&lt;publisher&gt;World Bank&lt;/publisher&gt;&lt;urls&gt;&lt;/urls&gt;&lt;/record&gt;&lt;/Cite&gt;&lt;Cite&gt;&lt;Author&gt;Alam&lt;/Author&gt;&lt;Year&gt;2011&lt;/Year&gt;&lt;RecNum&gt;88&lt;/RecNum&gt;&lt;record&gt;&lt;rec-number&gt;88&lt;/rec-number&gt;&lt;foreign-keys&gt;&lt;key app="EN" db-id="wes5dreptvrsr2eeartvxexxftt2tastxrfs"&gt;88&lt;/key&gt;&lt;/foreign-keys&gt;&lt;ref-type name="Journal Article"&gt;17&lt;/ref-type&gt;&lt;contributors&gt;&lt;authors&gt;&lt;author&gt;Andaleeb Alam&lt;/author&gt;&lt;author&gt;Javier E. Baez&lt;/author&gt;&lt;author&gt;Ximena V. Del Carpio&lt;/author&gt;&lt;/authors&gt;&lt;/contributors&gt;&lt;titles&gt;&lt;title&gt;Does Cash for School Influence Women&amp;apos;s Behavior in the Longer Term? Evidence from Pakistan&lt;/title&gt;&lt;secondary-title&gt;World Bank Policy Research Working Paper 5669&lt;/secondary-title&gt;&lt;/titles&gt;&lt;periodical&gt;&lt;full-title&gt;World Bank Policy Research Working Paper 5669&lt;/full-title&gt;&lt;/periodical&gt;&lt;dates&gt;&lt;year&gt;2011&lt;/year&gt;&lt;/dates&gt;&lt;urls&gt;&lt;/urls&gt;&lt;/record&gt;&lt;/Cite&gt;&lt;/EndNote&gt;</w:instrText>
      </w:r>
      <w:r w:rsidR="003F38AA">
        <w:fldChar w:fldCharType="separate"/>
      </w:r>
      <w:r w:rsidR="006A1532">
        <w:rPr>
          <w:noProof/>
        </w:rPr>
        <w:t>(</w:t>
      </w:r>
      <w:hyperlink w:anchor="_ENREF_4" w:tooltip="Alam, 2011 #88" w:history="1">
        <w:r w:rsidR="006A1532">
          <w:rPr>
            <w:noProof/>
          </w:rPr>
          <w:t>Alam et al., 2011</w:t>
        </w:r>
      </w:hyperlink>
      <w:r w:rsidR="006A1532">
        <w:rPr>
          <w:noProof/>
        </w:rPr>
        <w:t xml:space="preserve">; </w:t>
      </w:r>
      <w:hyperlink w:anchor="_ENREF_78" w:tooltip="World Bank, 2011 #87" w:history="1">
        <w:r w:rsidR="006A1532">
          <w:rPr>
            <w:noProof/>
          </w:rPr>
          <w:t>World Bank, 2011a</w:t>
        </w:r>
      </w:hyperlink>
      <w:r w:rsidR="006A1532">
        <w:rPr>
          <w:noProof/>
        </w:rPr>
        <w:t>)</w:t>
      </w:r>
      <w:r w:rsidR="003F38AA">
        <w:fldChar w:fldCharType="end"/>
      </w:r>
      <w:r w:rsidR="003F38AA">
        <w:t xml:space="preserve">. Further policy measures could include (1) the promotion of the value of education for </w:t>
      </w:r>
      <w:r w:rsidR="000E041B">
        <w:t xml:space="preserve">girls and </w:t>
      </w:r>
      <w:r w:rsidR="003F38AA">
        <w:t xml:space="preserve">boys alike to increase parental support, (2) the stricter containment of illegal early marriages, and (3) </w:t>
      </w:r>
      <w:r w:rsidR="003F38AA">
        <w:lastRenderedPageBreak/>
        <w:t>the review of quota systems</w:t>
      </w:r>
      <w:r w:rsidR="00F040CA">
        <w:t xml:space="preserve"> in institutions of higher education</w:t>
      </w:r>
      <w:r w:rsidR="003F38AA">
        <w:t xml:space="preserve"> in favor of </w:t>
      </w:r>
      <w:r w:rsidR="00866C03">
        <w:t>female students</w:t>
      </w:r>
      <w:r w:rsidR="003F38AA">
        <w:t xml:space="preserve">. </w:t>
      </w:r>
    </w:p>
    <w:p w14:paraId="36A54828" w14:textId="60CEE6C1" w:rsidR="00374D42" w:rsidRDefault="00374D42" w:rsidP="00374D42">
      <w:pPr>
        <w:pStyle w:val="Sub-Para1underXY"/>
        <w:numPr>
          <w:ilvl w:val="0"/>
          <w:numId w:val="0"/>
        </w:numPr>
        <w:ind w:left="1080"/>
        <w:jc w:val="both"/>
      </w:pPr>
      <w:r>
        <w:t xml:space="preserve">In terms of the </w:t>
      </w:r>
      <w:r w:rsidRPr="00374D42">
        <w:rPr>
          <w:b/>
        </w:rPr>
        <w:t>quality of education</w:t>
      </w:r>
      <w:r>
        <w:t>, internationally comparable, gender disaggregated test scores might deliver important insights and assist in monitoring progress, as would disaggregation by ethnicity, socio-economic status and geographic region. Developments in the education sector would benefit from being explicitly aligned with the challenges experienced by women in entering the labor market and with the specific needs of the labor market, as occupational segregation is set at an earlier stage than simply at entry into the labor market.</w:t>
      </w:r>
    </w:p>
    <w:p w14:paraId="6E4DEED9" w14:textId="2B2DF3CB" w:rsidR="00F466B4" w:rsidRPr="008B3859" w:rsidRDefault="00286CE3" w:rsidP="00721C4C">
      <w:pPr>
        <w:pStyle w:val="Sub-Para1underXY"/>
        <w:ind w:left="1077" w:hanging="357"/>
        <w:jc w:val="both"/>
        <w:rPr>
          <w:b/>
        </w:rPr>
      </w:pPr>
      <w:r w:rsidRPr="00286CE3">
        <w:rPr>
          <w:b/>
        </w:rPr>
        <w:t xml:space="preserve">Young women’s </w:t>
      </w:r>
      <w:r w:rsidR="005538C3" w:rsidRPr="00416E7A">
        <w:rPr>
          <w:b/>
        </w:rPr>
        <w:t xml:space="preserve">transition from school </w:t>
      </w:r>
      <w:r w:rsidR="003C22CD">
        <w:rPr>
          <w:b/>
        </w:rPr>
        <w:t>in</w:t>
      </w:r>
      <w:r w:rsidR="005538C3" w:rsidRPr="00416E7A">
        <w:rPr>
          <w:b/>
        </w:rPr>
        <w:t xml:space="preserve">to productive employment </w:t>
      </w:r>
      <w:r w:rsidR="00727C66">
        <w:rPr>
          <w:b/>
        </w:rPr>
        <w:t xml:space="preserve">in demand-driven fields </w:t>
      </w:r>
      <w:r w:rsidR="005538C3" w:rsidRPr="00416E7A">
        <w:rPr>
          <w:b/>
        </w:rPr>
        <w:t xml:space="preserve">needs to be supported. </w:t>
      </w:r>
      <w:r w:rsidR="00604096">
        <w:t xml:space="preserve">At present, female employment is concentrated in low-productivity, low-paid jobs. Training programs for young women should </w:t>
      </w:r>
      <w:r w:rsidR="00DD556D">
        <w:t>aim to</w:t>
      </w:r>
      <w:r w:rsidR="0047115A">
        <w:t xml:space="preserve"> </w:t>
      </w:r>
      <w:r w:rsidR="00604096">
        <w:t xml:space="preserve">develop skills </w:t>
      </w:r>
      <w:r w:rsidR="0047115A">
        <w:t xml:space="preserve">that address the needs of high value-added activities. </w:t>
      </w:r>
      <w:r w:rsidR="00285355">
        <w:t>Informed by lessons learnt from the Adolescent Girls Initiative</w:t>
      </w:r>
      <w:r w:rsidR="00DD556D">
        <w:t xml:space="preserve"> in</w:t>
      </w:r>
      <w:r w:rsidR="008038ED">
        <w:t xml:space="preserve"> </w:t>
      </w:r>
      <w:r w:rsidR="00866C03">
        <w:t>low income countrie</w:t>
      </w:r>
      <w:r w:rsidR="00DD556D">
        <w:t>s</w:t>
      </w:r>
      <w:r w:rsidR="008B3859">
        <w:t xml:space="preserve"> </w:t>
      </w:r>
      <w:r w:rsidR="008B3859">
        <w:fldChar w:fldCharType="begin"/>
      </w:r>
      <w:r w:rsidR="008B3859">
        <w:instrText xml:space="preserve"> ADDIN EN.CITE &lt;EndNote&gt;&lt;Cite&gt;&lt;Author&gt;World Bank&lt;/Author&gt;&lt;Year&gt;2012&lt;/Year&gt;&lt;RecNum&gt;89&lt;/RecNum&gt;&lt;Prefix&gt;cf. &lt;/Prefix&gt;&lt;DisplayText&gt;(cf. World Bank, 2012a)&lt;/DisplayText&gt;&lt;record&gt;&lt;rec-number&gt;89&lt;/rec-number&gt;&lt;foreign-keys&gt;&lt;key app="EN" db-id="wes5dreptvrsr2eeartvxexxftt2tastxrfs"&gt;89&lt;/key&gt;&lt;/foreign-keys&gt;&lt;ref-type name="Journal Article"&gt;17&lt;/ref-type&gt;&lt;contributors&gt;&lt;authors&gt;&lt;author&gt;World Bank&lt;/author&gt;&lt;/authors&gt;&lt;/contributors&gt;&lt;titles&gt;&lt;title&gt;Adolescent Girls Initiative: How to Make Youth Employment Programs &amp;quot;Girl-Friendly&amp;quot;&lt;/title&gt;&lt;secondary-title&gt;Learning from Practice Series&lt;/secondary-title&gt;&lt;/titles&gt;&lt;periodical&gt;&lt;full-title&gt;Learning from Practice Series&lt;/full-title&gt;&lt;/periodical&gt;&lt;pages&gt;available at http://siteresources.worldbank.org/EXTGENDER/Resources/1317219_AGI_LearningFromPracticeSeries.pdf&lt;/pages&gt;&lt;dates&gt;&lt;year&gt;2012&lt;/year&gt;&lt;/dates&gt;&lt;urls&gt;&lt;/urls&gt;&lt;/record&gt;&lt;/Cite&gt;&lt;/EndNote&gt;</w:instrText>
      </w:r>
      <w:r w:rsidR="008B3859">
        <w:fldChar w:fldCharType="separate"/>
      </w:r>
      <w:r w:rsidR="008B3859">
        <w:rPr>
          <w:noProof/>
        </w:rPr>
        <w:t>(</w:t>
      </w:r>
      <w:hyperlink w:anchor="_ENREF_82" w:tooltip="World Bank, 2012 #89" w:history="1">
        <w:r w:rsidR="006A1532">
          <w:rPr>
            <w:noProof/>
          </w:rPr>
          <w:t>cf. World Bank, 2012a</w:t>
        </w:r>
      </w:hyperlink>
      <w:r w:rsidR="008B3859">
        <w:rPr>
          <w:noProof/>
        </w:rPr>
        <w:t>)</w:t>
      </w:r>
      <w:r w:rsidR="008B3859">
        <w:fldChar w:fldCharType="end"/>
      </w:r>
      <w:r w:rsidR="00285355">
        <w:t xml:space="preserve">, </w:t>
      </w:r>
      <w:r w:rsidR="008B3859">
        <w:t>policy measures</w:t>
      </w:r>
      <w:r w:rsidR="00285355">
        <w:t xml:space="preserve"> could include </w:t>
      </w:r>
      <w:r w:rsidR="00CF0414">
        <w:t xml:space="preserve">(1) </w:t>
      </w:r>
      <w:r w:rsidR="00F466B4">
        <w:t>a labor market assessment to identify opportunities and constraints for (female) job seekers</w:t>
      </w:r>
      <w:r w:rsidR="007038D5">
        <w:t>, (2) encouragement to</w:t>
      </w:r>
      <w:r w:rsidR="00F466B4">
        <w:t xml:space="preserve"> </w:t>
      </w:r>
      <w:r w:rsidR="007038D5">
        <w:t>seek</w:t>
      </w:r>
      <w:r w:rsidR="00DD556D">
        <w:t xml:space="preserve"> jobs beyond traditional areas of female employment</w:t>
      </w:r>
      <w:r w:rsidR="009D473E">
        <w:t>,</w:t>
      </w:r>
      <w:r w:rsidR="00F466B4">
        <w:t xml:space="preserve"> (3) sensitization of employers to consider hiring girls, (4) </w:t>
      </w:r>
      <w:r w:rsidR="008038ED">
        <w:t xml:space="preserve">identification of female role models, and (5) sensitization activities to </w:t>
      </w:r>
      <w:r w:rsidR="00DD556D">
        <w:t>engage communities, families, and</w:t>
      </w:r>
      <w:r w:rsidR="008038ED">
        <w:t xml:space="preserve"> husbands</w:t>
      </w:r>
      <w:r w:rsidR="008B3859">
        <w:t>.</w:t>
      </w:r>
    </w:p>
    <w:p w14:paraId="7B19D6B4" w14:textId="3F4A084C" w:rsidR="007158F2" w:rsidRPr="002727BF" w:rsidRDefault="002727BF" w:rsidP="00183FFF">
      <w:pPr>
        <w:pStyle w:val="Sub-Para1underXY"/>
        <w:ind w:left="1077" w:hanging="357"/>
        <w:jc w:val="both"/>
        <w:rPr>
          <w:b/>
        </w:rPr>
      </w:pPr>
      <w:r>
        <w:rPr>
          <w:b/>
        </w:rPr>
        <w:t>Promising p</w:t>
      </w:r>
      <w:r w:rsidR="005009B4" w:rsidRPr="002727BF">
        <w:rPr>
          <w:b/>
        </w:rPr>
        <w:t>rojects that i</w:t>
      </w:r>
      <w:r w:rsidR="007158F2" w:rsidRPr="002727BF">
        <w:rPr>
          <w:b/>
        </w:rPr>
        <w:t>ntegrate gender activities into wider business development activities</w:t>
      </w:r>
      <w:r w:rsidR="007038D5">
        <w:rPr>
          <w:b/>
        </w:rPr>
        <w:t xml:space="preserve"> sh</w:t>
      </w:r>
      <w:r w:rsidR="005009B4" w:rsidRPr="002727BF">
        <w:rPr>
          <w:b/>
        </w:rPr>
        <w:t>ould be</w:t>
      </w:r>
      <w:r w:rsidR="007C1D5B">
        <w:rPr>
          <w:b/>
        </w:rPr>
        <w:t xml:space="preserve"> identified and</w:t>
      </w:r>
      <w:r w:rsidR="005009B4" w:rsidRPr="002727BF">
        <w:rPr>
          <w:b/>
        </w:rPr>
        <w:t xml:space="preserve"> </w:t>
      </w:r>
      <w:r w:rsidR="00A84ECD">
        <w:rPr>
          <w:b/>
        </w:rPr>
        <w:t>extended</w:t>
      </w:r>
      <w:r w:rsidR="005009B4" w:rsidRPr="002727BF">
        <w:rPr>
          <w:b/>
        </w:rPr>
        <w:t>.</w:t>
      </w:r>
      <w:r w:rsidR="00FC622D">
        <w:rPr>
          <w:b/>
        </w:rPr>
        <w:t xml:space="preserve"> </w:t>
      </w:r>
      <w:r w:rsidR="00E73AD0">
        <w:t>Lessons learnt</w:t>
      </w:r>
      <w:r w:rsidR="00261884">
        <w:t xml:space="preserve"> from an IFC project</w:t>
      </w:r>
      <w:r w:rsidR="00624BF3">
        <w:t xml:space="preserve"> </w:t>
      </w:r>
      <w:r w:rsidR="00624BF3">
        <w:fldChar w:fldCharType="begin"/>
      </w:r>
      <w:r w:rsidR="00624BF3">
        <w:instrText xml:space="preserve"> ADDIN EN.CITE &lt;EndNote&gt;&lt;Cite&gt;&lt;Author&gt;IFC&lt;/Author&gt;&lt;Year&gt;2009&lt;/Year&gt;&lt;RecNum&gt;49&lt;/RecNum&gt;&lt;DisplayText&gt;(IFC, 2009b)&lt;/DisplayText&gt;&lt;record&gt;&lt;rec-number&gt;49&lt;/rec-number&gt;&lt;foreign-keys&gt;&lt;key app="EN" db-id="wes5dreptvrsr2eeartvxexxftt2tastxrfs"&gt;49&lt;/key&gt;&lt;/foreign-keys&gt;&lt;ref-type name="Journal Article"&gt;17&lt;/ref-type&gt;&lt;contributors&gt;&lt;authors&gt;&lt;author&gt;IFC&lt;/author&gt;&lt;/authors&gt;&lt;/contributors&gt;&lt;titles&gt;&lt;title&gt;Running a Business in Tajikistan&lt;/title&gt;&lt;secondary-title&gt;Enterprise Surveys Country Note Series&lt;/secondary-title&gt;&lt;/titles&gt;&lt;periodical&gt;&lt;full-title&gt;Enterprise Surveys Country Note Series&lt;/full-title&gt;&lt;/periodical&gt;&lt;volume&gt;No. 4&lt;/volume&gt;&lt;dates&gt;&lt;year&gt;2009&lt;/year&gt;&lt;/dates&gt;&lt;urls&gt;&lt;/urls&gt;&lt;/record&gt;&lt;/Cite&gt;&lt;/EndNote&gt;</w:instrText>
      </w:r>
      <w:r w:rsidR="00624BF3">
        <w:fldChar w:fldCharType="separate"/>
      </w:r>
      <w:r w:rsidR="00624BF3">
        <w:rPr>
          <w:noProof/>
        </w:rPr>
        <w:t>(</w:t>
      </w:r>
      <w:hyperlink w:anchor="_ENREF_24" w:tooltip="IFC, 2009 #49" w:history="1">
        <w:r w:rsidR="006A1532">
          <w:rPr>
            <w:noProof/>
          </w:rPr>
          <w:t>IFC, 2009b</w:t>
        </w:r>
      </w:hyperlink>
      <w:r w:rsidR="00624BF3">
        <w:rPr>
          <w:noProof/>
        </w:rPr>
        <w:t>)</w:t>
      </w:r>
      <w:r w:rsidR="00624BF3">
        <w:fldChar w:fldCharType="end"/>
      </w:r>
      <w:r w:rsidR="00E73AD0">
        <w:t xml:space="preserve"> have </w:t>
      </w:r>
      <w:r w:rsidR="00261884">
        <w:t>shown that relatively simple measures that improved the working conditions of female workers</w:t>
      </w:r>
      <w:r w:rsidR="00624BF3">
        <w:t xml:space="preserve"> at cotton farms</w:t>
      </w:r>
      <w:r w:rsidR="00261884">
        <w:t xml:space="preserve"> also raised </w:t>
      </w:r>
      <w:r w:rsidR="00624BF3">
        <w:t>the farms’ productivit</w:t>
      </w:r>
      <w:r w:rsidR="00261884">
        <w:t>y</w:t>
      </w:r>
      <w:r w:rsidR="00624BF3">
        <w:t>.</w:t>
      </w:r>
      <w:r w:rsidR="00261884">
        <w:t xml:space="preserve"> The government may wish </w:t>
      </w:r>
      <w:r w:rsidR="00E73AD0">
        <w:t>to further study similar experience and use these results to promote better working conditions for female workers, particularly in the cotton sector.</w:t>
      </w:r>
      <w:r w:rsidR="00261884">
        <w:t xml:space="preserve"> </w:t>
      </w:r>
    </w:p>
    <w:p w14:paraId="02F78995" w14:textId="1A2EEBA1" w:rsidR="007254A2" w:rsidRPr="002727BF" w:rsidRDefault="006A487C" w:rsidP="00721C4C">
      <w:pPr>
        <w:pStyle w:val="Sub-Para1underXY"/>
        <w:ind w:left="1077" w:hanging="357"/>
        <w:jc w:val="both"/>
        <w:rPr>
          <w:b/>
        </w:rPr>
      </w:pPr>
      <w:r>
        <w:rPr>
          <w:b/>
        </w:rPr>
        <w:t>S</w:t>
      </w:r>
      <w:r w:rsidR="00823437">
        <w:rPr>
          <w:b/>
        </w:rPr>
        <w:t>tudying which micro-finance products and related activities are most suitable to promote women’s access to finance in Tajikistan might be v</w:t>
      </w:r>
      <w:r w:rsidR="00591921">
        <w:rPr>
          <w:b/>
        </w:rPr>
        <w:t>ery v</w:t>
      </w:r>
      <w:r w:rsidR="00823437">
        <w:rPr>
          <w:b/>
        </w:rPr>
        <w:t xml:space="preserve">aluable. </w:t>
      </w:r>
      <w:r w:rsidR="00AC0A4C">
        <w:t xml:space="preserve">The </w:t>
      </w:r>
      <w:r w:rsidR="00721C4C">
        <w:fldChar w:fldCharType="begin"/>
      </w:r>
      <w:r w:rsidR="00721C4C">
        <w:instrText xml:space="preserve"> ADDIN EN.CITE &lt;EndNote&gt;&lt;Cite AuthorYear="1"&gt;&lt;Author&gt;IFC&lt;/Author&gt;&lt;Year&gt;2013&lt;/Year&gt;&lt;RecNum&gt;90&lt;/RecNum&gt;&lt;DisplayText&gt;IFC (2013)&lt;/DisplayText&gt;&lt;record&gt;&lt;rec-number&gt;90&lt;/rec-number&gt;&lt;foreign-keys&gt;&lt;key app="EN" db-id="wes5dreptvrsr2eeartvxexxftt2tastxrfs"&gt;90&lt;/key&gt;&lt;/foreign-keys&gt;&lt;ref-type name="Web Page"&gt;12&lt;/ref-type&gt;&lt;contributors&gt;&lt;authors&gt;&lt;author&gt;IFC&lt;/author&gt;&lt;/authors&gt;&lt;/contributors&gt;&lt;titles&gt;&lt;title&gt;Supporting the Microfinance Transformation Process&lt;/title&gt;&lt;/titles&gt;&lt;number&gt;31/05/2013&lt;/number&gt;&lt;dates&gt;&lt;year&gt;2013&lt;/year&gt;&lt;/dates&gt;&lt;urls&gt;&lt;related-urls&gt;&lt;url&gt;http://www.ifc.org/acamfi&lt;/url&gt;&lt;/related-urls&gt;&lt;/urls&gt;&lt;/record&gt;&lt;/Cite&gt;&lt;/EndNote&gt;</w:instrText>
      </w:r>
      <w:r w:rsidR="00721C4C">
        <w:fldChar w:fldCharType="separate"/>
      </w:r>
      <w:hyperlink w:anchor="_ENREF_25" w:tooltip="IFC, 2013 #90" w:history="1">
        <w:r w:rsidR="006A1532">
          <w:rPr>
            <w:noProof/>
          </w:rPr>
          <w:t>IFC (2013</w:t>
        </w:r>
      </w:hyperlink>
      <w:r w:rsidR="00721C4C">
        <w:rPr>
          <w:noProof/>
        </w:rPr>
        <w:t>)</w:t>
      </w:r>
      <w:r w:rsidR="00721C4C">
        <w:fldChar w:fldCharType="end"/>
      </w:r>
      <w:r w:rsidR="00AC0A4C">
        <w:t xml:space="preserve"> has been active </w:t>
      </w:r>
      <w:r w:rsidR="00300E6D">
        <w:t>in the field of microfinance institutions</w:t>
      </w:r>
      <w:r w:rsidR="00AC0A4C">
        <w:t xml:space="preserve"> for several years and has been supporting the development of a broader range of financial services and the improvement of the regulatory framework</w:t>
      </w:r>
      <w:r w:rsidR="002C0ADC">
        <w:t xml:space="preserve">. The government may wish to identify which products and activities </w:t>
      </w:r>
      <w:r>
        <w:t>are</w:t>
      </w:r>
      <w:r w:rsidR="002C0ADC">
        <w:t xml:space="preserve"> particular useful </w:t>
      </w:r>
      <w:r w:rsidR="00300E6D">
        <w:t>in</w:t>
      </w:r>
      <w:r w:rsidR="002C0ADC">
        <w:t xml:space="preserve"> reaching (rural) women (e.g.</w:t>
      </w:r>
      <w:r w:rsidR="0046627F">
        <w:t>,</w:t>
      </w:r>
      <w:r w:rsidR="002C0ADC">
        <w:t xml:space="preserve"> joint liability schemes, female intermediaries</w:t>
      </w:r>
      <w:r w:rsidR="00587FA7">
        <w:t xml:space="preserve"> and mentoring sessions</w:t>
      </w:r>
      <w:r w:rsidR="002C0ADC">
        <w:t>, sensitization campaigns</w:t>
      </w:r>
      <w:r w:rsidR="00587FA7">
        <w:t xml:space="preserve">, trainings in business development and </w:t>
      </w:r>
      <w:r w:rsidR="00772A1E">
        <w:t>financial literacy</w:t>
      </w:r>
      <w:r w:rsidR="00300E6D">
        <w:t xml:space="preserve">, publicly </w:t>
      </w:r>
      <w:r w:rsidR="002C0ADC">
        <w:t xml:space="preserve">awarding </w:t>
      </w:r>
      <w:r w:rsidR="00300E6D">
        <w:t xml:space="preserve">successful </w:t>
      </w:r>
      <w:r w:rsidR="002C0ADC">
        <w:t xml:space="preserve">female </w:t>
      </w:r>
      <w:r w:rsidR="0029347E">
        <w:t>entrepreneurs</w:t>
      </w:r>
      <w:r w:rsidR="0005622D">
        <w:t>, more female staff</w:t>
      </w:r>
      <w:r w:rsidR="001D4506">
        <w:t xml:space="preserve"> and board members</w:t>
      </w:r>
      <w:r w:rsidR="00300E6D">
        <w:t xml:space="preserve">). </w:t>
      </w:r>
    </w:p>
    <w:p w14:paraId="6F4384C9" w14:textId="09FA89FD" w:rsidR="0005653F" w:rsidRDefault="005071EC" w:rsidP="00721C4C">
      <w:pPr>
        <w:pStyle w:val="Sub-Para1underXY"/>
        <w:ind w:left="1077" w:hanging="357"/>
        <w:jc w:val="both"/>
      </w:pPr>
      <w:r w:rsidRPr="005071EC">
        <w:rPr>
          <w:b/>
        </w:rPr>
        <w:t>M</w:t>
      </w:r>
      <w:r w:rsidR="00000CED" w:rsidRPr="005071EC">
        <w:rPr>
          <w:b/>
        </w:rPr>
        <w:t xml:space="preserve">echanisms that protect </w:t>
      </w:r>
      <w:r w:rsidR="000F12F9">
        <w:rPr>
          <w:b/>
        </w:rPr>
        <w:t xml:space="preserve">economically abandoned </w:t>
      </w:r>
      <w:r w:rsidRPr="005071EC">
        <w:rPr>
          <w:b/>
        </w:rPr>
        <w:t>migrants’ wives and their families</w:t>
      </w:r>
      <w:r w:rsidR="00000CED" w:rsidRPr="005071EC">
        <w:rPr>
          <w:b/>
        </w:rPr>
        <w:t xml:space="preserve"> </w:t>
      </w:r>
      <w:r w:rsidR="0005653F">
        <w:rPr>
          <w:b/>
        </w:rPr>
        <w:t>need to be strengthened</w:t>
      </w:r>
      <w:r>
        <w:t xml:space="preserve">. </w:t>
      </w:r>
      <w:r w:rsidR="000F12F9">
        <w:t xml:space="preserve">Next to </w:t>
      </w:r>
      <w:r w:rsidR="0005653F">
        <w:t>providing</w:t>
      </w:r>
      <w:r w:rsidR="000F12F9">
        <w:t xml:space="preserve"> social assistance to these families, </w:t>
      </w:r>
      <w:r w:rsidR="00672A8A">
        <w:t xml:space="preserve">attention should be </w:t>
      </w:r>
      <w:r w:rsidR="002866CA">
        <w:t xml:space="preserve">paid to the issue of </w:t>
      </w:r>
      <w:r w:rsidR="00AA6680">
        <w:t>alimonies</w:t>
      </w:r>
      <w:r w:rsidR="0005653F">
        <w:t xml:space="preserve"> and </w:t>
      </w:r>
      <w:r w:rsidR="00AA6680">
        <w:t xml:space="preserve">obstacles </w:t>
      </w:r>
      <w:r w:rsidR="00AA6680">
        <w:lastRenderedPageBreak/>
        <w:t>that hinder enforcement</w:t>
      </w:r>
      <w:r w:rsidR="00160E91">
        <w:t xml:space="preserve"> of alimony payments</w:t>
      </w:r>
      <w:r w:rsidR="00AA6680">
        <w:t>. This</w:t>
      </w:r>
      <w:r w:rsidR="006D65D4">
        <w:t xml:space="preserve"> could</w:t>
      </w:r>
      <w:r w:rsidR="00160E91">
        <w:t xml:space="preserve"> include</w:t>
      </w:r>
      <w:r w:rsidR="00AA6680">
        <w:t xml:space="preserve"> (1) assuring that all marriages are legally registered, (2) </w:t>
      </w:r>
      <w:r w:rsidR="00160E91">
        <w:t>assuring that migrants emigrate legally and can be tracked down, and (3) providing legal advice</w:t>
      </w:r>
      <w:r w:rsidR="00E0610C">
        <w:t xml:space="preserve"> and support</w:t>
      </w:r>
      <w:r w:rsidR="00160E91">
        <w:t xml:space="preserve"> to abandoned women.</w:t>
      </w:r>
    </w:p>
    <w:p w14:paraId="587A236B" w14:textId="21C5E596" w:rsidR="007158F2" w:rsidRDefault="007158F2" w:rsidP="0046627F">
      <w:pPr>
        <w:pStyle w:val="Sub-Para1underXY"/>
        <w:ind w:left="1077" w:hanging="357"/>
        <w:jc w:val="both"/>
      </w:pPr>
      <w:r w:rsidRPr="0046627F">
        <w:rPr>
          <w:b/>
        </w:rPr>
        <w:t>Next to legislation, there are a variety of other means through which gender discrimination can be addressed.</w:t>
      </w:r>
      <w:r>
        <w:t xml:space="preserve"> Particularly, one might want to consider how mass media can contribute to changing gender stereotypes. To date, women have rarely been portrayed as political leaders or successful businesswomen that could act as role models for other women.</w:t>
      </w:r>
      <w:r w:rsidR="0046627F">
        <w:t xml:space="preserve"> Strategies for discussion of gender equality and challenging of current stereotypes should be incorporated into state-owned media- i.e. newspapers, local television and radio. Social marketing strategies have the potential- in the medium and long-term- to address the attitudes that underpin current stereotypes. </w:t>
      </w:r>
      <w:r>
        <w:t xml:space="preserve"> Further means include gender studies in secondary and higher education, trainings for journalists and public servants in order to raise gender awareness in their professional lives</w:t>
      </w:r>
      <w:r w:rsidR="001D4506">
        <w:t>, and</w:t>
      </w:r>
      <w:r w:rsidR="00E0610C">
        <w:t xml:space="preserve"> the encouragement of </w:t>
      </w:r>
      <w:r w:rsidR="00524F24">
        <w:t xml:space="preserve">knowledge exchange </w:t>
      </w:r>
      <w:r w:rsidR="006D65D4">
        <w:t xml:space="preserve">(e.g. </w:t>
      </w:r>
      <w:r w:rsidR="006D00CE">
        <w:t xml:space="preserve">regarding </w:t>
      </w:r>
      <w:r w:rsidR="006D65D4">
        <w:t xml:space="preserve">access to finance and land) </w:t>
      </w:r>
      <w:r w:rsidR="00524F24">
        <w:t>among women through</w:t>
      </w:r>
      <w:r w:rsidR="006D65D4">
        <w:t xml:space="preserve"> </w:t>
      </w:r>
      <w:r w:rsidR="00524F24">
        <w:t>networks.</w:t>
      </w:r>
      <w:r w:rsidR="00C02150">
        <w:t xml:space="preserve"> Finally, the government as employer can act as role model in terms of hiring practices </w:t>
      </w:r>
      <w:r w:rsidR="001D4506">
        <w:t>by actively promoting</w:t>
      </w:r>
      <w:r w:rsidR="00C02150">
        <w:t xml:space="preserve"> gender diversity in the civil service.</w:t>
      </w:r>
    </w:p>
    <w:p w14:paraId="1BCEE574" w14:textId="7770179F" w:rsidR="0046627F" w:rsidRDefault="0046627F" w:rsidP="0046627F">
      <w:pPr>
        <w:pStyle w:val="Sub-Para1underXY"/>
        <w:tabs>
          <w:tab w:val="clear" w:pos="2564"/>
          <w:tab w:val="num" w:pos="1440"/>
        </w:tabs>
        <w:ind w:left="1080"/>
        <w:jc w:val="both"/>
      </w:pPr>
      <w:r>
        <w:rPr>
          <w:b/>
        </w:rPr>
        <w:t xml:space="preserve">Strengthen the protection of women against specific forms of abuse or exploitation or vulnerability. </w:t>
      </w:r>
      <w:r w:rsidRPr="00A04633">
        <w:t>Addressing domestic violence and other forms of gender-</w:t>
      </w:r>
      <w:r w:rsidRPr="00E31E09">
        <w:t>based violence, also require an integrated approach. While the forthcoming</w:t>
      </w:r>
      <w:r>
        <w:t xml:space="preserve"> law on domestic violence (to be considered by the </w:t>
      </w:r>
      <w:r w:rsidR="00AE7D07">
        <w:t xml:space="preserve">Upper </w:t>
      </w:r>
      <w:r>
        <w:t xml:space="preserve">House in 2013) is expected to provide a sound legal basis, actions to </w:t>
      </w:r>
      <w:r w:rsidR="00AE7D07">
        <w:t xml:space="preserve">counter </w:t>
      </w:r>
      <w:r>
        <w:t xml:space="preserve">the </w:t>
      </w:r>
      <w:r w:rsidR="00AE7D07">
        <w:t xml:space="preserve">widespread </w:t>
      </w:r>
      <w:r>
        <w:t xml:space="preserve">acceptability and nature of domestic violence are required. The provision of legal aid for victims- including those whose property rights have been violated would help address constraints faced by women in accessing formal justice providers. Awareness raising and social marketing campaigns to challenge existing attitudes would also be an important element of an overall strategy to address domestic violence.  Finally, the provision of free legal aid and legal awareness campaigns are key measures that would help women in general, but also those with specific </w:t>
      </w:r>
      <w:r w:rsidR="00AE7D07">
        <w:t>vulnerabilities</w:t>
      </w:r>
      <w:r>
        <w:t>, to access the rights guaranteed to them by the law of the Republic of Tajikistan.</w:t>
      </w:r>
    </w:p>
    <w:p w14:paraId="55AD17EC" w14:textId="77777777" w:rsidR="00AE7D07" w:rsidRDefault="00AE7D07" w:rsidP="00AE7D07">
      <w:pPr>
        <w:pStyle w:val="Sub-Para1underXY"/>
        <w:tabs>
          <w:tab w:val="clear" w:pos="2564"/>
          <w:tab w:val="num" w:pos="1440"/>
        </w:tabs>
        <w:ind w:left="1080"/>
        <w:jc w:val="both"/>
      </w:pPr>
      <w:r w:rsidRPr="00A04633">
        <w:rPr>
          <w:b/>
        </w:rPr>
        <w:t>Strengthening of the role of women in political decision-making would</w:t>
      </w:r>
      <w:r w:rsidRPr="00B83104">
        <w:rPr>
          <w:b/>
        </w:rPr>
        <w:t xml:space="preserve"> not</w:t>
      </w:r>
      <w:r w:rsidRPr="00A04633">
        <w:rPr>
          <w:b/>
        </w:rPr>
        <w:t xml:space="preserve"> only to provide greater voice and agency for women, but can be helpful in combatting limiting gender stereotypes.</w:t>
      </w:r>
      <w:r>
        <w:t xml:space="preserve"> The use of Temporary Special Measures – such as quotas and amendments to election legislation (reduction of the financial deposit required by female candidates) would be useful in this regard, as would soft quotas for civil service positions. Adoption of strategy for the training and preparation of women for leadership positions (both within and outside government) could also be considered. Regular analysis of the gender composition of public service staff would help to monitor progress and identify gender imbalances. </w:t>
      </w:r>
    </w:p>
    <w:p w14:paraId="7038B851" w14:textId="04021C4B" w:rsidR="00E742A8" w:rsidRPr="00A04633" w:rsidRDefault="00E742A8" w:rsidP="00E742A8">
      <w:pPr>
        <w:pStyle w:val="Sub-Para1underXY"/>
        <w:tabs>
          <w:tab w:val="clear" w:pos="2564"/>
          <w:tab w:val="num" w:pos="1440"/>
        </w:tabs>
        <w:autoSpaceDE w:val="0"/>
        <w:autoSpaceDN w:val="0"/>
        <w:adjustRightInd w:val="0"/>
        <w:ind w:left="1080"/>
        <w:jc w:val="both"/>
      </w:pPr>
      <w:r w:rsidRPr="00E742A8">
        <w:rPr>
          <w:b/>
        </w:rPr>
        <w:lastRenderedPageBreak/>
        <w:t>Strengthening land and property rights of women</w:t>
      </w:r>
      <w:r>
        <w:t xml:space="preserve"> is complex and will require a multi-pronged approach that includes the following measures:</w:t>
      </w:r>
      <w:r w:rsidRPr="00A04633">
        <w:t xml:space="preserve"> </w:t>
      </w:r>
    </w:p>
    <w:p w14:paraId="4B03DC88" w14:textId="77777777" w:rsidR="00E742A8" w:rsidRDefault="00E742A8" w:rsidP="00E742A8">
      <w:pPr>
        <w:pStyle w:val="ListParagraph"/>
        <w:numPr>
          <w:ilvl w:val="0"/>
          <w:numId w:val="40"/>
        </w:numPr>
        <w:autoSpaceDE w:val="0"/>
        <w:autoSpaceDN w:val="0"/>
        <w:adjustRightInd w:val="0"/>
        <w:spacing w:after="120"/>
        <w:ind w:left="1440"/>
        <w:contextualSpacing w:val="0"/>
        <w:jc w:val="both"/>
      </w:pPr>
      <w:r w:rsidRPr="00E742A8">
        <w:rPr>
          <w:b/>
        </w:rPr>
        <w:t>Good data, reporting, analysis:</w:t>
      </w:r>
      <w:r w:rsidRPr="00A04633">
        <w:t xml:space="preserve"> Activities to improve the quality of </w:t>
      </w:r>
      <w:r>
        <w:t xml:space="preserve">data on land and property </w:t>
      </w:r>
      <w:r w:rsidRPr="00A04633">
        <w:t xml:space="preserve">and ensure that the </w:t>
      </w:r>
      <w:r>
        <w:t xml:space="preserve">property </w:t>
      </w:r>
      <w:r w:rsidRPr="00A04633">
        <w:t xml:space="preserve">registration software allows for gender disaggregated monitoring data. </w:t>
      </w:r>
    </w:p>
    <w:p w14:paraId="6E3036D4" w14:textId="0D12152C" w:rsidR="00E742A8" w:rsidRDefault="00E742A8" w:rsidP="00E742A8">
      <w:pPr>
        <w:pStyle w:val="ListParagraph"/>
        <w:numPr>
          <w:ilvl w:val="0"/>
          <w:numId w:val="40"/>
        </w:numPr>
        <w:autoSpaceDE w:val="0"/>
        <w:autoSpaceDN w:val="0"/>
        <w:adjustRightInd w:val="0"/>
        <w:spacing w:after="120"/>
        <w:ind w:left="1440"/>
        <w:contextualSpacing w:val="0"/>
        <w:jc w:val="both"/>
      </w:pPr>
      <w:r w:rsidRPr="00E742A8">
        <w:rPr>
          <w:b/>
        </w:rPr>
        <w:t>Legal literacy</w:t>
      </w:r>
      <w:r>
        <w:t>: P</w:t>
      </w:r>
      <w:r w:rsidRPr="00A04633">
        <w:t xml:space="preserve">ublicity and education activities to highlight legal entitlements and to raise awareness and educate </w:t>
      </w:r>
      <w:r>
        <w:t xml:space="preserve">men and women </w:t>
      </w:r>
      <w:r w:rsidRPr="00A04633">
        <w:t xml:space="preserve">on their rights to land </w:t>
      </w:r>
      <w:r>
        <w:t xml:space="preserve">and </w:t>
      </w:r>
      <w:r w:rsidRPr="00A04633">
        <w:t xml:space="preserve">property </w:t>
      </w:r>
      <w:r w:rsidRPr="00832059">
        <w:t>a</w:t>
      </w:r>
      <w:r w:rsidRPr="00A04633">
        <w:t>nd the rights of sisters and daughters</w:t>
      </w:r>
      <w:r>
        <w:t>. For example a</w:t>
      </w:r>
      <w:r w:rsidRPr="00A04633">
        <w:t xml:space="preserve"> plain-language book publication quoting the relevant law; brochure publication on women and property rights; integrating this info on the </w:t>
      </w:r>
      <w:proofErr w:type="spellStart"/>
      <w:r w:rsidRPr="00A04633">
        <w:t>cadastre</w:t>
      </w:r>
      <w:proofErr w:type="spellEnd"/>
      <w:r w:rsidRPr="00A04633">
        <w:t xml:space="preserve"> agency website; etc.)</w:t>
      </w:r>
    </w:p>
    <w:p w14:paraId="4AB452A9" w14:textId="0160A0B0" w:rsidR="00E742A8" w:rsidRPr="00A04633" w:rsidRDefault="00E742A8" w:rsidP="00E742A8">
      <w:pPr>
        <w:pStyle w:val="ListParagraph"/>
        <w:numPr>
          <w:ilvl w:val="0"/>
          <w:numId w:val="40"/>
        </w:numPr>
        <w:autoSpaceDE w:val="0"/>
        <w:autoSpaceDN w:val="0"/>
        <w:adjustRightInd w:val="0"/>
        <w:spacing w:after="120"/>
        <w:ind w:left="1440"/>
        <w:contextualSpacing w:val="0"/>
        <w:jc w:val="both"/>
      </w:pPr>
      <w:r>
        <w:rPr>
          <w:b/>
        </w:rPr>
        <w:t>Awareness-</w:t>
      </w:r>
      <w:r w:rsidRPr="00E742A8">
        <w:rPr>
          <w:b/>
        </w:rPr>
        <w:t>raising among officials</w:t>
      </w:r>
      <w:r w:rsidRPr="00A04633">
        <w:t xml:space="preserve">: </w:t>
      </w:r>
      <w:r>
        <w:t>O</w:t>
      </w:r>
      <w:r w:rsidRPr="00A04633">
        <w:t>fficial</w:t>
      </w:r>
      <w:r>
        <w:t xml:space="preserve">s </w:t>
      </w:r>
      <w:r w:rsidRPr="00A04633">
        <w:t>dealing with land registration (such as cadaster and land registry management staff</w:t>
      </w:r>
      <w:r>
        <w:t>)</w:t>
      </w:r>
      <w:r w:rsidRPr="00A04633">
        <w:t xml:space="preserve"> and land market professional</w:t>
      </w:r>
      <w:r>
        <w:t xml:space="preserve"> (</w:t>
      </w:r>
      <w:r w:rsidRPr="00A04633">
        <w:t xml:space="preserve">e.g. notaries, surveyors, lawyers) </w:t>
      </w:r>
      <w:r>
        <w:t xml:space="preserve">can be </w:t>
      </w:r>
      <w:r w:rsidRPr="00A04633">
        <w:t xml:space="preserve">unaware that inequalities on gender </w:t>
      </w:r>
      <w:r>
        <w:t>exist</w:t>
      </w:r>
      <w:r w:rsidRPr="00A04633">
        <w:t xml:space="preserve">. </w:t>
      </w:r>
      <w:r>
        <w:t xml:space="preserve">Awareness among these groups can be </w:t>
      </w:r>
      <w:r w:rsidRPr="00A04633">
        <w:t>rais</w:t>
      </w:r>
      <w:r>
        <w:t>ed</w:t>
      </w:r>
      <w:r w:rsidRPr="00A04633">
        <w:t xml:space="preserve"> on different aspects of the law and procedures that assist with ac</w:t>
      </w:r>
      <w:r w:rsidRPr="00832059">
        <w:t>hieving greater gender equality</w:t>
      </w:r>
      <w:r w:rsidRPr="00A04633">
        <w:t xml:space="preserve">. </w:t>
      </w:r>
    </w:p>
    <w:p w14:paraId="13DDF4CD" w14:textId="02D3E99A" w:rsidR="00E742A8" w:rsidRDefault="00E742A8" w:rsidP="00E742A8">
      <w:pPr>
        <w:pStyle w:val="ListParagraph"/>
        <w:numPr>
          <w:ilvl w:val="0"/>
          <w:numId w:val="40"/>
        </w:numPr>
        <w:autoSpaceDE w:val="0"/>
        <w:autoSpaceDN w:val="0"/>
        <w:adjustRightInd w:val="0"/>
        <w:spacing w:after="240"/>
        <w:ind w:left="1440"/>
        <w:contextualSpacing w:val="0"/>
        <w:jc w:val="both"/>
      </w:pPr>
      <w:r w:rsidRPr="00E742A8">
        <w:rPr>
          <w:b/>
        </w:rPr>
        <w:t>Policy development and working with partners:</w:t>
      </w:r>
      <w:r w:rsidRPr="00A04633">
        <w:t xml:space="preserve"> working closely with the National Gender Agencies and other key partners (incl. NGOs) to develop practical responses to help women. </w:t>
      </w:r>
      <w:r>
        <w:t xml:space="preserve">This could include a </w:t>
      </w:r>
      <w:r w:rsidRPr="0027545A">
        <w:t xml:space="preserve">Gender Equality Officer </w:t>
      </w:r>
      <w:r>
        <w:t xml:space="preserve">in the </w:t>
      </w:r>
      <w:proofErr w:type="spellStart"/>
      <w:r w:rsidRPr="00A04633">
        <w:t>Cadastre</w:t>
      </w:r>
      <w:proofErr w:type="spellEnd"/>
      <w:r w:rsidRPr="00A04633">
        <w:t xml:space="preserve"> Agency.</w:t>
      </w:r>
    </w:p>
    <w:p w14:paraId="236604B2" w14:textId="0BCED85B" w:rsidR="0046627F" w:rsidRDefault="00E742A8" w:rsidP="00E742A8">
      <w:pPr>
        <w:pStyle w:val="Sub-Para1underXY"/>
        <w:tabs>
          <w:tab w:val="clear" w:pos="2564"/>
          <w:tab w:val="num" w:pos="1440"/>
        </w:tabs>
        <w:autoSpaceDE w:val="0"/>
        <w:autoSpaceDN w:val="0"/>
        <w:adjustRightInd w:val="0"/>
        <w:ind w:left="1080"/>
        <w:jc w:val="both"/>
      </w:pPr>
      <w:r>
        <w:t>Donors can work more closely with the government to address the gender gaps in key areas through their projects. For example:</w:t>
      </w:r>
    </w:p>
    <w:p w14:paraId="76439B84" w14:textId="2D9F70B7" w:rsidR="00E742A8" w:rsidRDefault="00E742A8" w:rsidP="00E742A8">
      <w:pPr>
        <w:pStyle w:val="ListParagraph"/>
        <w:numPr>
          <w:ilvl w:val="0"/>
          <w:numId w:val="40"/>
        </w:numPr>
        <w:autoSpaceDE w:val="0"/>
        <w:autoSpaceDN w:val="0"/>
        <w:adjustRightInd w:val="0"/>
        <w:spacing w:after="120"/>
        <w:ind w:left="1440"/>
        <w:contextualSpacing w:val="0"/>
        <w:jc w:val="both"/>
      </w:pPr>
      <w:r w:rsidRPr="00E742A8">
        <w:rPr>
          <w:b/>
          <w:i/>
        </w:rPr>
        <w:t>Provision of health services</w:t>
      </w:r>
      <w:r>
        <w:t xml:space="preserve"> targeting poor and vulnerable women’s health needs in particular. Strengthen the provision of educational and awareness services as well as treatment for women with HIV. Sensitization of health-care providers on gender equality and the ways in which it can be addressed in health-care settings has been successful in combatting negative stereotypes in other countries. A well –articulated strategy combined with benchmarks and regular monitoring can also help to ensure that gender-sensitivity is displayed in the actions of health-care personnel. </w:t>
      </w:r>
    </w:p>
    <w:p w14:paraId="741D1AFF" w14:textId="77777777" w:rsidR="00E742A8" w:rsidRDefault="00E742A8" w:rsidP="00E742A8">
      <w:pPr>
        <w:pStyle w:val="ListParagraph"/>
        <w:numPr>
          <w:ilvl w:val="0"/>
          <w:numId w:val="40"/>
        </w:numPr>
        <w:autoSpaceDE w:val="0"/>
        <w:autoSpaceDN w:val="0"/>
        <w:adjustRightInd w:val="0"/>
        <w:spacing w:after="120"/>
        <w:ind w:left="1440"/>
        <w:contextualSpacing w:val="0"/>
        <w:jc w:val="both"/>
      </w:pPr>
      <w:r w:rsidRPr="00E742A8">
        <w:rPr>
          <w:b/>
          <w:i/>
        </w:rPr>
        <w:t>The extension of education to target young girls out of school or with poor attendance, in rural areas in particular.</w:t>
      </w:r>
      <w:r>
        <w:t xml:space="preserve"> Improving the condition of and access to schools is important, as would be awareness-raising of the need to keep female students in school.  In upgrading of school text books attention should be paid to ensure the eradication of negative and stereotypical portrayal of gender roles, and the inclusion of strong female gender role models. Capacity development of school personnel could also include sensitization of teachers, as they are key social agents for the transmission of values and attitudes about men and women. </w:t>
      </w:r>
    </w:p>
    <w:p w14:paraId="1AB21775" w14:textId="6087715B" w:rsidR="00E742A8" w:rsidRDefault="00E742A8" w:rsidP="00E742A8">
      <w:pPr>
        <w:pStyle w:val="ListParagraph"/>
        <w:numPr>
          <w:ilvl w:val="0"/>
          <w:numId w:val="40"/>
        </w:numPr>
        <w:autoSpaceDE w:val="0"/>
        <w:autoSpaceDN w:val="0"/>
        <w:adjustRightInd w:val="0"/>
        <w:spacing w:after="120"/>
        <w:ind w:left="1440"/>
        <w:contextualSpacing w:val="0"/>
        <w:jc w:val="both"/>
      </w:pPr>
      <w:r w:rsidRPr="00E742A8">
        <w:rPr>
          <w:b/>
          <w:i/>
        </w:rPr>
        <w:lastRenderedPageBreak/>
        <w:t xml:space="preserve">Reforms of the social safety net </w:t>
      </w:r>
      <w:r>
        <w:t>should consider launching a study to identify vulnerable female population groups currently being left out of the social protection system and ways to effectively target them.</w:t>
      </w:r>
    </w:p>
    <w:p w14:paraId="55E3E62A" w14:textId="44D93D12" w:rsidR="00E742A8" w:rsidRDefault="00E742A8" w:rsidP="00E742A8">
      <w:pPr>
        <w:pStyle w:val="ListParagraph"/>
        <w:numPr>
          <w:ilvl w:val="0"/>
          <w:numId w:val="40"/>
        </w:numPr>
        <w:autoSpaceDE w:val="0"/>
        <w:autoSpaceDN w:val="0"/>
        <w:adjustRightInd w:val="0"/>
        <w:spacing w:after="120"/>
        <w:ind w:left="1440"/>
        <w:contextualSpacing w:val="0"/>
        <w:jc w:val="both"/>
      </w:pPr>
      <w:r w:rsidRPr="00E742A8">
        <w:rPr>
          <w:b/>
          <w:i/>
        </w:rPr>
        <w:t>The creation of short-term employment opportunities</w:t>
      </w:r>
      <w:r>
        <w:rPr>
          <w:b/>
          <w:i/>
        </w:rPr>
        <w:t xml:space="preserve"> (possibly through public works) </w:t>
      </w:r>
      <w:r w:rsidRPr="00E742A8">
        <w:t>wou</w:t>
      </w:r>
      <w:r>
        <w:t>ld help address the lack of income-generation avenues, and provide alternatives for women working in the cotton sector. Identification of those opportunities that are appropriate for rural women, given the constraints they face in terms of education, access, social mores, may require some initial analytical work. This may also need to be complemented with vocational-training to ensure that women can access those opportunities created, and develop a skills-base that can assist them in the labor market in the longer-term.</w:t>
      </w:r>
    </w:p>
    <w:p w14:paraId="2185F39D" w14:textId="60997FAB" w:rsidR="00E742A8" w:rsidRDefault="00E742A8" w:rsidP="00E742A8">
      <w:pPr>
        <w:pStyle w:val="ListParagraph"/>
        <w:numPr>
          <w:ilvl w:val="0"/>
          <w:numId w:val="40"/>
        </w:numPr>
        <w:autoSpaceDE w:val="0"/>
        <w:autoSpaceDN w:val="0"/>
        <w:adjustRightInd w:val="0"/>
        <w:spacing w:after="120"/>
        <w:ind w:left="1440"/>
        <w:contextualSpacing w:val="0"/>
        <w:jc w:val="both"/>
      </w:pPr>
      <w:r w:rsidRPr="00E742A8">
        <w:rPr>
          <w:b/>
          <w:i/>
        </w:rPr>
        <w:t>In extending financial services to vulnerable groups,</w:t>
      </w:r>
      <w:r>
        <w:t xml:space="preserve"> the specific constraints faced by women—such as the difficulties in physically accessing finance institutions and the lack of collateral necessary for the receipt of credit—should be identified and addressed by customized financing instruments. Geographical targeting in rural areas would also be helpful in extending services to those who normally have no other options, and who are at the greatest risk of poverty.  </w:t>
      </w:r>
    </w:p>
    <w:p w14:paraId="08A69FCB" w14:textId="77777777" w:rsidR="00E742A8" w:rsidRDefault="00E742A8" w:rsidP="00E742A8">
      <w:pPr>
        <w:autoSpaceDE w:val="0"/>
        <w:autoSpaceDN w:val="0"/>
        <w:adjustRightInd w:val="0"/>
        <w:spacing w:after="120"/>
        <w:ind w:left="720"/>
        <w:jc w:val="both"/>
      </w:pPr>
    </w:p>
    <w:p w14:paraId="3E55F656" w14:textId="45C56937" w:rsidR="000D435A" w:rsidRPr="00F46E74" w:rsidRDefault="0046627F" w:rsidP="00B9066E">
      <w:pPr>
        <w:pStyle w:val="Sub-Para1underXY"/>
        <w:numPr>
          <w:ilvl w:val="0"/>
          <w:numId w:val="0"/>
        </w:numPr>
        <w:ind w:left="1080"/>
        <w:jc w:val="both"/>
        <w:rPr>
          <w:b/>
        </w:rPr>
      </w:pPr>
      <w:r>
        <w:t xml:space="preserve"> </w:t>
      </w:r>
    </w:p>
    <w:p w14:paraId="35354197" w14:textId="77777777" w:rsidR="00BB3138" w:rsidRPr="00BB3138" w:rsidRDefault="00BB3138" w:rsidP="00BB3138">
      <w:pPr>
        <w:pStyle w:val="MainParawithChapter"/>
        <w:ind w:left="0" w:firstLine="0"/>
        <w:jc w:val="both"/>
        <w:outlineLvl w:val="9"/>
        <w:rPr>
          <w:b/>
        </w:rPr>
      </w:pPr>
      <w:r w:rsidRPr="00BB3138">
        <w:rPr>
          <w:b/>
        </w:rPr>
        <w:br w:type="page"/>
      </w:r>
    </w:p>
    <w:p w14:paraId="57220A6F" w14:textId="77777777" w:rsidR="00EC47C3" w:rsidRPr="00DA289E" w:rsidRDefault="00BB3138" w:rsidP="00DA289E">
      <w:pPr>
        <w:pStyle w:val="Heading1a"/>
        <w:rPr>
          <w:bCs/>
          <w:szCs w:val="32"/>
        </w:rPr>
      </w:pPr>
      <w:bookmarkStart w:id="74" w:name="_Toc226957258"/>
      <w:r>
        <w:rPr>
          <w:bCs/>
          <w:szCs w:val="32"/>
        </w:rPr>
        <w:lastRenderedPageBreak/>
        <w:t>APPENDIX</w:t>
      </w:r>
      <w:bookmarkEnd w:id="74"/>
    </w:p>
    <w:p w14:paraId="4FF7273B" w14:textId="77777777" w:rsidR="00EC47C3" w:rsidRDefault="00EC47C3" w:rsidP="00EC47C3">
      <w:pPr>
        <w:spacing w:after="60"/>
        <w:jc w:val="center"/>
        <w:rPr>
          <w:b/>
          <w:sz w:val="22"/>
          <w:szCs w:val="22"/>
        </w:rPr>
      </w:pPr>
      <w:bookmarkStart w:id="75" w:name="_Ref218918302"/>
      <w:bookmarkStart w:id="76" w:name="_Toc218924045"/>
      <w:bookmarkStart w:id="77" w:name="_Toc232694757"/>
      <w:r w:rsidRPr="00EC47C3">
        <w:rPr>
          <w:b/>
          <w:sz w:val="22"/>
          <w:szCs w:val="22"/>
        </w:rPr>
        <w:t xml:space="preserve">Figure A </w:t>
      </w:r>
      <w:r w:rsidR="00E12159" w:rsidRPr="00EC47C3">
        <w:rPr>
          <w:b/>
          <w:sz w:val="22"/>
          <w:szCs w:val="22"/>
        </w:rPr>
        <w:fldChar w:fldCharType="begin"/>
      </w:r>
      <w:r w:rsidRPr="00EC47C3">
        <w:rPr>
          <w:b/>
          <w:sz w:val="22"/>
          <w:szCs w:val="22"/>
        </w:rPr>
        <w:instrText xml:space="preserve"> </w:instrText>
      </w:r>
      <w:r w:rsidR="009F7A22">
        <w:rPr>
          <w:b/>
          <w:sz w:val="22"/>
          <w:szCs w:val="22"/>
        </w:rPr>
        <w:instrText>SEQ</w:instrText>
      </w:r>
      <w:r w:rsidRPr="00EC47C3">
        <w:rPr>
          <w:b/>
          <w:sz w:val="22"/>
          <w:szCs w:val="22"/>
        </w:rPr>
        <w:instrText xml:space="preserve"> Figure_A \* ARABIC </w:instrText>
      </w:r>
      <w:r w:rsidR="00E12159" w:rsidRPr="00EC47C3">
        <w:rPr>
          <w:b/>
          <w:sz w:val="22"/>
          <w:szCs w:val="22"/>
        </w:rPr>
        <w:fldChar w:fldCharType="separate"/>
      </w:r>
      <w:r w:rsidR="00183FFF">
        <w:rPr>
          <w:b/>
          <w:noProof/>
          <w:sz w:val="22"/>
          <w:szCs w:val="22"/>
        </w:rPr>
        <w:t>1</w:t>
      </w:r>
      <w:r w:rsidR="00E12159" w:rsidRPr="00EC47C3">
        <w:rPr>
          <w:b/>
          <w:sz w:val="22"/>
          <w:szCs w:val="22"/>
        </w:rPr>
        <w:fldChar w:fldCharType="end"/>
      </w:r>
      <w:bookmarkEnd w:id="75"/>
      <w:r w:rsidRPr="00EC47C3">
        <w:rPr>
          <w:b/>
          <w:sz w:val="22"/>
          <w:szCs w:val="22"/>
        </w:rPr>
        <w:t>. Primary compl</w:t>
      </w:r>
      <w:r w:rsidR="00410BB0">
        <w:rPr>
          <w:b/>
          <w:sz w:val="22"/>
          <w:szCs w:val="22"/>
        </w:rPr>
        <w:t>etion rate (%), by total and gender</w:t>
      </w:r>
      <w:r w:rsidRPr="00EC47C3">
        <w:rPr>
          <w:b/>
          <w:sz w:val="22"/>
          <w:szCs w:val="22"/>
        </w:rPr>
        <w:t>, 2000-2011</w:t>
      </w:r>
      <w:bookmarkEnd w:id="76"/>
      <w:bookmarkEnd w:id="77"/>
    </w:p>
    <w:p w14:paraId="57A8D348" w14:textId="77777777" w:rsidR="00EC47C3" w:rsidRPr="00EC47C3" w:rsidRDefault="00EC47C3" w:rsidP="00EC47C3">
      <w:pPr>
        <w:spacing w:after="60"/>
        <w:jc w:val="center"/>
        <w:rPr>
          <w:b/>
          <w:sz w:val="22"/>
          <w:szCs w:val="22"/>
        </w:rPr>
      </w:pPr>
      <w:r>
        <w:rPr>
          <w:noProof/>
        </w:rPr>
        <w:drawing>
          <wp:inline distT="0" distB="0" distL="0" distR="0" wp14:anchorId="6B10631F" wp14:editId="6EB78C47">
            <wp:extent cx="5486400" cy="2267390"/>
            <wp:effectExtent l="0" t="0" r="25400" b="1905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BE4AA0" w14:textId="77777777" w:rsidR="00EC47C3" w:rsidRDefault="00EC47C3" w:rsidP="00EC47C3">
      <w:pPr>
        <w:jc w:val="both"/>
        <w:rPr>
          <w:sz w:val="22"/>
          <w:szCs w:val="22"/>
        </w:rPr>
      </w:pPr>
      <w:r w:rsidRPr="00422C25">
        <w:rPr>
          <w:i/>
          <w:sz w:val="22"/>
          <w:szCs w:val="22"/>
        </w:rPr>
        <w:t>Notes</w:t>
      </w:r>
      <w:r w:rsidRPr="00422C25">
        <w:rPr>
          <w:sz w:val="22"/>
          <w:szCs w:val="22"/>
        </w:rPr>
        <w:t>: Primary completion rate is the total number of new entrants in the last grade of primary education, regardless of age, expressed as percentage of the total population of the theoretical entrance age to the last grade of primary. The ratio can exceed 100% due to over-aged and under-aged children who enter primary school late/early and/or repeat grades. Disaggregation by gender is not available for 2005 and 2008.</w:t>
      </w:r>
    </w:p>
    <w:p w14:paraId="59418AF4" w14:textId="77777777" w:rsidR="00EC47C3" w:rsidRPr="00422C25" w:rsidRDefault="00422C25" w:rsidP="00422C25">
      <w:pPr>
        <w:jc w:val="both"/>
        <w:rPr>
          <w:sz w:val="22"/>
          <w:szCs w:val="22"/>
        </w:rPr>
      </w:pPr>
      <w:r w:rsidRPr="00C86532">
        <w:rPr>
          <w:i/>
          <w:sz w:val="22"/>
          <w:szCs w:val="22"/>
        </w:rPr>
        <w:t xml:space="preserve">Source: </w:t>
      </w:r>
      <w:r w:rsidRPr="00C86532">
        <w:rPr>
          <w:sz w:val="22"/>
          <w:szCs w:val="22"/>
        </w:rPr>
        <w:t xml:space="preserve">World Development Indicators Database, World Bank, Washington DC, </w:t>
      </w:r>
      <w:hyperlink r:id="rId54" w:history="1">
        <w:r w:rsidRPr="00C86532">
          <w:rPr>
            <w:sz w:val="22"/>
            <w:szCs w:val="22"/>
          </w:rPr>
          <w:t>http://data.worldbank.org/data-catalog/world-development-indicators</w:t>
        </w:r>
      </w:hyperlink>
      <w:r w:rsidRPr="00C86532">
        <w:rPr>
          <w:sz w:val="22"/>
          <w:szCs w:val="22"/>
        </w:rPr>
        <w:t>.</w:t>
      </w:r>
    </w:p>
    <w:p w14:paraId="427CA0A3" w14:textId="77777777" w:rsidR="00EC47C3" w:rsidRDefault="00EC47C3" w:rsidP="00EC47C3"/>
    <w:p w14:paraId="422B7092" w14:textId="77777777" w:rsidR="002A0CDC" w:rsidRPr="002A0CDC" w:rsidRDefault="002A0CDC" w:rsidP="002A0CDC">
      <w:pPr>
        <w:spacing w:after="60"/>
        <w:jc w:val="center"/>
        <w:rPr>
          <w:b/>
          <w:sz w:val="22"/>
          <w:szCs w:val="22"/>
        </w:rPr>
      </w:pPr>
      <w:bookmarkStart w:id="78" w:name="_Ref218918371"/>
      <w:bookmarkStart w:id="79" w:name="_Toc218924046"/>
      <w:bookmarkStart w:id="80" w:name="_Toc232694758"/>
      <w:r w:rsidRPr="002A0CDC">
        <w:rPr>
          <w:b/>
          <w:sz w:val="22"/>
          <w:szCs w:val="22"/>
        </w:rPr>
        <w:t xml:space="preserve">Figure A </w:t>
      </w:r>
      <w:r w:rsidR="00E12159" w:rsidRPr="002A0CDC">
        <w:rPr>
          <w:b/>
          <w:sz w:val="22"/>
          <w:szCs w:val="22"/>
        </w:rPr>
        <w:fldChar w:fldCharType="begin"/>
      </w:r>
      <w:r w:rsidRPr="002A0CDC">
        <w:rPr>
          <w:b/>
          <w:sz w:val="22"/>
          <w:szCs w:val="22"/>
        </w:rPr>
        <w:instrText xml:space="preserve"> </w:instrText>
      </w:r>
      <w:r w:rsidR="009F7A22">
        <w:rPr>
          <w:b/>
          <w:sz w:val="22"/>
          <w:szCs w:val="22"/>
        </w:rPr>
        <w:instrText>SEQ</w:instrText>
      </w:r>
      <w:r w:rsidRPr="002A0CDC">
        <w:rPr>
          <w:b/>
          <w:sz w:val="22"/>
          <w:szCs w:val="22"/>
        </w:rPr>
        <w:instrText xml:space="preserve"> Figure_A \* ARABIC </w:instrText>
      </w:r>
      <w:r w:rsidR="00E12159" w:rsidRPr="002A0CDC">
        <w:rPr>
          <w:b/>
          <w:sz w:val="22"/>
          <w:szCs w:val="22"/>
        </w:rPr>
        <w:fldChar w:fldCharType="separate"/>
      </w:r>
      <w:r w:rsidR="00183FFF">
        <w:rPr>
          <w:b/>
          <w:noProof/>
          <w:sz w:val="22"/>
          <w:szCs w:val="22"/>
        </w:rPr>
        <w:t>2</w:t>
      </w:r>
      <w:r w:rsidR="00E12159" w:rsidRPr="002A0CDC">
        <w:rPr>
          <w:b/>
          <w:sz w:val="22"/>
          <w:szCs w:val="22"/>
        </w:rPr>
        <w:fldChar w:fldCharType="end"/>
      </w:r>
      <w:bookmarkEnd w:id="78"/>
      <w:r w:rsidRPr="002A0CDC">
        <w:rPr>
          <w:b/>
          <w:sz w:val="22"/>
          <w:szCs w:val="22"/>
        </w:rPr>
        <w:t>. Progression to secondary</w:t>
      </w:r>
      <w:r w:rsidR="00410BB0">
        <w:rPr>
          <w:b/>
          <w:sz w:val="22"/>
          <w:szCs w:val="22"/>
        </w:rPr>
        <w:t xml:space="preserve"> education (%), by total and gender</w:t>
      </w:r>
      <w:r w:rsidRPr="002A0CDC">
        <w:rPr>
          <w:b/>
          <w:sz w:val="22"/>
          <w:szCs w:val="22"/>
        </w:rPr>
        <w:t>, 2000-2010</w:t>
      </w:r>
      <w:bookmarkEnd w:id="79"/>
      <w:bookmarkEnd w:id="80"/>
    </w:p>
    <w:p w14:paraId="178A6556" w14:textId="77777777" w:rsidR="002A0CDC" w:rsidRPr="00EC47C3" w:rsidRDefault="002A0CDC" w:rsidP="00EC47C3">
      <w:r>
        <w:rPr>
          <w:noProof/>
        </w:rPr>
        <w:drawing>
          <wp:inline distT="0" distB="0" distL="0" distR="0" wp14:anchorId="128D6EEA" wp14:editId="56E4C8DE">
            <wp:extent cx="5486400" cy="2267780"/>
            <wp:effectExtent l="0" t="0" r="25400" b="18415"/>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35E54FB" w14:textId="77777777" w:rsidR="005414B5" w:rsidRDefault="005414B5" w:rsidP="005414B5">
      <w:pPr>
        <w:jc w:val="both"/>
        <w:rPr>
          <w:sz w:val="22"/>
          <w:szCs w:val="22"/>
        </w:rPr>
      </w:pPr>
      <w:r w:rsidRPr="005414B5">
        <w:rPr>
          <w:i/>
          <w:sz w:val="22"/>
          <w:szCs w:val="22"/>
        </w:rPr>
        <w:t>Notes</w:t>
      </w:r>
      <w:r w:rsidRPr="005414B5">
        <w:rPr>
          <w:sz w:val="22"/>
          <w:szCs w:val="22"/>
        </w:rPr>
        <w:t>: Progression to secondary education is the number of new entrants to the first grade of secondary education (general programs only) in a given year, expressed as a percentage of the number of pupils enrolled in the final grade of primary education in the previous year. Disaggregation by gender is not available for 2002, 2003, and 2007.</w:t>
      </w:r>
    </w:p>
    <w:p w14:paraId="44EEF8A0" w14:textId="77777777" w:rsidR="00EC47C3" w:rsidRPr="00931AD5" w:rsidRDefault="005414B5" w:rsidP="00931AD5">
      <w:pPr>
        <w:jc w:val="both"/>
        <w:rPr>
          <w:sz w:val="22"/>
          <w:szCs w:val="22"/>
        </w:rPr>
      </w:pPr>
      <w:r w:rsidRPr="00C86532">
        <w:rPr>
          <w:i/>
          <w:sz w:val="22"/>
          <w:szCs w:val="22"/>
        </w:rPr>
        <w:t xml:space="preserve">Source: </w:t>
      </w:r>
      <w:r w:rsidRPr="00C86532">
        <w:rPr>
          <w:sz w:val="22"/>
          <w:szCs w:val="22"/>
        </w:rPr>
        <w:t xml:space="preserve">World Development Indicators Database, World Bank, Washington DC, </w:t>
      </w:r>
      <w:hyperlink r:id="rId56" w:history="1">
        <w:r w:rsidRPr="00C86532">
          <w:rPr>
            <w:sz w:val="22"/>
            <w:szCs w:val="22"/>
          </w:rPr>
          <w:t>http://data.worldbank.org/data-catalog/world-development-indicators</w:t>
        </w:r>
      </w:hyperlink>
      <w:r w:rsidRPr="00C86532">
        <w:rPr>
          <w:sz w:val="22"/>
          <w:szCs w:val="22"/>
        </w:rPr>
        <w:t>.</w:t>
      </w:r>
    </w:p>
    <w:p w14:paraId="1EC4EAFE" w14:textId="77777777" w:rsidR="00113271" w:rsidRPr="00DA289E" w:rsidRDefault="00EC47C3" w:rsidP="00113271">
      <w:pPr>
        <w:pStyle w:val="Heading1a"/>
        <w:rPr>
          <w:bCs/>
          <w:szCs w:val="32"/>
        </w:rPr>
      </w:pPr>
      <w:bookmarkStart w:id="81" w:name="_Toc226957259"/>
      <w:r w:rsidRPr="00DA289E">
        <w:rPr>
          <w:bCs/>
          <w:szCs w:val="32"/>
        </w:rPr>
        <w:lastRenderedPageBreak/>
        <w:t>R</w:t>
      </w:r>
      <w:r w:rsidR="00113271" w:rsidRPr="00DA289E">
        <w:rPr>
          <w:bCs/>
          <w:szCs w:val="32"/>
        </w:rPr>
        <w:t>EFERENCES</w:t>
      </w:r>
      <w:bookmarkEnd w:id="81"/>
    </w:p>
    <w:p w14:paraId="2F818B4C" w14:textId="77777777" w:rsidR="006A1532" w:rsidRDefault="00E12159" w:rsidP="006A1532">
      <w:pPr>
        <w:ind w:left="720" w:hanging="720"/>
        <w:rPr>
          <w:noProof/>
        </w:rPr>
      </w:pPr>
      <w:r w:rsidRPr="00BB433A">
        <w:fldChar w:fldCharType="begin"/>
      </w:r>
      <w:r w:rsidR="00BB433A" w:rsidRPr="00BB433A">
        <w:instrText xml:space="preserve"> </w:instrText>
      </w:r>
      <w:r w:rsidR="009F7A22">
        <w:instrText>ADDIN</w:instrText>
      </w:r>
      <w:r w:rsidR="00BB433A" w:rsidRPr="00BB433A">
        <w:instrText xml:space="preserve"> EN.REFLIST </w:instrText>
      </w:r>
      <w:r w:rsidRPr="00BB433A">
        <w:fldChar w:fldCharType="separate"/>
      </w:r>
      <w:bookmarkStart w:id="82" w:name="_ENREF_1"/>
      <w:r w:rsidR="006A1532">
        <w:rPr>
          <w:noProof/>
        </w:rPr>
        <w:t xml:space="preserve">Abbott, Eric A. (2007). </w:t>
      </w:r>
      <w:r w:rsidR="006A1532" w:rsidRPr="006A1532">
        <w:rPr>
          <w:i/>
          <w:noProof/>
        </w:rPr>
        <w:t>Farmland Restructuring: A Baseline Survey of Knowledge, Attitudes and Practices of Tajikistan Farmers Concerning Land Use Rights and Farm Restructuring</w:t>
      </w:r>
      <w:r w:rsidR="006A1532">
        <w:rPr>
          <w:noProof/>
        </w:rPr>
        <w:t>: USAID.</w:t>
      </w:r>
      <w:bookmarkEnd w:id="82"/>
    </w:p>
    <w:p w14:paraId="272AB135" w14:textId="77777777" w:rsidR="006A1532" w:rsidRDefault="006A1532" w:rsidP="006A1532">
      <w:pPr>
        <w:ind w:left="720" w:hanging="720"/>
        <w:rPr>
          <w:noProof/>
        </w:rPr>
      </w:pPr>
      <w:bookmarkStart w:id="83" w:name="_ENREF_2"/>
      <w:r>
        <w:rPr>
          <w:noProof/>
        </w:rPr>
        <w:t xml:space="preserve">ADB. (2006). </w:t>
      </w:r>
      <w:r w:rsidRPr="006A1532">
        <w:rPr>
          <w:i/>
          <w:noProof/>
        </w:rPr>
        <w:t>Tajikistan Country Gender Assessment</w:t>
      </w:r>
      <w:r>
        <w:rPr>
          <w:noProof/>
        </w:rPr>
        <w:t>: Asian Development Bank.</w:t>
      </w:r>
      <w:bookmarkEnd w:id="83"/>
    </w:p>
    <w:p w14:paraId="58D8C615" w14:textId="77777777" w:rsidR="006A1532" w:rsidRDefault="006A1532" w:rsidP="006A1532">
      <w:pPr>
        <w:ind w:left="720" w:hanging="720"/>
        <w:rPr>
          <w:noProof/>
        </w:rPr>
      </w:pPr>
      <w:bookmarkStart w:id="84" w:name="_ENREF_3"/>
      <w:r>
        <w:rPr>
          <w:noProof/>
        </w:rPr>
        <w:t xml:space="preserve">Akiner, Shirin. (1997). Between Tradition and Modernity: The Dilemma Facing Contemporary Central Asian Women. In M. Buckley (Ed.), </w:t>
      </w:r>
      <w:r w:rsidRPr="006A1532">
        <w:rPr>
          <w:i/>
          <w:noProof/>
        </w:rPr>
        <w:t>Post-Soviet Women: From the Baltic to Central Asia</w:t>
      </w:r>
      <w:r>
        <w:rPr>
          <w:noProof/>
        </w:rPr>
        <w:t xml:space="preserve"> (pp. 261-304). Cambridge: Cambridge University Press.</w:t>
      </w:r>
      <w:bookmarkEnd w:id="84"/>
    </w:p>
    <w:p w14:paraId="0E1E7074" w14:textId="77777777" w:rsidR="006A1532" w:rsidRDefault="006A1532" w:rsidP="006A1532">
      <w:pPr>
        <w:ind w:left="720" w:hanging="720"/>
        <w:rPr>
          <w:noProof/>
        </w:rPr>
      </w:pPr>
      <w:bookmarkStart w:id="85" w:name="_ENREF_4"/>
      <w:r>
        <w:rPr>
          <w:noProof/>
        </w:rPr>
        <w:t xml:space="preserve">Alam, Andaleeb, Baez, Javier E., &amp; Carpio, Ximena V. Del. (2011). Does Cash for School Influence Women's Behavior in the Longer Term? Evidence from Pakistan. </w:t>
      </w:r>
      <w:r w:rsidRPr="006A1532">
        <w:rPr>
          <w:i/>
          <w:noProof/>
        </w:rPr>
        <w:t>World Bank Policy Research Working Paper 5669</w:t>
      </w:r>
      <w:r>
        <w:rPr>
          <w:noProof/>
        </w:rPr>
        <w:t xml:space="preserve">. </w:t>
      </w:r>
      <w:bookmarkEnd w:id="85"/>
    </w:p>
    <w:p w14:paraId="249C209A" w14:textId="77777777" w:rsidR="006A1532" w:rsidRDefault="006A1532" w:rsidP="006A1532">
      <w:pPr>
        <w:ind w:left="720" w:hanging="720"/>
        <w:rPr>
          <w:noProof/>
        </w:rPr>
      </w:pPr>
      <w:bookmarkStart w:id="86" w:name="_ENREF_5"/>
      <w:r>
        <w:rPr>
          <w:noProof/>
        </w:rPr>
        <w:t xml:space="preserve">Amjad, Shazia. (2009). Challenges and Policy Responses in Girls' Education in Tajikistan. In UNICEF (Ed.), </w:t>
      </w:r>
      <w:r w:rsidRPr="006A1532">
        <w:rPr>
          <w:i/>
          <w:noProof/>
        </w:rPr>
        <w:t>Out of School Children in Central and Eastern Europe and the Commonwealth of Independent States</w:t>
      </w:r>
      <w:r>
        <w:rPr>
          <w:noProof/>
        </w:rPr>
        <w:t>. Geneva: United Nations Children's Fund Regional Office for CEECIS.</w:t>
      </w:r>
      <w:bookmarkEnd w:id="86"/>
    </w:p>
    <w:p w14:paraId="6B14FEFC" w14:textId="77777777" w:rsidR="006A1532" w:rsidRDefault="006A1532" w:rsidP="006A1532">
      <w:pPr>
        <w:ind w:left="720" w:hanging="720"/>
        <w:rPr>
          <w:noProof/>
        </w:rPr>
      </w:pPr>
      <w:bookmarkStart w:id="87" w:name="_ENREF_6"/>
      <w:r>
        <w:rPr>
          <w:noProof/>
        </w:rPr>
        <w:t xml:space="preserve">Bakilana, Anne, &amp; Msisha, Wezi. (2009). Tajik Child Health: All Hands on Deck. </w:t>
      </w:r>
      <w:r w:rsidRPr="006A1532">
        <w:rPr>
          <w:i/>
          <w:noProof/>
        </w:rPr>
        <w:t>Europe and Central Asia Knowledge Brief, 11</w:t>
      </w:r>
      <w:r>
        <w:rPr>
          <w:noProof/>
        </w:rPr>
        <w:t xml:space="preserve">. </w:t>
      </w:r>
      <w:bookmarkEnd w:id="87"/>
    </w:p>
    <w:p w14:paraId="15FBF10F" w14:textId="77777777" w:rsidR="006A1532" w:rsidRDefault="006A1532" w:rsidP="006A1532">
      <w:pPr>
        <w:ind w:left="720" w:hanging="720"/>
        <w:rPr>
          <w:noProof/>
        </w:rPr>
      </w:pPr>
      <w:bookmarkStart w:id="88" w:name="_ENREF_7"/>
      <w:r>
        <w:rPr>
          <w:noProof/>
        </w:rPr>
        <w:t xml:space="preserve">Baskakova, Marina. (2007). </w:t>
      </w:r>
      <w:r w:rsidRPr="006A1532">
        <w:rPr>
          <w:i/>
          <w:noProof/>
        </w:rPr>
        <w:t>Some Aspects of Youth Education, Gender Equality and Employment in the Caucasus and Central Asia</w:t>
      </w:r>
      <w:r>
        <w:rPr>
          <w:noProof/>
        </w:rPr>
        <w:t>. Moscow: International Labour Organization.</w:t>
      </w:r>
      <w:bookmarkEnd w:id="88"/>
    </w:p>
    <w:p w14:paraId="7E777CB3" w14:textId="77777777" w:rsidR="006A1532" w:rsidRDefault="006A1532" w:rsidP="006A1532">
      <w:pPr>
        <w:ind w:left="720" w:hanging="720"/>
        <w:rPr>
          <w:noProof/>
        </w:rPr>
      </w:pPr>
      <w:bookmarkStart w:id="89" w:name="_ENREF_8"/>
      <w:r>
        <w:rPr>
          <w:noProof/>
        </w:rPr>
        <w:t xml:space="preserve">Blunch, Niels-Hugo. (2010). The Gender Earnings Gap Revisited: A Comparative Study for Serbia and Five Countries in Eastern Europe and Central Asia. </w:t>
      </w:r>
      <w:r w:rsidRPr="006A1532">
        <w:rPr>
          <w:i/>
          <w:noProof/>
        </w:rPr>
        <w:t>Background paper commissioned by the World Bank's Poverty Reduction and Economic Management Unit, Europe and Central Asia Region Department</w:t>
      </w:r>
      <w:r>
        <w:rPr>
          <w:noProof/>
        </w:rPr>
        <w:t xml:space="preserve">. </w:t>
      </w:r>
      <w:bookmarkEnd w:id="89"/>
    </w:p>
    <w:p w14:paraId="69669EBA" w14:textId="77777777" w:rsidR="006A1532" w:rsidRDefault="006A1532" w:rsidP="006A1532">
      <w:pPr>
        <w:ind w:left="720" w:hanging="720"/>
        <w:rPr>
          <w:noProof/>
        </w:rPr>
      </w:pPr>
      <w:bookmarkStart w:id="90" w:name="_ENREF_9"/>
      <w:r>
        <w:rPr>
          <w:noProof/>
        </w:rPr>
        <w:t xml:space="preserve">Briller, Vladimir. (2007). Tajikistan country case study. </w:t>
      </w:r>
      <w:r w:rsidRPr="006A1532">
        <w:rPr>
          <w:i/>
          <w:noProof/>
        </w:rPr>
        <w:t>Country profile prepared for the Education for All Global Monitoring Report 2008</w:t>
      </w:r>
      <w:r>
        <w:rPr>
          <w:noProof/>
        </w:rPr>
        <w:t xml:space="preserve">. </w:t>
      </w:r>
      <w:bookmarkEnd w:id="90"/>
    </w:p>
    <w:p w14:paraId="2F061972" w14:textId="77777777" w:rsidR="006A1532" w:rsidRDefault="006A1532" w:rsidP="006A1532">
      <w:pPr>
        <w:ind w:left="720" w:hanging="720"/>
        <w:rPr>
          <w:noProof/>
        </w:rPr>
      </w:pPr>
      <w:bookmarkStart w:id="91" w:name="_ENREF_10"/>
      <w:r>
        <w:rPr>
          <w:noProof/>
        </w:rPr>
        <w:t xml:space="preserve">Chawla, Mukesh, Betcherman, Gordon, &amp; Banerji, Arup. (2007). </w:t>
      </w:r>
      <w:r w:rsidRPr="006A1532">
        <w:rPr>
          <w:i/>
          <w:noProof/>
        </w:rPr>
        <w:t>From Red to Grey. The "Third Transition" of Aging Populations in Eastern Europe and the former Soviet Union</w:t>
      </w:r>
      <w:r>
        <w:rPr>
          <w:noProof/>
        </w:rPr>
        <w:t>. Washington, DC: World Bank.</w:t>
      </w:r>
      <w:bookmarkEnd w:id="91"/>
    </w:p>
    <w:p w14:paraId="77E317F9" w14:textId="77777777" w:rsidR="006A1532" w:rsidRDefault="006A1532" w:rsidP="006A1532">
      <w:pPr>
        <w:ind w:left="720" w:hanging="720"/>
        <w:rPr>
          <w:noProof/>
        </w:rPr>
      </w:pPr>
      <w:bookmarkStart w:id="92" w:name="_ENREF_11"/>
      <w:r>
        <w:rPr>
          <w:noProof/>
        </w:rPr>
        <w:t xml:space="preserve">Clifford, David Michael. (2009). </w:t>
      </w:r>
      <w:r w:rsidRPr="006A1532">
        <w:rPr>
          <w:i/>
          <w:noProof/>
        </w:rPr>
        <w:t>Marriage and fertility change in post-Soviet Tajikistan.</w:t>
      </w:r>
      <w:r>
        <w:rPr>
          <w:noProof/>
        </w:rPr>
        <w:t xml:space="preserve"> (Doctoral Thesis), University of Southhampton.   </w:t>
      </w:r>
      <w:bookmarkEnd w:id="92"/>
    </w:p>
    <w:p w14:paraId="4C253398" w14:textId="77777777" w:rsidR="006A1532" w:rsidRDefault="006A1532" w:rsidP="006A1532">
      <w:pPr>
        <w:ind w:left="720" w:hanging="720"/>
        <w:rPr>
          <w:noProof/>
        </w:rPr>
      </w:pPr>
      <w:bookmarkStart w:id="93" w:name="_ENREF_12"/>
      <w:r>
        <w:rPr>
          <w:noProof/>
        </w:rPr>
        <w:t xml:space="preserve">d'Hellencourt, Nouchine Yavari. (2004). </w:t>
      </w:r>
      <w:r w:rsidRPr="006A1532">
        <w:rPr>
          <w:i/>
          <w:noProof/>
        </w:rPr>
        <w:t>Qualitative Survey on Issues in Girls' Education in Tajikistan: An In-Depth Analysis of the Reasons Girls Drop Out of School</w:t>
      </w:r>
      <w:r>
        <w:rPr>
          <w:noProof/>
        </w:rPr>
        <w:t>. Dushanbe: UNICEF.</w:t>
      </w:r>
      <w:bookmarkEnd w:id="93"/>
    </w:p>
    <w:p w14:paraId="5F7C5969" w14:textId="77777777" w:rsidR="006A1532" w:rsidRDefault="006A1532" w:rsidP="006A1532">
      <w:pPr>
        <w:ind w:left="720" w:hanging="720"/>
        <w:rPr>
          <w:noProof/>
        </w:rPr>
      </w:pPr>
      <w:bookmarkStart w:id="94" w:name="_ENREF_13"/>
      <w:r>
        <w:rPr>
          <w:noProof/>
        </w:rPr>
        <w:t xml:space="preserve">de Alwis, Rangita de Silva. (2009). </w:t>
      </w:r>
      <w:r w:rsidRPr="006A1532">
        <w:rPr>
          <w:i/>
          <w:noProof/>
        </w:rPr>
        <w:t>Advancing Equal Rights For Women and Girls. The Status of CEDAW Legislative Compliance in Eastern Europe and Central Asia</w:t>
      </w:r>
      <w:r>
        <w:rPr>
          <w:noProof/>
        </w:rPr>
        <w:t>. New York: United Nations Population Fund.</w:t>
      </w:r>
      <w:bookmarkEnd w:id="94"/>
    </w:p>
    <w:p w14:paraId="76C1C86F" w14:textId="77777777" w:rsidR="006A1532" w:rsidRDefault="006A1532" w:rsidP="006A1532">
      <w:pPr>
        <w:ind w:left="720" w:hanging="720"/>
        <w:rPr>
          <w:noProof/>
        </w:rPr>
      </w:pPr>
      <w:bookmarkStart w:id="95" w:name="_ENREF_14"/>
      <w:r>
        <w:rPr>
          <w:noProof/>
        </w:rPr>
        <w:t xml:space="preserve">Demirguc-Kunt, Asli, &amp; Klapper, Leora. (2012). Measuring Financial Inclusion. The Global Findex Database. </w:t>
      </w:r>
      <w:r w:rsidRPr="006A1532">
        <w:rPr>
          <w:i/>
          <w:noProof/>
        </w:rPr>
        <w:t>World BAnk Policy Research Working Paper 6025</w:t>
      </w:r>
      <w:r>
        <w:rPr>
          <w:noProof/>
        </w:rPr>
        <w:t xml:space="preserve">. </w:t>
      </w:r>
      <w:bookmarkEnd w:id="95"/>
    </w:p>
    <w:p w14:paraId="612F3541" w14:textId="77777777" w:rsidR="006A1532" w:rsidRDefault="006A1532" w:rsidP="006A1532">
      <w:pPr>
        <w:ind w:left="720" w:hanging="720"/>
        <w:rPr>
          <w:noProof/>
        </w:rPr>
      </w:pPr>
      <w:bookmarkStart w:id="96" w:name="_ENREF_15"/>
      <w:r>
        <w:rPr>
          <w:noProof/>
        </w:rPr>
        <w:t xml:space="preserve">EBRD and World Bank. (2006). </w:t>
      </w:r>
      <w:r w:rsidRPr="006A1532">
        <w:rPr>
          <w:i/>
          <w:noProof/>
        </w:rPr>
        <w:t>The Life in Transition Survey (LiTS) I</w:t>
      </w:r>
      <w:r>
        <w:rPr>
          <w:noProof/>
        </w:rPr>
        <w:t>.</w:t>
      </w:r>
      <w:bookmarkEnd w:id="96"/>
    </w:p>
    <w:p w14:paraId="030AFEFF" w14:textId="77777777" w:rsidR="006A1532" w:rsidRDefault="006A1532" w:rsidP="006A1532">
      <w:pPr>
        <w:ind w:left="720" w:hanging="720"/>
        <w:rPr>
          <w:noProof/>
        </w:rPr>
      </w:pPr>
      <w:bookmarkStart w:id="97" w:name="_ENREF_16"/>
      <w:r>
        <w:rPr>
          <w:noProof/>
        </w:rPr>
        <w:t xml:space="preserve">EBRD and World Bank. (2011). </w:t>
      </w:r>
      <w:r w:rsidRPr="006A1532">
        <w:rPr>
          <w:i/>
          <w:noProof/>
        </w:rPr>
        <w:t>The Life in Transition Survey (LiTS) II</w:t>
      </w:r>
      <w:r>
        <w:rPr>
          <w:noProof/>
        </w:rPr>
        <w:t xml:space="preserve">. </w:t>
      </w:r>
      <w:bookmarkEnd w:id="97"/>
    </w:p>
    <w:p w14:paraId="03EFD3A6" w14:textId="77777777" w:rsidR="006A1532" w:rsidRDefault="006A1532" w:rsidP="006A1532">
      <w:pPr>
        <w:ind w:left="720" w:hanging="720"/>
        <w:rPr>
          <w:noProof/>
        </w:rPr>
      </w:pPr>
      <w:bookmarkStart w:id="98" w:name="_ENREF_17"/>
      <w:r>
        <w:rPr>
          <w:noProof/>
        </w:rPr>
        <w:t xml:space="preserve">Falkingham, Jane. (2000). Women and gender relations in Tajikistan. </w:t>
      </w:r>
      <w:r w:rsidRPr="006A1532">
        <w:rPr>
          <w:i/>
          <w:noProof/>
        </w:rPr>
        <w:t>Country Briefing Paper</w:t>
      </w:r>
      <w:r>
        <w:rPr>
          <w:noProof/>
        </w:rPr>
        <w:t xml:space="preserve">. </w:t>
      </w:r>
      <w:bookmarkEnd w:id="98"/>
    </w:p>
    <w:p w14:paraId="215D3DCF" w14:textId="77777777" w:rsidR="006A1532" w:rsidRDefault="006A1532" w:rsidP="006A1532">
      <w:pPr>
        <w:ind w:left="720" w:hanging="720"/>
        <w:rPr>
          <w:noProof/>
        </w:rPr>
      </w:pPr>
      <w:bookmarkStart w:id="99" w:name="_ENREF_18"/>
      <w:r>
        <w:rPr>
          <w:noProof/>
        </w:rPr>
        <w:lastRenderedPageBreak/>
        <w:t xml:space="preserve">Flabbi, Luca. (2011). Gender Differences in Education, Career Choices, and Labor Market Outcomes on a Sample of OECD Countries. </w:t>
      </w:r>
      <w:r w:rsidRPr="006A1532">
        <w:rPr>
          <w:i/>
          <w:noProof/>
        </w:rPr>
        <w:t>Background Paper prepared for the World Development Report 2012</w:t>
      </w:r>
      <w:r>
        <w:rPr>
          <w:noProof/>
        </w:rPr>
        <w:t xml:space="preserve">. </w:t>
      </w:r>
      <w:bookmarkEnd w:id="99"/>
    </w:p>
    <w:p w14:paraId="4FB84F10" w14:textId="77777777" w:rsidR="006A1532" w:rsidRDefault="006A1532" w:rsidP="006A1532">
      <w:pPr>
        <w:ind w:left="720" w:hanging="720"/>
        <w:rPr>
          <w:noProof/>
        </w:rPr>
      </w:pPr>
      <w:bookmarkStart w:id="100" w:name="_ENREF_19"/>
      <w:r>
        <w:rPr>
          <w:noProof/>
        </w:rPr>
        <w:t xml:space="preserve">Giovarelli, Renee, &amp; Undeland, Asyl. (2008). </w:t>
      </w:r>
      <w:r w:rsidRPr="006A1532">
        <w:rPr>
          <w:i/>
          <w:noProof/>
        </w:rPr>
        <w:t>Understanding Household Level Barriers Constraining Women's Access to Land and Financial Resources in Tajikistan</w:t>
      </w:r>
      <w:r>
        <w:rPr>
          <w:noProof/>
        </w:rPr>
        <w:t>.</w:t>
      </w:r>
      <w:bookmarkEnd w:id="100"/>
    </w:p>
    <w:p w14:paraId="79EF21BC" w14:textId="77777777" w:rsidR="006A1532" w:rsidRDefault="006A1532" w:rsidP="006A1532">
      <w:pPr>
        <w:ind w:left="720" w:hanging="720"/>
        <w:rPr>
          <w:noProof/>
        </w:rPr>
      </w:pPr>
      <w:bookmarkStart w:id="101" w:name="_ENREF_20"/>
      <w:r>
        <w:rPr>
          <w:noProof/>
        </w:rPr>
        <w:t xml:space="preserve">Guerra, R., Ferrelli, R., Coclite, D., &amp; Napoletano, A. (2004). </w:t>
      </w:r>
      <w:r w:rsidRPr="006A1532">
        <w:rPr>
          <w:i/>
          <w:noProof/>
        </w:rPr>
        <w:t>Using Verbal Autopsy to Assess the Path to Infant and Maternal Death; A synthesis of two studies conducted in Tajikistan in 2002 and 2003</w:t>
      </w:r>
      <w:r>
        <w:rPr>
          <w:noProof/>
        </w:rPr>
        <w:t>. Dushanbe: Ministry of Health, Intituto Superiore di Sanita, &amp; UNICEF Tajikistan.</w:t>
      </w:r>
      <w:bookmarkEnd w:id="101"/>
    </w:p>
    <w:p w14:paraId="1ED89C86" w14:textId="77777777" w:rsidR="006A1532" w:rsidRDefault="006A1532" w:rsidP="006A1532">
      <w:pPr>
        <w:ind w:left="720" w:hanging="720"/>
        <w:rPr>
          <w:noProof/>
        </w:rPr>
      </w:pPr>
      <w:bookmarkStart w:id="102" w:name="_ENREF_21"/>
      <w:r>
        <w:rPr>
          <w:noProof/>
        </w:rPr>
        <w:t xml:space="preserve">Haarr, Robin N. (2005). </w:t>
      </w:r>
      <w:r w:rsidRPr="006A1532">
        <w:rPr>
          <w:i/>
          <w:noProof/>
        </w:rPr>
        <w:t>Violence Against Women in Marriage: A General Population Study in Khatlon Oblast, Tajikistan</w:t>
      </w:r>
      <w:r>
        <w:rPr>
          <w:noProof/>
        </w:rPr>
        <w:t>. Dushanbe: NGO Social Development Group.</w:t>
      </w:r>
      <w:bookmarkEnd w:id="102"/>
    </w:p>
    <w:p w14:paraId="5B966C71" w14:textId="77777777" w:rsidR="006A1532" w:rsidRDefault="006A1532" w:rsidP="006A1532">
      <w:pPr>
        <w:ind w:left="720" w:hanging="720"/>
        <w:rPr>
          <w:noProof/>
        </w:rPr>
      </w:pPr>
      <w:bookmarkStart w:id="103" w:name="_ENREF_22"/>
      <w:r>
        <w:rPr>
          <w:noProof/>
        </w:rPr>
        <w:t xml:space="preserve">Hausmann, Ricardo, Tyson, Laura D., &amp; Zahidi, Saadia. (2011). </w:t>
      </w:r>
      <w:r w:rsidRPr="006A1532">
        <w:rPr>
          <w:i/>
          <w:noProof/>
        </w:rPr>
        <w:t>The Global Gender Report 2011</w:t>
      </w:r>
      <w:r>
        <w:rPr>
          <w:noProof/>
        </w:rPr>
        <w:t>. Cologny/Geneva: World Economic Forum.</w:t>
      </w:r>
      <w:bookmarkEnd w:id="103"/>
    </w:p>
    <w:p w14:paraId="62F78946" w14:textId="77777777" w:rsidR="006A1532" w:rsidRDefault="006A1532" w:rsidP="006A1532">
      <w:pPr>
        <w:ind w:left="720" w:hanging="720"/>
        <w:rPr>
          <w:noProof/>
        </w:rPr>
      </w:pPr>
      <w:bookmarkStart w:id="104" w:name="_ENREF_23"/>
      <w:r>
        <w:rPr>
          <w:noProof/>
        </w:rPr>
        <w:t xml:space="preserve">IFC. (2009a). </w:t>
      </w:r>
      <w:r w:rsidRPr="006A1532">
        <w:rPr>
          <w:i/>
          <w:noProof/>
        </w:rPr>
        <w:t>Business Environment in Tajikistan as Seen by Small and Medium Enterprises</w:t>
      </w:r>
      <w:r>
        <w:rPr>
          <w:noProof/>
        </w:rPr>
        <w:t>. Dushanbe: International Finance Corporation.</w:t>
      </w:r>
      <w:bookmarkEnd w:id="104"/>
    </w:p>
    <w:p w14:paraId="17797808" w14:textId="77777777" w:rsidR="006A1532" w:rsidRDefault="006A1532" w:rsidP="006A1532">
      <w:pPr>
        <w:ind w:left="720" w:hanging="720"/>
        <w:rPr>
          <w:noProof/>
        </w:rPr>
      </w:pPr>
      <w:bookmarkStart w:id="105" w:name="_ENREF_24"/>
      <w:r>
        <w:rPr>
          <w:noProof/>
        </w:rPr>
        <w:t xml:space="preserve">IFC. (2009b). Running a Business in Tajikistan. </w:t>
      </w:r>
      <w:r w:rsidRPr="006A1532">
        <w:rPr>
          <w:i/>
          <w:noProof/>
        </w:rPr>
        <w:t>Enterprise Surveys Country Note Series, No. 4</w:t>
      </w:r>
      <w:r>
        <w:rPr>
          <w:noProof/>
        </w:rPr>
        <w:t xml:space="preserve">. </w:t>
      </w:r>
      <w:bookmarkEnd w:id="105"/>
    </w:p>
    <w:p w14:paraId="6ADFE9F2" w14:textId="185C954A" w:rsidR="006A1532" w:rsidRDefault="006A1532" w:rsidP="006A1532">
      <w:pPr>
        <w:ind w:left="720" w:hanging="720"/>
        <w:rPr>
          <w:noProof/>
        </w:rPr>
      </w:pPr>
      <w:bookmarkStart w:id="106" w:name="_ENREF_25"/>
      <w:r>
        <w:rPr>
          <w:noProof/>
        </w:rPr>
        <w:t xml:space="preserve">IFC. (2013). Supporting the Microfinance Transformation Process.   Retrieved 31/05/2013, from </w:t>
      </w:r>
      <w:bookmarkEnd w:id="106"/>
      <w:r>
        <w:rPr>
          <w:noProof/>
        </w:rPr>
        <w:fldChar w:fldCharType="begin"/>
      </w:r>
      <w:r>
        <w:rPr>
          <w:noProof/>
        </w:rPr>
        <w:instrText xml:space="preserve"> HYPERLINK "http://www.ifc.org/acamfi" </w:instrText>
      </w:r>
      <w:r>
        <w:rPr>
          <w:noProof/>
        </w:rPr>
        <w:fldChar w:fldCharType="separate"/>
      </w:r>
      <w:r w:rsidRPr="006A1532">
        <w:rPr>
          <w:rStyle w:val="Hyperlink"/>
          <w:noProof/>
        </w:rPr>
        <w:t>http://www.ifc.org/acamfi</w:t>
      </w:r>
      <w:r>
        <w:rPr>
          <w:noProof/>
        </w:rPr>
        <w:fldChar w:fldCharType="end"/>
      </w:r>
    </w:p>
    <w:p w14:paraId="586F7D46" w14:textId="1AA6A664" w:rsidR="006A1532" w:rsidRDefault="006A1532" w:rsidP="006A1532">
      <w:pPr>
        <w:ind w:left="720" w:hanging="720"/>
        <w:rPr>
          <w:noProof/>
        </w:rPr>
      </w:pPr>
      <w:bookmarkStart w:id="107" w:name="_ENREF_26"/>
      <w:r>
        <w:rPr>
          <w:noProof/>
        </w:rPr>
        <w:t xml:space="preserve">IFC/World Bank. (2013). Women, Business and the Law. Creating Economic Opportunity for Women.   Retrieved 25/01/2013, from </w:t>
      </w:r>
      <w:bookmarkEnd w:id="107"/>
      <w:r>
        <w:rPr>
          <w:noProof/>
        </w:rPr>
        <w:fldChar w:fldCharType="begin"/>
      </w:r>
      <w:r>
        <w:rPr>
          <w:noProof/>
        </w:rPr>
        <w:instrText xml:space="preserve"> HYPERLINK "http://wbl.worldbank.org/data/exploreeconomies/tajikistan/2011?topic=getting-a-job" </w:instrText>
      </w:r>
      <w:r>
        <w:rPr>
          <w:noProof/>
        </w:rPr>
        <w:fldChar w:fldCharType="separate"/>
      </w:r>
      <w:r w:rsidRPr="006A1532">
        <w:rPr>
          <w:rStyle w:val="Hyperlink"/>
          <w:noProof/>
        </w:rPr>
        <w:t>http://wbl.worldbank.org/data/exploreeconomies/tajikistan/2011?topic=getting-a-job</w:t>
      </w:r>
      <w:r>
        <w:rPr>
          <w:noProof/>
        </w:rPr>
        <w:fldChar w:fldCharType="end"/>
      </w:r>
    </w:p>
    <w:p w14:paraId="54396BE8" w14:textId="77777777" w:rsidR="006A1532" w:rsidRDefault="006A1532" w:rsidP="006A1532">
      <w:pPr>
        <w:ind w:left="720" w:hanging="720"/>
        <w:rPr>
          <w:noProof/>
        </w:rPr>
      </w:pPr>
      <w:bookmarkStart w:id="108" w:name="_ENREF_27"/>
      <w:r>
        <w:rPr>
          <w:noProof/>
        </w:rPr>
        <w:t xml:space="preserve">ILO. (2009). </w:t>
      </w:r>
      <w:r w:rsidRPr="006A1532">
        <w:rPr>
          <w:i/>
          <w:noProof/>
        </w:rPr>
        <w:t>Work and Family: The Republic of Tajikistan</w:t>
      </w:r>
      <w:r>
        <w:rPr>
          <w:noProof/>
        </w:rPr>
        <w:t>. Moscow: International Labour Organization.</w:t>
      </w:r>
      <w:bookmarkEnd w:id="108"/>
    </w:p>
    <w:p w14:paraId="69F3BCC1" w14:textId="77777777" w:rsidR="006A1532" w:rsidRDefault="006A1532" w:rsidP="006A1532">
      <w:pPr>
        <w:ind w:left="720" w:hanging="720"/>
        <w:rPr>
          <w:noProof/>
        </w:rPr>
      </w:pPr>
      <w:bookmarkStart w:id="109" w:name="_ENREF_28"/>
      <w:r>
        <w:rPr>
          <w:noProof/>
        </w:rPr>
        <w:t xml:space="preserve">ILO. (2010). </w:t>
      </w:r>
      <w:r w:rsidRPr="006A1532">
        <w:rPr>
          <w:i/>
          <w:noProof/>
        </w:rPr>
        <w:t>Migrant Remittances to Tajikistan. The Potential for Savings, Economic Investment and Existing Financial Products to Attract Remittances</w:t>
      </w:r>
      <w:r>
        <w:rPr>
          <w:noProof/>
        </w:rPr>
        <w:t>. Moscow: International Labour Organization.</w:t>
      </w:r>
      <w:bookmarkEnd w:id="109"/>
    </w:p>
    <w:p w14:paraId="1ED3C260" w14:textId="77777777" w:rsidR="006A1532" w:rsidRDefault="006A1532" w:rsidP="006A1532">
      <w:pPr>
        <w:ind w:left="720" w:hanging="720"/>
        <w:rPr>
          <w:noProof/>
        </w:rPr>
      </w:pPr>
      <w:bookmarkStart w:id="110" w:name="_ENREF_29"/>
      <w:r>
        <w:rPr>
          <w:noProof/>
        </w:rPr>
        <w:t xml:space="preserve">IOM. (2009). </w:t>
      </w:r>
      <w:r w:rsidRPr="006A1532">
        <w:rPr>
          <w:i/>
          <w:noProof/>
        </w:rPr>
        <w:t>Abandoned Wives of Tajik Labor Migrants. IOM Study on the socio-economic characteristics of abandoned wives of Tajik labor migrants and their survival capabilities</w:t>
      </w:r>
      <w:r>
        <w:rPr>
          <w:noProof/>
        </w:rPr>
        <w:t>. Dushanbe: International Organization for Migration.</w:t>
      </w:r>
      <w:bookmarkEnd w:id="110"/>
    </w:p>
    <w:p w14:paraId="2B2FBD09" w14:textId="77777777" w:rsidR="006A1532" w:rsidRDefault="006A1532" w:rsidP="006A1532">
      <w:pPr>
        <w:ind w:left="720" w:hanging="720"/>
        <w:rPr>
          <w:noProof/>
        </w:rPr>
      </w:pPr>
      <w:bookmarkStart w:id="111" w:name="_ENREF_30"/>
      <w:r>
        <w:rPr>
          <w:noProof/>
        </w:rPr>
        <w:t xml:space="preserve">Kanji, Nazneen. (2002). Trading and trade-offs: Women's livelihoods in Gorno-Badkhshan, Tajikistan. </w:t>
      </w:r>
      <w:r w:rsidRPr="006A1532">
        <w:rPr>
          <w:i/>
          <w:noProof/>
        </w:rPr>
        <w:t>Development in Practice, 12</w:t>
      </w:r>
      <w:r>
        <w:rPr>
          <w:noProof/>
        </w:rPr>
        <w:t xml:space="preserve">(2), 138-152. </w:t>
      </w:r>
      <w:bookmarkEnd w:id="111"/>
    </w:p>
    <w:p w14:paraId="317D1620" w14:textId="77777777" w:rsidR="006A1532" w:rsidRDefault="006A1532" w:rsidP="006A1532">
      <w:pPr>
        <w:ind w:left="720" w:hanging="720"/>
        <w:rPr>
          <w:noProof/>
        </w:rPr>
      </w:pPr>
      <w:bookmarkStart w:id="112" w:name="_ENREF_31"/>
      <w:r>
        <w:rPr>
          <w:noProof/>
        </w:rPr>
        <w:t xml:space="preserve">Khodjamurodov, Ghafur, &amp; Rechel, Bernd. (2010). Tajikistan Health system review. </w:t>
      </w:r>
      <w:r w:rsidRPr="006A1532">
        <w:rPr>
          <w:i/>
          <w:noProof/>
        </w:rPr>
        <w:t>Health Systems in Transition, 12</w:t>
      </w:r>
      <w:r>
        <w:rPr>
          <w:noProof/>
        </w:rPr>
        <w:t xml:space="preserve">(2), 1-154. </w:t>
      </w:r>
      <w:bookmarkEnd w:id="112"/>
    </w:p>
    <w:p w14:paraId="55014055" w14:textId="77777777" w:rsidR="006A1532" w:rsidRDefault="006A1532" w:rsidP="006A1532">
      <w:pPr>
        <w:ind w:left="720" w:hanging="720"/>
        <w:rPr>
          <w:noProof/>
        </w:rPr>
      </w:pPr>
      <w:bookmarkStart w:id="113" w:name="_ENREF_32"/>
      <w:r>
        <w:rPr>
          <w:noProof/>
        </w:rPr>
        <w:t xml:space="preserve">Kobzar, Elena. (2007). </w:t>
      </w:r>
      <w:r w:rsidRPr="006A1532">
        <w:rPr>
          <w:i/>
          <w:noProof/>
        </w:rPr>
        <w:t>Gender equality in the agricultural sector</w:t>
      </w:r>
      <w:r>
        <w:rPr>
          <w:noProof/>
        </w:rPr>
        <w:t>. Dushanbe: United Nations Development Fund for Women.</w:t>
      </w:r>
      <w:bookmarkEnd w:id="113"/>
    </w:p>
    <w:p w14:paraId="2D881943" w14:textId="77777777" w:rsidR="006A1532" w:rsidRDefault="006A1532" w:rsidP="006A1532">
      <w:pPr>
        <w:ind w:left="720" w:hanging="720"/>
        <w:rPr>
          <w:noProof/>
        </w:rPr>
      </w:pPr>
      <w:bookmarkStart w:id="114" w:name="_ENREF_33"/>
      <w:r>
        <w:rPr>
          <w:noProof/>
        </w:rPr>
        <w:t xml:space="preserve">Maltseva, Irina. (2007). </w:t>
      </w:r>
      <w:r w:rsidRPr="006A1532">
        <w:rPr>
          <w:i/>
          <w:noProof/>
        </w:rPr>
        <w:t>Gender equality in the sphere of employment</w:t>
      </w:r>
      <w:r>
        <w:rPr>
          <w:noProof/>
        </w:rPr>
        <w:t>. Dushanbe: United Nations Development Fund for Women.</w:t>
      </w:r>
      <w:bookmarkEnd w:id="114"/>
    </w:p>
    <w:p w14:paraId="5E7101A0" w14:textId="77777777" w:rsidR="006A1532" w:rsidRDefault="006A1532" w:rsidP="006A1532">
      <w:pPr>
        <w:ind w:left="720" w:hanging="720"/>
        <w:rPr>
          <w:noProof/>
        </w:rPr>
      </w:pPr>
      <w:bookmarkStart w:id="115" w:name="_ENREF_34"/>
      <w:r>
        <w:rPr>
          <w:noProof/>
        </w:rPr>
        <w:t xml:space="preserve">Mamadazimov, Abdughani, &amp; Kuvatova, Alla. (2011). </w:t>
      </w:r>
      <w:r w:rsidRPr="006A1532">
        <w:rPr>
          <w:i/>
          <w:noProof/>
        </w:rPr>
        <w:t>Political Party Regulations and Women's Participation in Political Life in Tajikistan</w:t>
      </w:r>
      <w:r>
        <w:rPr>
          <w:noProof/>
        </w:rPr>
        <w:t>. Dushanbe: National Association of Political Scientists of Tajikstan, OSCE/ODIHR.</w:t>
      </w:r>
      <w:bookmarkEnd w:id="115"/>
    </w:p>
    <w:p w14:paraId="18DE0CF9" w14:textId="77777777" w:rsidR="006A1532" w:rsidRDefault="006A1532" w:rsidP="006A1532">
      <w:pPr>
        <w:ind w:left="720" w:hanging="720"/>
        <w:rPr>
          <w:noProof/>
        </w:rPr>
      </w:pPr>
      <w:bookmarkStart w:id="116" w:name="_ENREF_35"/>
      <w:r>
        <w:rPr>
          <w:noProof/>
        </w:rPr>
        <w:t xml:space="preserve">Mezentseva, Elena. (2007). </w:t>
      </w:r>
      <w:r w:rsidRPr="006A1532">
        <w:rPr>
          <w:i/>
          <w:noProof/>
        </w:rPr>
        <w:t>Gender Equality in Education</w:t>
      </w:r>
      <w:r>
        <w:rPr>
          <w:noProof/>
        </w:rPr>
        <w:t>. Dushanbe: United Nations Development Fund for Women.</w:t>
      </w:r>
      <w:bookmarkEnd w:id="116"/>
    </w:p>
    <w:p w14:paraId="5329382D" w14:textId="77777777" w:rsidR="006A1532" w:rsidRDefault="006A1532" w:rsidP="006A1532">
      <w:pPr>
        <w:ind w:left="720" w:hanging="720"/>
        <w:rPr>
          <w:noProof/>
        </w:rPr>
      </w:pPr>
      <w:bookmarkStart w:id="117" w:name="_ENREF_36"/>
      <w:r>
        <w:rPr>
          <w:noProof/>
        </w:rPr>
        <w:t xml:space="preserve">Mirzoeva, Viloyat. (2009). Gender Issues in Land Reform in Tajikistan. </w:t>
      </w:r>
      <w:r w:rsidRPr="006A1532">
        <w:rPr>
          <w:i/>
          <w:noProof/>
        </w:rPr>
        <w:t>Economics and Rural Development, 5</w:t>
      </w:r>
      <w:r>
        <w:rPr>
          <w:noProof/>
        </w:rPr>
        <w:t xml:space="preserve">(2), 23-29. </w:t>
      </w:r>
      <w:bookmarkEnd w:id="117"/>
    </w:p>
    <w:p w14:paraId="3A3670E7" w14:textId="77777777" w:rsidR="006A1532" w:rsidRDefault="006A1532" w:rsidP="006A1532">
      <w:pPr>
        <w:ind w:left="720" w:hanging="720"/>
        <w:rPr>
          <w:noProof/>
        </w:rPr>
      </w:pPr>
      <w:bookmarkStart w:id="118" w:name="_ENREF_37"/>
      <w:r>
        <w:rPr>
          <w:noProof/>
        </w:rPr>
        <w:lastRenderedPageBreak/>
        <w:t xml:space="preserve">MOE. (2005). </w:t>
      </w:r>
      <w:r w:rsidRPr="006A1532">
        <w:rPr>
          <w:i/>
          <w:noProof/>
        </w:rPr>
        <w:t>National Strategy For Education Development of the Republic of Tajikistan (2006-2015)</w:t>
      </w:r>
      <w:r>
        <w:rPr>
          <w:noProof/>
        </w:rPr>
        <w:t>. Dushanbe: Ministry of Education of the Republic of Tajikistan.</w:t>
      </w:r>
      <w:bookmarkEnd w:id="118"/>
    </w:p>
    <w:p w14:paraId="799D5062" w14:textId="77777777" w:rsidR="006A1532" w:rsidRDefault="006A1532" w:rsidP="006A1532">
      <w:pPr>
        <w:ind w:left="720" w:hanging="720"/>
        <w:rPr>
          <w:noProof/>
        </w:rPr>
      </w:pPr>
      <w:bookmarkStart w:id="119" w:name="_ENREF_38"/>
      <w:r>
        <w:rPr>
          <w:noProof/>
        </w:rPr>
        <w:t xml:space="preserve">Ñopo, Hugo, Daza, Nancy, &amp; Ramos, Johanna. (2011). Gender Earnings Gaps in the World. </w:t>
      </w:r>
      <w:r w:rsidRPr="006A1532">
        <w:rPr>
          <w:i/>
          <w:noProof/>
        </w:rPr>
        <w:t>Background Paper prepared for the World Development Report 2012</w:t>
      </w:r>
      <w:r>
        <w:rPr>
          <w:noProof/>
        </w:rPr>
        <w:t xml:space="preserve">. </w:t>
      </w:r>
      <w:bookmarkEnd w:id="119"/>
    </w:p>
    <w:p w14:paraId="4BB19C40" w14:textId="77777777" w:rsidR="006A1532" w:rsidRDefault="006A1532" w:rsidP="006A1532">
      <w:pPr>
        <w:ind w:left="720" w:hanging="720"/>
        <w:rPr>
          <w:noProof/>
        </w:rPr>
      </w:pPr>
      <w:bookmarkStart w:id="120" w:name="_ENREF_39"/>
      <w:r>
        <w:rPr>
          <w:noProof/>
        </w:rPr>
        <w:t xml:space="preserve">Olimov, Jafar. (2007). </w:t>
      </w:r>
      <w:r w:rsidRPr="006A1532">
        <w:rPr>
          <w:i/>
          <w:noProof/>
        </w:rPr>
        <w:t>Informal economy in Tajikistan</w:t>
      </w:r>
      <w:r>
        <w:rPr>
          <w:noProof/>
        </w:rPr>
        <w:t>. Dushanbe: United Nations Development Programme.</w:t>
      </w:r>
      <w:bookmarkEnd w:id="120"/>
    </w:p>
    <w:p w14:paraId="37BFA27F" w14:textId="77777777" w:rsidR="006A1532" w:rsidRDefault="006A1532" w:rsidP="006A1532">
      <w:pPr>
        <w:ind w:left="720" w:hanging="720"/>
        <w:rPr>
          <w:noProof/>
        </w:rPr>
      </w:pPr>
      <w:bookmarkStart w:id="121" w:name="_ENREF_40"/>
      <w:r>
        <w:rPr>
          <w:noProof/>
        </w:rPr>
        <w:t xml:space="preserve">OSCE. (2012). </w:t>
      </w:r>
      <w:r w:rsidRPr="006A1532">
        <w:rPr>
          <w:i/>
          <w:noProof/>
        </w:rPr>
        <w:t>Social and Economic Inclusion of Women From Migrant Households in Tajikistan</w:t>
      </w:r>
      <w:r>
        <w:rPr>
          <w:noProof/>
        </w:rPr>
        <w:t>. Warsaw: Office for Democratic Institutions and Human Rights.</w:t>
      </w:r>
      <w:bookmarkEnd w:id="121"/>
    </w:p>
    <w:p w14:paraId="5938A838" w14:textId="77777777" w:rsidR="006A1532" w:rsidRDefault="006A1532" w:rsidP="006A1532">
      <w:pPr>
        <w:ind w:left="720" w:hanging="720"/>
        <w:rPr>
          <w:noProof/>
        </w:rPr>
      </w:pPr>
      <w:bookmarkStart w:id="122" w:name="_ENREF_41"/>
      <w:r>
        <w:rPr>
          <w:noProof/>
        </w:rPr>
        <w:t xml:space="preserve">Public Organizations of Tajikistan. (2012). </w:t>
      </w:r>
      <w:r w:rsidRPr="006A1532">
        <w:rPr>
          <w:i/>
          <w:noProof/>
        </w:rPr>
        <w:t>The Second Shadow Report on the Realization of the Convention on the Elimination of All Forms of Discrimination against Women</w:t>
      </w:r>
      <w:r>
        <w:rPr>
          <w:noProof/>
        </w:rPr>
        <w:t>. Dushanbe: Public Organizations of Tajikistan.</w:t>
      </w:r>
      <w:bookmarkEnd w:id="122"/>
    </w:p>
    <w:p w14:paraId="40568822" w14:textId="77777777" w:rsidR="006A1532" w:rsidRDefault="006A1532" w:rsidP="006A1532">
      <w:pPr>
        <w:ind w:left="720" w:hanging="720"/>
        <w:rPr>
          <w:noProof/>
        </w:rPr>
      </w:pPr>
      <w:bookmarkStart w:id="123" w:name="_ENREF_42"/>
      <w:r>
        <w:rPr>
          <w:noProof/>
        </w:rPr>
        <w:t xml:space="preserve">Republic of Tajikistan. (2007). </w:t>
      </w:r>
      <w:r w:rsidRPr="006A1532">
        <w:rPr>
          <w:i/>
          <w:noProof/>
        </w:rPr>
        <w:t>National Development Strategy of the Republic of Tajikistan for the Period to 2015</w:t>
      </w:r>
      <w:r>
        <w:rPr>
          <w:noProof/>
        </w:rPr>
        <w:t>. Dushanbe.</w:t>
      </w:r>
      <w:bookmarkEnd w:id="123"/>
    </w:p>
    <w:p w14:paraId="782303E0" w14:textId="77777777" w:rsidR="006A1532" w:rsidRDefault="006A1532" w:rsidP="006A1532">
      <w:pPr>
        <w:ind w:left="720" w:hanging="720"/>
        <w:rPr>
          <w:noProof/>
        </w:rPr>
      </w:pPr>
      <w:bookmarkStart w:id="124" w:name="_ENREF_43"/>
      <w:r>
        <w:rPr>
          <w:noProof/>
        </w:rPr>
        <w:t xml:space="preserve">Republic of Tajikistan. (2010). </w:t>
      </w:r>
      <w:r w:rsidRPr="006A1532">
        <w:rPr>
          <w:i/>
          <w:noProof/>
        </w:rPr>
        <w:t>Poverty Reduction Strategy  of the Republic of Tajikistan for 2010-2012</w:t>
      </w:r>
      <w:r>
        <w:rPr>
          <w:noProof/>
        </w:rPr>
        <w:t>. Dushanbe: Republic of Tajikistan.</w:t>
      </w:r>
      <w:bookmarkEnd w:id="124"/>
    </w:p>
    <w:p w14:paraId="4631F8CB" w14:textId="77777777" w:rsidR="006A1532" w:rsidRDefault="006A1532" w:rsidP="006A1532">
      <w:pPr>
        <w:ind w:left="720" w:hanging="720"/>
        <w:rPr>
          <w:noProof/>
        </w:rPr>
      </w:pPr>
      <w:bookmarkStart w:id="125" w:name="_ENREF_44"/>
      <w:r>
        <w:rPr>
          <w:noProof/>
        </w:rPr>
        <w:t xml:space="preserve">Republic of Tajikistan/United Nations. (2010). </w:t>
      </w:r>
      <w:r w:rsidRPr="006A1532">
        <w:rPr>
          <w:i/>
          <w:noProof/>
        </w:rPr>
        <w:t>Millennium Development Goals Tajikistan Progress Report</w:t>
      </w:r>
      <w:r>
        <w:rPr>
          <w:noProof/>
        </w:rPr>
        <w:t>. Dushanbe: Republic of Tajikistan/United Nations.</w:t>
      </w:r>
      <w:bookmarkEnd w:id="125"/>
    </w:p>
    <w:p w14:paraId="6DE346E1" w14:textId="77777777" w:rsidR="006A1532" w:rsidRDefault="006A1532" w:rsidP="006A1532">
      <w:pPr>
        <w:ind w:left="720" w:hanging="720"/>
        <w:rPr>
          <w:noProof/>
        </w:rPr>
      </w:pPr>
      <w:bookmarkStart w:id="126" w:name="_ENREF_45"/>
      <w:r>
        <w:rPr>
          <w:noProof/>
        </w:rPr>
        <w:t xml:space="preserve">Sattar, Sarosh. (2012). </w:t>
      </w:r>
      <w:r w:rsidRPr="006A1532">
        <w:rPr>
          <w:i/>
          <w:noProof/>
        </w:rPr>
        <w:t>Opportunities for Men and Women: Emerging Europe and Central Asia</w:t>
      </w:r>
      <w:r>
        <w:rPr>
          <w:noProof/>
        </w:rPr>
        <w:t>. Washington, DC: World Bank.</w:t>
      </w:r>
      <w:bookmarkEnd w:id="126"/>
    </w:p>
    <w:p w14:paraId="77B6CE9A" w14:textId="77777777" w:rsidR="006A1532" w:rsidRDefault="006A1532" w:rsidP="006A1532">
      <w:pPr>
        <w:ind w:left="720" w:hanging="720"/>
        <w:rPr>
          <w:noProof/>
        </w:rPr>
      </w:pPr>
      <w:bookmarkStart w:id="127" w:name="_ENREF_46"/>
      <w:r>
        <w:rPr>
          <w:noProof/>
        </w:rPr>
        <w:t xml:space="preserve">Sen, Amartya. (1999). </w:t>
      </w:r>
      <w:r w:rsidRPr="006A1532">
        <w:rPr>
          <w:i/>
          <w:noProof/>
        </w:rPr>
        <w:t>Development as Freedom</w:t>
      </w:r>
      <w:r>
        <w:rPr>
          <w:noProof/>
        </w:rPr>
        <w:t>. New York: Knopf.</w:t>
      </w:r>
      <w:bookmarkEnd w:id="127"/>
    </w:p>
    <w:p w14:paraId="7A0B36CE" w14:textId="77777777" w:rsidR="006A1532" w:rsidRDefault="006A1532" w:rsidP="006A1532">
      <w:pPr>
        <w:ind w:left="720" w:hanging="720"/>
        <w:rPr>
          <w:noProof/>
        </w:rPr>
      </w:pPr>
      <w:bookmarkStart w:id="128" w:name="_ENREF_47"/>
      <w:r>
        <w:rPr>
          <w:noProof/>
        </w:rPr>
        <w:t xml:space="preserve">Shahriari, Helen, Danzer, Alexander M., Giovarelli, Renee, &amp; Undeland, Asyl. (2009). Improving Women's Access to Land and Financial Resources in Tajikistan. </w:t>
      </w:r>
      <w:bookmarkEnd w:id="128"/>
    </w:p>
    <w:p w14:paraId="0314F9FE" w14:textId="77777777" w:rsidR="006A1532" w:rsidRDefault="006A1532" w:rsidP="006A1532">
      <w:pPr>
        <w:ind w:left="720" w:hanging="720"/>
        <w:rPr>
          <w:noProof/>
        </w:rPr>
      </w:pPr>
      <w:bookmarkStart w:id="129" w:name="_ENREF_48"/>
      <w:r>
        <w:rPr>
          <w:noProof/>
        </w:rPr>
        <w:t xml:space="preserve">Skinnider, Marie. (2000). Dispatches from abroad: fighting maternal mortality in a former Soviet republic. </w:t>
      </w:r>
      <w:r w:rsidRPr="006A1532">
        <w:rPr>
          <w:i/>
          <w:noProof/>
        </w:rPr>
        <w:t>Canadian Medical Association Journal, 163</w:t>
      </w:r>
      <w:r>
        <w:rPr>
          <w:noProof/>
        </w:rPr>
        <w:t xml:space="preserve">(12), 1605. </w:t>
      </w:r>
      <w:bookmarkEnd w:id="129"/>
    </w:p>
    <w:p w14:paraId="6CF4F4E9" w14:textId="77777777" w:rsidR="006A1532" w:rsidRDefault="006A1532" w:rsidP="006A1532">
      <w:pPr>
        <w:ind w:left="720" w:hanging="720"/>
        <w:rPr>
          <w:noProof/>
        </w:rPr>
      </w:pPr>
      <w:bookmarkStart w:id="130" w:name="_ENREF_49"/>
      <w:r>
        <w:rPr>
          <w:noProof/>
        </w:rPr>
        <w:t xml:space="preserve">Somach, Susan, &amp; Rubin, Deborah. (2010). </w:t>
      </w:r>
      <w:r w:rsidRPr="006A1532">
        <w:rPr>
          <w:i/>
          <w:noProof/>
        </w:rPr>
        <w:t>Gender Assessment USAID/Central Asian Republic</w:t>
      </w:r>
      <w:r>
        <w:rPr>
          <w:noProof/>
        </w:rPr>
        <w:t>: United States Agency for International Development Mission in the Central Asian Republics.</w:t>
      </w:r>
      <w:bookmarkEnd w:id="130"/>
    </w:p>
    <w:p w14:paraId="090829BD" w14:textId="77777777" w:rsidR="006A1532" w:rsidRDefault="006A1532" w:rsidP="006A1532">
      <w:pPr>
        <w:ind w:left="720" w:hanging="720"/>
        <w:rPr>
          <w:noProof/>
        </w:rPr>
      </w:pPr>
      <w:bookmarkStart w:id="131" w:name="_ENREF_50"/>
      <w:r>
        <w:rPr>
          <w:noProof/>
        </w:rPr>
        <w:t xml:space="preserve">State Committee on Statistics of the Republic of Tajikistan. (2007). </w:t>
      </w:r>
      <w:r w:rsidRPr="006A1532">
        <w:rPr>
          <w:i/>
          <w:noProof/>
        </w:rPr>
        <w:t>Tajikistan Multiple Indicator Cluster Survey 2005, Final Report</w:t>
      </w:r>
      <w:r>
        <w:rPr>
          <w:noProof/>
        </w:rPr>
        <w:t>. Dushanbe: State Committe on Statistics of the Republic of Tajikistan.</w:t>
      </w:r>
      <w:bookmarkEnd w:id="131"/>
    </w:p>
    <w:p w14:paraId="1F442736" w14:textId="77777777" w:rsidR="006A1532" w:rsidRDefault="006A1532" w:rsidP="006A1532">
      <w:pPr>
        <w:ind w:left="720" w:hanging="720"/>
        <w:rPr>
          <w:noProof/>
        </w:rPr>
      </w:pPr>
      <w:bookmarkStart w:id="132" w:name="_ENREF_51"/>
      <w:r>
        <w:rPr>
          <w:noProof/>
        </w:rPr>
        <w:t xml:space="preserve">The Coalition of Public Associations. (2009). </w:t>
      </w:r>
      <w:r w:rsidRPr="006A1532">
        <w:rPr>
          <w:i/>
          <w:noProof/>
        </w:rPr>
        <w:t>The State program "Basic Directions of State Policy to Ensure Equal Rights and Opportunities For Men and Women in The Republic of Tajikistan For 2001-2010": Progress evaluation based on public monitoring results</w:t>
      </w:r>
      <w:r>
        <w:rPr>
          <w:noProof/>
        </w:rPr>
        <w:t>. Dushanbe: The Coalition of Public Associations "From Equality de Jure to Equality de Facto".</w:t>
      </w:r>
      <w:bookmarkEnd w:id="132"/>
    </w:p>
    <w:p w14:paraId="654C1F5F" w14:textId="5B77605E" w:rsidR="006A1532" w:rsidRDefault="006A1532" w:rsidP="006A1532">
      <w:pPr>
        <w:ind w:left="720" w:hanging="720"/>
        <w:rPr>
          <w:noProof/>
        </w:rPr>
      </w:pPr>
      <w:bookmarkStart w:id="133" w:name="_ENREF_52"/>
      <w:r>
        <w:rPr>
          <w:noProof/>
        </w:rPr>
        <w:t xml:space="preserve">The Coalition of Public Associations. (2013). </w:t>
      </w:r>
      <w:r w:rsidRPr="006A1532">
        <w:rPr>
          <w:i/>
          <w:noProof/>
        </w:rPr>
        <w:t>Information to Generate a List of Questions to the Consolidated Fourth and Fifth Periodic Report of Tajikistan on the Progress Made in Implementation of the Convention on the Elimination of All Forms of Discrimination Against Women</w:t>
      </w:r>
      <w:r>
        <w:rPr>
          <w:noProof/>
        </w:rPr>
        <w:t xml:space="preserve">. Available at </w:t>
      </w:r>
      <w:hyperlink r:id="rId57" w:history="1">
        <w:r w:rsidRPr="006A1532">
          <w:rPr>
            <w:rStyle w:val="Hyperlink"/>
            <w:noProof/>
          </w:rPr>
          <w:t>http://www2.ohchr.org/english/bodies/cedaw/docs/ngos/CoalitionOfNGOs_Tajikistan_LOIs_PSWG_CEDAW56.pdf</w:t>
        </w:r>
      </w:hyperlink>
      <w:r>
        <w:rPr>
          <w:noProof/>
        </w:rPr>
        <w:t>.</w:t>
      </w:r>
      <w:bookmarkEnd w:id="133"/>
    </w:p>
    <w:p w14:paraId="664251FF" w14:textId="4952F2E7" w:rsidR="006A1532" w:rsidRDefault="006A1532" w:rsidP="006A1532">
      <w:pPr>
        <w:ind w:left="720" w:hanging="720"/>
        <w:rPr>
          <w:noProof/>
        </w:rPr>
      </w:pPr>
      <w:bookmarkStart w:id="134" w:name="_ENREF_53"/>
      <w:r>
        <w:rPr>
          <w:noProof/>
        </w:rPr>
        <w:t xml:space="preserve">UN Committee on the Elimination of Discrimination Against Women (CEDAW). (2007). </w:t>
      </w:r>
      <w:r w:rsidRPr="006A1532">
        <w:rPr>
          <w:i/>
          <w:noProof/>
        </w:rPr>
        <w:t>UN Committee on the Elimination of Discrimination against Women: Concluding Comments, Tajikistan</w:t>
      </w:r>
      <w:r>
        <w:rPr>
          <w:noProof/>
        </w:rPr>
        <w:t xml:space="preserve">. 2 February 2007, CEDAW/C/TJK/CO/3, available at: </w:t>
      </w:r>
      <w:hyperlink r:id="rId58" w:history="1">
        <w:r w:rsidRPr="006A1532">
          <w:rPr>
            <w:rStyle w:val="Hyperlink"/>
            <w:noProof/>
          </w:rPr>
          <w:t>http://www.unhcr.org/refworld/docid/45f6cd132.html</w:t>
        </w:r>
      </w:hyperlink>
      <w:r>
        <w:rPr>
          <w:noProof/>
        </w:rPr>
        <w:t>.</w:t>
      </w:r>
      <w:bookmarkEnd w:id="134"/>
    </w:p>
    <w:p w14:paraId="3E0B4B33" w14:textId="6A956187" w:rsidR="006A1532" w:rsidRDefault="006A1532" w:rsidP="006A1532">
      <w:pPr>
        <w:ind w:left="720" w:hanging="720"/>
        <w:rPr>
          <w:noProof/>
        </w:rPr>
      </w:pPr>
      <w:bookmarkStart w:id="135" w:name="_ENREF_54"/>
      <w:r>
        <w:rPr>
          <w:noProof/>
        </w:rPr>
        <w:lastRenderedPageBreak/>
        <w:t xml:space="preserve">UN Human Rights Council. (2009). </w:t>
      </w:r>
      <w:r w:rsidRPr="006A1532">
        <w:rPr>
          <w:i/>
          <w:noProof/>
        </w:rPr>
        <w:t>Report of the Special Rapporteur on Violence against women, its Causes and Consequences, Yakin Ertürk: addendum: mission to Tajikistan</w:t>
      </w:r>
      <w:r>
        <w:rPr>
          <w:noProof/>
        </w:rPr>
        <w:t xml:space="preserve">. 29 April 2009, A/HRC/11/6/Add.2, available at: </w:t>
      </w:r>
      <w:hyperlink r:id="rId59" w:history="1">
        <w:r w:rsidRPr="006A1532">
          <w:rPr>
            <w:rStyle w:val="Hyperlink"/>
            <w:noProof/>
          </w:rPr>
          <w:t>http://www.unhcr.org/refworld/docid/4a0bda662.html</w:t>
        </w:r>
      </w:hyperlink>
      <w:r>
        <w:rPr>
          <w:noProof/>
        </w:rPr>
        <w:t>.</w:t>
      </w:r>
      <w:bookmarkEnd w:id="135"/>
    </w:p>
    <w:p w14:paraId="697B8248" w14:textId="77777777" w:rsidR="006A1532" w:rsidRDefault="006A1532" w:rsidP="006A1532">
      <w:pPr>
        <w:ind w:left="720" w:hanging="720"/>
        <w:rPr>
          <w:noProof/>
        </w:rPr>
      </w:pPr>
      <w:bookmarkStart w:id="136" w:name="_ENREF_55"/>
      <w:r>
        <w:rPr>
          <w:noProof/>
        </w:rPr>
        <w:t xml:space="preserve">UN Women. (2012). </w:t>
      </w:r>
      <w:r w:rsidRPr="006A1532">
        <w:rPr>
          <w:i/>
          <w:noProof/>
        </w:rPr>
        <w:t>UN Women in Eastern Europe and Central Asia</w:t>
      </w:r>
      <w:r>
        <w:rPr>
          <w:noProof/>
        </w:rPr>
        <w:t>. Almaty: UN Women Sub-Regional Office for Eastern Europe and Central Asia.</w:t>
      </w:r>
      <w:bookmarkEnd w:id="136"/>
    </w:p>
    <w:p w14:paraId="0250F31B" w14:textId="77777777" w:rsidR="006A1532" w:rsidRDefault="006A1532" w:rsidP="006A1532">
      <w:pPr>
        <w:ind w:left="720" w:hanging="720"/>
        <w:rPr>
          <w:noProof/>
        </w:rPr>
      </w:pPr>
      <w:bookmarkStart w:id="137" w:name="_ENREF_56"/>
      <w:r>
        <w:rPr>
          <w:noProof/>
        </w:rPr>
        <w:t xml:space="preserve">UNDP. (2010). </w:t>
      </w:r>
      <w:r w:rsidRPr="006A1532">
        <w:rPr>
          <w:i/>
          <w:noProof/>
        </w:rPr>
        <w:t>National Human Development Report 2008-2009: Employment in the context of human development</w:t>
      </w:r>
      <w:r>
        <w:rPr>
          <w:noProof/>
        </w:rPr>
        <w:t>. Dushanbe: United Nations Development Programme Tajikistan.</w:t>
      </w:r>
      <w:bookmarkEnd w:id="137"/>
    </w:p>
    <w:p w14:paraId="51121273" w14:textId="77777777" w:rsidR="006A1532" w:rsidRDefault="006A1532" w:rsidP="006A1532">
      <w:pPr>
        <w:ind w:left="720" w:hanging="720"/>
        <w:rPr>
          <w:noProof/>
        </w:rPr>
      </w:pPr>
      <w:bookmarkStart w:id="138" w:name="_ENREF_57"/>
      <w:r>
        <w:rPr>
          <w:noProof/>
        </w:rPr>
        <w:t xml:space="preserve">UNDP. (2011). </w:t>
      </w:r>
      <w:r w:rsidRPr="006A1532">
        <w:rPr>
          <w:i/>
          <w:noProof/>
        </w:rPr>
        <w:t>Regional Human Development Report: Beyond Transition: Towards Inclusive Societies</w:t>
      </w:r>
      <w:r>
        <w:rPr>
          <w:noProof/>
        </w:rPr>
        <w:t>. Bratislava: United Nations Development Programme, Regional Bureau for Europe and CIS.</w:t>
      </w:r>
      <w:bookmarkEnd w:id="138"/>
    </w:p>
    <w:p w14:paraId="3E34B47D" w14:textId="77777777" w:rsidR="006A1532" w:rsidRDefault="006A1532" w:rsidP="006A1532">
      <w:pPr>
        <w:ind w:left="720" w:hanging="720"/>
        <w:rPr>
          <w:noProof/>
        </w:rPr>
      </w:pPr>
      <w:bookmarkStart w:id="139" w:name="_ENREF_58"/>
      <w:r>
        <w:rPr>
          <w:noProof/>
        </w:rPr>
        <w:t xml:space="preserve">UNECE. (2012). </w:t>
      </w:r>
      <w:r w:rsidRPr="006A1532">
        <w:rPr>
          <w:i/>
          <w:noProof/>
        </w:rPr>
        <w:t>Statistical Database</w:t>
      </w:r>
      <w:r>
        <w:rPr>
          <w:noProof/>
        </w:rPr>
        <w:t>. Geneva: United Nations Economic Commission for Europe.</w:t>
      </w:r>
      <w:bookmarkEnd w:id="139"/>
    </w:p>
    <w:p w14:paraId="3296B68D" w14:textId="77777777" w:rsidR="006A1532" w:rsidRDefault="006A1532" w:rsidP="006A1532">
      <w:pPr>
        <w:ind w:left="720" w:hanging="720"/>
        <w:rPr>
          <w:noProof/>
        </w:rPr>
      </w:pPr>
      <w:bookmarkStart w:id="140" w:name="_ENREF_59"/>
      <w:r>
        <w:rPr>
          <w:noProof/>
        </w:rPr>
        <w:t xml:space="preserve">UNESCO Institute for Statistics. (2012). </w:t>
      </w:r>
      <w:r w:rsidRPr="006A1532">
        <w:rPr>
          <w:i/>
          <w:noProof/>
        </w:rPr>
        <w:t>Data Centre</w:t>
      </w:r>
      <w:r>
        <w:rPr>
          <w:noProof/>
        </w:rPr>
        <w:t>. Montreal: UNESCO Institute for Statistics.</w:t>
      </w:r>
      <w:bookmarkEnd w:id="140"/>
    </w:p>
    <w:p w14:paraId="5EF47FFB" w14:textId="77777777" w:rsidR="006A1532" w:rsidRDefault="006A1532" w:rsidP="006A1532">
      <w:pPr>
        <w:ind w:left="720" w:hanging="720"/>
        <w:rPr>
          <w:noProof/>
        </w:rPr>
      </w:pPr>
      <w:bookmarkStart w:id="141" w:name="_ENREF_60"/>
      <w:r>
        <w:rPr>
          <w:noProof/>
        </w:rPr>
        <w:t xml:space="preserve">UNICEF. (2004). </w:t>
      </w:r>
      <w:r w:rsidRPr="006A1532">
        <w:rPr>
          <w:i/>
          <w:noProof/>
        </w:rPr>
        <w:t>Infant Mortality in Tajikistan. Two studies look at risk factors</w:t>
      </w:r>
      <w:r>
        <w:rPr>
          <w:noProof/>
        </w:rPr>
        <w:t>: United Nations Children's Fund Tajikistan.</w:t>
      </w:r>
      <w:bookmarkEnd w:id="141"/>
    </w:p>
    <w:p w14:paraId="4AEA284D" w14:textId="77777777" w:rsidR="006A1532" w:rsidRDefault="006A1532" w:rsidP="006A1532">
      <w:pPr>
        <w:ind w:left="720" w:hanging="720"/>
        <w:rPr>
          <w:noProof/>
        </w:rPr>
      </w:pPr>
      <w:bookmarkStart w:id="142" w:name="_ENREF_61"/>
      <w:r>
        <w:rPr>
          <w:noProof/>
        </w:rPr>
        <w:t xml:space="preserve">UNICEF. (2012a). </w:t>
      </w:r>
      <w:r w:rsidRPr="006A1532">
        <w:rPr>
          <w:i/>
          <w:noProof/>
        </w:rPr>
        <w:t>TransMonEE database</w:t>
      </w:r>
      <w:r>
        <w:rPr>
          <w:noProof/>
        </w:rPr>
        <w:t>: United Nations Children's Fund.</w:t>
      </w:r>
      <w:bookmarkEnd w:id="142"/>
    </w:p>
    <w:p w14:paraId="2D529007" w14:textId="77777777" w:rsidR="006A1532" w:rsidRDefault="006A1532" w:rsidP="006A1532">
      <w:pPr>
        <w:ind w:left="720" w:hanging="720"/>
        <w:rPr>
          <w:noProof/>
        </w:rPr>
      </w:pPr>
      <w:bookmarkStart w:id="143" w:name="_ENREF_62"/>
      <w:r>
        <w:rPr>
          <w:noProof/>
        </w:rPr>
        <w:t xml:space="preserve">UNICEF. (2012b). </w:t>
      </w:r>
      <w:r w:rsidRPr="006A1532">
        <w:rPr>
          <w:i/>
          <w:noProof/>
        </w:rPr>
        <w:t>Youth Perspectives of Education Quality in Tajikistan: A case study of education quality for youth in the CEECIS region</w:t>
      </w:r>
      <w:r>
        <w:rPr>
          <w:noProof/>
        </w:rPr>
        <w:t>. Dushanbe: United Nations Childrens' Fund.</w:t>
      </w:r>
      <w:bookmarkEnd w:id="143"/>
    </w:p>
    <w:p w14:paraId="4F76C4FA" w14:textId="77777777" w:rsidR="006A1532" w:rsidRDefault="006A1532" w:rsidP="006A1532">
      <w:pPr>
        <w:ind w:left="720" w:hanging="720"/>
        <w:rPr>
          <w:noProof/>
        </w:rPr>
      </w:pPr>
      <w:bookmarkStart w:id="144" w:name="_ENREF_63"/>
      <w:r>
        <w:rPr>
          <w:noProof/>
        </w:rPr>
        <w:t xml:space="preserve">United Nations. (2009). Promotion and Protection of All Human Rights, Civil, Political, Economic, Social and Cultural Rights, Including the Right to Development. Report of the Speical Rapporteur on violence against women, its causes and consequences. </w:t>
      </w:r>
      <w:r w:rsidRPr="006A1532">
        <w:rPr>
          <w:i/>
          <w:noProof/>
        </w:rPr>
        <w:t>A/HRC/11/6/Add. 2, 29 April 2009</w:t>
      </w:r>
      <w:r>
        <w:rPr>
          <w:noProof/>
        </w:rPr>
        <w:t xml:space="preserve">. </w:t>
      </w:r>
      <w:bookmarkEnd w:id="144"/>
    </w:p>
    <w:p w14:paraId="4152AF50" w14:textId="77777777" w:rsidR="006A1532" w:rsidRDefault="006A1532" w:rsidP="006A1532">
      <w:pPr>
        <w:ind w:left="720" w:hanging="720"/>
        <w:rPr>
          <w:noProof/>
        </w:rPr>
      </w:pPr>
      <w:bookmarkStart w:id="145" w:name="_ENREF_64"/>
      <w:r>
        <w:rPr>
          <w:noProof/>
        </w:rPr>
        <w:t xml:space="preserve">United Nations. (2011a). Resolution adopted by the General Assembly: Political Declaration on HIV and AIDS: Intensifying Our Efforts to Eliminate HIV and AIDS. </w:t>
      </w:r>
      <w:r w:rsidRPr="006A1532">
        <w:rPr>
          <w:i/>
          <w:noProof/>
        </w:rPr>
        <w:t>A/RES/65/277, 95th plenary session, 10 June 2011</w:t>
      </w:r>
      <w:r>
        <w:rPr>
          <w:noProof/>
        </w:rPr>
        <w:t xml:space="preserve">. </w:t>
      </w:r>
      <w:bookmarkEnd w:id="145"/>
    </w:p>
    <w:p w14:paraId="614EE834" w14:textId="77777777" w:rsidR="006A1532" w:rsidRDefault="006A1532" w:rsidP="006A1532">
      <w:pPr>
        <w:ind w:left="720" w:hanging="720"/>
        <w:rPr>
          <w:noProof/>
        </w:rPr>
      </w:pPr>
      <w:bookmarkStart w:id="146" w:name="_ENREF_65"/>
      <w:r>
        <w:rPr>
          <w:noProof/>
        </w:rPr>
        <w:t xml:space="preserve">United Nations. (2011b). </w:t>
      </w:r>
      <w:r w:rsidRPr="006A1532">
        <w:rPr>
          <w:i/>
          <w:noProof/>
        </w:rPr>
        <w:t>World Population Prospects: The 2010 Revision</w:t>
      </w:r>
      <w:r>
        <w:rPr>
          <w:noProof/>
        </w:rPr>
        <w:t xml:space="preserve"> (Vol. II: Demographic Profiles). New York: United Nations.</w:t>
      </w:r>
      <w:bookmarkEnd w:id="146"/>
    </w:p>
    <w:p w14:paraId="425C322F" w14:textId="77777777" w:rsidR="006A1532" w:rsidRDefault="006A1532" w:rsidP="006A1532">
      <w:pPr>
        <w:ind w:left="720" w:hanging="720"/>
        <w:rPr>
          <w:noProof/>
        </w:rPr>
      </w:pPr>
      <w:bookmarkStart w:id="147" w:name="_ENREF_66"/>
      <w:r>
        <w:rPr>
          <w:noProof/>
        </w:rPr>
        <w:t xml:space="preserve">United Nations. (2012). </w:t>
      </w:r>
      <w:r w:rsidRPr="006A1532">
        <w:rPr>
          <w:i/>
          <w:noProof/>
        </w:rPr>
        <w:t>World Population Prospects: the 2010 Revision, Online database</w:t>
      </w:r>
      <w:r>
        <w:rPr>
          <w:noProof/>
        </w:rPr>
        <w:t>. New York: United Nations.</w:t>
      </w:r>
      <w:bookmarkEnd w:id="147"/>
    </w:p>
    <w:p w14:paraId="08AC116E" w14:textId="4E4EF1EA" w:rsidR="006A1532" w:rsidRDefault="006A1532" w:rsidP="006A1532">
      <w:pPr>
        <w:ind w:left="720" w:hanging="720"/>
        <w:rPr>
          <w:noProof/>
        </w:rPr>
      </w:pPr>
      <w:bookmarkStart w:id="148" w:name="_ENREF_67"/>
      <w:r>
        <w:rPr>
          <w:noProof/>
        </w:rPr>
        <w:t xml:space="preserve">WHO. (2011). Country profile Tajikistan - Risk factor alcohol.   Retrieved 08/01/2013, from </w:t>
      </w:r>
      <w:bookmarkEnd w:id="148"/>
      <w:r>
        <w:rPr>
          <w:noProof/>
        </w:rPr>
        <w:fldChar w:fldCharType="begin"/>
      </w:r>
      <w:r>
        <w:rPr>
          <w:noProof/>
        </w:rPr>
        <w:instrText xml:space="preserve"> HYPERLINK "http://www.who.int/countries/tjk/en/" </w:instrText>
      </w:r>
      <w:r>
        <w:rPr>
          <w:noProof/>
        </w:rPr>
        <w:fldChar w:fldCharType="separate"/>
      </w:r>
      <w:r w:rsidRPr="006A1532">
        <w:rPr>
          <w:rStyle w:val="Hyperlink"/>
          <w:noProof/>
        </w:rPr>
        <w:t>http://www.who.int/countries/tjk/en/</w:t>
      </w:r>
      <w:r>
        <w:rPr>
          <w:noProof/>
        </w:rPr>
        <w:fldChar w:fldCharType="end"/>
      </w:r>
    </w:p>
    <w:p w14:paraId="4ECB5835" w14:textId="77777777" w:rsidR="006A1532" w:rsidRDefault="006A1532" w:rsidP="006A1532">
      <w:pPr>
        <w:ind w:left="720" w:hanging="720"/>
        <w:rPr>
          <w:noProof/>
        </w:rPr>
      </w:pPr>
      <w:bookmarkStart w:id="149" w:name="_ENREF_68"/>
      <w:r>
        <w:rPr>
          <w:noProof/>
        </w:rPr>
        <w:t xml:space="preserve">WHO. (2012a). </w:t>
      </w:r>
      <w:r w:rsidRPr="006A1532">
        <w:rPr>
          <w:i/>
          <w:noProof/>
        </w:rPr>
        <w:t>European health for all database (HFA-DB)</w:t>
      </w:r>
      <w:r>
        <w:rPr>
          <w:noProof/>
        </w:rPr>
        <w:t>. Geneva: World Health Organization Regional Office for Europe.</w:t>
      </w:r>
      <w:bookmarkEnd w:id="149"/>
    </w:p>
    <w:p w14:paraId="0651BD38" w14:textId="77777777" w:rsidR="006A1532" w:rsidRDefault="006A1532" w:rsidP="006A1532">
      <w:pPr>
        <w:ind w:left="720" w:hanging="720"/>
        <w:rPr>
          <w:noProof/>
        </w:rPr>
      </w:pPr>
      <w:bookmarkStart w:id="150" w:name="_ENREF_69"/>
      <w:r>
        <w:rPr>
          <w:noProof/>
        </w:rPr>
        <w:t xml:space="preserve">WHO. (2012b). </w:t>
      </w:r>
      <w:r w:rsidRPr="006A1532">
        <w:rPr>
          <w:i/>
          <w:noProof/>
        </w:rPr>
        <w:t>Global Health Observatory Data Repository</w:t>
      </w:r>
      <w:r>
        <w:rPr>
          <w:noProof/>
        </w:rPr>
        <w:t>. Geneva: World Health Organization.</w:t>
      </w:r>
      <w:bookmarkEnd w:id="150"/>
    </w:p>
    <w:p w14:paraId="639479DE" w14:textId="77777777" w:rsidR="006A1532" w:rsidRDefault="006A1532" w:rsidP="006A1532">
      <w:pPr>
        <w:ind w:left="720" w:hanging="720"/>
        <w:rPr>
          <w:noProof/>
        </w:rPr>
      </w:pPr>
      <w:bookmarkStart w:id="151" w:name="_ENREF_70"/>
      <w:r>
        <w:rPr>
          <w:noProof/>
        </w:rPr>
        <w:t xml:space="preserve">WHO/UNDP. (2009). </w:t>
      </w:r>
      <w:r w:rsidRPr="006A1532">
        <w:rPr>
          <w:i/>
          <w:noProof/>
        </w:rPr>
        <w:t>Review of Tuberculosis Control in the Republic of Tajikistan</w:t>
      </w:r>
      <w:r>
        <w:rPr>
          <w:noProof/>
        </w:rPr>
        <w:t>. Copenhagen: World Health Organization Regional Office for Europe/United Nations Development Programme.</w:t>
      </w:r>
      <w:bookmarkEnd w:id="151"/>
    </w:p>
    <w:p w14:paraId="7392BDC1" w14:textId="77777777" w:rsidR="006A1532" w:rsidRDefault="006A1532" w:rsidP="006A1532">
      <w:pPr>
        <w:ind w:left="720" w:hanging="720"/>
        <w:rPr>
          <w:noProof/>
        </w:rPr>
      </w:pPr>
      <w:bookmarkStart w:id="152" w:name="_ENREF_71"/>
      <w:r>
        <w:rPr>
          <w:noProof/>
        </w:rPr>
        <w:t xml:space="preserve">WHO/UNICEF. (2009). </w:t>
      </w:r>
      <w:r w:rsidRPr="006A1532">
        <w:rPr>
          <w:i/>
          <w:noProof/>
        </w:rPr>
        <w:t>Survey report to identify barriers impeding the implementation of the strategy on integrated management of childhood illness in the Republic of Tajikistan</w:t>
      </w:r>
      <w:r>
        <w:rPr>
          <w:noProof/>
        </w:rPr>
        <w:t>. Copenhagen: WHO Regional Office for Europe.</w:t>
      </w:r>
      <w:bookmarkEnd w:id="152"/>
    </w:p>
    <w:p w14:paraId="355F96F6" w14:textId="77777777" w:rsidR="006A1532" w:rsidRDefault="006A1532" w:rsidP="006A1532">
      <w:pPr>
        <w:ind w:left="720" w:hanging="720"/>
        <w:rPr>
          <w:noProof/>
        </w:rPr>
      </w:pPr>
      <w:bookmarkStart w:id="153" w:name="_ENREF_72"/>
      <w:r>
        <w:rPr>
          <w:noProof/>
        </w:rPr>
        <w:lastRenderedPageBreak/>
        <w:t xml:space="preserve">World Bank. (2002). </w:t>
      </w:r>
      <w:r w:rsidRPr="006A1532">
        <w:rPr>
          <w:i/>
          <w:noProof/>
        </w:rPr>
        <w:t>Transition: The First Ten Years: Analysis and Lessons for Eastern Europe and the Former Soviet Union</w:t>
      </w:r>
      <w:r>
        <w:rPr>
          <w:noProof/>
        </w:rPr>
        <w:t>. Washington, DC: World Bank.</w:t>
      </w:r>
      <w:bookmarkEnd w:id="153"/>
    </w:p>
    <w:p w14:paraId="41B43CF1" w14:textId="77777777" w:rsidR="006A1532" w:rsidRDefault="006A1532" w:rsidP="006A1532">
      <w:pPr>
        <w:ind w:left="720" w:hanging="720"/>
        <w:rPr>
          <w:noProof/>
        </w:rPr>
      </w:pPr>
      <w:bookmarkStart w:id="154" w:name="_ENREF_73"/>
      <w:r>
        <w:rPr>
          <w:noProof/>
        </w:rPr>
        <w:t xml:space="preserve">World Bank. (2005). </w:t>
      </w:r>
      <w:r w:rsidRPr="006A1532">
        <w:rPr>
          <w:i/>
          <w:noProof/>
        </w:rPr>
        <w:t>Republic of Tajikistan: Health Sector Note</w:t>
      </w:r>
      <w:r>
        <w:rPr>
          <w:noProof/>
        </w:rPr>
        <w:t>. Washington, DC: World Bank.</w:t>
      </w:r>
      <w:bookmarkEnd w:id="154"/>
    </w:p>
    <w:p w14:paraId="43547FE5" w14:textId="77777777" w:rsidR="006A1532" w:rsidRDefault="006A1532" w:rsidP="006A1532">
      <w:pPr>
        <w:ind w:left="720" w:hanging="720"/>
        <w:rPr>
          <w:noProof/>
        </w:rPr>
      </w:pPr>
      <w:bookmarkStart w:id="155" w:name="_ENREF_74"/>
      <w:r>
        <w:rPr>
          <w:noProof/>
        </w:rPr>
        <w:t xml:space="preserve">World Bank. (2008). </w:t>
      </w:r>
      <w:r w:rsidRPr="006A1532">
        <w:rPr>
          <w:i/>
          <w:noProof/>
        </w:rPr>
        <w:t>Enterprise Surveys</w:t>
      </w:r>
      <w:r>
        <w:rPr>
          <w:noProof/>
        </w:rPr>
        <w:t>. Washington, DC: World Bank.</w:t>
      </w:r>
      <w:bookmarkEnd w:id="155"/>
    </w:p>
    <w:p w14:paraId="7993D2C2" w14:textId="77777777" w:rsidR="006A1532" w:rsidRDefault="006A1532" w:rsidP="006A1532">
      <w:pPr>
        <w:ind w:left="720" w:hanging="720"/>
        <w:rPr>
          <w:noProof/>
        </w:rPr>
      </w:pPr>
      <w:bookmarkStart w:id="156" w:name="_ENREF_75"/>
      <w:r>
        <w:rPr>
          <w:noProof/>
        </w:rPr>
        <w:t xml:space="preserve">World Bank. (2009a). </w:t>
      </w:r>
      <w:r w:rsidRPr="006A1532">
        <w:rPr>
          <w:i/>
          <w:noProof/>
        </w:rPr>
        <w:t>Agricultural Activities, Water, and Gender in Tajikistan's Rural Sector: A Social Assessment of Konibodom, Bobojon Ghafurov, and Yovon</w:t>
      </w:r>
      <w:r>
        <w:rPr>
          <w:noProof/>
        </w:rPr>
        <w:t>. Washington, DC: World Bank.</w:t>
      </w:r>
      <w:bookmarkEnd w:id="156"/>
    </w:p>
    <w:p w14:paraId="4E2CA8F8" w14:textId="77777777" w:rsidR="006A1532" w:rsidRDefault="006A1532" w:rsidP="006A1532">
      <w:pPr>
        <w:ind w:left="720" w:hanging="720"/>
        <w:rPr>
          <w:noProof/>
        </w:rPr>
      </w:pPr>
      <w:bookmarkStart w:id="157" w:name="_ENREF_76"/>
      <w:r>
        <w:rPr>
          <w:noProof/>
        </w:rPr>
        <w:t xml:space="preserve">World Bank. (2009b). </w:t>
      </w:r>
      <w:r w:rsidRPr="006A1532">
        <w:rPr>
          <w:i/>
          <w:noProof/>
        </w:rPr>
        <w:t>Project Appraisal Document on a Proposed Grant in the Amount of US$3.5 Million to the Republic of Tajikistan for the Fast Track Initiative Catalytic Fund Project</w:t>
      </w:r>
      <w:r>
        <w:rPr>
          <w:noProof/>
        </w:rPr>
        <w:t>. Washington, DC: World Bank.</w:t>
      </w:r>
      <w:bookmarkEnd w:id="157"/>
    </w:p>
    <w:p w14:paraId="4EBD3DF6" w14:textId="77777777" w:rsidR="006A1532" w:rsidRDefault="006A1532" w:rsidP="006A1532">
      <w:pPr>
        <w:ind w:left="720" w:hanging="720"/>
        <w:rPr>
          <w:noProof/>
        </w:rPr>
      </w:pPr>
      <w:bookmarkStart w:id="158" w:name="_ENREF_77"/>
      <w:r>
        <w:rPr>
          <w:noProof/>
        </w:rPr>
        <w:t>World Bank. (2009c). Social Safety Net in the Kyrgyz Republic. Capitalizing on Achievements and Addressing New Challenges. Washington, DC: World Bank.</w:t>
      </w:r>
      <w:bookmarkEnd w:id="158"/>
    </w:p>
    <w:p w14:paraId="691D00BA" w14:textId="77777777" w:rsidR="006A1532" w:rsidRDefault="006A1532" w:rsidP="006A1532">
      <w:pPr>
        <w:ind w:left="720" w:hanging="720"/>
        <w:rPr>
          <w:noProof/>
        </w:rPr>
      </w:pPr>
      <w:bookmarkStart w:id="159" w:name="_ENREF_78"/>
      <w:r>
        <w:rPr>
          <w:noProof/>
        </w:rPr>
        <w:t xml:space="preserve">World Bank. (2011a). </w:t>
      </w:r>
      <w:r w:rsidRPr="006A1532">
        <w:rPr>
          <w:i/>
          <w:noProof/>
        </w:rPr>
        <w:t>Getting to Equal. Promoting Gender Equality through Human Development</w:t>
      </w:r>
      <w:r>
        <w:rPr>
          <w:noProof/>
        </w:rPr>
        <w:t>. Washington, DC: World Bank.</w:t>
      </w:r>
      <w:bookmarkEnd w:id="159"/>
    </w:p>
    <w:p w14:paraId="126CFA3E" w14:textId="77777777" w:rsidR="006A1532" w:rsidRDefault="006A1532" w:rsidP="006A1532">
      <w:pPr>
        <w:ind w:left="720" w:hanging="720"/>
        <w:rPr>
          <w:noProof/>
        </w:rPr>
      </w:pPr>
      <w:bookmarkStart w:id="160" w:name="_ENREF_79"/>
      <w:r>
        <w:rPr>
          <w:noProof/>
        </w:rPr>
        <w:t xml:space="preserve">World Bank. (2011b). </w:t>
      </w:r>
      <w:r w:rsidRPr="006A1532">
        <w:rPr>
          <w:i/>
          <w:noProof/>
        </w:rPr>
        <w:t>Quality of Child Health Services in Tajikistan</w:t>
      </w:r>
      <w:r>
        <w:rPr>
          <w:noProof/>
        </w:rPr>
        <w:t>. Washington, DC: World Bank.</w:t>
      </w:r>
      <w:bookmarkEnd w:id="160"/>
    </w:p>
    <w:p w14:paraId="2ACBC00C" w14:textId="77777777" w:rsidR="006A1532" w:rsidRDefault="006A1532" w:rsidP="006A1532">
      <w:pPr>
        <w:ind w:left="720" w:hanging="720"/>
        <w:rPr>
          <w:noProof/>
        </w:rPr>
      </w:pPr>
      <w:bookmarkStart w:id="161" w:name="_ENREF_80"/>
      <w:r>
        <w:rPr>
          <w:noProof/>
        </w:rPr>
        <w:t xml:space="preserve">World Bank. (2011c). </w:t>
      </w:r>
      <w:r w:rsidRPr="006A1532">
        <w:rPr>
          <w:i/>
          <w:noProof/>
        </w:rPr>
        <w:t>Republic of Tajikistan: Improving Statistics for Children's Births and Deaths</w:t>
      </w:r>
      <w:r>
        <w:rPr>
          <w:noProof/>
        </w:rPr>
        <w:t>. Washington, DC: World Bank.</w:t>
      </w:r>
      <w:bookmarkEnd w:id="161"/>
    </w:p>
    <w:p w14:paraId="70DDAE6A" w14:textId="77777777" w:rsidR="006A1532" w:rsidRDefault="006A1532" w:rsidP="006A1532">
      <w:pPr>
        <w:ind w:left="720" w:hanging="720"/>
        <w:rPr>
          <w:noProof/>
        </w:rPr>
      </w:pPr>
      <w:bookmarkStart w:id="162" w:name="_ENREF_81"/>
      <w:r>
        <w:rPr>
          <w:noProof/>
        </w:rPr>
        <w:t xml:space="preserve">World Bank. (2011d). </w:t>
      </w:r>
      <w:r w:rsidRPr="006A1532">
        <w:rPr>
          <w:i/>
          <w:noProof/>
        </w:rPr>
        <w:t>World Development Report 2012. Gender Equality and Development</w:t>
      </w:r>
      <w:r>
        <w:rPr>
          <w:noProof/>
        </w:rPr>
        <w:t>. Washington, DC: World Bank.</w:t>
      </w:r>
      <w:bookmarkEnd w:id="162"/>
    </w:p>
    <w:p w14:paraId="57C42F24" w14:textId="6DD33F33" w:rsidR="006A1532" w:rsidRDefault="006A1532" w:rsidP="006A1532">
      <w:pPr>
        <w:ind w:left="720" w:hanging="720"/>
        <w:rPr>
          <w:noProof/>
        </w:rPr>
      </w:pPr>
      <w:bookmarkStart w:id="163" w:name="_ENREF_82"/>
      <w:r>
        <w:rPr>
          <w:noProof/>
        </w:rPr>
        <w:t xml:space="preserve">World Bank. (2012a). Adolescent Girls Initiative: How to Make Youth Employment Programs "Girl-Friendly". </w:t>
      </w:r>
      <w:r w:rsidRPr="006A1532">
        <w:rPr>
          <w:i/>
          <w:noProof/>
        </w:rPr>
        <w:t>Learning from Practice Series</w:t>
      </w:r>
      <w:r>
        <w:rPr>
          <w:noProof/>
        </w:rPr>
        <w:t xml:space="preserve">, available at </w:t>
      </w:r>
      <w:hyperlink r:id="rId60" w:history="1">
        <w:r w:rsidRPr="006A1532">
          <w:rPr>
            <w:rStyle w:val="Hyperlink"/>
            <w:noProof/>
          </w:rPr>
          <w:t>http://siteresources.worldbank.org/EXTGENDER/Resources/1317219_AGI_LearningFromPracticeSeries.pdf</w:t>
        </w:r>
      </w:hyperlink>
      <w:r>
        <w:rPr>
          <w:noProof/>
        </w:rPr>
        <w:t xml:space="preserve">. </w:t>
      </w:r>
      <w:bookmarkEnd w:id="163"/>
    </w:p>
    <w:p w14:paraId="5206EA21" w14:textId="77777777" w:rsidR="006A1532" w:rsidRDefault="006A1532" w:rsidP="006A1532">
      <w:pPr>
        <w:ind w:left="720" w:hanging="720"/>
        <w:rPr>
          <w:noProof/>
        </w:rPr>
      </w:pPr>
      <w:bookmarkStart w:id="164" w:name="_ENREF_83"/>
      <w:r>
        <w:rPr>
          <w:noProof/>
        </w:rPr>
        <w:t xml:space="preserve">World Bank. (2012b). Tajikistan: Sustaining Post-Crisis Recovery, Investment, and Growth. </w:t>
      </w:r>
      <w:r w:rsidRPr="006A1532">
        <w:rPr>
          <w:i/>
          <w:noProof/>
        </w:rPr>
        <w:t>Tajikistan Economic Report, Number 1</w:t>
      </w:r>
      <w:r>
        <w:rPr>
          <w:noProof/>
        </w:rPr>
        <w:t xml:space="preserve">. </w:t>
      </w:r>
      <w:bookmarkEnd w:id="164"/>
    </w:p>
    <w:p w14:paraId="2CB012CB" w14:textId="77777777" w:rsidR="006A1532" w:rsidRDefault="006A1532" w:rsidP="006A1532">
      <w:pPr>
        <w:ind w:left="720" w:hanging="720"/>
        <w:rPr>
          <w:noProof/>
        </w:rPr>
      </w:pPr>
      <w:bookmarkStart w:id="165" w:name="_ENREF_84"/>
      <w:r>
        <w:rPr>
          <w:noProof/>
        </w:rPr>
        <w:t xml:space="preserve">World Bank. (2012c). </w:t>
      </w:r>
      <w:r w:rsidRPr="006A1532">
        <w:rPr>
          <w:i/>
          <w:noProof/>
        </w:rPr>
        <w:t>World Development Indicators Database</w:t>
      </w:r>
      <w:r>
        <w:rPr>
          <w:noProof/>
        </w:rPr>
        <w:t>. Washington, DC: World Bank.</w:t>
      </w:r>
      <w:bookmarkEnd w:id="165"/>
    </w:p>
    <w:p w14:paraId="751547D9" w14:textId="77777777" w:rsidR="006A1532" w:rsidRDefault="006A1532" w:rsidP="006A1532">
      <w:pPr>
        <w:ind w:left="720" w:hanging="720"/>
        <w:rPr>
          <w:noProof/>
        </w:rPr>
      </w:pPr>
      <w:bookmarkStart w:id="166" w:name="_ENREF_85"/>
      <w:r>
        <w:rPr>
          <w:noProof/>
        </w:rPr>
        <w:t xml:space="preserve">Yuldasheva, Lola. (2011). </w:t>
      </w:r>
      <w:r w:rsidRPr="006A1532">
        <w:rPr>
          <w:i/>
          <w:noProof/>
        </w:rPr>
        <w:t>Gender Assessment of HIV Programming in Tajikistan</w:t>
      </w:r>
      <w:r>
        <w:rPr>
          <w:noProof/>
        </w:rPr>
        <w:t>. Dushanbe: UN Women.</w:t>
      </w:r>
      <w:bookmarkEnd w:id="166"/>
    </w:p>
    <w:p w14:paraId="7856FBEF" w14:textId="65291B9D" w:rsidR="006A1532" w:rsidRDefault="006A1532" w:rsidP="006A1532">
      <w:pPr>
        <w:rPr>
          <w:noProof/>
        </w:rPr>
      </w:pPr>
    </w:p>
    <w:p w14:paraId="2C54F14A" w14:textId="063347D2" w:rsidR="00BB433A" w:rsidRPr="00BB433A" w:rsidRDefault="00E12159" w:rsidP="00BB433A">
      <w:pPr>
        <w:ind w:left="720" w:hanging="720"/>
      </w:pPr>
      <w:r w:rsidRPr="00BB433A">
        <w:fldChar w:fldCharType="end"/>
      </w:r>
    </w:p>
    <w:p w14:paraId="51B96FC9" w14:textId="77777777" w:rsidR="00BB433A" w:rsidRDefault="00BB433A" w:rsidP="00113271">
      <w:pPr>
        <w:ind w:left="720" w:hanging="720"/>
      </w:pPr>
    </w:p>
    <w:p w14:paraId="52024BEF" w14:textId="703BCF11" w:rsidR="00AB3418" w:rsidRPr="00113271" w:rsidRDefault="00AB3418" w:rsidP="00592316">
      <w:pPr>
        <w:ind w:left="720" w:hanging="720"/>
        <w:jc w:val="center"/>
      </w:pPr>
    </w:p>
    <w:sectPr w:rsidR="00AB3418" w:rsidRPr="00113271" w:rsidSect="003356B8">
      <w:type w:val="oddPage"/>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86A61" w14:textId="77777777" w:rsidR="00E44497" w:rsidRDefault="00E44497">
      <w:r>
        <w:separator/>
      </w:r>
    </w:p>
  </w:endnote>
  <w:endnote w:type="continuationSeparator" w:id="0">
    <w:p w14:paraId="07DDE2D9" w14:textId="77777777" w:rsidR="00E44497" w:rsidRDefault="00E44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46A1D" w14:textId="77777777" w:rsidR="00E44497" w:rsidRDefault="00E44497" w:rsidP="004F08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0080">
      <w:rPr>
        <w:rStyle w:val="PageNumber"/>
        <w:noProof/>
      </w:rPr>
      <w:t>iv</w:t>
    </w:r>
    <w:r>
      <w:rPr>
        <w:rStyle w:val="PageNumber"/>
      </w:rPr>
      <w:fldChar w:fldCharType="end"/>
    </w:r>
  </w:p>
  <w:p w14:paraId="6357C8D4" w14:textId="77777777" w:rsidR="00E44497" w:rsidRDefault="00E44497" w:rsidP="003125A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2F867" w14:textId="77777777" w:rsidR="00E44497" w:rsidRDefault="00E44497" w:rsidP="004F08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0080">
      <w:rPr>
        <w:rStyle w:val="PageNumber"/>
        <w:noProof/>
      </w:rPr>
      <w:t>i</w:t>
    </w:r>
    <w:r>
      <w:rPr>
        <w:rStyle w:val="PageNumber"/>
      </w:rPr>
      <w:fldChar w:fldCharType="end"/>
    </w:r>
  </w:p>
  <w:p w14:paraId="7B5048D4" w14:textId="77777777" w:rsidR="00E44497" w:rsidRDefault="00E44497" w:rsidP="004F08BB">
    <w:pPr>
      <w:pStyle w:val="Footer"/>
      <w:tabs>
        <w:tab w:val="clear" w:pos="4320"/>
        <w:tab w:val="clear" w:pos="8640"/>
        <w:tab w:val="left" w:pos="3394"/>
        <w:tab w:val="left" w:pos="42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CB56" w14:textId="77777777" w:rsidR="00E44497" w:rsidRDefault="00E44497" w:rsidP="003125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0080">
      <w:rPr>
        <w:rStyle w:val="PageNumber"/>
        <w:noProof/>
      </w:rPr>
      <w:t>2</w:t>
    </w:r>
    <w:r>
      <w:rPr>
        <w:rStyle w:val="PageNumber"/>
      </w:rPr>
      <w:fldChar w:fldCharType="end"/>
    </w:r>
  </w:p>
  <w:p w14:paraId="18F28FCA" w14:textId="77777777" w:rsidR="00E44497" w:rsidRDefault="00E444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B0359" w14:textId="77777777" w:rsidR="00E44497" w:rsidRDefault="00E44497" w:rsidP="003125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0080">
      <w:rPr>
        <w:rStyle w:val="PageNumber"/>
        <w:noProof/>
      </w:rPr>
      <w:t>1</w:t>
    </w:r>
    <w:r>
      <w:rPr>
        <w:rStyle w:val="PageNumber"/>
      </w:rPr>
      <w:fldChar w:fldCharType="end"/>
    </w:r>
  </w:p>
  <w:p w14:paraId="451C491F" w14:textId="77777777" w:rsidR="00E44497" w:rsidRDefault="00E444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AB94" w14:textId="77777777" w:rsidR="00E44497" w:rsidRDefault="00E44497" w:rsidP="00B523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0080">
      <w:rPr>
        <w:rStyle w:val="PageNumber"/>
        <w:noProof/>
      </w:rPr>
      <w:t>14</w:t>
    </w:r>
    <w:r>
      <w:rPr>
        <w:rStyle w:val="PageNumber"/>
      </w:rPr>
      <w:fldChar w:fldCharType="end"/>
    </w:r>
  </w:p>
  <w:p w14:paraId="565924BB" w14:textId="77777777" w:rsidR="00E44497" w:rsidRDefault="00E444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8F44F" w14:textId="77777777" w:rsidR="00E44497" w:rsidRDefault="00E44497" w:rsidP="00B523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0080">
      <w:rPr>
        <w:rStyle w:val="PageNumber"/>
        <w:noProof/>
      </w:rPr>
      <w:t>15</w:t>
    </w:r>
    <w:r>
      <w:rPr>
        <w:rStyle w:val="PageNumber"/>
      </w:rPr>
      <w:fldChar w:fldCharType="end"/>
    </w:r>
  </w:p>
  <w:p w14:paraId="6F613F8E" w14:textId="77777777" w:rsidR="00E44497" w:rsidRDefault="00E44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F8187" w14:textId="77777777" w:rsidR="00E44497" w:rsidRDefault="00E44497">
      <w:r>
        <w:separator/>
      </w:r>
    </w:p>
  </w:footnote>
  <w:footnote w:type="continuationSeparator" w:id="0">
    <w:p w14:paraId="44BE6654" w14:textId="77777777" w:rsidR="00E44497" w:rsidRDefault="00E44497">
      <w:r>
        <w:continuationSeparator/>
      </w:r>
    </w:p>
  </w:footnote>
  <w:footnote w:id="1">
    <w:p w14:paraId="1ADB51B1" w14:textId="77777777" w:rsidR="00E44497" w:rsidRPr="00F8107C" w:rsidRDefault="00E44497" w:rsidP="00F8107C">
      <w:pPr>
        <w:ind w:left="284" w:hanging="284"/>
        <w:jc w:val="both"/>
        <w:rPr>
          <w:sz w:val="20"/>
          <w:szCs w:val="20"/>
        </w:rPr>
      </w:pPr>
      <w:r w:rsidRPr="00744D8D">
        <w:rPr>
          <w:rStyle w:val="FootnoteReference"/>
        </w:rPr>
        <w:footnoteRef/>
      </w:r>
      <w:r w:rsidRPr="00744D8D">
        <w:t xml:space="preserve"> </w:t>
      </w:r>
      <w:r w:rsidRPr="00744D8D">
        <w:tab/>
      </w:r>
      <w:r w:rsidRPr="00F8107C">
        <w:rPr>
          <w:sz w:val="20"/>
          <w:szCs w:val="20"/>
        </w:rPr>
        <w:t>The following countries are included: Albania, Armenia, Azerbaijan, Belarus, Bosnia and Herzegovina, Bulgaria, Croatia, Czech Republic, Estonia, Georgia, Hungary, Kazakhstan, Kyrgyz Republic, Latvia, Lithuania, FYR Macedonia, Moldova, Mongolia, Poland, Romania, Russia, Serbia, Slovak Republic, Slovenia, Tajikistan, Turkey, Ukraine, Uzbekistan, Kosovo, Montenegro.</w:t>
      </w:r>
    </w:p>
  </w:footnote>
  <w:footnote w:id="2">
    <w:p w14:paraId="6AD9BBD4" w14:textId="0E0405C3" w:rsidR="00E44497" w:rsidRPr="007D343C" w:rsidRDefault="00E44497" w:rsidP="00086343">
      <w:pPr>
        <w:pStyle w:val="FootnoteText"/>
        <w:tabs>
          <w:tab w:val="left" w:pos="284"/>
        </w:tabs>
        <w:ind w:left="284" w:hanging="284"/>
        <w:rPr>
          <w:lang w:val="de-DE"/>
        </w:rPr>
      </w:pPr>
      <w:r>
        <w:rPr>
          <w:rStyle w:val="FootnoteReference"/>
        </w:rPr>
        <w:footnoteRef/>
      </w:r>
      <w:r>
        <w:t xml:space="preserve"> </w:t>
      </w:r>
      <w:r>
        <w:tab/>
      </w:r>
      <w:r w:rsidRPr="00F97F79">
        <w:t xml:space="preserve">Please refer to </w:t>
      </w:r>
      <w:r w:rsidRPr="00F97F79">
        <w:fldChar w:fldCharType="begin"/>
      </w:r>
      <w:r w:rsidRPr="00F97F79">
        <w:instrText xml:space="preserve"> ADDIN EN.CITE &lt;EndNote&gt;&lt;Cite AuthorYear="1"&gt;&lt;Author&gt;Mamadazimov&lt;/Author&gt;&lt;Year&gt;2011&lt;/Year&gt;&lt;RecNum&gt;73&lt;/RecNum&gt;&lt;DisplayText&gt;Mamadazimov and Kuvatova (2011)&lt;/DisplayText&gt;&lt;record&gt;&lt;rec-number&gt;73&lt;/rec-number&gt;&lt;foreign-keys&gt;&lt;key app="EN" db-id="wes5dreptvrsr2eeartvxexxftt2tastxrfs"&gt;73&lt;/key&gt;&lt;/foreign-keys&gt;&lt;ref-type name="Book"&gt;6&lt;/ref-type&gt;&lt;contributors&gt;&lt;authors&gt;&lt;author&gt;Abdughani Mamadazimov&lt;/author&gt;&lt;author&gt;Alla Kuvatova&lt;/author&gt;&lt;/authors&gt;&lt;/contributors&gt;&lt;titles&gt;&lt;title&gt;Political Party Regulations and Women&amp;apos;s Participation in Political Life in Tajikistan&lt;/title&gt;&lt;/titles&gt;&lt;dates&gt;&lt;year&gt;2011&lt;/year&gt;&lt;/dates&gt;&lt;pub-location&gt;Dushanbe&lt;/pub-location&gt;&lt;publisher&gt;National Association of Political Scientists of Tajikstan, OSCE/ODIHR&lt;/publisher&gt;&lt;urls&gt;&lt;/urls&gt;&lt;/record&gt;&lt;/Cite&gt;&lt;/EndNote&gt;</w:instrText>
      </w:r>
      <w:r w:rsidRPr="00F97F79">
        <w:fldChar w:fldCharType="separate"/>
      </w:r>
      <w:hyperlink w:anchor="_ENREF_34" w:tooltip="Mamadazimov, 2011 #73" w:history="1">
        <w:r w:rsidRPr="00F97F79">
          <w:rPr>
            <w:noProof/>
          </w:rPr>
          <w:t>Mamadazimov and Kuvatova (2011</w:t>
        </w:r>
      </w:hyperlink>
      <w:r w:rsidRPr="00F97F79">
        <w:rPr>
          <w:noProof/>
        </w:rPr>
        <w:t>)</w:t>
      </w:r>
      <w:r w:rsidRPr="00F97F79">
        <w:fldChar w:fldCharType="end"/>
      </w:r>
      <w:r w:rsidRPr="00F97F79">
        <w:t xml:space="preserve"> for a </w:t>
      </w:r>
      <w:r>
        <w:t xml:space="preserve">more </w:t>
      </w:r>
      <w:r w:rsidRPr="00F97F79">
        <w:t>comprehensive overview and description of the legal and policy framework.</w:t>
      </w:r>
    </w:p>
  </w:footnote>
  <w:footnote w:id="3">
    <w:p w14:paraId="3E07ADA0" w14:textId="77777777" w:rsidR="00E44497" w:rsidRDefault="00E44497" w:rsidP="00C25047">
      <w:pPr>
        <w:pStyle w:val="FootnoteText"/>
        <w:ind w:left="284" w:hanging="284"/>
      </w:pPr>
      <w:r>
        <w:rPr>
          <w:rStyle w:val="FootnoteReference"/>
        </w:rPr>
        <w:footnoteRef/>
      </w:r>
      <w:r>
        <w:t xml:space="preserve"> </w:t>
      </w:r>
      <w:r>
        <w:tab/>
      </w:r>
      <w:proofErr w:type="spellStart"/>
      <w:r>
        <w:t>Konibodom</w:t>
      </w:r>
      <w:proofErr w:type="spellEnd"/>
      <w:r>
        <w:t xml:space="preserve">, </w:t>
      </w:r>
      <w:proofErr w:type="spellStart"/>
      <w:r>
        <w:t>Bobojon</w:t>
      </w:r>
      <w:proofErr w:type="spellEnd"/>
      <w:r>
        <w:t xml:space="preserve"> </w:t>
      </w:r>
      <w:proofErr w:type="spellStart"/>
      <w:r>
        <w:t>Ghafurov</w:t>
      </w:r>
      <w:proofErr w:type="spellEnd"/>
      <w:r>
        <w:t xml:space="preserve">, and </w:t>
      </w:r>
      <w:proofErr w:type="spellStart"/>
      <w:r>
        <w:t>Yovon</w:t>
      </w:r>
      <w:proofErr w:type="spellEnd"/>
      <w:r>
        <w:t>.</w:t>
      </w:r>
    </w:p>
  </w:footnote>
  <w:footnote w:id="4">
    <w:p w14:paraId="479CA579" w14:textId="77777777" w:rsidR="00E44497" w:rsidRPr="00BF6128" w:rsidRDefault="00E44497" w:rsidP="0071789C">
      <w:pPr>
        <w:pStyle w:val="FootnoteText"/>
        <w:spacing w:after="0"/>
        <w:ind w:left="284" w:hanging="284"/>
        <w:rPr>
          <w:rStyle w:val="FootnoteReference"/>
        </w:rPr>
      </w:pPr>
      <w:r w:rsidRPr="00BF6128">
        <w:rPr>
          <w:rStyle w:val="FootnoteReference"/>
        </w:rPr>
        <w:footnoteRef/>
      </w:r>
      <w:r>
        <w:rPr>
          <w:rStyle w:val="FootnoteReference"/>
        </w:rPr>
        <w:t xml:space="preserve"> </w:t>
      </w:r>
      <w:r>
        <w:tab/>
      </w:r>
      <w:r w:rsidRPr="00BF6128">
        <w:t>All regional data are for developing countries only.</w:t>
      </w:r>
    </w:p>
  </w:footnote>
  <w:footnote w:id="5">
    <w:p w14:paraId="5F84DE55" w14:textId="77777777" w:rsidR="00E44497" w:rsidRPr="00413B40" w:rsidRDefault="00E44497" w:rsidP="0071789C">
      <w:pPr>
        <w:pStyle w:val="FootnoteText"/>
        <w:spacing w:after="0"/>
        <w:ind w:left="284" w:hanging="284"/>
        <w:rPr>
          <w:lang w:val="de-DE"/>
        </w:rPr>
      </w:pPr>
      <w:r>
        <w:rPr>
          <w:rStyle w:val="FootnoteReference"/>
        </w:rPr>
        <w:footnoteRef/>
      </w:r>
      <w:r>
        <w:t xml:space="preserve"> </w:t>
      </w:r>
      <w:r>
        <w:tab/>
        <w:t>Due to limited data availability, 1991 is chosen as a reference point that most closely reflects the situation prior to independence.</w:t>
      </w:r>
    </w:p>
  </w:footnote>
  <w:footnote w:id="6">
    <w:p w14:paraId="075258BF" w14:textId="77777777" w:rsidR="00E44497" w:rsidRPr="00D448DF" w:rsidRDefault="00E44497" w:rsidP="0071789C">
      <w:pPr>
        <w:pStyle w:val="FootnoteText"/>
        <w:spacing w:after="0"/>
        <w:ind w:left="284" w:hanging="284"/>
        <w:rPr>
          <w:rStyle w:val="FootnoteReference"/>
          <w:vertAlign w:val="baseline"/>
        </w:rPr>
      </w:pPr>
      <w:r w:rsidRPr="00D448DF">
        <w:rPr>
          <w:rStyle w:val="FootnoteReference"/>
        </w:rPr>
        <w:footnoteRef/>
      </w:r>
      <w:r w:rsidRPr="00D448DF">
        <w:rPr>
          <w:rStyle w:val="FootnoteReference"/>
        </w:rPr>
        <w:t xml:space="preserve"> </w:t>
      </w:r>
      <w:r w:rsidRPr="00D448DF">
        <w:rPr>
          <w:rStyle w:val="FootnoteReference"/>
        </w:rPr>
        <w:tab/>
      </w:r>
      <w:r w:rsidRPr="00D448DF">
        <w:rPr>
          <w:rStyle w:val="FootnoteReference"/>
          <w:vertAlign w:val="baseline"/>
        </w:rPr>
        <w:t xml:space="preserve">Primary </w:t>
      </w:r>
      <w:r>
        <w:rPr>
          <w:rStyle w:val="FootnoteReference"/>
          <w:vertAlign w:val="baseline"/>
        </w:rPr>
        <w:t>completion rates can exceed 100 percent</w:t>
      </w:r>
      <w:r w:rsidRPr="00D448DF">
        <w:rPr>
          <w:rStyle w:val="FootnoteReference"/>
          <w:vertAlign w:val="baseline"/>
        </w:rPr>
        <w:t xml:space="preserve"> by definition, see note, </w:t>
      </w:r>
      <w:r w:rsidRPr="00D448DF">
        <w:rPr>
          <w:rStyle w:val="FootnoteReference"/>
          <w:vertAlign w:val="baseline"/>
        </w:rPr>
        <w:fldChar w:fldCharType="begin"/>
      </w:r>
      <w:r w:rsidRPr="00D448DF">
        <w:rPr>
          <w:rStyle w:val="FootnoteReference"/>
          <w:vertAlign w:val="baseline"/>
        </w:rPr>
        <w:instrText xml:space="preserve"> </w:instrText>
      </w:r>
      <w:r>
        <w:rPr>
          <w:rStyle w:val="FootnoteReference"/>
          <w:vertAlign w:val="baseline"/>
        </w:rPr>
        <w:instrText>REF</w:instrText>
      </w:r>
      <w:r w:rsidRPr="00D448DF">
        <w:rPr>
          <w:rStyle w:val="FootnoteReference"/>
          <w:vertAlign w:val="baseline"/>
        </w:rPr>
        <w:instrText xml:space="preserve"> _Ref218918302 \h </w:instrText>
      </w:r>
      <w:r w:rsidRPr="00D448DF">
        <w:rPr>
          <w:rStyle w:val="FootnoteReference"/>
          <w:vertAlign w:val="baseline"/>
        </w:rPr>
      </w:r>
      <w:r w:rsidRPr="00D448DF">
        <w:rPr>
          <w:rStyle w:val="FootnoteReference"/>
          <w:vertAlign w:val="baseline"/>
        </w:rPr>
        <w:fldChar w:fldCharType="separate"/>
      </w:r>
      <w:r w:rsidRPr="00EC47C3">
        <w:rPr>
          <w:b/>
          <w:sz w:val="22"/>
          <w:szCs w:val="22"/>
        </w:rPr>
        <w:t xml:space="preserve">Figure A </w:t>
      </w:r>
      <w:r>
        <w:rPr>
          <w:b/>
          <w:noProof/>
          <w:sz w:val="22"/>
          <w:szCs w:val="22"/>
        </w:rPr>
        <w:t>1</w:t>
      </w:r>
      <w:r w:rsidRPr="00D448DF">
        <w:rPr>
          <w:rStyle w:val="FootnoteReference"/>
          <w:vertAlign w:val="baseline"/>
        </w:rPr>
        <w:fldChar w:fldCharType="end"/>
      </w:r>
      <w:r w:rsidRPr="00D448DF">
        <w:rPr>
          <w:rStyle w:val="FootnoteReference"/>
          <w:vertAlign w:val="baseline"/>
        </w:rPr>
        <w:t>.</w:t>
      </w:r>
    </w:p>
  </w:footnote>
  <w:footnote w:id="7">
    <w:p w14:paraId="7D234025" w14:textId="77777777" w:rsidR="00E44497" w:rsidRPr="00F66E03" w:rsidRDefault="00E44497" w:rsidP="00B744AF">
      <w:pPr>
        <w:pStyle w:val="FootnoteText"/>
        <w:ind w:left="284" w:hanging="284"/>
        <w:rPr>
          <w:lang w:val="de-DE"/>
        </w:rPr>
      </w:pPr>
      <w:r>
        <w:rPr>
          <w:rStyle w:val="FootnoteReference"/>
        </w:rPr>
        <w:footnoteRef/>
      </w:r>
      <w:r>
        <w:t xml:space="preserve"> </w:t>
      </w:r>
      <w:r>
        <w:tab/>
      </w:r>
      <w:r>
        <w:rPr>
          <w:bCs/>
          <w:color w:val="000000" w:themeColor="text1"/>
        </w:rPr>
        <w:t>Unfortunately, it is not possible to determine the extent to which gender disparities existed prior to independence due to lack of gender-disaggregated data on secondary enrollment in Tajikistan before 1999.</w:t>
      </w:r>
    </w:p>
  </w:footnote>
  <w:footnote w:id="8">
    <w:p w14:paraId="4C60C473" w14:textId="31EB0FDC" w:rsidR="00E44497" w:rsidRPr="0012414C" w:rsidRDefault="00E44497" w:rsidP="0012414C">
      <w:pPr>
        <w:pStyle w:val="FootnoteText"/>
        <w:ind w:left="284" w:hanging="284"/>
        <w:rPr>
          <w:lang w:val="de-DE"/>
        </w:rPr>
      </w:pPr>
      <w:r>
        <w:rPr>
          <w:rStyle w:val="FootnoteReference"/>
        </w:rPr>
        <w:footnoteRef/>
      </w:r>
      <w:r>
        <w:t xml:space="preserve"> </w:t>
      </w:r>
      <w:r>
        <w:tab/>
      </w:r>
      <w:r w:rsidRPr="00EF57D8">
        <w:t xml:space="preserve">Eligibility criteria for old-age pensions are 20 years of work and 58 years of age for women, and 25 years </w:t>
      </w:r>
      <w:r>
        <w:t>of work and 63 years of age for</w:t>
      </w:r>
      <w:r w:rsidRPr="00EF57D8">
        <w:t xml:space="preserve"> men </w:t>
      </w:r>
      <w:r w:rsidRPr="00EF57D8">
        <w:fldChar w:fldCharType="begin"/>
      </w:r>
      <w:r>
        <w:instrText xml:space="preserve"> ADDIN EN.CITE &lt;EndNote&gt;&lt;Cite&gt;&lt;Author&gt;World Bank&lt;/Author&gt;&lt;Year&gt;2009&lt;/Year&gt;&lt;RecNum&gt;35&lt;/RecNum&gt;&lt;DisplayText&gt;(World Bank, 2009c)&lt;/DisplayText&gt;&lt;record&gt;&lt;rec-number&gt;35&lt;/rec-number&gt;&lt;foreign-keys&gt;&lt;key app="EN" db-id="rdez9wrf79az9aewdawxf0ekvs05w0dxfsz0"&gt;35&lt;/key&gt;&lt;/foreign-keys&gt;&lt;ref-type name="Report"&gt;27&lt;/ref-type&gt;&lt;contributors&gt;&lt;authors&gt;&lt;author&gt;World Bank&lt;/author&gt;&lt;/authors&gt;&lt;/contributors&gt;&lt;titles&gt;&lt;title&gt;Social Safety Net in the Kyrgyz Republic. Capitalizing on Achievements and Addressing New Challenges&lt;/title&gt;&lt;/titles&gt;&lt;number&gt;Report No. AAA-38-KG&lt;/number&gt;&lt;dates&gt;&lt;year&gt;2009&lt;/year&gt;&lt;/dates&gt;&lt;pub-location&gt;Washington, DC&lt;/pub-location&gt;&lt;publisher&gt;World Bank&lt;/publisher&gt;&lt;urls&gt;&lt;/urls&gt;&lt;/record&gt;&lt;/Cite&gt;&lt;/EndNote&gt;</w:instrText>
      </w:r>
      <w:r w:rsidRPr="00EF57D8">
        <w:fldChar w:fldCharType="separate"/>
      </w:r>
      <w:r>
        <w:rPr>
          <w:noProof/>
        </w:rPr>
        <w:t>(</w:t>
      </w:r>
      <w:hyperlink w:anchor="_ENREF_77" w:tooltip="World Bank, 2009 #35" w:history="1">
        <w:r>
          <w:rPr>
            <w:noProof/>
          </w:rPr>
          <w:t>World Bank, 2009c</w:t>
        </w:r>
      </w:hyperlink>
      <w:r>
        <w:rPr>
          <w:noProof/>
        </w:rPr>
        <w:t>)</w:t>
      </w:r>
      <w:r w:rsidRPr="00EF57D8">
        <w:fldChar w:fldCharType="end"/>
      </w:r>
      <w:r w:rsidRPr="00EF57D8">
        <w:t>.</w:t>
      </w:r>
    </w:p>
  </w:footnote>
  <w:footnote w:id="9">
    <w:p w14:paraId="375D571B" w14:textId="77FCB8C8" w:rsidR="00E44497" w:rsidRPr="00FB758E" w:rsidRDefault="00E44497" w:rsidP="00B7362A">
      <w:pPr>
        <w:pStyle w:val="FootnoteText"/>
        <w:ind w:left="284" w:hanging="284"/>
        <w:rPr>
          <w:lang w:val="de-DE"/>
        </w:rPr>
      </w:pPr>
      <w:r w:rsidRPr="00FB758E">
        <w:rPr>
          <w:rStyle w:val="FootnoteReference"/>
        </w:rPr>
        <w:footnoteRef/>
      </w:r>
      <w:r w:rsidRPr="00FB758E">
        <w:t xml:space="preserve"> </w:t>
      </w:r>
      <w:r w:rsidRPr="00FB758E">
        <w:tab/>
        <w:t xml:space="preserve">Less developed regions include all regions of Africa, Asia (excluding Japan), Latin America and the Caribbean, and Melanesia, Micronesia, and Polynesia </w:t>
      </w:r>
      <w:r w:rsidRPr="00FB758E">
        <w:fldChar w:fldCharType="begin"/>
      </w:r>
      <w:r>
        <w:instrText xml:space="preserve"> ADDIN EN.CITE &lt;EndNote&gt;&lt;Cite&gt;&lt;Author&gt;United Nations&lt;/Author&gt;&lt;Year&gt;2011&lt;/Year&gt;&lt;RecNum&gt;20&lt;/RecNum&gt;&lt;DisplayText&gt;(United Nations, 2011b)&lt;/DisplayText&gt;&lt;record&gt;&lt;rec-number&gt;20&lt;/rec-number&gt;&lt;foreign-keys&gt;&lt;key app="EN" db-id="wes5dreptvrsr2eeartvxexxftt2tastxrfs"&gt;20&lt;/key&gt;&lt;/foreign-keys&gt;&lt;ref-type name="Book"&gt;6&lt;/ref-type&gt;&lt;contributors&gt;&lt;authors&gt;&lt;author&gt;United Nations&lt;/author&gt;&lt;/authors&gt;&lt;/contributors&gt;&lt;titles&gt;&lt;title&gt;World Population Prospects: The 2010 Revision&lt;/title&gt;&lt;/titles&gt;&lt;volume&gt;II: Demographic Profiles&lt;/volume&gt;&lt;dates&gt;&lt;year&gt;2011&lt;/year&gt;&lt;/dates&gt;&lt;pub-location&gt;New York&lt;/pub-location&gt;&lt;publisher&gt;United Nations&lt;/publisher&gt;&lt;urls&gt;&lt;/urls&gt;&lt;/record&gt;&lt;/Cite&gt;&lt;/EndNote&gt;</w:instrText>
      </w:r>
      <w:r w:rsidRPr="00FB758E">
        <w:fldChar w:fldCharType="separate"/>
      </w:r>
      <w:r>
        <w:rPr>
          <w:noProof/>
        </w:rPr>
        <w:t>(</w:t>
      </w:r>
      <w:hyperlink w:anchor="_ENREF_65" w:tooltip="United Nations, 2011 #20" w:history="1">
        <w:r>
          <w:rPr>
            <w:noProof/>
          </w:rPr>
          <w:t>United Nations, 2011b</w:t>
        </w:r>
      </w:hyperlink>
      <w:r>
        <w:rPr>
          <w:noProof/>
        </w:rPr>
        <w:t>)</w:t>
      </w:r>
      <w:r w:rsidRPr="00FB758E">
        <w:fldChar w:fldCharType="end"/>
      </w:r>
      <w:r w:rsidRPr="00FB758E">
        <w:t xml:space="preserve">. </w:t>
      </w:r>
    </w:p>
  </w:footnote>
  <w:footnote w:id="10">
    <w:p w14:paraId="12E36CCB" w14:textId="1CF0EE2B" w:rsidR="00E44497" w:rsidRPr="006B0DC1" w:rsidRDefault="00E44497" w:rsidP="006B0DC1">
      <w:pPr>
        <w:widowControl w:val="0"/>
        <w:autoSpaceDE w:val="0"/>
        <w:autoSpaceDN w:val="0"/>
        <w:adjustRightInd w:val="0"/>
        <w:spacing w:after="240"/>
        <w:ind w:left="284" w:hanging="284"/>
        <w:jc w:val="both"/>
        <w:rPr>
          <w:sz w:val="20"/>
          <w:szCs w:val="20"/>
        </w:rPr>
      </w:pPr>
      <w:r w:rsidRPr="006B0DC1">
        <w:rPr>
          <w:rStyle w:val="FootnoteReference"/>
          <w:sz w:val="20"/>
          <w:szCs w:val="20"/>
        </w:rPr>
        <w:footnoteRef/>
      </w:r>
      <w:r w:rsidRPr="006B0DC1">
        <w:rPr>
          <w:sz w:val="20"/>
          <w:szCs w:val="20"/>
        </w:rPr>
        <w:t xml:space="preserve"> </w:t>
      </w:r>
      <w:r>
        <w:rPr>
          <w:sz w:val="20"/>
          <w:szCs w:val="20"/>
        </w:rPr>
        <w:tab/>
      </w:r>
      <w:r w:rsidRPr="006B0DC1">
        <w:rPr>
          <w:sz w:val="20"/>
          <w:szCs w:val="20"/>
        </w:rPr>
        <w:t>Abandoned labor migrant wife is defined as “the wife of a labor migrant whose husband went abroad, whereby the wife does not receive any or small remittances from the husband and does not know where the husband is and does not have contact with him</w:t>
      </w:r>
      <w:r>
        <w:rPr>
          <w:sz w:val="20"/>
          <w:szCs w:val="20"/>
        </w:rPr>
        <w:t xml:space="preserve">” </w:t>
      </w:r>
      <w:r>
        <w:rPr>
          <w:sz w:val="20"/>
          <w:szCs w:val="20"/>
        </w:rPr>
        <w:fldChar w:fldCharType="begin"/>
      </w:r>
      <w:r>
        <w:rPr>
          <w:sz w:val="20"/>
          <w:szCs w:val="20"/>
        </w:rPr>
        <w:instrText xml:space="preserve"> ADDIN EN.CITE &lt;EndNote&gt;&lt;Cite&gt;&lt;Author&gt;IOM&lt;/Author&gt;&lt;Year&gt;2009&lt;/Year&gt;&lt;RecNum&gt;53&lt;/RecNum&gt;&lt;Pages&gt;11&lt;/Pages&gt;&lt;DisplayText&gt;(IOM, 2009, p. 11)&lt;/DisplayText&gt;&lt;record&gt;&lt;rec-number&gt;53&lt;/rec-number&gt;&lt;foreign-keys&gt;&lt;key app="EN" db-id="wes5dreptvrsr2eeartvxexxftt2tastxrfs"&gt;53&lt;/key&gt;&lt;/foreign-keys&gt;&lt;ref-type name="Book"&gt;6&lt;/ref-type&gt;&lt;contributors&gt;&lt;authors&gt;&lt;author&gt;IOM&lt;/author&gt;&lt;/authors&gt;&lt;/contributors&gt;&lt;titles&gt;&lt;title&gt;Abandoned Wives of Tajik Labor Migrants. IOM Study on the socio-economic characteristics of abandoned wives of Tajik labor migrants and their survival capabilities&lt;/title&gt;&lt;/titles&gt;&lt;dates&gt;&lt;year&gt;2009&lt;/year&gt;&lt;/dates&gt;&lt;pub-location&gt;Dushanbe&lt;/pub-location&gt;&lt;publisher&gt;International Organization for Migration&lt;/publisher&gt;&lt;urls&gt;&lt;/urls&gt;&lt;/record&gt;&lt;/Cite&gt;&lt;/EndNote&gt;</w:instrText>
      </w:r>
      <w:r>
        <w:rPr>
          <w:sz w:val="20"/>
          <w:szCs w:val="20"/>
        </w:rPr>
        <w:fldChar w:fldCharType="separate"/>
      </w:r>
      <w:r>
        <w:rPr>
          <w:noProof/>
          <w:sz w:val="20"/>
          <w:szCs w:val="20"/>
        </w:rPr>
        <w:t>(</w:t>
      </w:r>
      <w:hyperlink w:anchor="_ENREF_29" w:tooltip="IOM, 2009 #53" w:history="1">
        <w:r>
          <w:rPr>
            <w:noProof/>
            <w:sz w:val="20"/>
            <w:szCs w:val="20"/>
          </w:rPr>
          <w:t>IOM, 2009, p. 11</w:t>
        </w:r>
      </w:hyperlink>
      <w:r>
        <w:rPr>
          <w:noProof/>
          <w:sz w:val="20"/>
          <w:szCs w:val="20"/>
        </w:rPr>
        <w:t>)</w:t>
      </w:r>
      <w:r>
        <w:rPr>
          <w:sz w:val="20"/>
          <w:szCs w:val="20"/>
        </w:rPr>
        <w:fldChar w:fldCharType="end"/>
      </w:r>
      <w:r>
        <w:rPr>
          <w:sz w:val="20"/>
          <w:szCs w:val="20"/>
        </w:rPr>
        <w:t>.</w:t>
      </w:r>
    </w:p>
  </w:footnote>
  <w:footnote w:id="11">
    <w:p w14:paraId="39D17440" w14:textId="3FAAC90F" w:rsidR="00E44497" w:rsidRPr="003A46D8" w:rsidRDefault="00E44497" w:rsidP="00B009A4">
      <w:pPr>
        <w:pStyle w:val="FootnoteText"/>
        <w:ind w:left="284" w:hanging="284"/>
        <w:rPr>
          <w:lang w:val="de-DE"/>
        </w:rPr>
      </w:pPr>
      <w:r>
        <w:rPr>
          <w:rStyle w:val="FootnoteReference"/>
        </w:rPr>
        <w:footnoteRef/>
      </w:r>
      <w:r>
        <w:t xml:space="preserve"> </w:t>
      </w:r>
      <w:r>
        <w:tab/>
        <w:t xml:space="preserve">The term entrepreneurship as used in this report comprises “varied economic activities, such as ownership, strategic management, and the founding and establishment of businesses” </w:t>
      </w:r>
      <w:r>
        <w:fldChar w:fldCharType="begin"/>
      </w:r>
      <w:r>
        <w:instrText xml:space="preserve"> ADDIN EN.CITE &lt;EndNote&gt;&lt;Cite&gt;&lt;Author&gt;Sattar&lt;/Author&gt;&lt;Year&gt;2012&lt;/Year&gt;&lt;RecNum&gt;3&lt;/RecNum&gt;&lt;Pages&gt;65&lt;/Pages&gt;&lt;DisplayText&gt;(Sattar, 2012, p. 65)&lt;/DisplayText&gt;&lt;record&gt;&lt;rec-number&gt;3&lt;/rec-number&gt;&lt;foreign-keys&gt;&lt;key app="EN" db-id="wes5dreptvrsr2eeartvxexxftt2tastxrfs"&gt;3&lt;/key&gt;&lt;/foreign-keys&gt;&lt;ref-type name="Book"&gt;6&lt;/ref-type&gt;&lt;contributors&gt;&lt;authors&gt;&lt;author&gt;Sarosh Sattar&lt;/author&gt;&lt;/authors&gt;&lt;/contributors&gt;&lt;titles&gt;&lt;title&gt;Opportunities for Men and Women: Emerging Europe and Central Asia&lt;/title&gt;&lt;/titles&gt;&lt;dates&gt;&lt;year&gt;2012&lt;/year&gt;&lt;/dates&gt;&lt;pub-location&gt;Washington, DC&lt;/pub-location&gt;&lt;publisher&gt;World Bank&lt;/publisher&gt;&lt;urls&gt;&lt;/urls&gt;&lt;/record&gt;&lt;/Cite&gt;&lt;/EndNote&gt;</w:instrText>
      </w:r>
      <w:r>
        <w:fldChar w:fldCharType="separate"/>
      </w:r>
      <w:r>
        <w:rPr>
          <w:noProof/>
        </w:rPr>
        <w:t>(</w:t>
      </w:r>
      <w:hyperlink w:anchor="_ENREF_45" w:tooltip="Sattar, 2012 #3" w:history="1">
        <w:r>
          <w:rPr>
            <w:noProof/>
          </w:rPr>
          <w:t>Sattar, 2012, p. 65</w:t>
        </w:r>
      </w:hyperlink>
      <w:r>
        <w:rPr>
          <w:noProof/>
        </w:rPr>
        <w:t>)</w:t>
      </w:r>
      <w:r>
        <w:fldChar w:fldCharType="end"/>
      </w:r>
      <w:r>
        <w:t xml:space="preserve">. </w:t>
      </w:r>
    </w:p>
  </w:footnote>
  <w:footnote w:id="12">
    <w:p w14:paraId="3365802F" w14:textId="77777777" w:rsidR="00E44497" w:rsidRPr="0059760B" w:rsidRDefault="00E44497" w:rsidP="00F11055">
      <w:pPr>
        <w:pStyle w:val="FootnoteText"/>
        <w:spacing w:after="0"/>
        <w:ind w:left="284" w:hanging="284"/>
        <w:rPr>
          <w:lang w:val="de-DE"/>
        </w:rPr>
      </w:pPr>
      <w:r>
        <w:rPr>
          <w:rStyle w:val="FootnoteReference"/>
        </w:rPr>
        <w:footnoteRef/>
      </w:r>
      <w:r>
        <w:t xml:space="preserve"> </w:t>
      </w:r>
      <w:r>
        <w:tab/>
        <w:t xml:space="preserve">Based on the International Classification of Employment of 1993, employers </w:t>
      </w:r>
      <w:r>
        <w:rPr>
          <w:rStyle w:val="notexvalue"/>
        </w:rPr>
        <w:t xml:space="preserve">are defined as workers who hold self-employment jobs and have engaged, on a continuous basis, one or more persons to work for them in their business as employees (see </w:t>
      </w:r>
      <w:hyperlink r:id="rId1" w:history="1">
        <w:r w:rsidRPr="00C06A58">
          <w:rPr>
            <w:rStyle w:val="Hyperlink"/>
          </w:rPr>
          <w:t>http://www.ilo.org/global/statistics-and-databases/classifications/lang--en/index.htm</w:t>
        </w:r>
      </w:hyperlink>
      <w:r>
        <w:rPr>
          <w:rStyle w:val="notexvalue"/>
        </w:rPr>
        <w:t xml:space="preserve">). </w:t>
      </w:r>
    </w:p>
  </w:footnote>
  <w:footnote w:id="13">
    <w:p w14:paraId="57F3691C" w14:textId="18DF794F" w:rsidR="00E44497" w:rsidRPr="00B54658" w:rsidRDefault="00E44497" w:rsidP="00F11055">
      <w:pPr>
        <w:pStyle w:val="FootnoteText"/>
        <w:spacing w:after="0"/>
        <w:ind w:left="284" w:hanging="284"/>
      </w:pPr>
      <w:r w:rsidRPr="00B54658">
        <w:rPr>
          <w:rStyle w:val="FootnoteReference"/>
        </w:rPr>
        <w:footnoteRef/>
      </w:r>
      <w:r w:rsidRPr="00B54658">
        <w:t xml:space="preserve"> </w:t>
      </w:r>
      <w:r w:rsidRPr="00B54658">
        <w:tab/>
        <w:t xml:space="preserve">The IFC SME Survey was conducted among 1,500 small and medium enterprises (SME) </w:t>
      </w:r>
      <w:r>
        <w:t xml:space="preserve">between July and October 2008. It includes individual entrepreneurs (defined as sole proprietors without juridical status), </w:t>
      </w:r>
      <w:r w:rsidRPr="00111891">
        <w:rPr>
          <w:i/>
        </w:rPr>
        <w:t>dekhan</w:t>
      </w:r>
      <w:r>
        <w:t xml:space="preserve"> farms (that is, owners of private agricultural farms), and small and medium companies (defined as legal entities with fewer than 200 employees) from all economic sectors </w:t>
      </w:r>
      <w:r>
        <w:fldChar w:fldCharType="begin"/>
      </w:r>
      <w:r>
        <w:instrText xml:space="preserve"> ADDIN EN.CITE &lt;EndNote&gt;&lt;Cite&gt;&lt;Author&gt;IFC&lt;/Author&gt;&lt;Year&gt;2009&lt;/Year&gt;&lt;RecNum&gt;64&lt;/RecNum&gt;&lt;DisplayText&gt;(IFC, 2009a)&lt;/DisplayText&gt;&lt;record&gt;&lt;rec-number&gt;64&lt;/rec-number&gt;&lt;foreign-keys&gt;&lt;key app="EN" db-id="wes5dreptvrsr2eeartvxexxftt2tastxrfs"&gt;64&lt;/key&gt;&lt;/foreign-keys&gt;&lt;ref-type name="Book"&gt;6&lt;/ref-type&gt;&lt;contributors&gt;&lt;authors&gt;&lt;author&gt;IFC&lt;/author&gt;&lt;/authors&gt;&lt;/contributors&gt;&lt;titles&gt;&lt;title&gt;Business Environment in Tajikistan as Seen by Small and Medium Enterprises&lt;/title&gt;&lt;/titles&gt;&lt;dates&gt;&lt;year&gt;2009&lt;/year&gt;&lt;/dates&gt;&lt;pub-location&gt;Dushanbe&lt;/pub-location&gt;&lt;publisher&gt;International Finance Corporation&lt;/publisher&gt;&lt;urls&gt;&lt;/urls&gt;&lt;/record&gt;&lt;/Cite&gt;&lt;/EndNote&gt;</w:instrText>
      </w:r>
      <w:r>
        <w:fldChar w:fldCharType="separate"/>
      </w:r>
      <w:r>
        <w:rPr>
          <w:noProof/>
        </w:rPr>
        <w:t>(</w:t>
      </w:r>
      <w:hyperlink w:anchor="_ENREF_23" w:tooltip="IFC, 2009 #64" w:history="1">
        <w:r>
          <w:rPr>
            <w:noProof/>
          </w:rPr>
          <w:t>IFC, 2009a</w:t>
        </w:r>
      </w:hyperlink>
      <w:r>
        <w:rPr>
          <w:noProof/>
        </w:rPr>
        <w:t>)</w:t>
      </w:r>
      <w:r>
        <w:fldChar w:fldCharType="end"/>
      </w:r>
      <w:r>
        <w:t>.</w:t>
      </w:r>
    </w:p>
  </w:footnote>
  <w:footnote w:id="14">
    <w:p w14:paraId="30142F70" w14:textId="7D4C6E0D" w:rsidR="00E44497" w:rsidRPr="00A20C1C" w:rsidRDefault="00E44497" w:rsidP="00F11055">
      <w:pPr>
        <w:pStyle w:val="FootnoteText"/>
        <w:spacing w:after="0"/>
        <w:ind w:left="284" w:hanging="284"/>
      </w:pPr>
      <w:r w:rsidRPr="00A20C1C">
        <w:rPr>
          <w:vertAlign w:val="superscript"/>
        </w:rPr>
        <w:footnoteRef/>
      </w:r>
      <w:r>
        <w:t xml:space="preserve"> </w:t>
      </w:r>
      <w:r>
        <w:tab/>
        <w:t xml:space="preserve">The Business and Enterprise Performance Surveys are conducted by the World Bank and the European Bank for Reconstruction. The sample only includes firms with five or more employees in the nonagricultural private economy. It is stratified by size, location, and sector in order to include all major types of firms. Data on 360 firms were collected between May and August 2008 </w:t>
      </w:r>
      <w:r>
        <w:fldChar w:fldCharType="begin"/>
      </w:r>
      <w:r>
        <w:instrText xml:space="preserve"> ADDIN EN.CITE &lt;EndNote&gt;&lt;Cite&gt;&lt;Author&gt;IFC&lt;/Author&gt;&lt;Year&gt;2009&lt;/Year&gt;&lt;RecNum&gt;49&lt;/RecNum&gt;&lt;DisplayText&gt;(IFC, 2009b)&lt;/DisplayText&gt;&lt;record&gt;&lt;rec-number&gt;49&lt;/rec-number&gt;&lt;foreign-keys&gt;&lt;key app="EN" db-id="wes5dreptvrsr2eeartvxexxftt2tastxrfs"&gt;49&lt;/key&gt;&lt;/foreign-keys&gt;&lt;ref-type name="Journal Article"&gt;17&lt;/ref-type&gt;&lt;contributors&gt;&lt;authors&gt;&lt;author&gt;IFC&lt;/author&gt;&lt;/authors&gt;&lt;/contributors&gt;&lt;titles&gt;&lt;title&gt;Running a Business in Tajikistan&lt;/title&gt;&lt;secondary-title&gt;Enterprise Surveys Country Note Series&lt;/secondary-title&gt;&lt;/titles&gt;&lt;periodical&gt;&lt;full-title&gt;Enterprise Surveys Country Note Series&lt;/full-title&gt;&lt;/periodical&gt;&lt;volume&gt;No. 4&lt;/volume&gt;&lt;dates&gt;&lt;year&gt;2009&lt;/year&gt;&lt;/dates&gt;&lt;urls&gt;&lt;/urls&gt;&lt;/record&gt;&lt;/Cite&gt;&lt;/EndNote&gt;</w:instrText>
      </w:r>
      <w:r>
        <w:fldChar w:fldCharType="separate"/>
      </w:r>
      <w:r>
        <w:rPr>
          <w:noProof/>
        </w:rPr>
        <w:t>(</w:t>
      </w:r>
      <w:hyperlink w:anchor="_ENREF_24" w:tooltip="IFC, 2009 #49" w:history="1">
        <w:r>
          <w:rPr>
            <w:noProof/>
          </w:rPr>
          <w:t>IFC, 2009b</w:t>
        </w:r>
      </w:hyperlink>
      <w:r>
        <w:rPr>
          <w:noProof/>
        </w:rPr>
        <w:t>)</w:t>
      </w:r>
      <w:r>
        <w:fldChar w:fldCharType="end"/>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439E6"/>
    <w:multiLevelType w:val="multilevel"/>
    <w:tmpl w:val="00F64372"/>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37380CE9"/>
    <w:multiLevelType w:val="hybridMultilevel"/>
    <w:tmpl w:val="CE4CBE5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48AD5868"/>
    <w:multiLevelType w:val="hybridMultilevel"/>
    <w:tmpl w:val="DE32CD98"/>
    <w:lvl w:ilvl="0" w:tplc="3AAA0D7C">
      <w:start w:val="1"/>
      <w:numFmt w:val="upperLetter"/>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6762B91"/>
    <w:multiLevelType w:val="hybridMultilevel"/>
    <w:tmpl w:val="0C020746"/>
    <w:lvl w:ilvl="0" w:tplc="8D3A83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13B33BC"/>
    <w:multiLevelType w:val="hybridMultilevel"/>
    <w:tmpl w:val="BB927182"/>
    <w:lvl w:ilvl="0" w:tplc="6D26C0C6">
      <w:start w:val="1"/>
      <w:numFmt w:val="upperLetter"/>
      <w:pStyle w:val="Heading2"/>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3C11663"/>
    <w:multiLevelType w:val="multilevel"/>
    <w:tmpl w:val="2F82EFEE"/>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b w:val="0"/>
        <w:sz w:val="24"/>
        <w:szCs w:val="24"/>
      </w:rPr>
    </w:lvl>
    <w:lvl w:ilvl="2">
      <w:start w:val="1"/>
      <w:numFmt w:val="lowerLetter"/>
      <w:pStyle w:val="Sub-Para1underXY"/>
      <w:lvlText w:val="(%3)"/>
      <w:lvlJc w:val="left"/>
      <w:pPr>
        <w:tabs>
          <w:tab w:val="num" w:pos="2564"/>
        </w:tabs>
        <w:ind w:left="2204" w:hanging="360"/>
      </w:pPr>
      <w:rPr>
        <w:rFonts w:hint="default"/>
        <w:b w:val="0"/>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6">
    <w:nsid w:val="7FE30505"/>
    <w:multiLevelType w:val="hybridMultilevel"/>
    <w:tmpl w:val="6512FA48"/>
    <w:lvl w:ilvl="0" w:tplc="FFFFFFFF">
      <w:start w:val="1"/>
      <w:numFmt w:val="bullet"/>
      <w:pStyle w:val="Bullet"/>
      <w:lvlText w:val=""/>
      <w:lvlJc w:val="left"/>
      <w:pPr>
        <w:tabs>
          <w:tab w:val="num" w:pos="1440"/>
        </w:tabs>
        <w:ind w:left="1440" w:hanging="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2"/>
    <w:lvlOverride w:ilvl="0">
      <w:startOverride w:val="1"/>
    </w:lvlOverride>
  </w:num>
  <w:num w:numId="6">
    <w:abstractNumId w:val="2"/>
    <w:lvlOverride w:ilvl="0">
      <w:startOverride w:val="1"/>
    </w:lvlOverride>
  </w:num>
  <w:num w:numId="7">
    <w:abstractNumId w:val="4"/>
  </w:num>
  <w:num w:numId="8">
    <w:abstractNumId w:val="4"/>
    <w:lvlOverride w:ilvl="0">
      <w:startOverride w:val="1"/>
    </w:lvlOverride>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2"/>
  </w:num>
  <w:num w:numId="33">
    <w:abstractNumId w:val="5"/>
  </w:num>
  <w:num w:numId="34">
    <w:abstractNumId w:val="5"/>
  </w:num>
  <w:num w:numId="35">
    <w:abstractNumId w:val="5"/>
  </w:num>
  <w:num w:numId="36">
    <w:abstractNumId w:val="5"/>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1"/>
  </w:num>
  <w:num w:numId="4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ez9wrf79az9aewdawxf0ekvs05w0dxfsz0&quot;&gt;Chronic poverty&lt;record-ids&gt;&lt;item&gt;35&lt;/item&gt;&lt;item&gt;74&lt;/item&gt;&lt;/record-ids&gt;&lt;/item&gt;&lt;/Libraries&gt;"/>
  </w:docVars>
  <w:rsids>
    <w:rsidRoot w:val="002F274E"/>
    <w:rsid w:val="00000CED"/>
    <w:rsid w:val="00002376"/>
    <w:rsid w:val="00002909"/>
    <w:rsid w:val="00006575"/>
    <w:rsid w:val="00007AE9"/>
    <w:rsid w:val="000108A0"/>
    <w:rsid w:val="00011542"/>
    <w:rsid w:val="00011ECA"/>
    <w:rsid w:val="00013C95"/>
    <w:rsid w:val="000145E6"/>
    <w:rsid w:val="00014D15"/>
    <w:rsid w:val="000165B6"/>
    <w:rsid w:val="00023EBC"/>
    <w:rsid w:val="00024E02"/>
    <w:rsid w:val="000269F4"/>
    <w:rsid w:val="00027141"/>
    <w:rsid w:val="0002798A"/>
    <w:rsid w:val="00027F5A"/>
    <w:rsid w:val="000303DB"/>
    <w:rsid w:val="000319ED"/>
    <w:rsid w:val="00031B4D"/>
    <w:rsid w:val="000339E6"/>
    <w:rsid w:val="00034A38"/>
    <w:rsid w:val="000361E0"/>
    <w:rsid w:val="00036F84"/>
    <w:rsid w:val="0004026B"/>
    <w:rsid w:val="000407E9"/>
    <w:rsid w:val="000407EB"/>
    <w:rsid w:val="00040F70"/>
    <w:rsid w:val="00043B50"/>
    <w:rsid w:val="0004413D"/>
    <w:rsid w:val="00044B9C"/>
    <w:rsid w:val="00044DC9"/>
    <w:rsid w:val="0004783A"/>
    <w:rsid w:val="0005207E"/>
    <w:rsid w:val="000540F6"/>
    <w:rsid w:val="00054C3E"/>
    <w:rsid w:val="0005622D"/>
    <w:rsid w:val="0005653F"/>
    <w:rsid w:val="00057C5C"/>
    <w:rsid w:val="00060195"/>
    <w:rsid w:val="000601EB"/>
    <w:rsid w:val="00061F93"/>
    <w:rsid w:val="00064616"/>
    <w:rsid w:val="00065BF6"/>
    <w:rsid w:val="000716C6"/>
    <w:rsid w:val="00072241"/>
    <w:rsid w:val="00072E14"/>
    <w:rsid w:val="000736F0"/>
    <w:rsid w:val="0007423A"/>
    <w:rsid w:val="00080542"/>
    <w:rsid w:val="00080AA2"/>
    <w:rsid w:val="00080D85"/>
    <w:rsid w:val="00081D55"/>
    <w:rsid w:val="00082EEF"/>
    <w:rsid w:val="000857C9"/>
    <w:rsid w:val="000861A8"/>
    <w:rsid w:val="00086343"/>
    <w:rsid w:val="000902B4"/>
    <w:rsid w:val="00090351"/>
    <w:rsid w:val="0009040A"/>
    <w:rsid w:val="00091F43"/>
    <w:rsid w:val="00093E7C"/>
    <w:rsid w:val="00094725"/>
    <w:rsid w:val="0009615B"/>
    <w:rsid w:val="000976E2"/>
    <w:rsid w:val="000A15BD"/>
    <w:rsid w:val="000A6347"/>
    <w:rsid w:val="000B0DE0"/>
    <w:rsid w:val="000B2556"/>
    <w:rsid w:val="000B2BD3"/>
    <w:rsid w:val="000B3777"/>
    <w:rsid w:val="000B3F3B"/>
    <w:rsid w:val="000B51FA"/>
    <w:rsid w:val="000B69DC"/>
    <w:rsid w:val="000B7C6F"/>
    <w:rsid w:val="000C1003"/>
    <w:rsid w:val="000C4491"/>
    <w:rsid w:val="000C52F7"/>
    <w:rsid w:val="000C70A0"/>
    <w:rsid w:val="000C73A6"/>
    <w:rsid w:val="000D06CC"/>
    <w:rsid w:val="000D2065"/>
    <w:rsid w:val="000D435A"/>
    <w:rsid w:val="000D4528"/>
    <w:rsid w:val="000D5C21"/>
    <w:rsid w:val="000E041B"/>
    <w:rsid w:val="000E13A2"/>
    <w:rsid w:val="000E17EC"/>
    <w:rsid w:val="000E5D99"/>
    <w:rsid w:val="000E77B3"/>
    <w:rsid w:val="000F12F9"/>
    <w:rsid w:val="000F22FB"/>
    <w:rsid w:val="000F3B82"/>
    <w:rsid w:val="000F5873"/>
    <w:rsid w:val="0010020F"/>
    <w:rsid w:val="001005F2"/>
    <w:rsid w:val="0010102D"/>
    <w:rsid w:val="001012C2"/>
    <w:rsid w:val="001022FA"/>
    <w:rsid w:val="0010252B"/>
    <w:rsid w:val="00105E15"/>
    <w:rsid w:val="00106D3B"/>
    <w:rsid w:val="001077F4"/>
    <w:rsid w:val="0011031A"/>
    <w:rsid w:val="0011042B"/>
    <w:rsid w:val="0011043C"/>
    <w:rsid w:val="001105CD"/>
    <w:rsid w:val="00111891"/>
    <w:rsid w:val="00112AF7"/>
    <w:rsid w:val="00113271"/>
    <w:rsid w:val="00115304"/>
    <w:rsid w:val="00116D8A"/>
    <w:rsid w:val="00116E2A"/>
    <w:rsid w:val="00117336"/>
    <w:rsid w:val="00120427"/>
    <w:rsid w:val="00120F22"/>
    <w:rsid w:val="0012387A"/>
    <w:rsid w:val="0012414C"/>
    <w:rsid w:val="0012692D"/>
    <w:rsid w:val="0012736A"/>
    <w:rsid w:val="00127B64"/>
    <w:rsid w:val="00127C03"/>
    <w:rsid w:val="00133D22"/>
    <w:rsid w:val="00140DE3"/>
    <w:rsid w:val="0014182C"/>
    <w:rsid w:val="00143946"/>
    <w:rsid w:val="001447D7"/>
    <w:rsid w:val="001461B8"/>
    <w:rsid w:val="00146EF6"/>
    <w:rsid w:val="0014718C"/>
    <w:rsid w:val="0014768C"/>
    <w:rsid w:val="0015347A"/>
    <w:rsid w:val="001566A8"/>
    <w:rsid w:val="00160E91"/>
    <w:rsid w:val="00162F4B"/>
    <w:rsid w:val="00163D0D"/>
    <w:rsid w:val="001664C5"/>
    <w:rsid w:val="001668CC"/>
    <w:rsid w:val="00167465"/>
    <w:rsid w:val="0017032B"/>
    <w:rsid w:val="00170393"/>
    <w:rsid w:val="00176764"/>
    <w:rsid w:val="00176F6F"/>
    <w:rsid w:val="00177FDA"/>
    <w:rsid w:val="001803A3"/>
    <w:rsid w:val="00183A2D"/>
    <w:rsid w:val="00183CF2"/>
    <w:rsid w:val="00183FFF"/>
    <w:rsid w:val="00185BFB"/>
    <w:rsid w:val="0018659F"/>
    <w:rsid w:val="0019047C"/>
    <w:rsid w:val="001937A2"/>
    <w:rsid w:val="00193E9D"/>
    <w:rsid w:val="001942A5"/>
    <w:rsid w:val="00194C8E"/>
    <w:rsid w:val="001A0E90"/>
    <w:rsid w:val="001A2A0E"/>
    <w:rsid w:val="001A32DE"/>
    <w:rsid w:val="001A3D32"/>
    <w:rsid w:val="001A60AD"/>
    <w:rsid w:val="001B0315"/>
    <w:rsid w:val="001B1563"/>
    <w:rsid w:val="001B37EB"/>
    <w:rsid w:val="001B4FE7"/>
    <w:rsid w:val="001B53F7"/>
    <w:rsid w:val="001B7C13"/>
    <w:rsid w:val="001C0B76"/>
    <w:rsid w:val="001C7E87"/>
    <w:rsid w:val="001D0B8B"/>
    <w:rsid w:val="001D1A63"/>
    <w:rsid w:val="001D1E56"/>
    <w:rsid w:val="001D3274"/>
    <w:rsid w:val="001D4506"/>
    <w:rsid w:val="001D46C7"/>
    <w:rsid w:val="001D513F"/>
    <w:rsid w:val="001D5C87"/>
    <w:rsid w:val="001E5CDC"/>
    <w:rsid w:val="001E6819"/>
    <w:rsid w:val="001F05DA"/>
    <w:rsid w:val="001F0B34"/>
    <w:rsid w:val="001F13A9"/>
    <w:rsid w:val="001F1B5E"/>
    <w:rsid w:val="001F5D6E"/>
    <w:rsid w:val="001F5E41"/>
    <w:rsid w:val="001F7002"/>
    <w:rsid w:val="00201D9E"/>
    <w:rsid w:val="002025AC"/>
    <w:rsid w:val="00206925"/>
    <w:rsid w:val="00207AE5"/>
    <w:rsid w:val="00210B69"/>
    <w:rsid w:val="00213A16"/>
    <w:rsid w:val="00213CE6"/>
    <w:rsid w:val="00213E76"/>
    <w:rsid w:val="002154FF"/>
    <w:rsid w:val="0021573D"/>
    <w:rsid w:val="002225F8"/>
    <w:rsid w:val="00223BDC"/>
    <w:rsid w:val="00224B66"/>
    <w:rsid w:val="002257BC"/>
    <w:rsid w:val="002268D3"/>
    <w:rsid w:val="00226D65"/>
    <w:rsid w:val="0022747B"/>
    <w:rsid w:val="0022759E"/>
    <w:rsid w:val="00227BB4"/>
    <w:rsid w:val="002301D0"/>
    <w:rsid w:val="00232136"/>
    <w:rsid w:val="0023388E"/>
    <w:rsid w:val="002346AD"/>
    <w:rsid w:val="0023475F"/>
    <w:rsid w:val="00235D2A"/>
    <w:rsid w:val="002361B0"/>
    <w:rsid w:val="00237EE0"/>
    <w:rsid w:val="00241B52"/>
    <w:rsid w:val="00241F60"/>
    <w:rsid w:val="00246437"/>
    <w:rsid w:val="00250155"/>
    <w:rsid w:val="002505A8"/>
    <w:rsid w:val="00250804"/>
    <w:rsid w:val="00252102"/>
    <w:rsid w:val="00252F97"/>
    <w:rsid w:val="00255B03"/>
    <w:rsid w:val="00256393"/>
    <w:rsid w:val="00257C85"/>
    <w:rsid w:val="002601CA"/>
    <w:rsid w:val="00261884"/>
    <w:rsid w:val="002624C9"/>
    <w:rsid w:val="002632BB"/>
    <w:rsid w:val="00263BDE"/>
    <w:rsid w:val="00263DF3"/>
    <w:rsid w:val="0026478B"/>
    <w:rsid w:val="00264D9D"/>
    <w:rsid w:val="00264ECF"/>
    <w:rsid w:val="00266159"/>
    <w:rsid w:val="002677DF"/>
    <w:rsid w:val="00270DFE"/>
    <w:rsid w:val="002713B0"/>
    <w:rsid w:val="00271492"/>
    <w:rsid w:val="00271999"/>
    <w:rsid w:val="002725B7"/>
    <w:rsid w:val="002727BF"/>
    <w:rsid w:val="00275628"/>
    <w:rsid w:val="0027692A"/>
    <w:rsid w:val="002804E9"/>
    <w:rsid w:val="00281EB4"/>
    <w:rsid w:val="0028263A"/>
    <w:rsid w:val="002842CD"/>
    <w:rsid w:val="00284F1F"/>
    <w:rsid w:val="00285355"/>
    <w:rsid w:val="00285438"/>
    <w:rsid w:val="00285669"/>
    <w:rsid w:val="00286420"/>
    <w:rsid w:val="002866CA"/>
    <w:rsid w:val="00286CE3"/>
    <w:rsid w:val="00287915"/>
    <w:rsid w:val="00287DBA"/>
    <w:rsid w:val="002919EA"/>
    <w:rsid w:val="002927B2"/>
    <w:rsid w:val="0029347E"/>
    <w:rsid w:val="00293514"/>
    <w:rsid w:val="0029494F"/>
    <w:rsid w:val="00295214"/>
    <w:rsid w:val="00296212"/>
    <w:rsid w:val="002A04FD"/>
    <w:rsid w:val="002A0CDC"/>
    <w:rsid w:val="002A105A"/>
    <w:rsid w:val="002A2860"/>
    <w:rsid w:val="002A2996"/>
    <w:rsid w:val="002A31D0"/>
    <w:rsid w:val="002A3DAA"/>
    <w:rsid w:val="002A581B"/>
    <w:rsid w:val="002A6065"/>
    <w:rsid w:val="002A64AF"/>
    <w:rsid w:val="002A6DA4"/>
    <w:rsid w:val="002B025F"/>
    <w:rsid w:val="002B33B8"/>
    <w:rsid w:val="002B4C91"/>
    <w:rsid w:val="002B57E6"/>
    <w:rsid w:val="002B70BF"/>
    <w:rsid w:val="002B7FE1"/>
    <w:rsid w:val="002C0132"/>
    <w:rsid w:val="002C01D3"/>
    <w:rsid w:val="002C0ADC"/>
    <w:rsid w:val="002C3201"/>
    <w:rsid w:val="002C3D71"/>
    <w:rsid w:val="002C67F1"/>
    <w:rsid w:val="002C6861"/>
    <w:rsid w:val="002D1CF7"/>
    <w:rsid w:val="002D4DD0"/>
    <w:rsid w:val="002D6F4C"/>
    <w:rsid w:val="002E09E1"/>
    <w:rsid w:val="002E1174"/>
    <w:rsid w:val="002E3DB7"/>
    <w:rsid w:val="002E526A"/>
    <w:rsid w:val="002F0A26"/>
    <w:rsid w:val="002F0B02"/>
    <w:rsid w:val="002F0EB9"/>
    <w:rsid w:val="002F274E"/>
    <w:rsid w:val="002F3AAD"/>
    <w:rsid w:val="002F623F"/>
    <w:rsid w:val="002F6CCA"/>
    <w:rsid w:val="00300757"/>
    <w:rsid w:val="00300E6D"/>
    <w:rsid w:val="003020D5"/>
    <w:rsid w:val="003038B8"/>
    <w:rsid w:val="0030741C"/>
    <w:rsid w:val="003125A2"/>
    <w:rsid w:val="0031278E"/>
    <w:rsid w:val="00312B39"/>
    <w:rsid w:val="00312C8D"/>
    <w:rsid w:val="0031316C"/>
    <w:rsid w:val="00315324"/>
    <w:rsid w:val="00316050"/>
    <w:rsid w:val="0032005D"/>
    <w:rsid w:val="00320A0A"/>
    <w:rsid w:val="003212A0"/>
    <w:rsid w:val="003221C1"/>
    <w:rsid w:val="00322C3A"/>
    <w:rsid w:val="0032595A"/>
    <w:rsid w:val="00325D2B"/>
    <w:rsid w:val="003273C4"/>
    <w:rsid w:val="00330047"/>
    <w:rsid w:val="003309AB"/>
    <w:rsid w:val="00331CD4"/>
    <w:rsid w:val="00333893"/>
    <w:rsid w:val="003356B8"/>
    <w:rsid w:val="00336BA6"/>
    <w:rsid w:val="003408CB"/>
    <w:rsid w:val="00343487"/>
    <w:rsid w:val="003450C4"/>
    <w:rsid w:val="00345B01"/>
    <w:rsid w:val="00350400"/>
    <w:rsid w:val="0035056E"/>
    <w:rsid w:val="00351EA9"/>
    <w:rsid w:val="00353FEC"/>
    <w:rsid w:val="0035436C"/>
    <w:rsid w:val="003552C6"/>
    <w:rsid w:val="003554C6"/>
    <w:rsid w:val="00356231"/>
    <w:rsid w:val="0035663A"/>
    <w:rsid w:val="00356648"/>
    <w:rsid w:val="003605FD"/>
    <w:rsid w:val="00360FBE"/>
    <w:rsid w:val="00361635"/>
    <w:rsid w:val="0036244D"/>
    <w:rsid w:val="00362850"/>
    <w:rsid w:val="003628C6"/>
    <w:rsid w:val="00362A6C"/>
    <w:rsid w:val="00363B6E"/>
    <w:rsid w:val="0036457B"/>
    <w:rsid w:val="00366228"/>
    <w:rsid w:val="003668BF"/>
    <w:rsid w:val="00366B9C"/>
    <w:rsid w:val="00370F31"/>
    <w:rsid w:val="00373769"/>
    <w:rsid w:val="0037449B"/>
    <w:rsid w:val="00374D42"/>
    <w:rsid w:val="00375A50"/>
    <w:rsid w:val="00375AE2"/>
    <w:rsid w:val="00384B2C"/>
    <w:rsid w:val="00385FDB"/>
    <w:rsid w:val="00387B4B"/>
    <w:rsid w:val="00390C16"/>
    <w:rsid w:val="003916E1"/>
    <w:rsid w:val="00391CB3"/>
    <w:rsid w:val="00392B2E"/>
    <w:rsid w:val="00397419"/>
    <w:rsid w:val="003A01C6"/>
    <w:rsid w:val="003A0E52"/>
    <w:rsid w:val="003A1D85"/>
    <w:rsid w:val="003A34EA"/>
    <w:rsid w:val="003A46D8"/>
    <w:rsid w:val="003A4815"/>
    <w:rsid w:val="003A6F6D"/>
    <w:rsid w:val="003A77BE"/>
    <w:rsid w:val="003B01C2"/>
    <w:rsid w:val="003B0256"/>
    <w:rsid w:val="003B121F"/>
    <w:rsid w:val="003B2527"/>
    <w:rsid w:val="003B2EE5"/>
    <w:rsid w:val="003B6AED"/>
    <w:rsid w:val="003C22CD"/>
    <w:rsid w:val="003C22D8"/>
    <w:rsid w:val="003C2617"/>
    <w:rsid w:val="003C3876"/>
    <w:rsid w:val="003C38C2"/>
    <w:rsid w:val="003C3C3F"/>
    <w:rsid w:val="003C47F2"/>
    <w:rsid w:val="003C4BBF"/>
    <w:rsid w:val="003C51E8"/>
    <w:rsid w:val="003C64EF"/>
    <w:rsid w:val="003C787C"/>
    <w:rsid w:val="003D0FCD"/>
    <w:rsid w:val="003D2DDD"/>
    <w:rsid w:val="003D59C7"/>
    <w:rsid w:val="003D59F2"/>
    <w:rsid w:val="003D741A"/>
    <w:rsid w:val="003D7578"/>
    <w:rsid w:val="003E0FE5"/>
    <w:rsid w:val="003E32EB"/>
    <w:rsid w:val="003E3EA1"/>
    <w:rsid w:val="003E4288"/>
    <w:rsid w:val="003E62D4"/>
    <w:rsid w:val="003E7574"/>
    <w:rsid w:val="003F05F3"/>
    <w:rsid w:val="003F303F"/>
    <w:rsid w:val="003F37D5"/>
    <w:rsid w:val="003F38AA"/>
    <w:rsid w:val="003F3D80"/>
    <w:rsid w:val="003F3F93"/>
    <w:rsid w:val="003F42FB"/>
    <w:rsid w:val="00401947"/>
    <w:rsid w:val="00404000"/>
    <w:rsid w:val="0040416B"/>
    <w:rsid w:val="00405149"/>
    <w:rsid w:val="00406C68"/>
    <w:rsid w:val="00407847"/>
    <w:rsid w:val="00407889"/>
    <w:rsid w:val="00410BB0"/>
    <w:rsid w:val="00412BD8"/>
    <w:rsid w:val="0041331D"/>
    <w:rsid w:val="00413B40"/>
    <w:rsid w:val="00416D69"/>
    <w:rsid w:val="00416E7A"/>
    <w:rsid w:val="00417095"/>
    <w:rsid w:val="00417227"/>
    <w:rsid w:val="004205BB"/>
    <w:rsid w:val="00422126"/>
    <w:rsid w:val="00422C25"/>
    <w:rsid w:val="004230C7"/>
    <w:rsid w:val="00423CAC"/>
    <w:rsid w:val="00424B53"/>
    <w:rsid w:val="00427E10"/>
    <w:rsid w:val="004336EA"/>
    <w:rsid w:val="00433DDE"/>
    <w:rsid w:val="00440A56"/>
    <w:rsid w:val="00442FF9"/>
    <w:rsid w:val="004459DC"/>
    <w:rsid w:val="00445D03"/>
    <w:rsid w:val="00446A6E"/>
    <w:rsid w:val="00450852"/>
    <w:rsid w:val="00450916"/>
    <w:rsid w:val="00453F75"/>
    <w:rsid w:val="00455CBB"/>
    <w:rsid w:val="00462B40"/>
    <w:rsid w:val="00463A06"/>
    <w:rsid w:val="00464965"/>
    <w:rsid w:val="0046627F"/>
    <w:rsid w:val="004704AC"/>
    <w:rsid w:val="0047115A"/>
    <w:rsid w:val="00472619"/>
    <w:rsid w:val="004745AC"/>
    <w:rsid w:val="00481EED"/>
    <w:rsid w:val="0048201F"/>
    <w:rsid w:val="00482E27"/>
    <w:rsid w:val="00483C9B"/>
    <w:rsid w:val="00483EAC"/>
    <w:rsid w:val="00485620"/>
    <w:rsid w:val="00485988"/>
    <w:rsid w:val="00485A84"/>
    <w:rsid w:val="00486669"/>
    <w:rsid w:val="00492780"/>
    <w:rsid w:val="0049317C"/>
    <w:rsid w:val="004957DE"/>
    <w:rsid w:val="00496592"/>
    <w:rsid w:val="00497998"/>
    <w:rsid w:val="004A05BB"/>
    <w:rsid w:val="004A12B1"/>
    <w:rsid w:val="004A3CB4"/>
    <w:rsid w:val="004A3D71"/>
    <w:rsid w:val="004A4654"/>
    <w:rsid w:val="004B1C94"/>
    <w:rsid w:val="004B2109"/>
    <w:rsid w:val="004B6F8C"/>
    <w:rsid w:val="004B7D93"/>
    <w:rsid w:val="004C17A3"/>
    <w:rsid w:val="004C2C56"/>
    <w:rsid w:val="004C3F85"/>
    <w:rsid w:val="004C4CA6"/>
    <w:rsid w:val="004C5A72"/>
    <w:rsid w:val="004D3C43"/>
    <w:rsid w:val="004D40C4"/>
    <w:rsid w:val="004D4C34"/>
    <w:rsid w:val="004D546C"/>
    <w:rsid w:val="004D6BEC"/>
    <w:rsid w:val="004D75FA"/>
    <w:rsid w:val="004E0D60"/>
    <w:rsid w:val="004E1971"/>
    <w:rsid w:val="004E248D"/>
    <w:rsid w:val="004E2FBE"/>
    <w:rsid w:val="004E46D6"/>
    <w:rsid w:val="004E4E07"/>
    <w:rsid w:val="004E55BC"/>
    <w:rsid w:val="004E5706"/>
    <w:rsid w:val="004E6B80"/>
    <w:rsid w:val="004E6DD1"/>
    <w:rsid w:val="004E7EEC"/>
    <w:rsid w:val="004F08BB"/>
    <w:rsid w:val="004F103D"/>
    <w:rsid w:val="004F4379"/>
    <w:rsid w:val="004F46A8"/>
    <w:rsid w:val="004F46D9"/>
    <w:rsid w:val="004F6FEA"/>
    <w:rsid w:val="004F789C"/>
    <w:rsid w:val="005006DA"/>
    <w:rsid w:val="0050071F"/>
    <w:rsid w:val="005007C8"/>
    <w:rsid w:val="005009B4"/>
    <w:rsid w:val="005009EE"/>
    <w:rsid w:val="00501044"/>
    <w:rsid w:val="00502E02"/>
    <w:rsid w:val="0050332E"/>
    <w:rsid w:val="00503E27"/>
    <w:rsid w:val="005048A4"/>
    <w:rsid w:val="005049BD"/>
    <w:rsid w:val="005068F1"/>
    <w:rsid w:val="00506DBF"/>
    <w:rsid w:val="005071EC"/>
    <w:rsid w:val="005072C2"/>
    <w:rsid w:val="00507F51"/>
    <w:rsid w:val="00512DAC"/>
    <w:rsid w:val="00513E4D"/>
    <w:rsid w:val="0051410D"/>
    <w:rsid w:val="005143BE"/>
    <w:rsid w:val="00516E4B"/>
    <w:rsid w:val="00521EF3"/>
    <w:rsid w:val="00522A27"/>
    <w:rsid w:val="00524F24"/>
    <w:rsid w:val="0052650C"/>
    <w:rsid w:val="005310B9"/>
    <w:rsid w:val="0053357F"/>
    <w:rsid w:val="00534474"/>
    <w:rsid w:val="00536FEE"/>
    <w:rsid w:val="005402BB"/>
    <w:rsid w:val="005402C9"/>
    <w:rsid w:val="005414B5"/>
    <w:rsid w:val="005443D2"/>
    <w:rsid w:val="0055035F"/>
    <w:rsid w:val="00550815"/>
    <w:rsid w:val="005538C3"/>
    <w:rsid w:val="005555C6"/>
    <w:rsid w:val="005572FA"/>
    <w:rsid w:val="00557D83"/>
    <w:rsid w:val="00561568"/>
    <w:rsid w:val="0056230C"/>
    <w:rsid w:val="0056252A"/>
    <w:rsid w:val="0056603B"/>
    <w:rsid w:val="005678A1"/>
    <w:rsid w:val="00570ACA"/>
    <w:rsid w:val="00571B13"/>
    <w:rsid w:val="00573A50"/>
    <w:rsid w:val="00574B5C"/>
    <w:rsid w:val="005803D7"/>
    <w:rsid w:val="00580BF2"/>
    <w:rsid w:val="00581A3E"/>
    <w:rsid w:val="005825B0"/>
    <w:rsid w:val="005837C4"/>
    <w:rsid w:val="00585A3B"/>
    <w:rsid w:val="00585DB5"/>
    <w:rsid w:val="00586B7C"/>
    <w:rsid w:val="00586BA0"/>
    <w:rsid w:val="0058716D"/>
    <w:rsid w:val="0058740F"/>
    <w:rsid w:val="00587FA7"/>
    <w:rsid w:val="00591528"/>
    <w:rsid w:val="00591725"/>
    <w:rsid w:val="00591921"/>
    <w:rsid w:val="00592316"/>
    <w:rsid w:val="00592BD4"/>
    <w:rsid w:val="00592C7A"/>
    <w:rsid w:val="005932C3"/>
    <w:rsid w:val="00593B5E"/>
    <w:rsid w:val="0059496C"/>
    <w:rsid w:val="005959CE"/>
    <w:rsid w:val="0059760B"/>
    <w:rsid w:val="005A0E26"/>
    <w:rsid w:val="005A2547"/>
    <w:rsid w:val="005A5A4E"/>
    <w:rsid w:val="005A5A85"/>
    <w:rsid w:val="005B0055"/>
    <w:rsid w:val="005B3123"/>
    <w:rsid w:val="005B3ED1"/>
    <w:rsid w:val="005B4CA2"/>
    <w:rsid w:val="005B778D"/>
    <w:rsid w:val="005C161D"/>
    <w:rsid w:val="005C5EAA"/>
    <w:rsid w:val="005C6891"/>
    <w:rsid w:val="005C7065"/>
    <w:rsid w:val="005C7763"/>
    <w:rsid w:val="005D01A5"/>
    <w:rsid w:val="005D029D"/>
    <w:rsid w:val="005D1C91"/>
    <w:rsid w:val="005D2057"/>
    <w:rsid w:val="005D2346"/>
    <w:rsid w:val="005D29D0"/>
    <w:rsid w:val="005E0645"/>
    <w:rsid w:val="005E2066"/>
    <w:rsid w:val="005E2552"/>
    <w:rsid w:val="005E3C62"/>
    <w:rsid w:val="005E4B59"/>
    <w:rsid w:val="005E72EC"/>
    <w:rsid w:val="005F1C82"/>
    <w:rsid w:val="005F27FB"/>
    <w:rsid w:val="005F2B74"/>
    <w:rsid w:val="005F398B"/>
    <w:rsid w:val="005F68BF"/>
    <w:rsid w:val="005F71C5"/>
    <w:rsid w:val="00600051"/>
    <w:rsid w:val="006010E8"/>
    <w:rsid w:val="006011A0"/>
    <w:rsid w:val="00603272"/>
    <w:rsid w:val="00603D3F"/>
    <w:rsid w:val="00604096"/>
    <w:rsid w:val="0060774B"/>
    <w:rsid w:val="0060790F"/>
    <w:rsid w:val="006108C8"/>
    <w:rsid w:val="00613BE3"/>
    <w:rsid w:val="00614CC1"/>
    <w:rsid w:val="0061588F"/>
    <w:rsid w:val="00616CB3"/>
    <w:rsid w:val="0062071E"/>
    <w:rsid w:val="00620790"/>
    <w:rsid w:val="00624BF3"/>
    <w:rsid w:val="006275A1"/>
    <w:rsid w:val="006324EF"/>
    <w:rsid w:val="006342D2"/>
    <w:rsid w:val="006342E8"/>
    <w:rsid w:val="006349DE"/>
    <w:rsid w:val="00642129"/>
    <w:rsid w:val="0064383D"/>
    <w:rsid w:val="0065215D"/>
    <w:rsid w:val="0065231B"/>
    <w:rsid w:val="006562AF"/>
    <w:rsid w:val="00657132"/>
    <w:rsid w:val="00662ECD"/>
    <w:rsid w:val="00663781"/>
    <w:rsid w:val="00663876"/>
    <w:rsid w:val="00663C67"/>
    <w:rsid w:val="00665AF5"/>
    <w:rsid w:val="00665E1F"/>
    <w:rsid w:val="006670A9"/>
    <w:rsid w:val="006706A2"/>
    <w:rsid w:val="0067111C"/>
    <w:rsid w:val="00671CA7"/>
    <w:rsid w:val="00672A8A"/>
    <w:rsid w:val="00674850"/>
    <w:rsid w:val="0067556A"/>
    <w:rsid w:val="0067585E"/>
    <w:rsid w:val="00675892"/>
    <w:rsid w:val="0067777B"/>
    <w:rsid w:val="00677D59"/>
    <w:rsid w:val="006805E8"/>
    <w:rsid w:val="006812ED"/>
    <w:rsid w:val="00681C60"/>
    <w:rsid w:val="0068406D"/>
    <w:rsid w:val="00685823"/>
    <w:rsid w:val="00691729"/>
    <w:rsid w:val="006933AF"/>
    <w:rsid w:val="00693D19"/>
    <w:rsid w:val="00693DD6"/>
    <w:rsid w:val="00694D07"/>
    <w:rsid w:val="00697C7E"/>
    <w:rsid w:val="006A1532"/>
    <w:rsid w:val="006A3D44"/>
    <w:rsid w:val="006A487C"/>
    <w:rsid w:val="006A747A"/>
    <w:rsid w:val="006B012A"/>
    <w:rsid w:val="006B0DC1"/>
    <w:rsid w:val="006B1574"/>
    <w:rsid w:val="006B1962"/>
    <w:rsid w:val="006B2C71"/>
    <w:rsid w:val="006B2D02"/>
    <w:rsid w:val="006B5A6D"/>
    <w:rsid w:val="006C2225"/>
    <w:rsid w:val="006C7648"/>
    <w:rsid w:val="006D00CE"/>
    <w:rsid w:val="006D211A"/>
    <w:rsid w:val="006D2DC0"/>
    <w:rsid w:val="006D2E75"/>
    <w:rsid w:val="006D4DC6"/>
    <w:rsid w:val="006D5C40"/>
    <w:rsid w:val="006D65D4"/>
    <w:rsid w:val="006D6DC1"/>
    <w:rsid w:val="006E0080"/>
    <w:rsid w:val="006E0F1B"/>
    <w:rsid w:val="006E186E"/>
    <w:rsid w:val="006E334E"/>
    <w:rsid w:val="006E3378"/>
    <w:rsid w:val="006E3419"/>
    <w:rsid w:val="006E42EC"/>
    <w:rsid w:val="006E482C"/>
    <w:rsid w:val="006E591C"/>
    <w:rsid w:val="006E5A08"/>
    <w:rsid w:val="006E5CD1"/>
    <w:rsid w:val="006E6C64"/>
    <w:rsid w:val="006F1075"/>
    <w:rsid w:val="006F1674"/>
    <w:rsid w:val="006F522D"/>
    <w:rsid w:val="006F5A3E"/>
    <w:rsid w:val="007038D5"/>
    <w:rsid w:val="00703F79"/>
    <w:rsid w:val="00704D35"/>
    <w:rsid w:val="0070560F"/>
    <w:rsid w:val="00705D4E"/>
    <w:rsid w:val="00707E95"/>
    <w:rsid w:val="0071304F"/>
    <w:rsid w:val="007137A0"/>
    <w:rsid w:val="00713A89"/>
    <w:rsid w:val="00714D72"/>
    <w:rsid w:val="007158F2"/>
    <w:rsid w:val="0071789C"/>
    <w:rsid w:val="00717F7C"/>
    <w:rsid w:val="00721C4C"/>
    <w:rsid w:val="00723225"/>
    <w:rsid w:val="007254A2"/>
    <w:rsid w:val="007256A4"/>
    <w:rsid w:val="0072706A"/>
    <w:rsid w:val="007272F7"/>
    <w:rsid w:val="00727C66"/>
    <w:rsid w:val="00733683"/>
    <w:rsid w:val="007343D6"/>
    <w:rsid w:val="007369D3"/>
    <w:rsid w:val="00744903"/>
    <w:rsid w:val="00744D8D"/>
    <w:rsid w:val="00745F52"/>
    <w:rsid w:val="007510CB"/>
    <w:rsid w:val="00754983"/>
    <w:rsid w:val="007558C3"/>
    <w:rsid w:val="007573D5"/>
    <w:rsid w:val="007609A5"/>
    <w:rsid w:val="00761497"/>
    <w:rsid w:val="007633AD"/>
    <w:rsid w:val="00764035"/>
    <w:rsid w:val="00765BE4"/>
    <w:rsid w:val="00766005"/>
    <w:rsid w:val="00767334"/>
    <w:rsid w:val="007715A3"/>
    <w:rsid w:val="00772A1E"/>
    <w:rsid w:val="00772DAB"/>
    <w:rsid w:val="007734DD"/>
    <w:rsid w:val="007735E6"/>
    <w:rsid w:val="00773D1B"/>
    <w:rsid w:val="0077465B"/>
    <w:rsid w:val="007765DD"/>
    <w:rsid w:val="007834CC"/>
    <w:rsid w:val="00783504"/>
    <w:rsid w:val="00784D88"/>
    <w:rsid w:val="007867E7"/>
    <w:rsid w:val="00786C00"/>
    <w:rsid w:val="00787B23"/>
    <w:rsid w:val="00791951"/>
    <w:rsid w:val="00792D92"/>
    <w:rsid w:val="007948A2"/>
    <w:rsid w:val="00794D73"/>
    <w:rsid w:val="007955ED"/>
    <w:rsid w:val="00795B86"/>
    <w:rsid w:val="007A11DF"/>
    <w:rsid w:val="007A48CD"/>
    <w:rsid w:val="007A64AB"/>
    <w:rsid w:val="007B24FF"/>
    <w:rsid w:val="007B526C"/>
    <w:rsid w:val="007B6ADA"/>
    <w:rsid w:val="007C1D5B"/>
    <w:rsid w:val="007C22AA"/>
    <w:rsid w:val="007C299B"/>
    <w:rsid w:val="007C49F1"/>
    <w:rsid w:val="007C4C27"/>
    <w:rsid w:val="007C5381"/>
    <w:rsid w:val="007C54B7"/>
    <w:rsid w:val="007D343C"/>
    <w:rsid w:val="007D53B4"/>
    <w:rsid w:val="007D5F86"/>
    <w:rsid w:val="007D7F5E"/>
    <w:rsid w:val="007E002A"/>
    <w:rsid w:val="007E07FB"/>
    <w:rsid w:val="007E162D"/>
    <w:rsid w:val="007E1F5D"/>
    <w:rsid w:val="007E366E"/>
    <w:rsid w:val="007E37C4"/>
    <w:rsid w:val="007E38E7"/>
    <w:rsid w:val="007E6F5A"/>
    <w:rsid w:val="007F03E7"/>
    <w:rsid w:val="007F1F91"/>
    <w:rsid w:val="007F21B9"/>
    <w:rsid w:val="007F332A"/>
    <w:rsid w:val="007F3A54"/>
    <w:rsid w:val="007F4E5A"/>
    <w:rsid w:val="007F4F56"/>
    <w:rsid w:val="007F570F"/>
    <w:rsid w:val="0080027D"/>
    <w:rsid w:val="00800B4A"/>
    <w:rsid w:val="00802F62"/>
    <w:rsid w:val="008031B8"/>
    <w:rsid w:val="008038ED"/>
    <w:rsid w:val="00805B91"/>
    <w:rsid w:val="00806337"/>
    <w:rsid w:val="00806DF2"/>
    <w:rsid w:val="008075A1"/>
    <w:rsid w:val="00810A66"/>
    <w:rsid w:val="008124BF"/>
    <w:rsid w:val="008131FD"/>
    <w:rsid w:val="0081435D"/>
    <w:rsid w:val="00814549"/>
    <w:rsid w:val="00815D7D"/>
    <w:rsid w:val="00821CF8"/>
    <w:rsid w:val="00823437"/>
    <w:rsid w:val="008248F2"/>
    <w:rsid w:val="0082556C"/>
    <w:rsid w:val="008270D5"/>
    <w:rsid w:val="008273E3"/>
    <w:rsid w:val="00827EF8"/>
    <w:rsid w:val="008307FA"/>
    <w:rsid w:val="0083206D"/>
    <w:rsid w:val="008359EF"/>
    <w:rsid w:val="00835BC1"/>
    <w:rsid w:val="00837061"/>
    <w:rsid w:val="008373FE"/>
    <w:rsid w:val="00840D85"/>
    <w:rsid w:val="00840F90"/>
    <w:rsid w:val="00842C8F"/>
    <w:rsid w:val="008445D4"/>
    <w:rsid w:val="0084473E"/>
    <w:rsid w:val="00845488"/>
    <w:rsid w:val="00845E29"/>
    <w:rsid w:val="00847D14"/>
    <w:rsid w:val="008516A2"/>
    <w:rsid w:val="00851B9D"/>
    <w:rsid w:val="0085298F"/>
    <w:rsid w:val="00860DB7"/>
    <w:rsid w:val="008628A1"/>
    <w:rsid w:val="00862AD3"/>
    <w:rsid w:val="00863B25"/>
    <w:rsid w:val="00866C03"/>
    <w:rsid w:val="00867761"/>
    <w:rsid w:val="00867A65"/>
    <w:rsid w:val="00870A33"/>
    <w:rsid w:val="00871A48"/>
    <w:rsid w:val="0087208A"/>
    <w:rsid w:val="0087241D"/>
    <w:rsid w:val="00872765"/>
    <w:rsid w:val="008759C2"/>
    <w:rsid w:val="008768F7"/>
    <w:rsid w:val="008810B9"/>
    <w:rsid w:val="00882E52"/>
    <w:rsid w:val="00883334"/>
    <w:rsid w:val="00886603"/>
    <w:rsid w:val="00886F5D"/>
    <w:rsid w:val="00887D70"/>
    <w:rsid w:val="00892A4D"/>
    <w:rsid w:val="00892C2C"/>
    <w:rsid w:val="00893278"/>
    <w:rsid w:val="00894E42"/>
    <w:rsid w:val="008A2FF2"/>
    <w:rsid w:val="008A37C6"/>
    <w:rsid w:val="008A434F"/>
    <w:rsid w:val="008A5A04"/>
    <w:rsid w:val="008A5A52"/>
    <w:rsid w:val="008B198B"/>
    <w:rsid w:val="008B1EEB"/>
    <w:rsid w:val="008B2337"/>
    <w:rsid w:val="008B367A"/>
    <w:rsid w:val="008B3859"/>
    <w:rsid w:val="008B3F9C"/>
    <w:rsid w:val="008B42AD"/>
    <w:rsid w:val="008B523D"/>
    <w:rsid w:val="008B6BA8"/>
    <w:rsid w:val="008B758B"/>
    <w:rsid w:val="008C2A4E"/>
    <w:rsid w:val="008C3162"/>
    <w:rsid w:val="008C36A3"/>
    <w:rsid w:val="008C4B12"/>
    <w:rsid w:val="008C4F30"/>
    <w:rsid w:val="008C504B"/>
    <w:rsid w:val="008C522D"/>
    <w:rsid w:val="008C5381"/>
    <w:rsid w:val="008C5CFA"/>
    <w:rsid w:val="008C5D46"/>
    <w:rsid w:val="008C64A4"/>
    <w:rsid w:val="008D0D0F"/>
    <w:rsid w:val="008D399C"/>
    <w:rsid w:val="008D5219"/>
    <w:rsid w:val="008D5F22"/>
    <w:rsid w:val="008E00F4"/>
    <w:rsid w:val="008E2131"/>
    <w:rsid w:val="008E45E6"/>
    <w:rsid w:val="008E7094"/>
    <w:rsid w:val="008E7E8A"/>
    <w:rsid w:val="008F1F7E"/>
    <w:rsid w:val="008F2BB7"/>
    <w:rsid w:val="008F40D0"/>
    <w:rsid w:val="008F44B2"/>
    <w:rsid w:val="008F5C92"/>
    <w:rsid w:val="008F76FE"/>
    <w:rsid w:val="00900787"/>
    <w:rsid w:val="00901C6B"/>
    <w:rsid w:val="00903A7F"/>
    <w:rsid w:val="009046BF"/>
    <w:rsid w:val="00905623"/>
    <w:rsid w:val="0090590F"/>
    <w:rsid w:val="00905E23"/>
    <w:rsid w:val="00910296"/>
    <w:rsid w:val="00911AA5"/>
    <w:rsid w:val="00914D88"/>
    <w:rsid w:val="00916EA7"/>
    <w:rsid w:val="00917FEC"/>
    <w:rsid w:val="009226C3"/>
    <w:rsid w:val="00923173"/>
    <w:rsid w:val="00925BD7"/>
    <w:rsid w:val="009269CD"/>
    <w:rsid w:val="00926C2F"/>
    <w:rsid w:val="00926DA5"/>
    <w:rsid w:val="00927F83"/>
    <w:rsid w:val="00930568"/>
    <w:rsid w:val="00930888"/>
    <w:rsid w:val="0093154F"/>
    <w:rsid w:val="00931633"/>
    <w:rsid w:val="00931AD5"/>
    <w:rsid w:val="00933C1C"/>
    <w:rsid w:val="00934709"/>
    <w:rsid w:val="00934A45"/>
    <w:rsid w:val="00935935"/>
    <w:rsid w:val="009359D2"/>
    <w:rsid w:val="00936987"/>
    <w:rsid w:val="0093765C"/>
    <w:rsid w:val="009401B3"/>
    <w:rsid w:val="009408A5"/>
    <w:rsid w:val="00940C4E"/>
    <w:rsid w:val="00940E98"/>
    <w:rsid w:val="009417D1"/>
    <w:rsid w:val="009427B7"/>
    <w:rsid w:val="0094385B"/>
    <w:rsid w:val="0094755A"/>
    <w:rsid w:val="00951564"/>
    <w:rsid w:val="00954078"/>
    <w:rsid w:val="00956F92"/>
    <w:rsid w:val="00960442"/>
    <w:rsid w:val="00960F17"/>
    <w:rsid w:val="009617D5"/>
    <w:rsid w:val="009629F4"/>
    <w:rsid w:val="00964508"/>
    <w:rsid w:val="009664A8"/>
    <w:rsid w:val="00967A80"/>
    <w:rsid w:val="0097227A"/>
    <w:rsid w:val="00972988"/>
    <w:rsid w:val="00972A56"/>
    <w:rsid w:val="00973273"/>
    <w:rsid w:val="009736B4"/>
    <w:rsid w:val="00974304"/>
    <w:rsid w:val="009760DB"/>
    <w:rsid w:val="00976EEE"/>
    <w:rsid w:val="00980242"/>
    <w:rsid w:val="0098135D"/>
    <w:rsid w:val="009832BD"/>
    <w:rsid w:val="009834BC"/>
    <w:rsid w:val="009853CD"/>
    <w:rsid w:val="00991993"/>
    <w:rsid w:val="0099608D"/>
    <w:rsid w:val="0099754D"/>
    <w:rsid w:val="009A30C0"/>
    <w:rsid w:val="009A3383"/>
    <w:rsid w:val="009A42E6"/>
    <w:rsid w:val="009A5FF4"/>
    <w:rsid w:val="009A6624"/>
    <w:rsid w:val="009B48F7"/>
    <w:rsid w:val="009B4A0A"/>
    <w:rsid w:val="009B4CCA"/>
    <w:rsid w:val="009B7C49"/>
    <w:rsid w:val="009C25BC"/>
    <w:rsid w:val="009C276D"/>
    <w:rsid w:val="009C3F16"/>
    <w:rsid w:val="009C4819"/>
    <w:rsid w:val="009C490D"/>
    <w:rsid w:val="009C632E"/>
    <w:rsid w:val="009C68BC"/>
    <w:rsid w:val="009D473E"/>
    <w:rsid w:val="009D49C1"/>
    <w:rsid w:val="009D4A4B"/>
    <w:rsid w:val="009D4B4C"/>
    <w:rsid w:val="009E060B"/>
    <w:rsid w:val="009E21D8"/>
    <w:rsid w:val="009E2EF5"/>
    <w:rsid w:val="009F11E6"/>
    <w:rsid w:val="009F14DA"/>
    <w:rsid w:val="009F1B87"/>
    <w:rsid w:val="009F1F40"/>
    <w:rsid w:val="009F5914"/>
    <w:rsid w:val="009F72A8"/>
    <w:rsid w:val="009F7A22"/>
    <w:rsid w:val="009F7A4C"/>
    <w:rsid w:val="00A001F3"/>
    <w:rsid w:val="00A03A00"/>
    <w:rsid w:val="00A03A1A"/>
    <w:rsid w:val="00A041BA"/>
    <w:rsid w:val="00A04247"/>
    <w:rsid w:val="00A04AAA"/>
    <w:rsid w:val="00A059EF"/>
    <w:rsid w:val="00A10C09"/>
    <w:rsid w:val="00A12359"/>
    <w:rsid w:val="00A1472C"/>
    <w:rsid w:val="00A14F55"/>
    <w:rsid w:val="00A14F62"/>
    <w:rsid w:val="00A15286"/>
    <w:rsid w:val="00A15581"/>
    <w:rsid w:val="00A16F9A"/>
    <w:rsid w:val="00A17CBD"/>
    <w:rsid w:val="00A20132"/>
    <w:rsid w:val="00A20B37"/>
    <w:rsid w:val="00A20C1C"/>
    <w:rsid w:val="00A23902"/>
    <w:rsid w:val="00A25223"/>
    <w:rsid w:val="00A25438"/>
    <w:rsid w:val="00A25714"/>
    <w:rsid w:val="00A25BC7"/>
    <w:rsid w:val="00A26273"/>
    <w:rsid w:val="00A3076E"/>
    <w:rsid w:val="00A321F5"/>
    <w:rsid w:val="00A33D3E"/>
    <w:rsid w:val="00A36783"/>
    <w:rsid w:val="00A370A5"/>
    <w:rsid w:val="00A40AFB"/>
    <w:rsid w:val="00A416A2"/>
    <w:rsid w:val="00A42174"/>
    <w:rsid w:val="00A43F38"/>
    <w:rsid w:val="00A44662"/>
    <w:rsid w:val="00A45707"/>
    <w:rsid w:val="00A45C3A"/>
    <w:rsid w:val="00A50552"/>
    <w:rsid w:val="00A51D79"/>
    <w:rsid w:val="00A520F1"/>
    <w:rsid w:val="00A535C2"/>
    <w:rsid w:val="00A56946"/>
    <w:rsid w:val="00A56B57"/>
    <w:rsid w:val="00A617F9"/>
    <w:rsid w:val="00A62640"/>
    <w:rsid w:val="00A63D3C"/>
    <w:rsid w:val="00A661E6"/>
    <w:rsid w:val="00A70753"/>
    <w:rsid w:val="00A70887"/>
    <w:rsid w:val="00A733E4"/>
    <w:rsid w:val="00A76C1E"/>
    <w:rsid w:val="00A80393"/>
    <w:rsid w:val="00A80F96"/>
    <w:rsid w:val="00A81FAE"/>
    <w:rsid w:val="00A82B13"/>
    <w:rsid w:val="00A83B3E"/>
    <w:rsid w:val="00A845A4"/>
    <w:rsid w:val="00A84ECD"/>
    <w:rsid w:val="00A85483"/>
    <w:rsid w:val="00A861D4"/>
    <w:rsid w:val="00A9264D"/>
    <w:rsid w:val="00A97864"/>
    <w:rsid w:val="00A978A0"/>
    <w:rsid w:val="00A97AC0"/>
    <w:rsid w:val="00AA13AC"/>
    <w:rsid w:val="00AA37C6"/>
    <w:rsid w:val="00AA5C2B"/>
    <w:rsid w:val="00AA64F0"/>
    <w:rsid w:val="00AA6680"/>
    <w:rsid w:val="00AA7D96"/>
    <w:rsid w:val="00AA7DCE"/>
    <w:rsid w:val="00AB0263"/>
    <w:rsid w:val="00AB14DE"/>
    <w:rsid w:val="00AB1551"/>
    <w:rsid w:val="00AB205C"/>
    <w:rsid w:val="00AB3418"/>
    <w:rsid w:val="00AB3756"/>
    <w:rsid w:val="00AB603E"/>
    <w:rsid w:val="00AB6909"/>
    <w:rsid w:val="00AB6AB9"/>
    <w:rsid w:val="00AC0162"/>
    <w:rsid w:val="00AC03D4"/>
    <w:rsid w:val="00AC0A4C"/>
    <w:rsid w:val="00AC2925"/>
    <w:rsid w:val="00AC435A"/>
    <w:rsid w:val="00AC5D76"/>
    <w:rsid w:val="00AC7056"/>
    <w:rsid w:val="00AD2051"/>
    <w:rsid w:val="00AD2839"/>
    <w:rsid w:val="00AD2C38"/>
    <w:rsid w:val="00AD3290"/>
    <w:rsid w:val="00AD4161"/>
    <w:rsid w:val="00AD4715"/>
    <w:rsid w:val="00AE1A6E"/>
    <w:rsid w:val="00AE1AD4"/>
    <w:rsid w:val="00AE6EFA"/>
    <w:rsid w:val="00AE7D07"/>
    <w:rsid w:val="00AF3567"/>
    <w:rsid w:val="00AF646C"/>
    <w:rsid w:val="00B00903"/>
    <w:rsid w:val="00B009A4"/>
    <w:rsid w:val="00B014C0"/>
    <w:rsid w:val="00B0165C"/>
    <w:rsid w:val="00B02133"/>
    <w:rsid w:val="00B02E63"/>
    <w:rsid w:val="00B0383A"/>
    <w:rsid w:val="00B03B22"/>
    <w:rsid w:val="00B0451F"/>
    <w:rsid w:val="00B0479B"/>
    <w:rsid w:val="00B04E02"/>
    <w:rsid w:val="00B062AD"/>
    <w:rsid w:val="00B07A6B"/>
    <w:rsid w:val="00B106BB"/>
    <w:rsid w:val="00B10B5E"/>
    <w:rsid w:val="00B11DB1"/>
    <w:rsid w:val="00B13281"/>
    <w:rsid w:val="00B159DA"/>
    <w:rsid w:val="00B173EB"/>
    <w:rsid w:val="00B17599"/>
    <w:rsid w:val="00B20430"/>
    <w:rsid w:val="00B20AFB"/>
    <w:rsid w:val="00B211EE"/>
    <w:rsid w:val="00B22122"/>
    <w:rsid w:val="00B2298F"/>
    <w:rsid w:val="00B22BDA"/>
    <w:rsid w:val="00B23028"/>
    <w:rsid w:val="00B23C22"/>
    <w:rsid w:val="00B254E9"/>
    <w:rsid w:val="00B25632"/>
    <w:rsid w:val="00B25841"/>
    <w:rsid w:val="00B27F4A"/>
    <w:rsid w:val="00B30216"/>
    <w:rsid w:val="00B30B7B"/>
    <w:rsid w:val="00B34B38"/>
    <w:rsid w:val="00B408CE"/>
    <w:rsid w:val="00B41513"/>
    <w:rsid w:val="00B41C1E"/>
    <w:rsid w:val="00B44CCD"/>
    <w:rsid w:val="00B46061"/>
    <w:rsid w:val="00B4751D"/>
    <w:rsid w:val="00B50F3A"/>
    <w:rsid w:val="00B519C0"/>
    <w:rsid w:val="00B520CC"/>
    <w:rsid w:val="00B5234E"/>
    <w:rsid w:val="00B52851"/>
    <w:rsid w:val="00B53F1B"/>
    <w:rsid w:val="00B54658"/>
    <w:rsid w:val="00B55341"/>
    <w:rsid w:val="00B566D3"/>
    <w:rsid w:val="00B63C9E"/>
    <w:rsid w:val="00B6439A"/>
    <w:rsid w:val="00B65A91"/>
    <w:rsid w:val="00B66310"/>
    <w:rsid w:val="00B66787"/>
    <w:rsid w:val="00B70232"/>
    <w:rsid w:val="00B7362A"/>
    <w:rsid w:val="00B73B34"/>
    <w:rsid w:val="00B744AF"/>
    <w:rsid w:val="00B75D81"/>
    <w:rsid w:val="00B762DB"/>
    <w:rsid w:val="00B8405D"/>
    <w:rsid w:val="00B86C74"/>
    <w:rsid w:val="00B877C9"/>
    <w:rsid w:val="00B8785C"/>
    <w:rsid w:val="00B9066E"/>
    <w:rsid w:val="00B90D90"/>
    <w:rsid w:val="00B93A2C"/>
    <w:rsid w:val="00BA08F7"/>
    <w:rsid w:val="00BA0EAC"/>
    <w:rsid w:val="00BA13E5"/>
    <w:rsid w:val="00BA1BEE"/>
    <w:rsid w:val="00BA4CE3"/>
    <w:rsid w:val="00BA7108"/>
    <w:rsid w:val="00BB1F1B"/>
    <w:rsid w:val="00BB2F77"/>
    <w:rsid w:val="00BB3138"/>
    <w:rsid w:val="00BB3A0C"/>
    <w:rsid w:val="00BB3EFA"/>
    <w:rsid w:val="00BB433A"/>
    <w:rsid w:val="00BB4930"/>
    <w:rsid w:val="00BB565D"/>
    <w:rsid w:val="00BB66CC"/>
    <w:rsid w:val="00BB6E3D"/>
    <w:rsid w:val="00BB7E3B"/>
    <w:rsid w:val="00BC01E8"/>
    <w:rsid w:val="00BC033D"/>
    <w:rsid w:val="00BC15E2"/>
    <w:rsid w:val="00BC1A68"/>
    <w:rsid w:val="00BC38DD"/>
    <w:rsid w:val="00BC3EAE"/>
    <w:rsid w:val="00BC4808"/>
    <w:rsid w:val="00BC7326"/>
    <w:rsid w:val="00BC77C3"/>
    <w:rsid w:val="00BD03DE"/>
    <w:rsid w:val="00BD1627"/>
    <w:rsid w:val="00BD1876"/>
    <w:rsid w:val="00BD6541"/>
    <w:rsid w:val="00BD7B7E"/>
    <w:rsid w:val="00BE10EC"/>
    <w:rsid w:val="00BE1A3E"/>
    <w:rsid w:val="00BE1B6C"/>
    <w:rsid w:val="00BE2E9E"/>
    <w:rsid w:val="00BE3D1A"/>
    <w:rsid w:val="00BE6771"/>
    <w:rsid w:val="00BE7BF9"/>
    <w:rsid w:val="00BF1BE2"/>
    <w:rsid w:val="00BF5EBA"/>
    <w:rsid w:val="00BF6128"/>
    <w:rsid w:val="00BF7BDE"/>
    <w:rsid w:val="00BF7C64"/>
    <w:rsid w:val="00C010AD"/>
    <w:rsid w:val="00C02150"/>
    <w:rsid w:val="00C02F1E"/>
    <w:rsid w:val="00C039E9"/>
    <w:rsid w:val="00C07081"/>
    <w:rsid w:val="00C07CF8"/>
    <w:rsid w:val="00C11CD1"/>
    <w:rsid w:val="00C173FE"/>
    <w:rsid w:val="00C201F6"/>
    <w:rsid w:val="00C23842"/>
    <w:rsid w:val="00C25047"/>
    <w:rsid w:val="00C26F83"/>
    <w:rsid w:val="00C30FE5"/>
    <w:rsid w:val="00C31391"/>
    <w:rsid w:val="00C317F0"/>
    <w:rsid w:val="00C323F0"/>
    <w:rsid w:val="00C33C69"/>
    <w:rsid w:val="00C34229"/>
    <w:rsid w:val="00C34952"/>
    <w:rsid w:val="00C41786"/>
    <w:rsid w:val="00C43257"/>
    <w:rsid w:val="00C439B8"/>
    <w:rsid w:val="00C43F79"/>
    <w:rsid w:val="00C4578C"/>
    <w:rsid w:val="00C45FDA"/>
    <w:rsid w:val="00C47ADF"/>
    <w:rsid w:val="00C50173"/>
    <w:rsid w:val="00C50A79"/>
    <w:rsid w:val="00C517FF"/>
    <w:rsid w:val="00C51BB4"/>
    <w:rsid w:val="00C54093"/>
    <w:rsid w:val="00C546B4"/>
    <w:rsid w:val="00C54F04"/>
    <w:rsid w:val="00C55EBF"/>
    <w:rsid w:val="00C5672B"/>
    <w:rsid w:val="00C57081"/>
    <w:rsid w:val="00C604F4"/>
    <w:rsid w:val="00C60DD8"/>
    <w:rsid w:val="00C61B99"/>
    <w:rsid w:val="00C62E04"/>
    <w:rsid w:val="00C63EF5"/>
    <w:rsid w:val="00C64E93"/>
    <w:rsid w:val="00C667B9"/>
    <w:rsid w:val="00C714EF"/>
    <w:rsid w:val="00C7235F"/>
    <w:rsid w:val="00C72C1B"/>
    <w:rsid w:val="00C76CB2"/>
    <w:rsid w:val="00C77DAC"/>
    <w:rsid w:val="00C80567"/>
    <w:rsid w:val="00C815D7"/>
    <w:rsid w:val="00C8325B"/>
    <w:rsid w:val="00C84FFF"/>
    <w:rsid w:val="00C8533A"/>
    <w:rsid w:val="00C86532"/>
    <w:rsid w:val="00C871E1"/>
    <w:rsid w:val="00C92E5A"/>
    <w:rsid w:val="00C964AA"/>
    <w:rsid w:val="00CA1672"/>
    <w:rsid w:val="00CA3A3F"/>
    <w:rsid w:val="00CA3C95"/>
    <w:rsid w:val="00CA7D6A"/>
    <w:rsid w:val="00CB252F"/>
    <w:rsid w:val="00CB3B2D"/>
    <w:rsid w:val="00CB5812"/>
    <w:rsid w:val="00CB67F5"/>
    <w:rsid w:val="00CB6820"/>
    <w:rsid w:val="00CC0458"/>
    <w:rsid w:val="00CC1298"/>
    <w:rsid w:val="00CC5586"/>
    <w:rsid w:val="00CC5970"/>
    <w:rsid w:val="00CC793C"/>
    <w:rsid w:val="00CC7DC9"/>
    <w:rsid w:val="00CD0DBE"/>
    <w:rsid w:val="00CD1FFC"/>
    <w:rsid w:val="00CD57DB"/>
    <w:rsid w:val="00CE267E"/>
    <w:rsid w:val="00CE34D1"/>
    <w:rsid w:val="00CE3C7F"/>
    <w:rsid w:val="00CE4AF6"/>
    <w:rsid w:val="00CE4DD1"/>
    <w:rsid w:val="00CE53E3"/>
    <w:rsid w:val="00CE57AD"/>
    <w:rsid w:val="00CE58C6"/>
    <w:rsid w:val="00CE692E"/>
    <w:rsid w:val="00CE6AEA"/>
    <w:rsid w:val="00CE72BE"/>
    <w:rsid w:val="00CE730D"/>
    <w:rsid w:val="00CF0414"/>
    <w:rsid w:val="00CF315D"/>
    <w:rsid w:val="00CF33BE"/>
    <w:rsid w:val="00CF37E6"/>
    <w:rsid w:val="00CF529B"/>
    <w:rsid w:val="00CF5746"/>
    <w:rsid w:val="00CF628B"/>
    <w:rsid w:val="00CF641A"/>
    <w:rsid w:val="00CF6D24"/>
    <w:rsid w:val="00D002B7"/>
    <w:rsid w:val="00D0245E"/>
    <w:rsid w:val="00D02F65"/>
    <w:rsid w:val="00D030F2"/>
    <w:rsid w:val="00D043F9"/>
    <w:rsid w:val="00D12564"/>
    <w:rsid w:val="00D16614"/>
    <w:rsid w:val="00D169BB"/>
    <w:rsid w:val="00D202A8"/>
    <w:rsid w:val="00D20631"/>
    <w:rsid w:val="00D2095A"/>
    <w:rsid w:val="00D2143B"/>
    <w:rsid w:val="00D2192C"/>
    <w:rsid w:val="00D21B6E"/>
    <w:rsid w:val="00D232C1"/>
    <w:rsid w:val="00D23792"/>
    <w:rsid w:val="00D261FE"/>
    <w:rsid w:val="00D27E8B"/>
    <w:rsid w:val="00D314AA"/>
    <w:rsid w:val="00D323BF"/>
    <w:rsid w:val="00D32429"/>
    <w:rsid w:val="00D328F2"/>
    <w:rsid w:val="00D33DA0"/>
    <w:rsid w:val="00D35CDA"/>
    <w:rsid w:val="00D40723"/>
    <w:rsid w:val="00D41C56"/>
    <w:rsid w:val="00D435B7"/>
    <w:rsid w:val="00D43C90"/>
    <w:rsid w:val="00D44256"/>
    <w:rsid w:val="00D448DF"/>
    <w:rsid w:val="00D4642C"/>
    <w:rsid w:val="00D46A84"/>
    <w:rsid w:val="00D4740D"/>
    <w:rsid w:val="00D4798F"/>
    <w:rsid w:val="00D55A7C"/>
    <w:rsid w:val="00D56EA5"/>
    <w:rsid w:val="00D579E6"/>
    <w:rsid w:val="00D60854"/>
    <w:rsid w:val="00D6193E"/>
    <w:rsid w:val="00D63D29"/>
    <w:rsid w:val="00D642A8"/>
    <w:rsid w:val="00D6435D"/>
    <w:rsid w:val="00D660DF"/>
    <w:rsid w:val="00D66FE8"/>
    <w:rsid w:val="00D708EF"/>
    <w:rsid w:val="00D70E14"/>
    <w:rsid w:val="00D71464"/>
    <w:rsid w:val="00D72B30"/>
    <w:rsid w:val="00D72FE1"/>
    <w:rsid w:val="00D7326B"/>
    <w:rsid w:val="00D75258"/>
    <w:rsid w:val="00D75727"/>
    <w:rsid w:val="00D768D7"/>
    <w:rsid w:val="00D7768A"/>
    <w:rsid w:val="00D810E9"/>
    <w:rsid w:val="00D823C8"/>
    <w:rsid w:val="00D857B8"/>
    <w:rsid w:val="00D904B8"/>
    <w:rsid w:val="00D9104C"/>
    <w:rsid w:val="00D93AAA"/>
    <w:rsid w:val="00D94E35"/>
    <w:rsid w:val="00D951D3"/>
    <w:rsid w:val="00D95284"/>
    <w:rsid w:val="00D95D9C"/>
    <w:rsid w:val="00D960C4"/>
    <w:rsid w:val="00D96F84"/>
    <w:rsid w:val="00D96F9C"/>
    <w:rsid w:val="00D97266"/>
    <w:rsid w:val="00D97C5F"/>
    <w:rsid w:val="00D97DD9"/>
    <w:rsid w:val="00DA11A0"/>
    <w:rsid w:val="00DA289E"/>
    <w:rsid w:val="00DA3AE1"/>
    <w:rsid w:val="00DA3EE7"/>
    <w:rsid w:val="00DA5C69"/>
    <w:rsid w:val="00DB1262"/>
    <w:rsid w:val="00DB175C"/>
    <w:rsid w:val="00DB2CA6"/>
    <w:rsid w:val="00DB32E8"/>
    <w:rsid w:val="00DB3870"/>
    <w:rsid w:val="00DB7764"/>
    <w:rsid w:val="00DC090C"/>
    <w:rsid w:val="00DC0F66"/>
    <w:rsid w:val="00DC30E1"/>
    <w:rsid w:val="00DC5033"/>
    <w:rsid w:val="00DC61EB"/>
    <w:rsid w:val="00DD53B3"/>
    <w:rsid w:val="00DD556D"/>
    <w:rsid w:val="00DD58C9"/>
    <w:rsid w:val="00DD5CED"/>
    <w:rsid w:val="00DE05A9"/>
    <w:rsid w:val="00DE0FC1"/>
    <w:rsid w:val="00DE247B"/>
    <w:rsid w:val="00DE2B43"/>
    <w:rsid w:val="00DE2CC8"/>
    <w:rsid w:val="00DE3144"/>
    <w:rsid w:val="00DE34B6"/>
    <w:rsid w:val="00DE3DCF"/>
    <w:rsid w:val="00DE60FC"/>
    <w:rsid w:val="00DF0655"/>
    <w:rsid w:val="00DF130F"/>
    <w:rsid w:val="00DF1947"/>
    <w:rsid w:val="00DF3122"/>
    <w:rsid w:val="00DF6631"/>
    <w:rsid w:val="00DF7AC4"/>
    <w:rsid w:val="00E00985"/>
    <w:rsid w:val="00E00A80"/>
    <w:rsid w:val="00E02D0C"/>
    <w:rsid w:val="00E03C65"/>
    <w:rsid w:val="00E0610C"/>
    <w:rsid w:val="00E07BAD"/>
    <w:rsid w:val="00E103D8"/>
    <w:rsid w:val="00E12159"/>
    <w:rsid w:val="00E12C1E"/>
    <w:rsid w:val="00E12C34"/>
    <w:rsid w:val="00E137FD"/>
    <w:rsid w:val="00E142AD"/>
    <w:rsid w:val="00E1550F"/>
    <w:rsid w:val="00E15BD6"/>
    <w:rsid w:val="00E16506"/>
    <w:rsid w:val="00E2780D"/>
    <w:rsid w:val="00E304A3"/>
    <w:rsid w:val="00E32BDF"/>
    <w:rsid w:val="00E32F11"/>
    <w:rsid w:val="00E338FD"/>
    <w:rsid w:val="00E3486A"/>
    <w:rsid w:val="00E4143F"/>
    <w:rsid w:val="00E425CD"/>
    <w:rsid w:val="00E42E95"/>
    <w:rsid w:val="00E43CA4"/>
    <w:rsid w:val="00E44497"/>
    <w:rsid w:val="00E508CE"/>
    <w:rsid w:val="00E5113F"/>
    <w:rsid w:val="00E51853"/>
    <w:rsid w:val="00E540BA"/>
    <w:rsid w:val="00E551EE"/>
    <w:rsid w:val="00E640FA"/>
    <w:rsid w:val="00E64200"/>
    <w:rsid w:val="00E66C6D"/>
    <w:rsid w:val="00E70809"/>
    <w:rsid w:val="00E7277C"/>
    <w:rsid w:val="00E730B1"/>
    <w:rsid w:val="00E733F8"/>
    <w:rsid w:val="00E73AD0"/>
    <w:rsid w:val="00E742A8"/>
    <w:rsid w:val="00E74FFE"/>
    <w:rsid w:val="00E7618E"/>
    <w:rsid w:val="00E80065"/>
    <w:rsid w:val="00E809B8"/>
    <w:rsid w:val="00E8107D"/>
    <w:rsid w:val="00E8466A"/>
    <w:rsid w:val="00E8479E"/>
    <w:rsid w:val="00E86343"/>
    <w:rsid w:val="00E87ED3"/>
    <w:rsid w:val="00E9519F"/>
    <w:rsid w:val="00E96732"/>
    <w:rsid w:val="00E96CC6"/>
    <w:rsid w:val="00EA0722"/>
    <w:rsid w:val="00EA0E89"/>
    <w:rsid w:val="00EA12EA"/>
    <w:rsid w:val="00EA17A1"/>
    <w:rsid w:val="00EA3D05"/>
    <w:rsid w:val="00EA3FB1"/>
    <w:rsid w:val="00EB13EB"/>
    <w:rsid w:val="00EB31A9"/>
    <w:rsid w:val="00EB3663"/>
    <w:rsid w:val="00EB4F69"/>
    <w:rsid w:val="00EB6BD4"/>
    <w:rsid w:val="00EB766A"/>
    <w:rsid w:val="00EC09E6"/>
    <w:rsid w:val="00EC1B08"/>
    <w:rsid w:val="00EC2873"/>
    <w:rsid w:val="00EC2D22"/>
    <w:rsid w:val="00EC47C3"/>
    <w:rsid w:val="00EC50CA"/>
    <w:rsid w:val="00EC67BB"/>
    <w:rsid w:val="00EC6956"/>
    <w:rsid w:val="00EC6983"/>
    <w:rsid w:val="00EC6D6D"/>
    <w:rsid w:val="00ED38CD"/>
    <w:rsid w:val="00ED3E49"/>
    <w:rsid w:val="00EE180C"/>
    <w:rsid w:val="00EE22ED"/>
    <w:rsid w:val="00EE30FE"/>
    <w:rsid w:val="00EE4274"/>
    <w:rsid w:val="00EE5586"/>
    <w:rsid w:val="00EE673D"/>
    <w:rsid w:val="00EF0BC2"/>
    <w:rsid w:val="00EF3522"/>
    <w:rsid w:val="00EF3557"/>
    <w:rsid w:val="00EF544A"/>
    <w:rsid w:val="00EF54A2"/>
    <w:rsid w:val="00EF57D8"/>
    <w:rsid w:val="00F012F0"/>
    <w:rsid w:val="00F03BE9"/>
    <w:rsid w:val="00F040CA"/>
    <w:rsid w:val="00F04CCD"/>
    <w:rsid w:val="00F05A4E"/>
    <w:rsid w:val="00F05E34"/>
    <w:rsid w:val="00F071D3"/>
    <w:rsid w:val="00F07E07"/>
    <w:rsid w:val="00F1028B"/>
    <w:rsid w:val="00F10501"/>
    <w:rsid w:val="00F11055"/>
    <w:rsid w:val="00F13AF7"/>
    <w:rsid w:val="00F167A7"/>
    <w:rsid w:val="00F16E16"/>
    <w:rsid w:val="00F174E2"/>
    <w:rsid w:val="00F209AA"/>
    <w:rsid w:val="00F213A2"/>
    <w:rsid w:val="00F214E3"/>
    <w:rsid w:val="00F235ED"/>
    <w:rsid w:val="00F2438F"/>
    <w:rsid w:val="00F244CE"/>
    <w:rsid w:val="00F25F23"/>
    <w:rsid w:val="00F26C8E"/>
    <w:rsid w:val="00F328B2"/>
    <w:rsid w:val="00F35902"/>
    <w:rsid w:val="00F3672E"/>
    <w:rsid w:val="00F36BF5"/>
    <w:rsid w:val="00F43072"/>
    <w:rsid w:val="00F440FE"/>
    <w:rsid w:val="00F44F5A"/>
    <w:rsid w:val="00F45478"/>
    <w:rsid w:val="00F45AF3"/>
    <w:rsid w:val="00F466B4"/>
    <w:rsid w:val="00F46E74"/>
    <w:rsid w:val="00F47903"/>
    <w:rsid w:val="00F50CD8"/>
    <w:rsid w:val="00F52B81"/>
    <w:rsid w:val="00F55881"/>
    <w:rsid w:val="00F561F9"/>
    <w:rsid w:val="00F61575"/>
    <w:rsid w:val="00F626FF"/>
    <w:rsid w:val="00F62839"/>
    <w:rsid w:val="00F642EA"/>
    <w:rsid w:val="00F64E73"/>
    <w:rsid w:val="00F651C6"/>
    <w:rsid w:val="00F65EBB"/>
    <w:rsid w:val="00F66E03"/>
    <w:rsid w:val="00F701B5"/>
    <w:rsid w:val="00F70F24"/>
    <w:rsid w:val="00F7108B"/>
    <w:rsid w:val="00F7121B"/>
    <w:rsid w:val="00F718BE"/>
    <w:rsid w:val="00F72AF3"/>
    <w:rsid w:val="00F74846"/>
    <w:rsid w:val="00F75C4B"/>
    <w:rsid w:val="00F7776F"/>
    <w:rsid w:val="00F802AC"/>
    <w:rsid w:val="00F802F1"/>
    <w:rsid w:val="00F80C92"/>
    <w:rsid w:val="00F8107C"/>
    <w:rsid w:val="00F811F4"/>
    <w:rsid w:val="00F81C49"/>
    <w:rsid w:val="00F84519"/>
    <w:rsid w:val="00F86C76"/>
    <w:rsid w:val="00F87DC3"/>
    <w:rsid w:val="00F87DF9"/>
    <w:rsid w:val="00F90540"/>
    <w:rsid w:val="00F92C02"/>
    <w:rsid w:val="00F9387B"/>
    <w:rsid w:val="00F94601"/>
    <w:rsid w:val="00F950A6"/>
    <w:rsid w:val="00F978F0"/>
    <w:rsid w:val="00F97F79"/>
    <w:rsid w:val="00FA0B98"/>
    <w:rsid w:val="00FA0E38"/>
    <w:rsid w:val="00FA3449"/>
    <w:rsid w:val="00FA3BBE"/>
    <w:rsid w:val="00FA3D7E"/>
    <w:rsid w:val="00FA5437"/>
    <w:rsid w:val="00FA64DA"/>
    <w:rsid w:val="00FA6848"/>
    <w:rsid w:val="00FA6B43"/>
    <w:rsid w:val="00FB2824"/>
    <w:rsid w:val="00FB4131"/>
    <w:rsid w:val="00FB49BE"/>
    <w:rsid w:val="00FB569F"/>
    <w:rsid w:val="00FB5BEB"/>
    <w:rsid w:val="00FB758E"/>
    <w:rsid w:val="00FC1DD5"/>
    <w:rsid w:val="00FC3D9C"/>
    <w:rsid w:val="00FC3DC7"/>
    <w:rsid w:val="00FC4B48"/>
    <w:rsid w:val="00FC622D"/>
    <w:rsid w:val="00FC7961"/>
    <w:rsid w:val="00FD024D"/>
    <w:rsid w:val="00FD07DE"/>
    <w:rsid w:val="00FD07F2"/>
    <w:rsid w:val="00FD0B43"/>
    <w:rsid w:val="00FD2BE0"/>
    <w:rsid w:val="00FD2E0D"/>
    <w:rsid w:val="00FD4C29"/>
    <w:rsid w:val="00FD6F2D"/>
    <w:rsid w:val="00FD785D"/>
    <w:rsid w:val="00FE1C79"/>
    <w:rsid w:val="00FE26DB"/>
    <w:rsid w:val="00FE5A21"/>
    <w:rsid w:val="00FE7103"/>
    <w:rsid w:val="00FF0034"/>
    <w:rsid w:val="00FF00CD"/>
    <w:rsid w:val="00FF0933"/>
    <w:rsid w:val="00FF1997"/>
    <w:rsid w:val="00FF43AD"/>
    <w:rsid w:val="00FF5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F22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caption" w:semiHidden="1" w:uiPriority="35"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234E"/>
  </w:style>
  <w:style w:type="paragraph" w:styleId="Heading1">
    <w:name w:val="heading 1"/>
    <w:basedOn w:val="Normal"/>
    <w:next w:val="Normal"/>
    <w:qFormat/>
    <w:rsid w:val="000902B4"/>
    <w:pPr>
      <w:keepNext/>
      <w:numPr>
        <w:numId w:val="3"/>
      </w:numPr>
      <w:spacing w:before="720" w:after="240"/>
      <w:jc w:val="center"/>
      <w:outlineLvl w:val="0"/>
    </w:pPr>
    <w:rPr>
      <w:rFonts w:cs="Arial"/>
      <w:b/>
      <w:bCs/>
      <w:caps/>
      <w:kern w:val="32"/>
      <w:sz w:val="32"/>
      <w:szCs w:val="32"/>
    </w:rPr>
  </w:style>
  <w:style w:type="paragraph" w:styleId="Heading2">
    <w:name w:val="heading 2"/>
    <w:basedOn w:val="Normal"/>
    <w:next w:val="Normal"/>
    <w:qFormat/>
    <w:rsid w:val="00B5234E"/>
    <w:pPr>
      <w:keepNext/>
      <w:keepLines/>
      <w:numPr>
        <w:numId w:val="7"/>
      </w:numPr>
      <w:spacing w:before="120" w:after="240"/>
      <w:jc w:val="center"/>
      <w:outlineLvl w:val="1"/>
    </w:pPr>
    <w:rPr>
      <w:rFonts w:cs="Arial"/>
      <w:b/>
      <w:bCs/>
      <w:iCs/>
      <w:smallCaps/>
      <w:szCs w:val="28"/>
    </w:rPr>
  </w:style>
  <w:style w:type="paragraph" w:styleId="Heading3">
    <w:name w:val="heading 3"/>
    <w:basedOn w:val="Normal"/>
    <w:next w:val="Normal"/>
    <w:qFormat/>
    <w:rsid w:val="00B5234E"/>
    <w:pPr>
      <w:keepNext/>
      <w:keepLines/>
      <w:spacing w:before="120" w:after="240"/>
      <w:outlineLvl w:val="2"/>
    </w:pPr>
    <w:rPr>
      <w:rFonts w:cs="Arial"/>
      <w:b/>
      <w:bCs/>
      <w:szCs w:val="26"/>
    </w:rPr>
  </w:style>
  <w:style w:type="paragraph" w:styleId="Heading4">
    <w:name w:val="heading 4"/>
    <w:basedOn w:val="Normal"/>
    <w:next w:val="Normal"/>
    <w:qFormat/>
    <w:rsid w:val="00B5234E"/>
    <w:pPr>
      <w:keepNext/>
      <w:keepLines/>
      <w:spacing w:before="120" w:after="24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rsid w:val="00B53F1B"/>
    <w:pPr>
      <w:tabs>
        <w:tab w:val="left" w:pos="720"/>
        <w:tab w:val="left" w:pos="1008"/>
      </w:tabs>
      <w:spacing w:after="240"/>
      <w:jc w:val="both"/>
      <w:outlineLvl w:val="1"/>
    </w:pPr>
  </w:style>
  <w:style w:type="paragraph" w:styleId="Footer">
    <w:name w:val="footer"/>
    <w:basedOn w:val="Normal"/>
    <w:rsid w:val="00B5234E"/>
    <w:pPr>
      <w:tabs>
        <w:tab w:val="center" w:pos="4320"/>
        <w:tab w:val="right" w:pos="8640"/>
      </w:tabs>
    </w:pPr>
  </w:style>
  <w:style w:type="character" w:styleId="PageNumber">
    <w:name w:val="page number"/>
    <w:basedOn w:val="DefaultParagraphFont"/>
    <w:rsid w:val="00B5234E"/>
  </w:style>
  <w:style w:type="table" w:styleId="TableGrid">
    <w:name w:val="Table Grid"/>
    <w:basedOn w:val="TableNormal"/>
    <w:uiPriority w:val="59"/>
    <w:rsid w:val="00B52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a">
    <w:name w:val="Heading 1a"/>
    <w:basedOn w:val="Normal"/>
    <w:next w:val="Normal"/>
    <w:rsid w:val="00113271"/>
    <w:pPr>
      <w:keepNext/>
      <w:keepLines/>
      <w:numPr>
        <w:numId w:val="2"/>
      </w:numPr>
      <w:spacing w:before="720" w:after="240"/>
      <w:jc w:val="center"/>
      <w:outlineLvl w:val="0"/>
    </w:pPr>
    <w:rPr>
      <w:b/>
      <w:caps/>
      <w:sz w:val="32"/>
    </w:rPr>
  </w:style>
  <w:style w:type="paragraph" w:customStyle="1" w:styleId="Sub-Para1underX">
    <w:name w:val="Sub-Para 1 under X."/>
    <w:basedOn w:val="Normal"/>
    <w:rsid w:val="00B5234E"/>
    <w:pPr>
      <w:numPr>
        <w:ilvl w:val="2"/>
        <w:numId w:val="2"/>
      </w:numPr>
      <w:spacing w:after="240"/>
      <w:outlineLvl w:val="2"/>
    </w:pPr>
  </w:style>
  <w:style w:type="paragraph" w:customStyle="1" w:styleId="Sub-Para2underX">
    <w:name w:val="Sub-Para 2 under X."/>
    <w:basedOn w:val="Normal"/>
    <w:rsid w:val="00B5234E"/>
    <w:pPr>
      <w:numPr>
        <w:ilvl w:val="3"/>
        <w:numId w:val="2"/>
      </w:numPr>
      <w:spacing w:after="240"/>
      <w:outlineLvl w:val="3"/>
    </w:pPr>
  </w:style>
  <w:style w:type="paragraph" w:customStyle="1" w:styleId="Sub-Para3underX">
    <w:name w:val="Sub-Para 3 under X."/>
    <w:basedOn w:val="Normal"/>
    <w:rsid w:val="00B5234E"/>
    <w:pPr>
      <w:numPr>
        <w:ilvl w:val="4"/>
        <w:numId w:val="2"/>
      </w:numPr>
      <w:spacing w:after="240"/>
      <w:outlineLvl w:val="4"/>
    </w:pPr>
  </w:style>
  <w:style w:type="paragraph" w:customStyle="1" w:styleId="Sub-Para4underX">
    <w:name w:val="Sub-Para 4 under X."/>
    <w:basedOn w:val="Normal"/>
    <w:rsid w:val="00B5234E"/>
    <w:pPr>
      <w:numPr>
        <w:ilvl w:val="5"/>
        <w:numId w:val="2"/>
      </w:numPr>
      <w:spacing w:after="240"/>
      <w:outlineLvl w:val="5"/>
    </w:pPr>
  </w:style>
  <w:style w:type="paragraph" w:styleId="TOC1">
    <w:name w:val="toc 1"/>
    <w:basedOn w:val="Normal"/>
    <w:next w:val="Normal"/>
    <w:uiPriority w:val="39"/>
    <w:rsid w:val="00B5234E"/>
    <w:pPr>
      <w:tabs>
        <w:tab w:val="left" w:pos="288"/>
        <w:tab w:val="right" w:leader="dot" w:pos="8630"/>
      </w:tabs>
      <w:spacing w:before="120"/>
    </w:pPr>
  </w:style>
  <w:style w:type="paragraph" w:styleId="TOC2">
    <w:name w:val="toc 2"/>
    <w:basedOn w:val="Normal"/>
    <w:next w:val="Normal"/>
    <w:autoRedefine/>
    <w:uiPriority w:val="39"/>
    <w:rsid w:val="00B5234E"/>
    <w:pPr>
      <w:tabs>
        <w:tab w:val="left" w:pos="720"/>
        <w:tab w:val="left" w:pos="1008"/>
        <w:tab w:val="right" w:leader="dot" w:pos="8630"/>
      </w:tabs>
      <w:ind w:left="288"/>
    </w:pPr>
    <w:rPr>
      <w:smallCaps/>
    </w:rPr>
  </w:style>
  <w:style w:type="paragraph" w:styleId="TOC3">
    <w:name w:val="toc 3"/>
    <w:basedOn w:val="Normal"/>
    <w:next w:val="Normal"/>
    <w:autoRedefine/>
    <w:semiHidden/>
    <w:rsid w:val="00B5234E"/>
    <w:pPr>
      <w:tabs>
        <w:tab w:val="left" w:pos="1008"/>
        <w:tab w:val="right" w:leader="dot" w:pos="8630"/>
      </w:tabs>
      <w:ind w:left="1008"/>
    </w:pPr>
  </w:style>
  <w:style w:type="paragraph" w:styleId="TOC4">
    <w:name w:val="toc 4"/>
    <w:basedOn w:val="Normal"/>
    <w:next w:val="Normal"/>
    <w:autoRedefine/>
    <w:semiHidden/>
    <w:rsid w:val="00B5234E"/>
    <w:pPr>
      <w:tabs>
        <w:tab w:val="right" w:leader="dot" w:pos="8630"/>
      </w:tabs>
      <w:ind w:left="1296"/>
    </w:pPr>
    <w:rPr>
      <w:i/>
    </w:rPr>
  </w:style>
  <w:style w:type="paragraph" w:customStyle="1" w:styleId="MainParanoChapter">
    <w:name w:val="Main Para no Chapter #"/>
    <w:basedOn w:val="Normal"/>
    <w:rsid w:val="00B5234E"/>
    <w:pPr>
      <w:numPr>
        <w:ilvl w:val="1"/>
        <w:numId w:val="2"/>
      </w:numPr>
      <w:spacing w:after="240"/>
      <w:outlineLvl w:val="1"/>
    </w:pPr>
  </w:style>
  <w:style w:type="paragraph" w:customStyle="1" w:styleId="MainParawithChapter">
    <w:name w:val="Main Para with Chapter#"/>
    <w:basedOn w:val="Normal"/>
    <w:rsid w:val="00B5234E"/>
    <w:pPr>
      <w:numPr>
        <w:ilvl w:val="1"/>
        <w:numId w:val="3"/>
      </w:numPr>
      <w:spacing w:after="240"/>
      <w:outlineLvl w:val="1"/>
    </w:pPr>
  </w:style>
  <w:style w:type="paragraph" w:customStyle="1" w:styleId="Sub-Para1underXY">
    <w:name w:val="Sub-Para 1 under X.Y"/>
    <w:basedOn w:val="Normal"/>
    <w:rsid w:val="00B5234E"/>
    <w:pPr>
      <w:numPr>
        <w:ilvl w:val="2"/>
        <w:numId w:val="3"/>
      </w:numPr>
      <w:spacing w:after="240"/>
      <w:outlineLvl w:val="2"/>
    </w:pPr>
  </w:style>
  <w:style w:type="paragraph" w:customStyle="1" w:styleId="Sub-Para2underXY">
    <w:name w:val="Sub-Para 2 under X.Y"/>
    <w:basedOn w:val="Normal"/>
    <w:rsid w:val="00B5234E"/>
    <w:pPr>
      <w:numPr>
        <w:ilvl w:val="3"/>
        <w:numId w:val="3"/>
      </w:numPr>
      <w:spacing w:after="240"/>
      <w:ind w:left="2160" w:hanging="720"/>
      <w:outlineLvl w:val="3"/>
    </w:pPr>
  </w:style>
  <w:style w:type="paragraph" w:customStyle="1" w:styleId="Sub-Para3underXY">
    <w:name w:val="Sub-Para 3 under X.Y"/>
    <w:basedOn w:val="Normal"/>
    <w:rsid w:val="00B5234E"/>
    <w:pPr>
      <w:numPr>
        <w:ilvl w:val="4"/>
        <w:numId w:val="3"/>
      </w:numPr>
      <w:spacing w:after="240"/>
      <w:outlineLvl w:val="4"/>
    </w:pPr>
  </w:style>
  <w:style w:type="paragraph" w:customStyle="1" w:styleId="Sub-Para4underXY">
    <w:name w:val="Sub-Para 4 under X.Y"/>
    <w:basedOn w:val="Normal"/>
    <w:rsid w:val="00B5234E"/>
    <w:pPr>
      <w:numPr>
        <w:ilvl w:val="5"/>
        <w:numId w:val="3"/>
      </w:numPr>
      <w:spacing w:after="240"/>
      <w:outlineLvl w:val="5"/>
    </w:pPr>
  </w:style>
  <w:style w:type="paragraph" w:customStyle="1" w:styleId="Bullet">
    <w:name w:val="Bullet"/>
    <w:basedOn w:val="Normal"/>
    <w:rsid w:val="009C490D"/>
    <w:pPr>
      <w:numPr>
        <w:numId w:val="4"/>
      </w:numPr>
      <w:tabs>
        <w:tab w:val="clear" w:pos="1440"/>
      </w:tabs>
      <w:spacing w:after="240"/>
      <w:ind w:left="1080" w:hanging="360"/>
    </w:pPr>
  </w:style>
  <w:style w:type="paragraph" w:styleId="FootnoteText">
    <w:name w:val="footnote text"/>
    <w:basedOn w:val="Normal"/>
    <w:link w:val="FootnoteTextChar"/>
    <w:uiPriority w:val="99"/>
    <w:rsid w:val="00B5234E"/>
    <w:pPr>
      <w:spacing w:after="60"/>
      <w:jc w:val="both"/>
    </w:pPr>
    <w:rPr>
      <w:sz w:val="20"/>
      <w:szCs w:val="20"/>
    </w:rPr>
  </w:style>
  <w:style w:type="character" w:styleId="FootnoteReference">
    <w:name w:val="footnote reference"/>
    <w:basedOn w:val="DefaultParagraphFont"/>
    <w:uiPriority w:val="99"/>
    <w:rsid w:val="00B5234E"/>
    <w:rPr>
      <w:vertAlign w:val="superscript"/>
    </w:rPr>
  </w:style>
  <w:style w:type="paragraph" w:styleId="BalloonText">
    <w:name w:val="Balloon Text"/>
    <w:basedOn w:val="Normal"/>
    <w:link w:val="BalloonTextChar"/>
    <w:uiPriority w:val="99"/>
    <w:rsid w:val="009664A8"/>
    <w:rPr>
      <w:rFonts w:ascii="Lucida Grande" w:hAnsi="Lucida Grande"/>
      <w:sz w:val="18"/>
      <w:szCs w:val="18"/>
    </w:rPr>
  </w:style>
  <w:style w:type="character" w:customStyle="1" w:styleId="BalloonTextChar">
    <w:name w:val="Balloon Text Char"/>
    <w:basedOn w:val="DefaultParagraphFont"/>
    <w:link w:val="BalloonText"/>
    <w:uiPriority w:val="99"/>
    <w:rsid w:val="009664A8"/>
    <w:rPr>
      <w:rFonts w:ascii="Lucida Grande" w:hAnsi="Lucida Grande"/>
      <w:sz w:val="18"/>
      <w:szCs w:val="18"/>
    </w:rPr>
  </w:style>
  <w:style w:type="character" w:styleId="Hyperlink">
    <w:name w:val="Hyperlink"/>
    <w:basedOn w:val="DefaultParagraphFont"/>
    <w:uiPriority w:val="99"/>
    <w:unhideWhenUsed/>
    <w:rsid w:val="00BB433A"/>
    <w:rPr>
      <w:color w:val="0000FF" w:themeColor="hyperlink"/>
      <w:u w:val="single"/>
    </w:rPr>
  </w:style>
  <w:style w:type="character" w:styleId="CommentReference">
    <w:name w:val="annotation reference"/>
    <w:basedOn w:val="DefaultParagraphFont"/>
    <w:uiPriority w:val="99"/>
    <w:rsid w:val="00CE267E"/>
    <w:rPr>
      <w:sz w:val="18"/>
      <w:szCs w:val="18"/>
    </w:rPr>
  </w:style>
  <w:style w:type="paragraph" w:styleId="CommentText">
    <w:name w:val="annotation text"/>
    <w:basedOn w:val="Normal"/>
    <w:link w:val="CommentTextChar"/>
    <w:uiPriority w:val="99"/>
    <w:rsid w:val="00CE267E"/>
  </w:style>
  <w:style w:type="character" w:customStyle="1" w:styleId="CommentTextChar">
    <w:name w:val="Comment Text Char"/>
    <w:basedOn w:val="DefaultParagraphFont"/>
    <w:link w:val="CommentText"/>
    <w:uiPriority w:val="99"/>
    <w:rsid w:val="00CE267E"/>
    <w:rPr>
      <w:sz w:val="24"/>
      <w:szCs w:val="24"/>
    </w:rPr>
  </w:style>
  <w:style w:type="paragraph" w:styleId="CommentSubject">
    <w:name w:val="annotation subject"/>
    <w:basedOn w:val="CommentText"/>
    <w:next w:val="CommentText"/>
    <w:link w:val="CommentSubjectChar"/>
    <w:rsid w:val="00CE267E"/>
    <w:rPr>
      <w:b/>
      <w:bCs/>
      <w:sz w:val="20"/>
      <w:szCs w:val="20"/>
    </w:rPr>
  </w:style>
  <w:style w:type="character" w:customStyle="1" w:styleId="CommentSubjectChar">
    <w:name w:val="Comment Subject Char"/>
    <w:basedOn w:val="CommentTextChar"/>
    <w:link w:val="CommentSubject"/>
    <w:rsid w:val="00CE267E"/>
    <w:rPr>
      <w:b/>
      <w:bCs/>
      <w:sz w:val="24"/>
      <w:szCs w:val="24"/>
    </w:rPr>
  </w:style>
  <w:style w:type="paragraph" w:styleId="Caption">
    <w:name w:val="caption"/>
    <w:basedOn w:val="Normal"/>
    <w:next w:val="Normal"/>
    <w:uiPriority w:val="35"/>
    <w:unhideWhenUsed/>
    <w:qFormat/>
    <w:rsid w:val="00C86532"/>
    <w:pPr>
      <w:spacing w:after="200"/>
    </w:pPr>
    <w:rPr>
      <w:rFonts w:asciiTheme="minorHAnsi" w:eastAsiaTheme="minorEastAsia" w:hAnsiTheme="minorHAnsi" w:cstheme="minorBidi"/>
      <w:b/>
      <w:bCs/>
      <w:color w:val="4F81BD" w:themeColor="accent1"/>
      <w:sz w:val="18"/>
      <w:szCs w:val="18"/>
      <w:lang w:eastAsia="de-DE"/>
    </w:rPr>
  </w:style>
  <w:style w:type="character" w:customStyle="1" w:styleId="FootnoteTextChar">
    <w:name w:val="Footnote Text Char"/>
    <w:basedOn w:val="DefaultParagraphFont"/>
    <w:link w:val="FootnoteText"/>
    <w:uiPriority w:val="99"/>
    <w:rsid w:val="00BF6128"/>
  </w:style>
  <w:style w:type="character" w:customStyle="1" w:styleId="field-content">
    <w:name w:val="field-content"/>
    <w:basedOn w:val="DefaultParagraphFont"/>
    <w:rsid w:val="00B34B38"/>
  </w:style>
  <w:style w:type="character" w:customStyle="1" w:styleId="notexvalue">
    <w:name w:val="notex_value"/>
    <w:basedOn w:val="DefaultParagraphFont"/>
    <w:rsid w:val="0010102D"/>
  </w:style>
  <w:style w:type="paragraph" w:styleId="TOC5">
    <w:name w:val="toc 5"/>
    <w:basedOn w:val="Normal"/>
    <w:next w:val="Normal"/>
    <w:autoRedefine/>
    <w:rsid w:val="002A6065"/>
    <w:pPr>
      <w:ind w:left="960"/>
    </w:pPr>
  </w:style>
  <w:style w:type="paragraph" w:styleId="TOC6">
    <w:name w:val="toc 6"/>
    <w:basedOn w:val="Normal"/>
    <w:next w:val="Normal"/>
    <w:autoRedefine/>
    <w:rsid w:val="002A6065"/>
    <w:pPr>
      <w:ind w:left="1200"/>
    </w:pPr>
  </w:style>
  <w:style w:type="paragraph" w:styleId="TOC7">
    <w:name w:val="toc 7"/>
    <w:basedOn w:val="Normal"/>
    <w:next w:val="Normal"/>
    <w:autoRedefine/>
    <w:rsid w:val="002A6065"/>
    <w:pPr>
      <w:ind w:left="1440"/>
    </w:pPr>
  </w:style>
  <w:style w:type="paragraph" w:styleId="TOC8">
    <w:name w:val="toc 8"/>
    <w:basedOn w:val="Normal"/>
    <w:next w:val="Normal"/>
    <w:autoRedefine/>
    <w:rsid w:val="002A6065"/>
    <w:pPr>
      <w:ind w:left="1680"/>
    </w:pPr>
  </w:style>
  <w:style w:type="paragraph" w:styleId="TOC9">
    <w:name w:val="toc 9"/>
    <w:basedOn w:val="Normal"/>
    <w:next w:val="Normal"/>
    <w:autoRedefine/>
    <w:rsid w:val="002A6065"/>
    <w:pPr>
      <w:ind w:left="1920"/>
    </w:pPr>
  </w:style>
  <w:style w:type="paragraph" w:styleId="ListParagraph">
    <w:name w:val="List Paragraph"/>
    <w:basedOn w:val="Normal"/>
    <w:uiPriority w:val="34"/>
    <w:qFormat/>
    <w:rsid w:val="00593B5E"/>
    <w:pPr>
      <w:ind w:left="720"/>
      <w:contextualSpacing/>
    </w:pPr>
  </w:style>
  <w:style w:type="character" w:styleId="FollowedHyperlink">
    <w:name w:val="FollowedHyperlink"/>
    <w:basedOn w:val="DefaultParagraphFont"/>
    <w:rsid w:val="006324EF"/>
    <w:rPr>
      <w:color w:val="800080" w:themeColor="followedHyperlink"/>
      <w:u w:val="single"/>
    </w:rPr>
  </w:style>
  <w:style w:type="paragraph" w:styleId="Header">
    <w:name w:val="header"/>
    <w:basedOn w:val="Normal"/>
    <w:link w:val="HeaderChar"/>
    <w:rsid w:val="00B0479B"/>
    <w:pPr>
      <w:tabs>
        <w:tab w:val="center" w:pos="4536"/>
        <w:tab w:val="right" w:pos="9072"/>
      </w:tabs>
    </w:pPr>
  </w:style>
  <w:style w:type="character" w:customStyle="1" w:styleId="HeaderChar">
    <w:name w:val="Header Char"/>
    <w:basedOn w:val="DefaultParagraphFont"/>
    <w:link w:val="Header"/>
    <w:rsid w:val="00B0479B"/>
  </w:style>
  <w:style w:type="paragraph" w:styleId="TableofFigures">
    <w:name w:val="table of figures"/>
    <w:basedOn w:val="Normal"/>
    <w:next w:val="Normal"/>
    <w:uiPriority w:val="99"/>
    <w:rsid w:val="0011031A"/>
    <w:pPr>
      <w:ind w:left="480" w:hanging="480"/>
    </w:pPr>
  </w:style>
  <w:style w:type="paragraph" w:customStyle="1" w:styleId="Default">
    <w:name w:val="Default"/>
    <w:rsid w:val="00F071D3"/>
    <w:pPr>
      <w:autoSpaceDE w:val="0"/>
      <w:autoSpaceDN w:val="0"/>
      <w:adjustRightInd w:val="0"/>
    </w:pPr>
    <w:rPr>
      <w:color w:val="000000"/>
    </w:rPr>
  </w:style>
  <w:style w:type="paragraph" w:styleId="Revision">
    <w:name w:val="Revision"/>
    <w:hidden/>
    <w:uiPriority w:val="99"/>
    <w:semiHidden/>
    <w:rsid w:val="00183F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caption" w:semiHidden="1" w:uiPriority="35"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234E"/>
  </w:style>
  <w:style w:type="paragraph" w:styleId="Heading1">
    <w:name w:val="heading 1"/>
    <w:basedOn w:val="Normal"/>
    <w:next w:val="Normal"/>
    <w:qFormat/>
    <w:rsid w:val="000902B4"/>
    <w:pPr>
      <w:keepNext/>
      <w:numPr>
        <w:numId w:val="3"/>
      </w:numPr>
      <w:spacing w:before="720" w:after="240"/>
      <w:jc w:val="center"/>
      <w:outlineLvl w:val="0"/>
    </w:pPr>
    <w:rPr>
      <w:rFonts w:cs="Arial"/>
      <w:b/>
      <w:bCs/>
      <w:caps/>
      <w:kern w:val="32"/>
      <w:sz w:val="32"/>
      <w:szCs w:val="32"/>
    </w:rPr>
  </w:style>
  <w:style w:type="paragraph" w:styleId="Heading2">
    <w:name w:val="heading 2"/>
    <w:basedOn w:val="Normal"/>
    <w:next w:val="Normal"/>
    <w:qFormat/>
    <w:rsid w:val="00B5234E"/>
    <w:pPr>
      <w:keepNext/>
      <w:keepLines/>
      <w:numPr>
        <w:numId w:val="7"/>
      </w:numPr>
      <w:spacing w:before="120" w:after="240"/>
      <w:jc w:val="center"/>
      <w:outlineLvl w:val="1"/>
    </w:pPr>
    <w:rPr>
      <w:rFonts w:cs="Arial"/>
      <w:b/>
      <w:bCs/>
      <w:iCs/>
      <w:smallCaps/>
      <w:szCs w:val="28"/>
    </w:rPr>
  </w:style>
  <w:style w:type="paragraph" w:styleId="Heading3">
    <w:name w:val="heading 3"/>
    <w:basedOn w:val="Normal"/>
    <w:next w:val="Normal"/>
    <w:qFormat/>
    <w:rsid w:val="00B5234E"/>
    <w:pPr>
      <w:keepNext/>
      <w:keepLines/>
      <w:spacing w:before="120" w:after="240"/>
      <w:outlineLvl w:val="2"/>
    </w:pPr>
    <w:rPr>
      <w:rFonts w:cs="Arial"/>
      <w:b/>
      <w:bCs/>
      <w:szCs w:val="26"/>
    </w:rPr>
  </w:style>
  <w:style w:type="paragraph" w:styleId="Heading4">
    <w:name w:val="heading 4"/>
    <w:basedOn w:val="Normal"/>
    <w:next w:val="Normal"/>
    <w:qFormat/>
    <w:rsid w:val="00B5234E"/>
    <w:pPr>
      <w:keepNext/>
      <w:keepLines/>
      <w:spacing w:before="120" w:after="24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rsid w:val="00B53F1B"/>
    <w:pPr>
      <w:tabs>
        <w:tab w:val="left" w:pos="720"/>
        <w:tab w:val="left" w:pos="1008"/>
      </w:tabs>
      <w:spacing w:after="240"/>
      <w:jc w:val="both"/>
      <w:outlineLvl w:val="1"/>
    </w:pPr>
  </w:style>
  <w:style w:type="paragraph" w:styleId="Footer">
    <w:name w:val="footer"/>
    <w:basedOn w:val="Normal"/>
    <w:rsid w:val="00B5234E"/>
    <w:pPr>
      <w:tabs>
        <w:tab w:val="center" w:pos="4320"/>
        <w:tab w:val="right" w:pos="8640"/>
      </w:tabs>
    </w:pPr>
  </w:style>
  <w:style w:type="character" w:styleId="PageNumber">
    <w:name w:val="page number"/>
    <w:basedOn w:val="DefaultParagraphFont"/>
    <w:rsid w:val="00B5234E"/>
  </w:style>
  <w:style w:type="table" w:styleId="TableGrid">
    <w:name w:val="Table Grid"/>
    <w:basedOn w:val="TableNormal"/>
    <w:uiPriority w:val="59"/>
    <w:rsid w:val="00B52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a">
    <w:name w:val="Heading 1a"/>
    <w:basedOn w:val="Normal"/>
    <w:next w:val="Normal"/>
    <w:rsid w:val="00113271"/>
    <w:pPr>
      <w:keepNext/>
      <w:keepLines/>
      <w:numPr>
        <w:numId w:val="2"/>
      </w:numPr>
      <w:spacing w:before="720" w:after="240"/>
      <w:jc w:val="center"/>
      <w:outlineLvl w:val="0"/>
    </w:pPr>
    <w:rPr>
      <w:b/>
      <w:caps/>
      <w:sz w:val="32"/>
    </w:rPr>
  </w:style>
  <w:style w:type="paragraph" w:customStyle="1" w:styleId="Sub-Para1underX">
    <w:name w:val="Sub-Para 1 under X."/>
    <w:basedOn w:val="Normal"/>
    <w:rsid w:val="00B5234E"/>
    <w:pPr>
      <w:numPr>
        <w:ilvl w:val="2"/>
        <w:numId w:val="2"/>
      </w:numPr>
      <w:spacing w:after="240"/>
      <w:outlineLvl w:val="2"/>
    </w:pPr>
  </w:style>
  <w:style w:type="paragraph" w:customStyle="1" w:styleId="Sub-Para2underX">
    <w:name w:val="Sub-Para 2 under X."/>
    <w:basedOn w:val="Normal"/>
    <w:rsid w:val="00B5234E"/>
    <w:pPr>
      <w:numPr>
        <w:ilvl w:val="3"/>
        <w:numId w:val="2"/>
      </w:numPr>
      <w:spacing w:after="240"/>
      <w:outlineLvl w:val="3"/>
    </w:pPr>
  </w:style>
  <w:style w:type="paragraph" w:customStyle="1" w:styleId="Sub-Para3underX">
    <w:name w:val="Sub-Para 3 under X."/>
    <w:basedOn w:val="Normal"/>
    <w:rsid w:val="00B5234E"/>
    <w:pPr>
      <w:numPr>
        <w:ilvl w:val="4"/>
        <w:numId w:val="2"/>
      </w:numPr>
      <w:spacing w:after="240"/>
      <w:outlineLvl w:val="4"/>
    </w:pPr>
  </w:style>
  <w:style w:type="paragraph" w:customStyle="1" w:styleId="Sub-Para4underX">
    <w:name w:val="Sub-Para 4 under X."/>
    <w:basedOn w:val="Normal"/>
    <w:rsid w:val="00B5234E"/>
    <w:pPr>
      <w:numPr>
        <w:ilvl w:val="5"/>
        <w:numId w:val="2"/>
      </w:numPr>
      <w:spacing w:after="240"/>
      <w:outlineLvl w:val="5"/>
    </w:pPr>
  </w:style>
  <w:style w:type="paragraph" w:styleId="TOC1">
    <w:name w:val="toc 1"/>
    <w:basedOn w:val="Normal"/>
    <w:next w:val="Normal"/>
    <w:uiPriority w:val="39"/>
    <w:rsid w:val="00B5234E"/>
    <w:pPr>
      <w:tabs>
        <w:tab w:val="left" w:pos="288"/>
        <w:tab w:val="right" w:leader="dot" w:pos="8630"/>
      </w:tabs>
      <w:spacing w:before="120"/>
    </w:pPr>
  </w:style>
  <w:style w:type="paragraph" w:styleId="TOC2">
    <w:name w:val="toc 2"/>
    <w:basedOn w:val="Normal"/>
    <w:next w:val="Normal"/>
    <w:autoRedefine/>
    <w:uiPriority w:val="39"/>
    <w:rsid w:val="00B5234E"/>
    <w:pPr>
      <w:tabs>
        <w:tab w:val="left" w:pos="720"/>
        <w:tab w:val="left" w:pos="1008"/>
        <w:tab w:val="right" w:leader="dot" w:pos="8630"/>
      </w:tabs>
      <w:ind w:left="288"/>
    </w:pPr>
    <w:rPr>
      <w:smallCaps/>
    </w:rPr>
  </w:style>
  <w:style w:type="paragraph" w:styleId="TOC3">
    <w:name w:val="toc 3"/>
    <w:basedOn w:val="Normal"/>
    <w:next w:val="Normal"/>
    <w:autoRedefine/>
    <w:semiHidden/>
    <w:rsid w:val="00B5234E"/>
    <w:pPr>
      <w:tabs>
        <w:tab w:val="left" w:pos="1008"/>
        <w:tab w:val="right" w:leader="dot" w:pos="8630"/>
      </w:tabs>
      <w:ind w:left="1008"/>
    </w:pPr>
  </w:style>
  <w:style w:type="paragraph" w:styleId="TOC4">
    <w:name w:val="toc 4"/>
    <w:basedOn w:val="Normal"/>
    <w:next w:val="Normal"/>
    <w:autoRedefine/>
    <w:semiHidden/>
    <w:rsid w:val="00B5234E"/>
    <w:pPr>
      <w:tabs>
        <w:tab w:val="right" w:leader="dot" w:pos="8630"/>
      </w:tabs>
      <w:ind w:left="1296"/>
    </w:pPr>
    <w:rPr>
      <w:i/>
    </w:rPr>
  </w:style>
  <w:style w:type="paragraph" w:customStyle="1" w:styleId="MainParanoChapter">
    <w:name w:val="Main Para no Chapter #"/>
    <w:basedOn w:val="Normal"/>
    <w:rsid w:val="00B5234E"/>
    <w:pPr>
      <w:numPr>
        <w:ilvl w:val="1"/>
        <w:numId w:val="2"/>
      </w:numPr>
      <w:spacing w:after="240"/>
      <w:outlineLvl w:val="1"/>
    </w:pPr>
  </w:style>
  <w:style w:type="paragraph" w:customStyle="1" w:styleId="MainParawithChapter">
    <w:name w:val="Main Para with Chapter#"/>
    <w:basedOn w:val="Normal"/>
    <w:rsid w:val="00B5234E"/>
    <w:pPr>
      <w:numPr>
        <w:ilvl w:val="1"/>
        <w:numId w:val="3"/>
      </w:numPr>
      <w:spacing w:after="240"/>
      <w:outlineLvl w:val="1"/>
    </w:pPr>
  </w:style>
  <w:style w:type="paragraph" w:customStyle="1" w:styleId="Sub-Para1underXY">
    <w:name w:val="Sub-Para 1 under X.Y"/>
    <w:basedOn w:val="Normal"/>
    <w:rsid w:val="00B5234E"/>
    <w:pPr>
      <w:numPr>
        <w:ilvl w:val="2"/>
        <w:numId w:val="3"/>
      </w:numPr>
      <w:spacing w:after="240"/>
      <w:outlineLvl w:val="2"/>
    </w:pPr>
  </w:style>
  <w:style w:type="paragraph" w:customStyle="1" w:styleId="Sub-Para2underXY">
    <w:name w:val="Sub-Para 2 under X.Y"/>
    <w:basedOn w:val="Normal"/>
    <w:rsid w:val="00B5234E"/>
    <w:pPr>
      <w:numPr>
        <w:ilvl w:val="3"/>
        <w:numId w:val="3"/>
      </w:numPr>
      <w:spacing w:after="240"/>
      <w:ind w:left="2160" w:hanging="720"/>
      <w:outlineLvl w:val="3"/>
    </w:pPr>
  </w:style>
  <w:style w:type="paragraph" w:customStyle="1" w:styleId="Sub-Para3underXY">
    <w:name w:val="Sub-Para 3 under X.Y"/>
    <w:basedOn w:val="Normal"/>
    <w:rsid w:val="00B5234E"/>
    <w:pPr>
      <w:numPr>
        <w:ilvl w:val="4"/>
        <w:numId w:val="3"/>
      </w:numPr>
      <w:spacing w:after="240"/>
      <w:outlineLvl w:val="4"/>
    </w:pPr>
  </w:style>
  <w:style w:type="paragraph" w:customStyle="1" w:styleId="Sub-Para4underXY">
    <w:name w:val="Sub-Para 4 under X.Y"/>
    <w:basedOn w:val="Normal"/>
    <w:rsid w:val="00B5234E"/>
    <w:pPr>
      <w:numPr>
        <w:ilvl w:val="5"/>
        <w:numId w:val="3"/>
      </w:numPr>
      <w:spacing w:after="240"/>
      <w:outlineLvl w:val="5"/>
    </w:pPr>
  </w:style>
  <w:style w:type="paragraph" w:customStyle="1" w:styleId="Bullet">
    <w:name w:val="Bullet"/>
    <w:basedOn w:val="Normal"/>
    <w:rsid w:val="009C490D"/>
    <w:pPr>
      <w:numPr>
        <w:numId w:val="4"/>
      </w:numPr>
      <w:tabs>
        <w:tab w:val="clear" w:pos="1440"/>
      </w:tabs>
      <w:spacing w:after="240"/>
      <w:ind w:left="1080" w:hanging="360"/>
    </w:pPr>
  </w:style>
  <w:style w:type="paragraph" w:styleId="FootnoteText">
    <w:name w:val="footnote text"/>
    <w:basedOn w:val="Normal"/>
    <w:link w:val="FootnoteTextChar"/>
    <w:uiPriority w:val="99"/>
    <w:rsid w:val="00B5234E"/>
    <w:pPr>
      <w:spacing w:after="60"/>
      <w:jc w:val="both"/>
    </w:pPr>
    <w:rPr>
      <w:sz w:val="20"/>
      <w:szCs w:val="20"/>
    </w:rPr>
  </w:style>
  <w:style w:type="character" w:styleId="FootnoteReference">
    <w:name w:val="footnote reference"/>
    <w:basedOn w:val="DefaultParagraphFont"/>
    <w:uiPriority w:val="99"/>
    <w:rsid w:val="00B5234E"/>
    <w:rPr>
      <w:vertAlign w:val="superscript"/>
    </w:rPr>
  </w:style>
  <w:style w:type="paragraph" w:styleId="BalloonText">
    <w:name w:val="Balloon Text"/>
    <w:basedOn w:val="Normal"/>
    <w:link w:val="BalloonTextChar"/>
    <w:uiPriority w:val="99"/>
    <w:rsid w:val="009664A8"/>
    <w:rPr>
      <w:rFonts w:ascii="Lucida Grande" w:hAnsi="Lucida Grande"/>
      <w:sz w:val="18"/>
      <w:szCs w:val="18"/>
    </w:rPr>
  </w:style>
  <w:style w:type="character" w:customStyle="1" w:styleId="BalloonTextChar">
    <w:name w:val="Balloon Text Char"/>
    <w:basedOn w:val="DefaultParagraphFont"/>
    <w:link w:val="BalloonText"/>
    <w:uiPriority w:val="99"/>
    <w:rsid w:val="009664A8"/>
    <w:rPr>
      <w:rFonts w:ascii="Lucida Grande" w:hAnsi="Lucida Grande"/>
      <w:sz w:val="18"/>
      <w:szCs w:val="18"/>
    </w:rPr>
  </w:style>
  <w:style w:type="character" w:styleId="Hyperlink">
    <w:name w:val="Hyperlink"/>
    <w:basedOn w:val="DefaultParagraphFont"/>
    <w:uiPriority w:val="99"/>
    <w:unhideWhenUsed/>
    <w:rsid w:val="00BB433A"/>
    <w:rPr>
      <w:color w:val="0000FF" w:themeColor="hyperlink"/>
      <w:u w:val="single"/>
    </w:rPr>
  </w:style>
  <w:style w:type="character" w:styleId="CommentReference">
    <w:name w:val="annotation reference"/>
    <w:basedOn w:val="DefaultParagraphFont"/>
    <w:uiPriority w:val="99"/>
    <w:rsid w:val="00CE267E"/>
    <w:rPr>
      <w:sz w:val="18"/>
      <w:szCs w:val="18"/>
    </w:rPr>
  </w:style>
  <w:style w:type="paragraph" w:styleId="CommentText">
    <w:name w:val="annotation text"/>
    <w:basedOn w:val="Normal"/>
    <w:link w:val="CommentTextChar"/>
    <w:uiPriority w:val="99"/>
    <w:rsid w:val="00CE267E"/>
  </w:style>
  <w:style w:type="character" w:customStyle="1" w:styleId="CommentTextChar">
    <w:name w:val="Comment Text Char"/>
    <w:basedOn w:val="DefaultParagraphFont"/>
    <w:link w:val="CommentText"/>
    <w:uiPriority w:val="99"/>
    <w:rsid w:val="00CE267E"/>
    <w:rPr>
      <w:sz w:val="24"/>
      <w:szCs w:val="24"/>
    </w:rPr>
  </w:style>
  <w:style w:type="paragraph" w:styleId="CommentSubject">
    <w:name w:val="annotation subject"/>
    <w:basedOn w:val="CommentText"/>
    <w:next w:val="CommentText"/>
    <w:link w:val="CommentSubjectChar"/>
    <w:rsid w:val="00CE267E"/>
    <w:rPr>
      <w:b/>
      <w:bCs/>
      <w:sz w:val="20"/>
      <w:szCs w:val="20"/>
    </w:rPr>
  </w:style>
  <w:style w:type="character" w:customStyle="1" w:styleId="CommentSubjectChar">
    <w:name w:val="Comment Subject Char"/>
    <w:basedOn w:val="CommentTextChar"/>
    <w:link w:val="CommentSubject"/>
    <w:rsid w:val="00CE267E"/>
    <w:rPr>
      <w:b/>
      <w:bCs/>
      <w:sz w:val="24"/>
      <w:szCs w:val="24"/>
    </w:rPr>
  </w:style>
  <w:style w:type="paragraph" w:styleId="Caption">
    <w:name w:val="caption"/>
    <w:basedOn w:val="Normal"/>
    <w:next w:val="Normal"/>
    <w:uiPriority w:val="35"/>
    <w:unhideWhenUsed/>
    <w:qFormat/>
    <w:rsid w:val="00C86532"/>
    <w:pPr>
      <w:spacing w:after="200"/>
    </w:pPr>
    <w:rPr>
      <w:rFonts w:asciiTheme="minorHAnsi" w:eastAsiaTheme="minorEastAsia" w:hAnsiTheme="minorHAnsi" w:cstheme="minorBidi"/>
      <w:b/>
      <w:bCs/>
      <w:color w:val="4F81BD" w:themeColor="accent1"/>
      <w:sz w:val="18"/>
      <w:szCs w:val="18"/>
      <w:lang w:eastAsia="de-DE"/>
    </w:rPr>
  </w:style>
  <w:style w:type="character" w:customStyle="1" w:styleId="FootnoteTextChar">
    <w:name w:val="Footnote Text Char"/>
    <w:basedOn w:val="DefaultParagraphFont"/>
    <w:link w:val="FootnoteText"/>
    <w:uiPriority w:val="99"/>
    <w:rsid w:val="00BF6128"/>
  </w:style>
  <w:style w:type="character" w:customStyle="1" w:styleId="field-content">
    <w:name w:val="field-content"/>
    <w:basedOn w:val="DefaultParagraphFont"/>
    <w:rsid w:val="00B34B38"/>
  </w:style>
  <w:style w:type="character" w:customStyle="1" w:styleId="notexvalue">
    <w:name w:val="notex_value"/>
    <w:basedOn w:val="DefaultParagraphFont"/>
    <w:rsid w:val="0010102D"/>
  </w:style>
  <w:style w:type="paragraph" w:styleId="TOC5">
    <w:name w:val="toc 5"/>
    <w:basedOn w:val="Normal"/>
    <w:next w:val="Normal"/>
    <w:autoRedefine/>
    <w:rsid w:val="002A6065"/>
    <w:pPr>
      <w:ind w:left="960"/>
    </w:pPr>
  </w:style>
  <w:style w:type="paragraph" w:styleId="TOC6">
    <w:name w:val="toc 6"/>
    <w:basedOn w:val="Normal"/>
    <w:next w:val="Normal"/>
    <w:autoRedefine/>
    <w:rsid w:val="002A6065"/>
    <w:pPr>
      <w:ind w:left="1200"/>
    </w:pPr>
  </w:style>
  <w:style w:type="paragraph" w:styleId="TOC7">
    <w:name w:val="toc 7"/>
    <w:basedOn w:val="Normal"/>
    <w:next w:val="Normal"/>
    <w:autoRedefine/>
    <w:rsid w:val="002A6065"/>
    <w:pPr>
      <w:ind w:left="1440"/>
    </w:pPr>
  </w:style>
  <w:style w:type="paragraph" w:styleId="TOC8">
    <w:name w:val="toc 8"/>
    <w:basedOn w:val="Normal"/>
    <w:next w:val="Normal"/>
    <w:autoRedefine/>
    <w:rsid w:val="002A6065"/>
    <w:pPr>
      <w:ind w:left="1680"/>
    </w:pPr>
  </w:style>
  <w:style w:type="paragraph" w:styleId="TOC9">
    <w:name w:val="toc 9"/>
    <w:basedOn w:val="Normal"/>
    <w:next w:val="Normal"/>
    <w:autoRedefine/>
    <w:rsid w:val="002A6065"/>
    <w:pPr>
      <w:ind w:left="1920"/>
    </w:pPr>
  </w:style>
  <w:style w:type="paragraph" w:styleId="ListParagraph">
    <w:name w:val="List Paragraph"/>
    <w:basedOn w:val="Normal"/>
    <w:uiPriority w:val="34"/>
    <w:qFormat/>
    <w:rsid w:val="00593B5E"/>
    <w:pPr>
      <w:ind w:left="720"/>
      <w:contextualSpacing/>
    </w:pPr>
  </w:style>
  <w:style w:type="character" w:styleId="FollowedHyperlink">
    <w:name w:val="FollowedHyperlink"/>
    <w:basedOn w:val="DefaultParagraphFont"/>
    <w:rsid w:val="006324EF"/>
    <w:rPr>
      <w:color w:val="800080" w:themeColor="followedHyperlink"/>
      <w:u w:val="single"/>
    </w:rPr>
  </w:style>
  <w:style w:type="paragraph" w:styleId="Header">
    <w:name w:val="header"/>
    <w:basedOn w:val="Normal"/>
    <w:link w:val="HeaderChar"/>
    <w:rsid w:val="00B0479B"/>
    <w:pPr>
      <w:tabs>
        <w:tab w:val="center" w:pos="4536"/>
        <w:tab w:val="right" w:pos="9072"/>
      </w:tabs>
    </w:pPr>
  </w:style>
  <w:style w:type="character" w:customStyle="1" w:styleId="HeaderChar">
    <w:name w:val="Header Char"/>
    <w:basedOn w:val="DefaultParagraphFont"/>
    <w:link w:val="Header"/>
    <w:rsid w:val="00B0479B"/>
  </w:style>
  <w:style w:type="paragraph" w:styleId="TableofFigures">
    <w:name w:val="table of figures"/>
    <w:basedOn w:val="Normal"/>
    <w:next w:val="Normal"/>
    <w:uiPriority w:val="99"/>
    <w:rsid w:val="0011031A"/>
    <w:pPr>
      <w:ind w:left="480" w:hanging="480"/>
    </w:pPr>
  </w:style>
  <w:style w:type="paragraph" w:customStyle="1" w:styleId="Default">
    <w:name w:val="Default"/>
    <w:rsid w:val="00F071D3"/>
    <w:pPr>
      <w:autoSpaceDE w:val="0"/>
      <w:autoSpaceDN w:val="0"/>
      <w:adjustRightInd w:val="0"/>
    </w:pPr>
    <w:rPr>
      <w:color w:val="000000"/>
    </w:rPr>
  </w:style>
  <w:style w:type="paragraph" w:styleId="Revision">
    <w:name w:val="Revision"/>
    <w:hidden/>
    <w:uiPriority w:val="99"/>
    <w:semiHidden/>
    <w:rsid w:val="00183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43518">
      <w:bodyDiv w:val="1"/>
      <w:marLeft w:val="0"/>
      <w:marRight w:val="0"/>
      <w:marTop w:val="0"/>
      <w:marBottom w:val="0"/>
      <w:divBdr>
        <w:top w:val="none" w:sz="0" w:space="0" w:color="auto"/>
        <w:left w:val="none" w:sz="0" w:space="0" w:color="auto"/>
        <w:bottom w:val="none" w:sz="0" w:space="0" w:color="auto"/>
        <w:right w:val="none" w:sz="0" w:space="0" w:color="auto"/>
      </w:divBdr>
    </w:div>
    <w:div w:id="2056809070">
      <w:bodyDiv w:val="1"/>
      <w:marLeft w:val="0"/>
      <w:marRight w:val="0"/>
      <w:marTop w:val="0"/>
      <w:marBottom w:val="0"/>
      <w:divBdr>
        <w:top w:val="none" w:sz="0" w:space="0" w:color="auto"/>
        <w:left w:val="none" w:sz="0" w:space="0" w:color="auto"/>
        <w:bottom w:val="none" w:sz="0" w:space="0" w:color="auto"/>
        <w:right w:val="none" w:sz="0" w:space="0" w:color="auto"/>
      </w:divBdr>
      <w:divsChild>
        <w:div w:id="117651219">
          <w:marLeft w:val="0"/>
          <w:marRight w:val="0"/>
          <w:marTop w:val="0"/>
          <w:marBottom w:val="0"/>
          <w:divBdr>
            <w:top w:val="none" w:sz="0" w:space="0" w:color="auto"/>
            <w:left w:val="none" w:sz="0" w:space="0" w:color="auto"/>
            <w:bottom w:val="none" w:sz="0" w:space="0" w:color="auto"/>
            <w:right w:val="none" w:sz="0" w:space="0" w:color="auto"/>
          </w:divBdr>
        </w:div>
        <w:div w:id="442189331">
          <w:marLeft w:val="0"/>
          <w:marRight w:val="0"/>
          <w:marTop w:val="0"/>
          <w:marBottom w:val="0"/>
          <w:divBdr>
            <w:top w:val="none" w:sz="0" w:space="0" w:color="auto"/>
            <w:left w:val="none" w:sz="0" w:space="0" w:color="auto"/>
            <w:bottom w:val="none" w:sz="0" w:space="0" w:color="auto"/>
            <w:right w:val="none" w:sz="0" w:space="0" w:color="auto"/>
          </w:divBdr>
        </w:div>
        <w:div w:id="1825003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ata.worldbank.org/data-catalog/world-development-indicators" TargetMode="External"/><Relationship Id="rId18" Type="http://schemas.openxmlformats.org/officeDocument/2006/relationships/footer" Target="footer3.xml"/><Relationship Id="rId26" Type="http://schemas.openxmlformats.org/officeDocument/2006/relationships/chart" Target="charts/chart5.xml"/><Relationship Id="rId39" Type="http://schemas.openxmlformats.org/officeDocument/2006/relationships/hyperlink" Target="http://data.worldbank.org/data-catalog/world-development-indicators" TargetMode="External"/><Relationship Id="rId21" Type="http://schemas.openxmlformats.org/officeDocument/2006/relationships/footer" Target="footer5.xml"/><Relationship Id="rId34" Type="http://schemas.openxmlformats.org/officeDocument/2006/relationships/hyperlink" Target="http://esa.un.org/unpd/wpp/Excel-Data/population.htm" TargetMode="External"/><Relationship Id="rId42" Type="http://schemas.openxmlformats.org/officeDocument/2006/relationships/hyperlink" Target="http://w3.unece.org/pxweb/" TargetMode="External"/><Relationship Id="rId47" Type="http://schemas.openxmlformats.org/officeDocument/2006/relationships/chart" Target="charts/chart14.xml"/><Relationship Id="rId50" Type="http://schemas.openxmlformats.org/officeDocument/2006/relationships/hyperlink" Target="http://www.enterprisesurveys.org/" TargetMode="External"/><Relationship Id="rId55" Type="http://schemas.openxmlformats.org/officeDocument/2006/relationships/chart" Target="charts/chart2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hyperlink" Target="http://data.worldbank.org/data-catalog/world-development-indicators" TargetMode="External"/><Relationship Id="rId41" Type="http://schemas.openxmlformats.org/officeDocument/2006/relationships/hyperlink" Target="http://laborsta.ilo.org/definition_E.html" TargetMode="External"/><Relationship Id="rId54" Type="http://schemas.openxmlformats.org/officeDocument/2006/relationships/hyperlink" Target="http://data.worldbank.org/data-catalog/world-development-indicator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hyperlink" Target="http://www.uis.unesco.org/Pages/default.aspx" TargetMode="External"/><Relationship Id="rId37" Type="http://schemas.openxmlformats.org/officeDocument/2006/relationships/hyperlink" Target="http://data.worldbank.org/data-catalog/world-development-indicators" TargetMode="External"/><Relationship Id="rId40" Type="http://schemas.openxmlformats.org/officeDocument/2006/relationships/chart" Target="charts/chart12.xml"/><Relationship Id="rId45" Type="http://schemas.openxmlformats.org/officeDocument/2006/relationships/chart" Target="charts/chart13.xml"/><Relationship Id="rId53" Type="http://schemas.openxmlformats.org/officeDocument/2006/relationships/chart" Target="charts/chart19.xml"/><Relationship Id="rId58" Type="http://schemas.openxmlformats.org/officeDocument/2006/relationships/hyperlink" Target="http://www.unhcr.org/refworld/docid/45f6cd132.html"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4.png"/><Relationship Id="rId28" Type="http://schemas.openxmlformats.org/officeDocument/2006/relationships/chart" Target="charts/chart6.xml"/><Relationship Id="rId36" Type="http://schemas.openxmlformats.org/officeDocument/2006/relationships/hyperlink" Target="http://esa.un.org/unpd/wpp/Excel-Data/mortality.htm" TargetMode="External"/><Relationship Id="rId49" Type="http://schemas.openxmlformats.org/officeDocument/2006/relationships/chart" Target="charts/chart16.xml"/><Relationship Id="rId57" Type="http://schemas.openxmlformats.org/officeDocument/2006/relationships/hyperlink" Target="http://www2.ohchr.org/english/bodies/cedaw/docs/ngos/CoalitionOfNGOs_Tajikistan_LOIs_PSWG_CEDAW56.pdf"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hart" Target="charts/chart8.xml"/><Relationship Id="rId44" Type="http://schemas.openxmlformats.org/officeDocument/2006/relationships/hyperlink" Target="http://w3.unece.org/pxweb/" TargetMode="External"/><Relationship Id="rId52" Type="http://schemas.openxmlformats.org/officeDocument/2006/relationships/chart" Target="charts/chart18.xml"/><Relationship Id="rId60" Type="http://schemas.openxmlformats.org/officeDocument/2006/relationships/hyperlink" Target="http://siteresources.worldbank.org/EXTGENDER/Resources/1317219_AGI_LearningFromPracticeSeries.pd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footer" Target="footer6.xml"/><Relationship Id="rId27" Type="http://schemas.openxmlformats.org/officeDocument/2006/relationships/hyperlink" Target="http://data.worldbank.org/data-catalog/world-development-indicators" TargetMode="Externa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hyperlink" Target="http://www.ilo.org/public/english/bureau/stat/isco/isco88/publ4.htm" TargetMode="External"/><Relationship Id="rId48" Type="http://schemas.openxmlformats.org/officeDocument/2006/relationships/chart" Target="charts/chart15.xml"/><Relationship Id="rId56" Type="http://schemas.openxmlformats.org/officeDocument/2006/relationships/hyperlink" Target="http://data.worldbank.org/data-catalog/world-development-indicators" TargetMode="External"/><Relationship Id="rId8" Type="http://schemas.openxmlformats.org/officeDocument/2006/relationships/endnotes" Target="endnotes.xml"/><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enterprisesurveys.org/" TargetMode="External"/><Relationship Id="rId25" Type="http://schemas.openxmlformats.org/officeDocument/2006/relationships/hyperlink" Target="http://data.worldbank.org/data-catalog/world-development-indicators" TargetMode="Externa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hyperlink" Target="http://data.worldbank.org/data-catalog/world-development-indicators" TargetMode="External"/><Relationship Id="rId59" Type="http://schemas.openxmlformats.org/officeDocument/2006/relationships/hyperlink" Target="http://www.unhcr.org/refworld/docid/4a0bda662.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lo.org/global/statistics-and-databases/classifications/lang--en/index.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164649\AppData\Local\Temp\notesCA80AC\ECSPE_Report_Template_051906.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ira:Documents:Projects:WB%20Tajikistan:Data:WDI%202012_ECS,%20ECA,%20TJK.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Mira:Documents:Projects:WB%20Tajikistan:Data:UN%20201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Mira:Documents:Projects:WB%20TJK:Data:WDI%202012_ECS,%20ECA,%20TJK.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Mira:Documents:Projects:WB%20TJK:Data:UNECE%202012_Economic%20activi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Mira:Documents:Projects:WB%20TJK:Data:BEEPS%20TJK%202008.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Mira:Documents:Projects:WB%20TJK:Data:LI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Mira:Documents:Projects:WB%20TJK:Data:LI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Mira:Documents:Projects:WB%20TJK:Data:BEEPS%20TJK%202008.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Mira:Documents:Projects:WB%20TJK:Data:FINDEX%20201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Mira:Documents:Projects:WB%20TJK:Data:FINDEX%202012.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Mira:Documents:Projects:WB%20Tajikistan:Data:WDI%202012_ECS,%20ECA,%20TJK.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ira:Documents:Projects:WB%20TJK:Data:BEEPS%20TJK%202008.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Mira:Documents:Projects:WB%20Tajikistan:Data:WDI%202012_ECS,%20ECA,%20TJK.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ira:Documents:Projects:WB%20TJK:Data:LITS_upda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ira:Documents:Projects:WB%20Tajikistan:Data:WDI%202012_ECS,%20ECA,%20TJK.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ira:Documents:Projects:WB%20Tajikistan:Data:WDI%202012_ECS,%20ECA,%20TJK.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ira:Documents:Projects:WB%20Tajikistan:Data:WDI%202012_ECS,%20ECA,%20TJK.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Mira:Documents:Projects:WB%20Tajikistan:Data:UNESCO%20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Mira:Documents:Projects:WB%20Tajikistan:Data:UNESCO%20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Mira:Documents:Projects:WB%20TJK:Data:UN%202012_Demograph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Data!$C$3621</c:f>
              <c:strCache>
                <c:ptCount val="1"/>
                <c:pt idx="0">
                  <c:v>School enrollment, tertiary, 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Data!$AS$3621:$BD$3621</c:f>
              <c:numCache>
                <c:formatCode>0.0</c:formatCode>
                <c:ptCount val="12"/>
                <c:pt idx="0">
                  <c:v>20.875679999999971</c:v>
                </c:pt>
                <c:pt idx="1">
                  <c:v>20.236419999999971</c:v>
                </c:pt>
                <c:pt idx="2">
                  <c:v>21.301250000000021</c:v>
                </c:pt>
                <c:pt idx="3">
                  <c:v>23.539900000000021</c:v>
                </c:pt>
                <c:pt idx="4">
                  <c:v>25.341429999999971</c:v>
                </c:pt>
                <c:pt idx="5">
                  <c:v>26.317280000000039</c:v>
                </c:pt>
                <c:pt idx="6">
                  <c:v>27.6126</c:v>
                </c:pt>
                <c:pt idx="7">
                  <c:v>28.87326000000002</c:v>
                </c:pt>
                <c:pt idx="8">
                  <c:v>28.974080000000001</c:v>
                </c:pt>
                <c:pt idx="9">
                  <c:v>28.16915000000002</c:v>
                </c:pt>
                <c:pt idx="10">
                  <c:v>27.85711000000002</c:v>
                </c:pt>
                <c:pt idx="11">
                  <c:v>26.55294</c:v>
                </c:pt>
              </c:numCache>
            </c:numRef>
          </c:val>
        </c:ser>
        <c:ser>
          <c:idx val="1"/>
          <c:order val="1"/>
          <c:tx>
            <c:strRef>
              <c:f>Data!$C$3620</c:f>
              <c:strCache>
                <c:ptCount val="1"/>
                <c:pt idx="0">
                  <c:v>School enrollment, tertiary, female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Data!$AS$3620:$BD$3620</c:f>
              <c:numCache>
                <c:formatCode>0.0</c:formatCode>
                <c:ptCount val="12"/>
                <c:pt idx="0">
                  <c:v>7.0815700000000001</c:v>
                </c:pt>
                <c:pt idx="1">
                  <c:v>6.3984399999999946</c:v>
                </c:pt>
                <c:pt idx="2">
                  <c:v>6.9543200000000001</c:v>
                </c:pt>
                <c:pt idx="3">
                  <c:v>7.8724499999999997</c:v>
                </c:pt>
                <c:pt idx="4">
                  <c:v>8.3801500000000004</c:v>
                </c:pt>
                <c:pt idx="5">
                  <c:v>9.2111299999999972</c:v>
                </c:pt>
                <c:pt idx="6">
                  <c:v>10.11079</c:v>
                </c:pt>
                <c:pt idx="7">
                  <c:v>10.8988</c:v>
                </c:pt>
                <c:pt idx="8">
                  <c:v>11.370240000000001</c:v>
                </c:pt>
                <c:pt idx="9">
                  <c:v>11.52692</c:v>
                </c:pt>
                <c:pt idx="10">
                  <c:v>11.450810000000001</c:v>
                </c:pt>
                <c:pt idx="11">
                  <c:v>10.866890000000019</c:v>
                </c:pt>
              </c:numCache>
            </c:numRef>
          </c:val>
        </c:ser>
        <c:ser>
          <c:idx val="2"/>
          <c:order val="2"/>
          <c:tx>
            <c:strRef>
              <c:f>Data!$C$3619</c:f>
              <c:strCache>
                <c:ptCount val="1"/>
                <c:pt idx="0">
                  <c:v>School enrollment, tertiary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Data!$AS$3619:$BD$3619</c:f>
              <c:numCache>
                <c:formatCode>0.0</c:formatCode>
                <c:ptCount val="12"/>
                <c:pt idx="0">
                  <c:v>14.0098</c:v>
                </c:pt>
                <c:pt idx="1">
                  <c:v>13.34779</c:v>
                </c:pt>
                <c:pt idx="2">
                  <c:v>14.15245000000002</c:v>
                </c:pt>
                <c:pt idx="3">
                  <c:v>15.72301</c:v>
                </c:pt>
                <c:pt idx="4">
                  <c:v>16.866739999999879</c:v>
                </c:pt>
                <c:pt idx="5">
                  <c:v>17.76182</c:v>
                </c:pt>
                <c:pt idx="6">
                  <c:v>18.85759000000002</c:v>
                </c:pt>
                <c:pt idx="7">
                  <c:v>19.876100000000001</c:v>
                </c:pt>
                <c:pt idx="8">
                  <c:v>20.163489999999989</c:v>
                </c:pt>
                <c:pt idx="9">
                  <c:v>19.8475</c:v>
                </c:pt>
                <c:pt idx="10">
                  <c:v>19.66622999999997</c:v>
                </c:pt>
                <c:pt idx="11">
                  <c:v>18.73875</c:v>
                </c:pt>
              </c:numCache>
            </c:numRef>
          </c:val>
        </c:ser>
        <c:dLbls>
          <c:showLegendKey val="0"/>
          <c:showVal val="0"/>
          <c:showCatName val="0"/>
          <c:showSerName val="0"/>
          <c:showPercent val="0"/>
          <c:showBubbleSize val="0"/>
        </c:dLbls>
        <c:gapWidth val="150"/>
        <c:axId val="104496128"/>
        <c:axId val="104502016"/>
      </c:barChart>
      <c:lineChart>
        <c:grouping val="standard"/>
        <c:varyColors val="0"/>
        <c:ser>
          <c:idx val="3"/>
          <c:order val="3"/>
          <c:tx>
            <c:strRef>
              <c:f>Data!$C$3561</c:f>
              <c:strCache>
                <c:ptCount val="1"/>
                <c:pt idx="0">
                  <c:v>Ratio of female to male tertiary enrollment (%)</c:v>
                </c:pt>
              </c:strCache>
            </c:strRef>
          </c:tx>
          <c:marker>
            <c:symbol val="none"/>
          </c:marker>
          <c:val>
            <c:numRef>
              <c:f>Data!$AS$3561:$BD$3561</c:f>
              <c:numCache>
                <c:formatCode>0.0</c:formatCode>
                <c:ptCount val="12"/>
                <c:pt idx="0">
                  <c:v>33.923000000000002</c:v>
                </c:pt>
                <c:pt idx="1">
                  <c:v>31.61800000000002</c:v>
                </c:pt>
                <c:pt idx="2">
                  <c:v>32.647000000000013</c:v>
                </c:pt>
                <c:pt idx="3">
                  <c:v>33.442999999999998</c:v>
                </c:pt>
                <c:pt idx="4">
                  <c:v>33.069000000000003</c:v>
                </c:pt>
                <c:pt idx="5">
                  <c:v>35</c:v>
                </c:pt>
                <c:pt idx="6">
                  <c:v>36.616999999999997</c:v>
                </c:pt>
                <c:pt idx="7">
                  <c:v>37.747</c:v>
                </c:pt>
                <c:pt idx="8">
                  <c:v>39.243000000000002</c:v>
                </c:pt>
                <c:pt idx="9">
                  <c:v>40.92</c:v>
                </c:pt>
                <c:pt idx="10">
                  <c:v>41.106000000000002</c:v>
                </c:pt>
                <c:pt idx="11">
                  <c:v>40.925000000000011</c:v>
                </c:pt>
              </c:numCache>
            </c:numRef>
          </c:val>
          <c:smooth val="0"/>
        </c:ser>
        <c:dLbls>
          <c:showLegendKey val="0"/>
          <c:showVal val="0"/>
          <c:showCatName val="0"/>
          <c:showSerName val="0"/>
          <c:showPercent val="0"/>
          <c:showBubbleSize val="0"/>
        </c:dLbls>
        <c:marker val="1"/>
        <c:smooth val="0"/>
        <c:axId val="104496128"/>
        <c:axId val="104502016"/>
      </c:lineChart>
      <c:catAx>
        <c:axId val="10449612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4502016"/>
        <c:crosses val="autoZero"/>
        <c:auto val="1"/>
        <c:lblAlgn val="ctr"/>
        <c:lblOffset val="100"/>
        <c:noMultiLvlLbl val="0"/>
      </c:catAx>
      <c:valAx>
        <c:axId val="104502016"/>
        <c:scaling>
          <c:orientation val="minMax"/>
        </c:scaling>
        <c:delete val="0"/>
        <c:axPos val="l"/>
        <c:majorGridlines/>
        <c:numFmt formatCode="0.0" sourceLinked="1"/>
        <c:majorTickMark val="out"/>
        <c:minorTickMark val="none"/>
        <c:tickLblPos val="nextTo"/>
        <c:crossAx val="104496128"/>
        <c:crosses val="autoZero"/>
        <c:crossBetween val="between"/>
      </c:valAx>
    </c:plotArea>
    <c:legend>
      <c:legendPos val="b"/>
      <c:layout/>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Tajikistan!$A$6</c:f>
              <c:strCache>
                <c:ptCount val="1"/>
                <c:pt idx="0">
                  <c:v>Gender gap in life expectancy</c:v>
                </c:pt>
              </c:strCache>
            </c:strRef>
          </c:tx>
          <c:invertIfNegative val="0"/>
          <c:cat>
            <c:strRef>
              <c:f>Tajikistan!$B$3:$U$3</c:f>
              <c:strCache>
                <c:ptCount val="20"/>
                <c:pt idx="0">
                  <c:v>1950-1955</c:v>
                </c:pt>
                <c:pt idx="1">
                  <c:v>1955-1960</c:v>
                </c:pt>
                <c:pt idx="2">
                  <c:v>1960-1965</c:v>
                </c:pt>
                <c:pt idx="3">
                  <c:v>1965-1970</c:v>
                </c:pt>
                <c:pt idx="4">
                  <c:v>1970-1975</c:v>
                </c:pt>
                <c:pt idx="5">
                  <c:v>1975-1980</c:v>
                </c:pt>
                <c:pt idx="6">
                  <c:v>1980-1985</c:v>
                </c:pt>
                <c:pt idx="7">
                  <c:v>1985-1990</c:v>
                </c:pt>
                <c:pt idx="8">
                  <c:v>1990-1995</c:v>
                </c:pt>
                <c:pt idx="9">
                  <c:v>1995-2000</c:v>
                </c:pt>
                <c:pt idx="10">
                  <c:v>2000-2005</c:v>
                </c:pt>
                <c:pt idx="11">
                  <c:v>2005-2010</c:v>
                </c:pt>
                <c:pt idx="12">
                  <c:v>2010-2015</c:v>
                </c:pt>
                <c:pt idx="13">
                  <c:v>2015-2020</c:v>
                </c:pt>
                <c:pt idx="14">
                  <c:v>2020-2025</c:v>
                </c:pt>
                <c:pt idx="15">
                  <c:v>2025-2030</c:v>
                </c:pt>
                <c:pt idx="16">
                  <c:v>2030-2035</c:v>
                </c:pt>
                <c:pt idx="17">
                  <c:v>2035-2040</c:v>
                </c:pt>
                <c:pt idx="18">
                  <c:v>2040-2045</c:v>
                </c:pt>
                <c:pt idx="19">
                  <c:v>2045-2050</c:v>
                </c:pt>
              </c:strCache>
            </c:strRef>
          </c:cat>
          <c:val>
            <c:numRef>
              <c:f>Tajikistan!$B$6:$U$6</c:f>
              <c:numCache>
                <c:formatCode>##0.0;\-##0.0;0</c:formatCode>
                <c:ptCount val="20"/>
                <c:pt idx="0">
                  <c:v>4.8999999999999986</c:v>
                </c:pt>
                <c:pt idx="1">
                  <c:v>4.8599999999999977</c:v>
                </c:pt>
                <c:pt idx="2">
                  <c:v>4.8299999999999956</c:v>
                </c:pt>
                <c:pt idx="3">
                  <c:v>4.79</c:v>
                </c:pt>
                <c:pt idx="4">
                  <c:v>4.7100000000000009</c:v>
                </c:pt>
                <c:pt idx="5">
                  <c:v>4.6700000000000088</c:v>
                </c:pt>
                <c:pt idx="6">
                  <c:v>5.1599999999999966</c:v>
                </c:pt>
                <c:pt idx="7">
                  <c:v>5.2600000000000051</c:v>
                </c:pt>
                <c:pt idx="8">
                  <c:v>7.3399999999999963</c:v>
                </c:pt>
                <c:pt idx="9">
                  <c:v>7.6599999999999957</c:v>
                </c:pt>
                <c:pt idx="10">
                  <c:v>7.6499999999999977</c:v>
                </c:pt>
                <c:pt idx="11">
                  <c:v>6.6199999999999957</c:v>
                </c:pt>
                <c:pt idx="12">
                  <c:v>6.4800000000000049</c:v>
                </c:pt>
                <c:pt idx="13">
                  <c:v>6.3299999999999956</c:v>
                </c:pt>
                <c:pt idx="14">
                  <c:v>6.1800000000000068</c:v>
                </c:pt>
                <c:pt idx="15">
                  <c:v>6.039999999999992</c:v>
                </c:pt>
                <c:pt idx="16">
                  <c:v>5.8999999999999906</c:v>
                </c:pt>
                <c:pt idx="17">
                  <c:v>5.7700000000000102</c:v>
                </c:pt>
                <c:pt idx="18">
                  <c:v>5.6499999999999897</c:v>
                </c:pt>
                <c:pt idx="19">
                  <c:v>5.539999999999992</c:v>
                </c:pt>
              </c:numCache>
            </c:numRef>
          </c:val>
        </c:ser>
        <c:dLbls>
          <c:showLegendKey val="0"/>
          <c:showVal val="0"/>
          <c:showCatName val="0"/>
          <c:showSerName val="0"/>
          <c:showPercent val="0"/>
          <c:showBubbleSize val="0"/>
        </c:dLbls>
        <c:gapWidth val="150"/>
        <c:axId val="105921536"/>
        <c:axId val="105939712"/>
      </c:barChart>
      <c:catAx>
        <c:axId val="105921536"/>
        <c:scaling>
          <c:orientation val="minMax"/>
        </c:scaling>
        <c:delete val="0"/>
        <c:axPos val="b"/>
        <c:majorTickMark val="out"/>
        <c:minorTickMark val="none"/>
        <c:tickLblPos val="nextTo"/>
        <c:txPr>
          <a:bodyPr rot="-5400000" vert="horz"/>
          <a:lstStyle/>
          <a:p>
            <a:pPr>
              <a:defRPr/>
            </a:pPr>
            <a:endParaRPr lang="en-US"/>
          </a:p>
        </c:txPr>
        <c:crossAx val="105939712"/>
        <c:crosses val="autoZero"/>
        <c:auto val="1"/>
        <c:lblAlgn val="ctr"/>
        <c:lblOffset val="100"/>
        <c:noMultiLvlLbl val="0"/>
      </c:catAx>
      <c:valAx>
        <c:axId val="105939712"/>
        <c:scaling>
          <c:orientation val="minMax"/>
        </c:scaling>
        <c:delete val="0"/>
        <c:axPos val="l"/>
        <c:majorGridlines/>
        <c:numFmt formatCode="##0.0;\-##0.0;0" sourceLinked="1"/>
        <c:majorTickMark val="out"/>
        <c:minorTickMark val="none"/>
        <c:tickLblPos val="nextTo"/>
        <c:crossAx val="105921536"/>
        <c:crosses val="autoZero"/>
        <c:crossBetween val="between"/>
      </c:valAx>
    </c:plotArea>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Data!$C$2878</c:f>
              <c:strCache>
                <c:ptCount val="1"/>
                <c:pt idx="0">
                  <c:v>Total fertility rate (TJK)</c:v>
                </c:pt>
              </c:strCache>
            </c:strRef>
          </c:tx>
          <c:spPr>
            <a:ln>
              <a:prstDash val="dash"/>
            </a:ln>
          </c:spPr>
          <c:marker>
            <c:symbol val="none"/>
          </c:marker>
          <c:cat>
            <c:strRef>
              <c:f>Data!$AI$1:$BE$1</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Data!$AI$2878:$BE$2878</c:f>
              <c:numCache>
                <c:formatCode>0.0</c:formatCode>
                <c:ptCount val="23"/>
                <c:pt idx="0">
                  <c:v>5.1749999999999892</c:v>
                </c:pt>
                <c:pt idx="1">
                  <c:v>5.0659999999999892</c:v>
                </c:pt>
                <c:pt idx="2">
                  <c:v>4.9470000000000001</c:v>
                </c:pt>
                <c:pt idx="3">
                  <c:v>4.8249999999999647</c:v>
                </c:pt>
                <c:pt idx="4">
                  <c:v>4.702</c:v>
                </c:pt>
                <c:pt idx="5">
                  <c:v>4.5810000000000004</c:v>
                </c:pt>
                <c:pt idx="6">
                  <c:v>4.4630000000000001</c:v>
                </c:pt>
                <c:pt idx="7">
                  <c:v>4.3479999999999892</c:v>
                </c:pt>
                <c:pt idx="8">
                  <c:v>4.2370000000000001</c:v>
                </c:pt>
                <c:pt idx="9">
                  <c:v>4.13</c:v>
                </c:pt>
                <c:pt idx="10">
                  <c:v>4.03</c:v>
                </c:pt>
                <c:pt idx="11">
                  <c:v>3.9349999999999992</c:v>
                </c:pt>
                <c:pt idx="12">
                  <c:v>3.847</c:v>
                </c:pt>
                <c:pt idx="13">
                  <c:v>3.7629999999999999</c:v>
                </c:pt>
                <c:pt idx="14">
                  <c:v>3.6850000000000001</c:v>
                </c:pt>
                <c:pt idx="15">
                  <c:v>3.6120000000000001</c:v>
                </c:pt>
                <c:pt idx="16">
                  <c:v>3.5430000000000001</c:v>
                </c:pt>
                <c:pt idx="17">
                  <c:v>3.476999999999999</c:v>
                </c:pt>
                <c:pt idx="18">
                  <c:v>3.4149999999999991</c:v>
                </c:pt>
                <c:pt idx="19">
                  <c:v>3.3549999999999982</c:v>
                </c:pt>
                <c:pt idx="20">
                  <c:v>3.2970000000000002</c:v>
                </c:pt>
                <c:pt idx="21">
                  <c:v>3.24</c:v>
                </c:pt>
                <c:pt idx="22">
                  <c:v>3.1619999999999999</c:v>
                </c:pt>
              </c:numCache>
            </c:numRef>
          </c:val>
          <c:smooth val="0"/>
        </c:ser>
        <c:ser>
          <c:idx val="3"/>
          <c:order val="1"/>
          <c:tx>
            <c:strRef>
              <c:f>Data!$C$1615</c:f>
              <c:strCache>
                <c:ptCount val="1"/>
                <c:pt idx="0">
                  <c:v>Total fertility rate (ECA)</c:v>
                </c:pt>
              </c:strCache>
            </c:strRef>
          </c:tx>
          <c:marker>
            <c:symbol val="none"/>
          </c:marker>
          <c:cat>
            <c:strRef>
              <c:f>Data!$AI$1:$BE$1</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Data!$AI$1615:$BE$1615</c:f>
              <c:numCache>
                <c:formatCode>0.0</c:formatCode>
                <c:ptCount val="23"/>
                <c:pt idx="0">
                  <c:v>2.3284766306112901</c:v>
                </c:pt>
                <c:pt idx="1">
                  <c:v>2.2229249351295062</c:v>
                </c:pt>
                <c:pt idx="2">
                  <c:v>2.1121190833207422</c:v>
                </c:pt>
                <c:pt idx="3">
                  <c:v>1.9821218809996659</c:v>
                </c:pt>
                <c:pt idx="4">
                  <c:v>1.9339735644338161</c:v>
                </c:pt>
                <c:pt idx="5">
                  <c:v>1.871005992683838</c:v>
                </c:pt>
                <c:pt idx="6">
                  <c:v>1.7910114686812331</c:v>
                </c:pt>
                <c:pt idx="7">
                  <c:v>1.7333136645751099</c:v>
                </c:pt>
                <c:pt idx="8">
                  <c:v>1.6896550626161171</c:v>
                </c:pt>
                <c:pt idx="9">
                  <c:v>1.645505585527004</c:v>
                </c:pt>
                <c:pt idx="10">
                  <c:v>1.6263723019063241</c:v>
                </c:pt>
                <c:pt idx="11">
                  <c:v>1.6206736911058151</c:v>
                </c:pt>
                <c:pt idx="12">
                  <c:v>1.637651013251983</c:v>
                </c:pt>
                <c:pt idx="13">
                  <c:v>1.6424904684342381</c:v>
                </c:pt>
                <c:pt idx="14">
                  <c:v>1.665901691592059</c:v>
                </c:pt>
                <c:pt idx="15">
                  <c:v>1.649102188897511</c:v>
                </c:pt>
                <c:pt idx="16">
                  <c:v>1.6791359091429201</c:v>
                </c:pt>
                <c:pt idx="17">
                  <c:v>1.743301193941647</c:v>
                </c:pt>
                <c:pt idx="18">
                  <c:v>1.798523940038057</c:v>
                </c:pt>
                <c:pt idx="19">
                  <c:v>1.817544530747826</c:v>
                </c:pt>
                <c:pt idx="20">
                  <c:v>1.8100809902705659</c:v>
                </c:pt>
                <c:pt idx="22">
                  <c:v>1.788</c:v>
                </c:pt>
              </c:numCache>
            </c:numRef>
          </c:val>
          <c:smooth val="0"/>
        </c:ser>
        <c:dLbls>
          <c:showLegendKey val="0"/>
          <c:showVal val="0"/>
          <c:showCatName val="0"/>
          <c:showSerName val="0"/>
          <c:showPercent val="0"/>
          <c:showBubbleSize val="0"/>
        </c:dLbls>
        <c:marker val="1"/>
        <c:smooth val="0"/>
        <c:axId val="105961344"/>
        <c:axId val="105962880"/>
      </c:lineChart>
      <c:catAx>
        <c:axId val="105961344"/>
        <c:scaling>
          <c:orientation val="minMax"/>
        </c:scaling>
        <c:delete val="0"/>
        <c:axPos val="b"/>
        <c:majorTickMark val="out"/>
        <c:minorTickMark val="none"/>
        <c:tickLblPos val="nextTo"/>
        <c:txPr>
          <a:bodyPr rot="-5400000" vert="horz"/>
          <a:lstStyle/>
          <a:p>
            <a:pPr>
              <a:defRPr/>
            </a:pPr>
            <a:endParaRPr lang="en-US"/>
          </a:p>
        </c:txPr>
        <c:crossAx val="105962880"/>
        <c:crosses val="autoZero"/>
        <c:auto val="1"/>
        <c:lblAlgn val="ctr"/>
        <c:lblOffset val="100"/>
        <c:noMultiLvlLbl val="0"/>
      </c:catAx>
      <c:valAx>
        <c:axId val="105962880"/>
        <c:scaling>
          <c:orientation val="minMax"/>
        </c:scaling>
        <c:delete val="0"/>
        <c:axPos val="l"/>
        <c:majorGridlines/>
        <c:numFmt formatCode="0.0" sourceLinked="1"/>
        <c:majorTickMark val="out"/>
        <c:minorTickMark val="none"/>
        <c:tickLblPos val="nextTo"/>
        <c:crossAx val="105961344"/>
        <c:crosses val="autoZero"/>
        <c:crossBetween val="between"/>
      </c:valAx>
    </c:plotArea>
    <c:legend>
      <c:legendPos val="b"/>
      <c:overlay val="0"/>
    </c:legend>
    <c:plotVisOnly val="1"/>
    <c:dispBlanksAs val="span"/>
    <c:showDLblsOverMax val="0"/>
  </c:chart>
  <c:txPr>
    <a:bodyPr/>
    <a:lstStyle/>
    <a:p>
      <a:pPr>
        <a:defRPr sz="800">
          <a:latin typeface="Times New Roman"/>
          <a:cs typeface="Times New Roman"/>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780110819480898"/>
          <c:y val="8.6637787404198599E-2"/>
          <c:w val="0.65962944736074602"/>
          <c:h val="0.69265992700595902"/>
        </c:manualLayout>
      </c:layout>
      <c:barChart>
        <c:barDir val="bar"/>
        <c:grouping val="stacked"/>
        <c:varyColors val="0"/>
        <c:ser>
          <c:idx val="0"/>
          <c:order val="0"/>
          <c:tx>
            <c:strRef>
              <c:f>'Employment status'!$B$2</c:f>
              <c:strCache>
                <c:ptCount val="1"/>
                <c:pt idx="0">
                  <c:v>Male</c:v>
                </c:pt>
              </c:strCache>
            </c:strRef>
          </c:tx>
          <c:invertIfNegative val="0"/>
          <c:cat>
            <c:strRef>
              <c:f>'Employment status'!$A$3:$A$8</c:f>
              <c:strCache>
                <c:ptCount val="6"/>
                <c:pt idx="0">
                  <c:v>Total employment status</c:v>
                </c:pt>
                <c:pt idx="1">
                  <c:v>Employees</c:v>
                </c:pt>
                <c:pt idx="2">
                  <c:v>Employers</c:v>
                </c:pt>
                <c:pt idx="3">
                  <c:v>Own-account workers</c:v>
                </c:pt>
                <c:pt idx="4">
                  <c:v>Members of producers cooperatives</c:v>
                </c:pt>
                <c:pt idx="5">
                  <c:v>Family workers</c:v>
                </c:pt>
              </c:strCache>
            </c:strRef>
          </c:cat>
          <c:val>
            <c:numRef>
              <c:f>'Employment status'!$B$3:$B$8</c:f>
              <c:numCache>
                <c:formatCode>General</c:formatCode>
                <c:ptCount val="6"/>
                <c:pt idx="0">
                  <c:v>56.8</c:v>
                </c:pt>
                <c:pt idx="1">
                  <c:v>51.6</c:v>
                </c:pt>
                <c:pt idx="2">
                  <c:v>87.6</c:v>
                </c:pt>
                <c:pt idx="3">
                  <c:v>62.3</c:v>
                </c:pt>
                <c:pt idx="4">
                  <c:v>35.799999999999997</c:v>
                </c:pt>
                <c:pt idx="5">
                  <c:v>72.099999999999994</c:v>
                </c:pt>
              </c:numCache>
            </c:numRef>
          </c:val>
        </c:ser>
        <c:ser>
          <c:idx val="1"/>
          <c:order val="1"/>
          <c:tx>
            <c:strRef>
              <c:f>'Employment status'!$C$2</c:f>
              <c:strCache>
                <c:ptCount val="1"/>
                <c:pt idx="0">
                  <c:v>Female</c:v>
                </c:pt>
              </c:strCache>
            </c:strRef>
          </c:tx>
          <c:invertIfNegative val="0"/>
          <c:cat>
            <c:strRef>
              <c:f>'Employment status'!$A$3:$A$8</c:f>
              <c:strCache>
                <c:ptCount val="6"/>
                <c:pt idx="0">
                  <c:v>Total employment status</c:v>
                </c:pt>
                <c:pt idx="1">
                  <c:v>Employees</c:v>
                </c:pt>
                <c:pt idx="2">
                  <c:v>Employers</c:v>
                </c:pt>
                <c:pt idx="3">
                  <c:v>Own-account workers</c:v>
                </c:pt>
                <c:pt idx="4">
                  <c:v>Members of producers cooperatives</c:v>
                </c:pt>
                <c:pt idx="5">
                  <c:v>Family workers</c:v>
                </c:pt>
              </c:strCache>
            </c:strRef>
          </c:cat>
          <c:val>
            <c:numRef>
              <c:f>'Employment status'!$C$3:$C$8</c:f>
              <c:numCache>
                <c:formatCode>General</c:formatCode>
                <c:ptCount val="6"/>
                <c:pt idx="0">
                  <c:v>43.2</c:v>
                </c:pt>
                <c:pt idx="1">
                  <c:v>48.4</c:v>
                </c:pt>
                <c:pt idx="2">
                  <c:v>12.4</c:v>
                </c:pt>
                <c:pt idx="3">
                  <c:v>37.700000000000003</c:v>
                </c:pt>
                <c:pt idx="4">
                  <c:v>64.2</c:v>
                </c:pt>
                <c:pt idx="5">
                  <c:v>27.9</c:v>
                </c:pt>
              </c:numCache>
            </c:numRef>
          </c:val>
        </c:ser>
        <c:dLbls>
          <c:showLegendKey val="0"/>
          <c:showVal val="0"/>
          <c:showCatName val="0"/>
          <c:showSerName val="0"/>
          <c:showPercent val="0"/>
          <c:showBubbleSize val="0"/>
        </c:dLbls>
        <c:gapWidth val="150"/>
        <c:overlap val="100"/>
        <c:axId val="105978496"/>
        <c:axId val="105984384"/>
      </c:barChart>
      <c:catAx>
        <c:axId val="105978496"/>
        <c:scaling>
          <c:orientation val="minMax"/>
        </c:scaling>
        <c:delete val="0"/>
        <c:axPos val="l"/>
        <c:majorTickMark val="out"/>
        <c:minorTickMark val="none"/>
        <c:tickLblPos val="nextTo"/>
        <c:crossAx val="105984384"/>
        <c:crosses val="autoZero"/>
        <c:auto val="1"/>
        <c:lblAlgn val="ctr"/>
        <c:lblOffset val="100"/>
        <c:noMultiLvlLbl val="0"/>
      </c:catAx>
      <c:valAx>
        <c:axId val="105984384"/>
        <c:scaling>
          <c:orientation val="minMax"/>
          <c:max val="100"/>
        </c:scaling>
        <c:delete val="0"/>
        <c:axPos val="b"/>
        <c:majorGridlines/>
        <c:numFmt formatCode="General" sourceLinked="1"/>
        <c:majorTickMark val="out"/>
        <c:minorTickMark val="none"/>
        <c:tickLblPos val="nextTo"/>
        <c:crossAx val="105978496"/>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Tajikistan</c:v>
          </c:tx>
          <c:invertIfNegative val="0"/>
          <c:cat>
            <c:strRef>
              <c:f>'[WDI 2012_ECS, ECA, TJK.xls]Data'!$AW$1:$BB$1</c:f>
              <c:strCache>
                <c:ptCount val="6"/>
                <c:pt idx="0">
                  <c:v>2004</c:v>
                </c:pt>
                <c:pt idx="1">
                  <c:v>2005</c:v>
                </c:pt>
                <c:pt idx="2">
                  <c:v>2006</c:v>
                </c:pt>
                <c:pt idx="3">
                  <c:v>2007</c:v>
                </c:pt>
                <c:pt idx="4">
                  <c:v>2008</c:v>
                </c:pt>
                <c:pt idx="5">
                  <c:v>2009</c:v>
                </c:pt>
              </c:strCache>
            </c:strRef>
          </c:cat>
          <c:val>
            <c:numRef>
              <c:f>'[WDI 2012_ECS, ECA, TJK.xls]Data'!$AW$3332:$BB$3332</c:f>
              <c:numCache>
                <c:formatCode>0.00</c:formatCode>
                <c:ptCount val="6"/>
                <c:pt idx="0">
                  <c:v>0.21774660000000001</c:v>
                </c:pt>
                <c:pt idx="1">
                  <c:v>0.2143544</c:v>
                </c:pt>
                <c:pt idx="2">
                  <c:v>0.21269850000000001</c:v>
                </c:pt>
                <c:pt idx="3">
                  <c:v>0.20208699999999999</c:v>
                </c:pt>
                <c:pt idx="4">
                  <c:v>0.2364906</c:v>
                </c:pt>
                <c:pt idx="5">
                  <c:v>0.47572239999999999</c:v>
                </c:pt>
              </c:numCache>
            </c:numRef>
          </c:val>
        </c:ser>
        <c:ser>
          <c:idx val="1"/>
          <c:order val="1"/>
          <c:tx>
            <c:v>ECA</c:v>
          </c:tx>
          <c:invertIfNegative val="0"/>
          <c:cat>
            <c:strRef>
              <c:f>'[WDI 2012_ECS, ECA, TJK.xls]Data'!$AW$1:$BB$1</c:f>
              <c:strCache>
                <c:ptCount val="6"/>
                <c:pt idx="0">
                  <c:v>2004</c:v>
                </c:pt>
                <c:pt idx="1">
                  <c:v>2005</c:v>
                </c:pt>
                <c:pt idx="2">
                  <c:v>2006</c:v>
                </c:pt>
                <c:pt idx="3">
                  <c:v>2007</c:v>
                </c:pt>
                <c:pt idx="4">
                  <c:v>2008</c:v>
                </c:pt>
                <c:pt idx="5">
                  <c:v>2009</c:v>
                </c:pt>
              </c:strCache>
            </c:strRef>
          </c:cat>
          <c:val>
            <c:numRef>
              <c:f>'[WDI 2012_ECS, ECA, TJK.xls]Data'!$AW$2069:$BB$2069</c:f>
              <c:numCache>
                <c:formatCode>0.00</c:formatCode>
                <c:ptCount val="6"/>
                <c:pt idx="0">
                  <c:v>1.67174681875</c:v>
                </c:pt>
                <c:pt idx="1">
                  <c:v>2.0107886105263169</c:v>
                </c:pt>
                <c:pt idx="2">
                  <c:v>2.4864026142856992</c:v>
                </c:pt>
                <c:pt idx="3">
                  <c:v>2.943255066666667</c:v>
                </c:pt>
                <c:pt idx="4">
                  <c:v>2.5719568272727278</c:v>
                </c:pt>
                <c:pt idx="5">
                  <c:v>1.9781788772727269</c:v>
                </c:pt>
              </c:numCache>
            </c:numRef>
          </c:val>
        </c:ser>
        <c:dLbls>
          <c:showLegendKey val="0"/>
          <c:showVal val="0"/>
          <c:showCatName val="0"/>
          <c:showSerName val="0"/>
          <c:showPercent val="0"/>
          <c:showBubbleSize val="0"/>
        </c:dLbls>
        <c:gapWidth val="150"/>
        <c:axId val="106021248"/>
        <c:axId val="106022784"/>
      </c:barChart>
      <c:catAx>
        <c:axId val="106021248"/>
        <c:scaling>
          <c:orientation val="minMax"/>
        </c:scaling>
        <c:delete val="0"/>
        <c:axPos val="b"/>
        <c:majorTickMark val="out"/>
        <c:minorTickMark val="none"/>
        <c:tickLblPos val="nextTo"/>
        <c:crossAx val="106022784"/>
        <c:crosses val="autoZero"/>
        <c:auto val="1"/>
        <c:lblAlgn val="ctr"/>
        <c:lblOffset val="100"/>
        <c:noMultiLvlLbl val="0"/>
      </c:catAx>
      <c:valAx>
        <c:axId val="106022784"/>
        <c:scaling>
          <c:orientation val="minMax"/>
        </c:scaling>
        <c:delete val="0"/>
        <c:axPos val="l"/>
        <c:majorGridlines/>
        <c:numFmt formatCode="0.00" sourceLinked="1"/>
        <c:majorTickMark val="out"/>
        <c:minorTickMark val="none"/>
        <c:tickLblPos val="nextTo"/>
        <c:crossAx val="106021248"/>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'Willingness to take risk'!$K$3</c:f>
              <c:strCache>
                <c:ptCount val="1"/>
                <c:pt idx="0">
                  <c:v>Male</c:v>
                </c:pt>
              </c:strCache>
            </c:strRef>
          </c:tx>
          <c:invertIfNegative val="0"/>
          <c:cat>
            <c:multiLvlStrRef>
              <c:f>'Willingness to take risk'!$I$4:$J$7</c:f>
              <c:multiLvlStrCache>
                <c:ptCount val="4"/>
                <c:lvl>
                  <c:pt idx="0">
                    <c:v>Yes</c:v>
                  </c:pt>
                  <c:pt idx="1">
                    <c:v>***No</c:v>
                  </c:pt>
                  <c:pt idx="2">
                    <c:v>Yes</c:v>
                  </c:pt>
                  <c:pt idx="3">
                    <c:v>No</c:v>
                  </c:pt>
                </c:lvl>
                <c:lvl>
                  <c:pt idx="0">
                    <c:v>Attempted</c:v>
                  </c:pt>
                  <c:pt idx="2">
                    <c:v>Succeeded</c:v>
                  </c:pt>
                </c:lvl>
              </c:multiLvlStrCache>
            </c:multiLvlStrRef>
          </c:cat>
          <c:val>
            <c:numRef>
              <c:f>'Willingness to take risk'!$K$4:$K$7</c:f>
              <c:numCache>
                <c:formatCode>0</c:formatCode>
                <c:ptCount val="4"/>
                <c:pt idx="0">
                  <c:v>5.1144309999999473</c:v>
                </c:pt>
                <c:pt idx="1">
                  <c:v>3.8665039999999991</c:v>
                </c:pt>
                <c:pt idx="2">
                  <c:v>5.8392430000000104</c:v>
                </c:pt>
                <c:pt idx="3">
                  <c:v>4.3801779999999946</c:v>
                </c:pt>
              </c:numCache>
            </c:numRef>
          </c:val>
        </c:ser>
        <c:ser>
          <c:idx val="1"/>
          <c:order val="1"/>
          <c:tx>
            <c:strRef>
              <c:f>'Willingness to take risk'!$L$3</c:f>
              <c:strCache>
                <c:ptCount val="1"/>
                <c:pt idx="0">
                  <c:v>Female</c:v>
                </c:pt>
              </c:strCache>
            </c:strRef>
          </c:tx>
          <c:invertIfNegative val="0"/>
          <c:cat>
            <c:multiLvlStrRef>
              <c:f>'Willingness to take risk'!$I$4:$J$7</c:f>
              <c:multiLvlStrCache>
                <c:ptCount val="4"/>
                <c:lvl>
                  <c:pt idx="0">
                    <c:v>Yes</c:v>
                  </c:pt>
                  <c:pt idx="1">
                    <c:v>***No</c:v>
                  </c:pt>
                  <c:pt idx="2">
                    <c:v>Yes</c:v>
                  </c:pt>
                  <c:pt idx="3">
                    <c:v>No</c:v>
                  </c:pt>
                </c:lvl>
                <c:lvl>
                  <c:pt idx="0">
                    <c:v>Attempted</c:v>
                  </c:pt>
                  <c:pt idx="2">
                    <c:v>Succeeded</c:v>
                  </c:pt>
                </c:lvl>
              </c:multiLvlStrCache>
            </c:multiLvlStrRef>
          </c:cat>
          <c:val>
            <c:numRef>
              <c:f>'Willingness to take risk'!$L$4:$L$7</c:f>
              <c:numCache>
                <c:formatCode>0</c:formatCode>
                <c:ptCount val="4"/>
                <c:pt idx="0">
                  <c:v>5.469754</c:v>
                </c:pt>
                <c:pt idx="1">
                  <c:v>2.8051330000000001</c:v>
                </c:pt>
                <c:pt idx="2">
                  <c:v>6.0979319999999646</c:v>
                </c:pt>
                <c:pt idx="3">
                  <c:v>4.7146520000000001</c:v>
                </c:pt>
              </c:numCache>
            </c:numRef>
          </c:val>
        </c:ser>
        <c:dLbls>
          <c:showLegendKey val="0"/>
          <c:showVal val="0"/>
          <c:showCatName val="0"/>
          <c:showSerName val="0"/>
          <c:showPercent val="0"/>
          <c:showBubbleSize val="0"/>
        </c:dLbls>
        <c:gapWidth val="150"/>
        <c:axId val="106032128"/>
        <c:axId val="105476864"/>
      </c:barChart>
      <c:catAx>
        <c:axId val="106032128"/>
        <c:scaling>
          <c:orientation val="minMax"/>
        </c:scaling>
        <c:delete val="0"/>
        <c:axPos val="b"/>
        <c:majorTickMark val="out"/>
        <c:minorTickMark val="none"/>
        <c:tickLblPos val="nextTo"/>
        <c:crossAx val="105476864"/>
        <c:crosses val="autoZero"/>
        <c:auto val="1"/>
        <c:lblAlgn val="ctr"/>
        <c:lblOffset val="100"/>
        <c:noMultiLvlLbl val="0"/>
      </c:catAx>
      <c:valAx>
        <c:axId val="105476864"/>
        <c:scaling>
          <c:orientation val="minMax"/>
        </c:scaling>
        <c:delete val="0"/>
        <c:axPos val="l"/>
        <c:majorGridlines/>
        <c:numFmt formatCode="0" sourceLinked="1"/>
        <c:majorTickMark val="out"/>
        <c:minorTickMark val="none"/>
        <c:tickLblPos val="nextTo"/>
        <c:crossAx val="106032128"/>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'Attempts and succes'!$G$2</c:f>
              <c:strCache>
                <c:ptCount val="1"/>
                <c:pt idx="0">
                  <c:v>Male</c:v>
                </c:pt>
              </c:strCache>
            </c:strRef>
          </c:tx>
          <c:invertIfNegative val="0"/>
          <c:cat>
            <c:strRef>
              <c:f>'Attempts and succes'!$F$3:$F$4</c:f>
              <c:strCache>
                <c:ptCount val="2"/>
                <c:pt idx="0">
                  <c:v>**Attempted</c:v>
                </c:pt>
                <c:pt idx="1">
                  <c:v>Succeeded</c:v>
                </c:pt>
              </c:strCache>
            </c:strRef>
          </c:cat>
          <c:val>
            <c:numRef>
              <c:f>'Attempts and succes'!$G$3:$G$4</c:f>
              <c:numCache>
                <c:formatCode>0%</c:formatCode>
                <c:ptCount val="2"/>
                <c:pt idx="0">
                  <c:v>0.1074</c:v>
                </c:pt>
                <c:pt idx="1">
                  <c:v>0.5181</c:v>
                </c:pt>
              </c:numCache>
            </c:numRef>
          </c:val>
        </c:ser>
        <c:ser>
          <c:idx val="1"/>
          <c:order val="1"/>
          <c:tx>
            <c:strRef>
              <c:f>'Attempts and succes'!$H$2</c:f>
              <c:strCache>
                <c:ptCount val="1"/>
                <c:pt idx="0">
                  <c:v>Female</c:v>
                </c:pt>
              </c:strCache>
            </c:strRef>
          </c:tx>
          <c:invertIfNegative val="0"/>
          <c:cat>
            <c:strRef>
              <c:f>'Attempts and succes'!$F$3:$F$4</c:f>
              <c:strCache>
                <c:ptCount val="2"/>
                <c:pt idx="0">
                  <c:v>**Attempted</c:v>
                </c:pt>
                <c:pt idx="1">
                  <c:v>Succeeded</c:v>
                </c:pt>
              </c:strCache>
            </c:strRef>
          </c:cat>
          <c:val>
            <c:numRef>
              <c:f>'Attempts and succes'!$H$3:$H$4</c:f>
              <c:numCache>
                <c:formatCode>0%</c:formatCode>
                <c:ptCount val="2"/>
                <c:pt idx="0">
                  <c:v>6.8500000000000005E-2</c:v>
                </c:pt>
                <c:pt idx="1">
                  <c:v>0.54590000000000005</c:v>
                </c:pt>
              </c:numCache>
            </c:numRef>
          </c:val>
        </c:ser>
        <c:dLbls>
          <c:showLegendKey val="0"/>
          <c:showVal val="0"/>
          <c:showCatName val="0"/>
          <c:showSerName val="0"/>
          <c:showPercent val="0"/>
          <c:showBubbleSize val="0"/>
        </c:dLbls>
        <c:gapWidth val="150"/>
        <c:axId val="105498112"/>
        <c:axId val="105499648"/>
      </c:barChart>
      <c:catAx>
        <c:axId val="105498112"/>
        <c:scaling>
          <c:orientation val="minMax"/>
        </c:scaling>
        <c:delete val="0"/>
        <c:axPos val="b"/>
        <c:majorTickMark val="out"/>
        <c:minorTickMark val="none"/>
        <c:tickLblPos val="nextTo"/>
        <c:crossAx val="105499648"/>
        <c:crosses val="autoZero"/>
        <c:auto val="1"/>
        <c:lblAlgn val="ctr"/>
        <c:lblOffset val="100"/>
        <c:noMultiLvlLbl val="0"/>
      </c:catAx>
      <c:valAx>
        <c:axId val="105499648"/>
        <c:scaling>
          <c:orientation val="minMax"/>
        </c:scaling>
        <c:delete val="0"/>
        <c:axPos val="l"/>
        <c:majorGridlines/>
        <c:numFmt formatCode="0%" sourceLinked="1"/>
        <c:majorTickMark val="out"/>
        <c:minorTickMark val="none"/>
        <c:tickLblPos val="nextTo"/>
        <c:crossAx val="105498112"/>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27386355456502E-2"/>
          <c:y val="2.9478458049886601E-2"/>
          <c:w val="0.92414160971134995"/>
          <c:h val="0.41911088793683698"/>
        </c:manualLayout>
      </c:layout>
      <c:barChart>
        <c:barDir val="col"/>
        <c:grouping val="clustered"/>
        <c:varyColors val="0"/>
        <c:ser>
          <c:idx val="0"/>
          <c:order val="0"/>
          <c:tx>
            <c:strRef>
              <c:f>Gender!$H$1</c:f>
              <c:strCache>
                <c:ptCount val="1"/>
                <c:pt idx="0">
                  <c:v>Percent of firms with a female top manager</c:v>
                </c:pt>
              </c:strCache>
            </c:strRef>
          </c:tx>
          <c:spPr>
            <a:solidFill>
              <a:srgbClr val="666699"/>
            </a:solidFill>
            <a:ln w="25400">
              <a:noFill/>
            </a:ln>
          </c:spPr>
          <c:invertIfNegative val="0"/>
          <c:cat>
            <c:multiLvlStrRef>
              <c:f>(Gender!$D$34:$E$51,Gender!$D$55:$E$56)</c:f>
              <c:multiLvlStrCache>
                <c:ptCount val="20"/>
                <c:lvl>
                  <c:pt idx="0">
                    <c:v>Total</c:v>
                  </c:pt>
                  <c:pt idx="2">
                    <c:v>Manufacturing</c:v>
                  </c:pt>
                  <c:pt idx="3">
                    <c:v>Retail</c:v>
                  </c:pt>
                  <c:pt idx="4">
                    <c:v>Other Services</c:v>
                  </c:pt>
                  <c:pt idx="6">
                    <c:v>Small (5-19)</c:v>
                  </c:pt>
                  <c:pt idx="7">
                    <c:v>Medium (20-99)</c:v>
                  </c:pt>
                  <c:pt idx="8">
                    <c:v>Large (100+)</c:v>
                  </c:pt>
                  <c:pt idx="10">
                    <c:v>Sogdiskaya</c:v>
                  </c:pt>
                  <c:pt idx="11">
                    <c:v>Dushanbe</c:v>
                  </c:pt>
                  <c:pt idx="12">
                    <c:v>RRP</c:v>
                  </c:pt>
                  <c:pt idx="13">
                    <c:v>Khatlonskaya</c:v>
                  </c:pt>
                  <c:pt idx="15">
                    <c:v>Exporter</c:v>
                  </c:pt>
                  <c:pt idx="16">
                    <c:v>Non-exporter</c:v>
                  </c:pt>
                  <c:pt idx="18">
                    <c:v>Domestic</c:v>
                  </c:pt>
                  <c:pt idx="19">
                    <c:v>Foreign</c:v>
                  </c:pt>
                </c:lvl>
                <c:lvl>
                  <c:pt idx="2">
                    <c:v>Sector</c:v>
                  </c:pt>
                  <c:pt idx="6">
                    <c:v>Size</c:v>
                  </c:pt>
                  <c:pt idx="10">
                    <c:v>Location</c:v>
                  </c:pt>
                  <c:pt idx="15">
                    <c:v>Exporter type</c:v>
                  </c:pt>
                  <c:pt idx="18">
                    <c:v>Ownership</c:v>
                  </c:pt>
                </c:lvl>
              </c:multiLvlStrCache>
            </c:multiLvlStrRef>
          </c:cat>
          <c:val>
            <c:numRef>
              <c:f>(Gender!$H$34:$H$51,Gender!$H$55:$H$56)</c:f>
              <c:numCache>
                <c:formatCode>General</c:formatCode>
                <c:ptCount val="20"/>
                <c:pt idx="0" formatCode="#,##0.0">
                  <c:v>11.8</c:v>
                </c:pt>
                <c:pt idx="2" formatCode="#,##0.0">
                  <c:v>6.8</c:v>
                </c:pt>
                <c:pt idx="3" formatCode="#,##0.0">
                  <c:v>27.6</c:v>
                </c:pt>
                <c:pt idx="4" formatCode="#,##0.0">
                  <c:v>8.3000000000000007</c:v>
                </c:pt>
                <c:pt idx="6" formatCode="#,##0.0">
                  <c:v>13.6</c:v>
                </c:pt>
                <c:pt idx="7" formatCode="#,##0.0">
                  <c:v>10.1</c:v>
                </c:pt>
                <c:pt idx="8" formatCode="#,##0.0">
                  <c:v>10.3</c:v>
                </c:pt>
                <c:pt idx="10" formatCode="#,##0.0">
                  <c:v>11.2</c:v>
                </c:pt>
                <c:pt idx="11" formatCode="#,##0.0">
                  <c:v>19.7</c:v>
                </c:pt>
                <c:pt idx="12" formatCode="#,##0.0">
                  <c:v>4.9000000000000004</c:v>
                </c:pt>
                <c:pt idx="13" formatCode="#,##0.0">
                  <c:v>5.2</c:v>
                </c:pt>
                <c:pt idx="15" formatCode="#,##0.0">
                  <c:v>6.8</c:v>
                </c:pt>
                <c:pt idx="16" formatCode="#,##0.0">
                  <c:v>12.2</c:v>
                </c:pt>
                <c:pt idx="18" formatCode="#,##0.0">
                  <c:v>11.1</c:v>
                </c:pt>
                <c:pt idx="19" formatCode="#,##0.0">
                  <c:v>19.7</c:v>
                </c:pt>
              </c:numCache>
            </c:numRef>
          </c:val>
        </c:ser>
        <c:ser>
          <c:idx val="1"/>
          <c:order val="1"/>
          <c:tx>
            <c:strRef>
              <c:f>Gender!$G$1</c:f>
              <c:strCache>
                <c:ptCount val="1"/>
                <c:pt idx="0">
                  <c:v>Percent of firms with female participation in ownership</c:v>
                </c:pt>
              </c:strCache>
            </c:strRef>
          </c:tx>
          <c:invertIfNegative val="0"/>
          <c:val>
            <c:numRef>
              <c:f>(Gender!$G$34:$G$51,Gender!$G$55:$G$56)</c:f>
              <c:numCache>
                <c:formatCode>General</c:formatCode>
                <c:ptCount val="20"/>
                <c:pt idx="0" formatCode="#,##0.0">
                  <c:v>34.4</c:v>
                </c:pt>
                <c:pt idx="2" formatCode="#,##0.0">
                  <c:v>35.1</c:v>
                </c:pt>
                <c:pt idx="3" formatCode="#,##0.0">
                  <c:v>45</c:v>
                </c:pt>
                <c:pt idx="4" formatCode="#,##0.0">
                  <c:v>28.8</c:v>
                </c:pt>
                <c:pt idx="6" formatCode="#,##0.0">
                  <c:v>27.9</c:v>
                </c:pt>
                <c:pt idx="7" formatCode="#,##0.0">
                  <c:v>37.200000000000003</c:v>
                </c:pt>
                <c:pt idx="8" formatCode="#,##0.0">
                  <c:v>49.9</c:v>
                </c:pt>
                <c:pt idx="10" formatCode="#,##0.0">
                  <c:v>30.6</c:v>
                </c:pt>
                <c:pt idx="11" formatCode="#,##0.0">
                  <c:v>51.3</c:v>
                </c:pt>
                <c:pt idx="12" formatCode="#,##0.0">
                  <c:v>18.600000000000001</c:v>
                </c:pt>
                <c:pt idx="13" formatCode="#,##0.0">
                  <c:v>33.799999999999997</c:v>
                </c:pt>
                <c:pt idx="15" formatCode="#,##0.0">
                  <c:v>30.8</c:v>
                </c:pt>
                <c:pt idx="16" formatCode="#,##0.0">
                  <c:v>34.700000000000003</c:v>
                </c:pt>
                <c:pt idx="18" formatCode="#,##0.0">
                  <c:v>34</c:v>
                </c:pt>
                <c:pt idx="19" formatCode="#,##0.0">
                  <c:v>38.200000000000003</c:v>
                </c:pt>
              </c:numCache>
            </c:numRef>
          </c:val>
        </c:ser>
        <c:dLbls>
          <c:showLegendKey val="0"/>
          <c:showVal val="0"/>
          <c:showCatName val="0"/>
          <c:showSerName val="0"/>
          <c:showPercent val="0"/>
          <c:showBubbleSize val="0"/>
        </c:dLbls>
        <c:gapWidth val="150"/>
        <c:axId val="105536512"/>
        <c:axId val="105538304"/>
      </c:barChart>
      <c:catAx>
        <c:axId val="105536512"/>
        <c:scaling>
          <c:orientation val="minMax"/>
        </c:scaling>
        <c:delete val="0"/>
        <c:axPos val="b"/>
        <c:numFmt formatCode="General" sourceLinked="1"/>
        <c:majorTickMark val="out"/>
        <c:minorTickMark val="none"/>
        <c:tickLblPos val="nextTo"/>
        <c:spPr>
          <a:ln w="3175">
            <a:solidFill>
              <a:srgbClr val="808080"/>
            </a:solidFill>
            <a:prstDash val="solid"/>
          </a:ln>
        </c:spPr>
        <c:txPr>
          <a:bodyPr rot="-5400000" vert="horz"/>
          <a:lstStyle/>
          <a:p>
            <a:pPr>
              <a:defRPr/>
            </a:pPr>
            <a:endParaRPr lang="en-US"/>
          </a:p>
        </c:txPr>
        <c:crossAx val="105538304"/>
        <c:crosses val="autoZero"/>
        <c:auto val="0"/>
        <c:lblAlgn val="ctr"/>
        <c:lblOffset val="100"/>
        <c:tickLblSkip val="1"/>
        <c:tickMarkSkip val="1"/>
        <c:noMultiLvlLbl val="0"/>
      </c:catAx>
      <c:valAx>
        <c:axId val="105538304"/>
        <c:scaling>
          <c:orientation val="minMax"/>
        </c:scaling>
        <c:delete val="0"/>
        <c:axPos val="l"/>
        <c:majorGridlines>
          <c:spPr>
            <a:ln w="3175">
              <a:solidFill>
                <a:srgbClr val="808080"/>
              </a:solidFill>
              <a:prstDash val="solid"/>
            </a:ln>
          </c:spPr>
        </c:majorGridlines>
        <c:numFmt formatCode="#,##0.0" sourceLinked="1"/>
        <c:majorTickMark val="out"/>
        <c:minorTickMark val="none"/>
        <c:tickLblPos val="nextTo"/>
        <c:spPr>
          <a:ln w="3175">
            <a:solidFill>
              <a:srgbClr val="808080"/>
            </a:solidFill>
            <a:prstDash val="solid"/>
          </a:ln>
        </c:spPr>
        <c:txPr>
          <a:bodyPr rot="0" vert="horz"/>
          <a:lstStyle/>
          <a:p>
            <a:pPr>
              <a:defRPr/>
            </a:pPr>
            <a:endParaRPr lang="en-US"/>
          </a:p>
        </c:txPr>
        <c:crossAx val="105536512"/>
        <c:crosses val="autoZero"/>
        <c:crossBetween val="between"/>
      </c:valAx>
      <c:spPr>
        <a:solidFill>
          <a:srgbClr val="FFFFFF"/>
        </a:solidFill>
        <a:ln w="25400">
          <a:noFill/>
        </a:ln>
      </c:spPr>
    </c:plotArea>
    <c:legend>
      <c:legendPos val="b"/>
      <c:overlay val="0"/>
    </c:legend>
    <c:plotVisOnly val="1"/>
    <c:dispBlanksAs val="gap"/>
    <c:showDLblsOverMax val="0"/>
  </c:chart>
  <c:spPr>
    <a:solidFill>
      <a:srgbClr val="FFFFFF"/>
    </a:solidFill>
    <a:ln w="3175">
      <a:solidFill>
        <a:srgbClr val="808080"/>
      </a:solidFill>
      <a:prstDash val="solid"/>
    </a:ln>
  </c:spPr>
  <c:txPr>
    <a:bodyPr/>
    <a:lstStyle/>
    <a:p>
      <a:pPr>
        <a:defRPr sz="800" b="0" i="0" u="none" strike="noStrike" baseline="0">
          <a:solidFill>
            <a:srgbClr val="000000"/>
          </a:solidFill>
          <a:latin typeface="Times New Roman"/>
          <a:ea typeface="Calibri"/>
          <a:cs typeface="Times New Roman"/>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320085493854"/>
          <c:y val="7.6448103498970896E-2"/>
          <c:w val="0.789089601690808"/>
          <c:h val="0.479468521301053"/>
        </c:manualLayout>
      </c:layout>
      <c:barChart>
        <c:barDir val="col"/>
        <c:grouping val="clustered"/>
        <c:varyColors val="0"/>
        <c:ser>
          <c:idx val="0"/>
          <c:order val="0"/>
          <c:tx>
            <c:strRef>
              <c:f>Comparison!$B$29</c:f>
              <c:strCache>
                <c:ptCount val="1"/>
                <c:pt idx="0">
                  <c:v>Male</c:v>
                </c:pt>
              </c:strCache>
            </c:strRef>
          </c:tx>
          <c:invertIfNegative val="0"/>
          <c:cat>
            <c:strRef>
              <c:f>Comparison!$A$31:$A$35</c:f>
              <c:strCache>
                <c:ptCount val="5"/>
                <c:pt idx="0">
                  <c:v>Financial institution</c:v>
                </c:pt>
                <c:pt idx="1">
                  <c:v>Employer</c:v>
                </c:pt>
                <c:pt idx="2">
                  <c:v>Private lender</c:v>
                </c:pt>
                <c:pt idx="3">
                  <c:v>Store credit</c:v>
                </c:pt>
                <c:pt idx="4">
                  <c:v>Family or friends</c:v>
                </c:pt>
              </c:strCache>
            </c:strRef>
          </c:cat>
          <c:val>
            <c:numRef>
              <c:f>Comparison!$B$31:$B$35</c:f>
              <c:numCache>
                <c:formatCode>0%</c:formatCode>
                <c:ptCount val="5"/>
                <c:pt idx="0">
                  <c:v>6.391637E-2</c:v>
                </c:pt>
                <c:pt idx="1">
                  <c:v>4.8709229999999999E-2</c:v>
                </c:pt>
                <c:pt idx="2">
                  <c:v>4.9155709999999998E-2</c:v>
                </c:pt>
                <c:pt idx="3">
                  <c:v>6.7932489999999998E-2</c:v>
                </c:pt>
                <c:pt idx="4">
                  <c:v>0.2881224</c:v>
                </c:pt>
              </c:numCache>
            </c:numRef>
          </c:val>
        </c:ser>
        <c:ser>
          <c:idx val="1"/>
          <c:order val="1"/>
          <c:tx>
            <c:strRef>
              <c:f>Comparison!$C$29</c:f>
              <c:strCache>
                <c:ptCount val="1"/>
                <c:pt idx="0">
                  <c:v>Female</c:v>
                </c:pt>
              </c:strCache>
            </c:strRef>
          </c:tx>
          <c:invertIfNegative val="0"/>
          <c:cat>
            <c:strRef>
              <c:f>Comparison!$A$31:$A$35</c:f>
              <c:strCache>
                <c:ptCount val="5"/>
                <c:pt idx="0">
                  <c:v>Financial institution</c:v>
                </c:pt>
                <c:pt idx="1">
                  <c:v>Employer</c:v>
                </c:pt>
                <c:pt idx="2">
                  <c:v>Private lender</c:v>
                </c:pt>
                <c:pt idx="3">
                  <c:v>Store credit</c:v>
                </c:pt>
                <c:pt idx="4">
                  <c:v>Family or friends</c:v>
                </c:pt>
              </c:strCache>
            </c:strRef>
          </c:cat>
          <c:val>
            <c:numRef>
              <c:f>Comparison!$C$31:$C$35</c:f>
              <c:numCache>
                <c:formatCode>0%</c:formatCode>
                <c:ptCount val="5"/>
                <c:pt idx="0">
                  <c:v>3.2185270000000002E-2</c:v>
                </c:pt>
                <c:pt idx="1">
                  <c:v>4.1287730000000002E-2</c:v>
                </c:pt>
                <c:pt idx="2">
                  <c:v>1.8452429999999999E-2</c:v>
                </c:pt>
                <c:pt idx="3">
                  <c:v>4.8517999999999999E-2</c:v>
                </c:pt>
                <c:pt idx="4">
                  <c:v>0.2224218</c:v>
                </c:pt>
              </c:numCache>
            </c:numRef>
          </c:val>
        </c:ser>
        <c:dLbls>
          <c:showLegendKey val="0"/>
          <c:showVal val="0"/>
          <c:showCatName val="0"/>
          <c:showSerName val="0"/>
          <c:showPercent val="0"/>
          <c:showBubbleSize val="0"/>
        </c:dLbls>
        <c:gapWidth val="150"/>
        <c:axId val="105567744"/>
        <c:axId val="105569280"/>
      </c:barChart>
      <c:catAx>
        <c:axId val="105567744"/>
        <c:scaling>
          <c:orientation val="minMax"/>
        </c:scaling>
        <c:delete val="0"/>
        <c:axPos val="b"/>
        <c:majorTickMark val="out"/>
        <c:minorTickMark val="none"/>
        <c:tickLblPos val="nextTo"/>
        <c:txPr>
          <a:bodyPr rot="-5400000" vert="horz"/>
          <a:lstStyle/>
          <a:p>
            <a:pPr>
              <a:defRPr/>
            </a:pPr>
            <a:endParaRPr lang="en-US"/>
          </a:p>
        </c:txPr>
        <c:crossAx val="105569280"/>
        <c:crosses val="autoZero"/>
        <c:auto val="1"/>
        <c:lblAlgn val="ctr"/>
        <c:lblOffset val="100"/>
        <c:noMultiLvlLbl val="0"/>
      </c:catAx>
      <c:valAx>
        <c:axId val="105569280"/>
        <c:scaling>
          <c:orientation val="minMax"/>
        </c:scaling>
        <c:delete val="0"/>
        <c:axPos val="l"/>
        <c:majorGridlines/>
        <c:numFmt formatCode="0%" sourceLinked="1"/>
        <c:majorTickMark val="out"/>
        <c:minorTickMark val="none"/>
        <c:tickLblPos val="nextTo"/>
        <c:crossAx val="105567744"/>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91856478420101"/>
          <c:y val="8.8345225959904794E-2"/>
          <c:w val="0.79391935570509597"/>
          <c:h val="0.41506149651782798"/>
        </c:manualLayout>
      </c:layout>
      <c:barChart>
        <c:barDir val="col"/>
        <c:grouping val="clustered"/>
        <c:varyColors val="0"/>
        <c:ser>
          <c:idx val="0"/>
          <c:order val="0"/>
          <c:tx>
            <c:strRef>
              <c:f>Comparison!$B$2</c:f>
              <c:strCache>
                <c:ptCount val="1"/>
                <c:pt idx="0">
                  <c:v>Male</c:v>
                </c:pt>
              </c:strCache>
            </c:strRef>
          </c:tx>
          <c:invertIfNegative val="0"/>
          <c:cat>
            <c:strRef>
              <c:f>Comparison!$A$4:$A$8</c:f>
              <c:strCache>
                <c:ptCount val="5"/>
                <c:pt idx="0">
                  <c:v>Business purposes</c:v>
                </c:pt>
                <c:pt idx="1">
                  <c:v>Receive wages</c:v>
                </c:pt>
                <c:pt idx="2">
                  <c:v>Receive government payments</c:v>
                </c:pt>
                <c:pt idx="3">
                  <c:v>Receive remittances</c:v>
                </c:pt>
                <c:pt idx="4">
                  <c:v>Send remittances</c:v>
                </c:pt>
              </c:strCache>
            </c:strRef>
          </c:cat>
          <c:val>
            <c:numRef>
              <c:f>Comparison!$B$4:$B$8</c:f>
              <c:numCache>
                <c:formatCode>0.0%</c:formatCode>
                <c:ptCount val="5"/>
                <c:pt idx="0">
                  <c:v>1.379915E-2</c:v>
                </c:pt>
                <c:pt idx="1">
                  <c:v>2.296757E-2</c:v>
                </c:pt>
                <c:pt idx="2">
                  <c:v>1.4160789999999999E-2</c:v>
                </c:pt>
                <c:pt idx="3">
                  <c:v>5.7344620000000001E-3</c:v>
                </c:pt>
                <c:pt idx="4">
                  <c:v>2.4225219999999999E-3</c:v>
                </c:pt>
              </c:numCache>
            </c:numRef>
          </c:val>
        </c:ser>
        <c:ser>
          <c:idx val="1"/>
          <c:order val="1"/>
          <c:tx>
            <c:strRef>
              <c:f>Comparison!$C$2</c:f>
              <c:strCache>
                <c:ptCount val="1"/>
                <c:pt idx="0">
                  <c:v>Female</c:v>
                </c:pt>
              </c:strCache>
            </c:strRef>
          </c:tx>
          <c:invertIfNegative val="0"/>
          <c:cat>
            <c:strRef>
              <c:f>Comparison!$A$4:$A$8</c:f>
              <c:strCache>
                <c:ptCount val="5"/>
                <c:pt idx="0">
                  <c:v>Business purposes</c:v>
                </c:pt>
                <c:pt idx="1">
                  <c:v>Receive wages</c:v>
                </c:pt>
                <c:pt idx="2">
                  <c:v>Receive government payments</c:v>
                </c:pt>
                <c:pt idx="3">
                  <c:v>Receive remittances</c:v>
                </c:pt>
                <c:pt idx="4">
                  <c:v>Send remittances</c:v>
                </c:pt>
              </c:strCache>
            </c:strRef>
          </c:cat>
          <c:val>
            <c:numRef>
              <c:f>Comparison!$C$4:$C$8</c:f>
              <c:numCache>
                <c:formatCode>0.0%</c:formatCode>
                <c:ptCount val="5"/>
                <c:pt idx="0">
                  <c:v>7.7184860000000001E-3</c:v>
                </c:pt>
                <c:pt idx="1">
                  <c:v>1.153706E-2</c:v>
                </c:pt>
                <c:pt idx="2">
                  <c:v>5.1767310000000004E-3</c:v>
                </c:pt>
                <c:pt idx="3">
                  <c:v>6.9557509999999996E-3</c:v>
                </c:pt>
                <c:pt idx="4">
                  <c:v>0</c:v>
                </c:pt>
              </c:numCache>
            </c:numRef>
          </c:val>
        </c:ser>
        <c:dLbls>
          <c:showLegendKey val="0"/>
          <c:showVal val="0"/>
          <c:showCatName val="0"/>
          <c:showSerName val="0"/>
          <c:showPercent val="0"/>
          <c:showBubbleSize val="0"/>
        </c:dLbls>
        <c:gapWidth val="150"/>
        <c:axId val="106127744"/>
        <c:axId val="106129280"/>
      </c:barChart>
      <c:catAx>
        <c:axId val="106127744"/>
        <c:scaling>
          <c:orientation val="minMax"/>
        </c:scaling>
        <c:delete val="0"/>
        <c:axPos val="b"/>
        <c:majorTickMark val="out"/>
        <c:minorTickMark val="none"/>
        <c:tickLblPos val="nextTo"/>
        <c:txPr>
          <a:bodyPr rot="-5400000" vert="horz"/>
          <a:lstStyle/>
          <a:p>
            <a:pPr>
              <a:defRPr/>
            </a:pPr>
            <a:endParaRPr lang="en-US"/>
          </a:p>
        </c:txPr>
        <c:crossAx val="106129280"/>
        <c:crosses val="autoZero"/>
        <c:auto val="1"/>
        <c:lblAlgn val="ctr"/>
        <c:lblOffset val="100"/>
        <c:noMultiLvlLbl val="0"/>
      </c:catAx>
      <c:valAx>
        <c:axId val="106129280"/>
        <c:scaling>
          <c:orientation val="minMax"/>
        </c:scaling>
        <c:delete val="0"/>
        <c:axPos val="l"/>
        <c:majorGridlines/>
        <c:numFmt formatCode="0.0%" sourceLinked="1"/>
        <c:majorTickMark val="out"/>
        <c:minorTickMark val="none"/>
        <c:tickLblPos val="nextTo"/>
        <c:crossAx val="106127744"/>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94014289880399E-2"/>
          <c:y val="7.2890384076254602E-2"/>
          <c:w val="0.894313393117527"/>
          <c:h val="0.52865837102574098"/>
        </c:manualLayout>
      </c:layout>
      <c:barChart>
        <c:barDir val="col"/>
        <c:grouping val="clustered"/>
        <c:varyColors val="0"/>
        <c:ser>
          <c:idx val="0"/>
          <c:order val="0"/>
          <c:tx>
            <c:strRef>
              <c:f>Data!$C$3509</c:f>
              <c:strCache>
                <c:ptCount val="1"/>
                <c:pt idx="0">
                  <c:v>Primary completion rate, male (% of relevant age group)</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Data!$AS$3509:$BD$3509</c:f>
              <c:numCache>
                <c:formatCode>0.0</c:formatCode>
                <c:ptCount val="12"/>
                <c:pt idx="0">
                  <c:v>98.116369999999975</c:v>
                </c:pt>
                <c:pt idx="1">
                  <c:v>101.84211000000001</c:v>
                </c:pt>
                <c:pt idx="2">
                  <c:v>100.97933</c:v>
                </c:pt>
                <c:pt idx="3">
                  <c:v>98.915660000000202</c:v>
                </c:pt>
                <c:pt idx="4">
                  <c:v>95.195269999999994</c:v>
                </c:pt>
                <c:pt idx="6">
                  <c:v>108.50036</c:v>
                </c:pt>
                <c:pt idx="7">
                  <c:v>96.955100000000002</c:v>
                </c:pt>
                <c:pt idx="9">
                  <c:v>103.28084</c:v>
                </c:pt>
                <c:pt idx="10">
                  <c:v>105.68040999999999</c:v>
                </c:pt>
                <c:pt idx="11">
                  <c:v>105.85115</c:v>
                </c:pt>
              </c:numCache>
            </c:numRef>
          </c:val>
        </c:ser>
        <c:ser>
          <c:idx val="1"/>
          <c:order val="1"/>
          <c:tx>
            <c:strRef>
              <c:f>Data!$C$3508</c:f>
              <c:strCache>
                <c:ptCount val="1"/>
                <c:pt idx="0">
                  <c:v>Primary completion rate, female (% of relevant age group)</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Data!$AS$3508:$BD$3508</c:f>
              <c:numCache>
                <c:formatCode>0.0</c:formatCode>
                <c:ptCount val="12"/>
                <c:pt idx="0">
                  <c:v>88.00806</c:v>
                </c:pt>
                <c:pt idx="1">
                  <c:v>93.599080000000001</c:v>
                </c:pt>
                <c:pt idx="2">
                  <c:v>95.867110000000025</c:v>
                </c:pt>
                <c:pt idx="3">
                  <c:v>93.656469999999985</c:v>
                </c:pt>
                <c:pt idx="4">
                  <c:v>90.819200000000023</c:v>
                </c:pt>
                <c:pt idx="6">
                  <c:v>103.99384999999999</c:v>
                </c:pt>
                <c:pt idx="7">
                  <c:v>92.80383999999998</c:v>
                </c:pt>
                <c:pt idx="9">
                  <c:v>99.179639999999978</c:v>
                </c:pt>
                <c:pt idx="10">
                  <c:v>102.29803</c:v>
                </c:pt>
                <c:pt idx="11">
                  <c:v>101.85052</c:v>
                </c:pt>
              </c:numCache>
            </c:numRef>
          </c:val>
        </c:ser>
        <c:ser>
          <c:idx val="2"/>
          <c:order val="2"/>
          <c:tx>
            <c:strRef>
              <c:f>Data!$C$3511</c:f>
              <c:strCache>
                <c:ptCount val="1"/>
                <c:pt idx="0">
                  <c:v>Primary completion rate, total (% of relevant age group)</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Data!$AS$3511:$BD$3511</c:f>
              <c:numCache>
                <c:formatCode>0.0</c:formatCode>
                <c:ptCount val="12"/>
                <c:pt idx="0">
                  <c:v>93.125639999999848</c:v>
                </c:pt>
                <c:pt idx="1">
                  <c:v>97.773629999999997</c:v>
                </c:pt>
                <c:pt idx="2">
                  <c:v>98.461200000000204</c:v>
                </c:pt>
                <c:pt idx="3">
                  <c:v>96.328999999999979</c:v>
                </c:pt>
                <c:pt idx="4">
                  <c:v>93.045270000000002</c:v>
                </c:pt>
                <c:pt idx="5">
                  <c:v>102.66885000000001</c:v>
                </c:pt>
                <c:pt idx="6">
                  <c:v>106.2871200000001</c:v>
                </c:pt>
                <c:pt idx="7">
                  <c:v>94.915250000000114</c:v>
                </c:pt>
                <c:pt idx="8">
                  <c:v>97.757100000000023</c:v>
                </c:pt>
                <c:pt idx="9">
                  <c:v>101.2662500000001</c:v>
                </c:pt>
                <c:pt idx="10">
                  <c:v>104.01998</c:v>
                </c:pt>
                <c:pt idx="11">
                  <c:v>103.88891</c:v>
                </c:pt>
              </c:numCache>
            </c:numRef>
          </c:val>
        </c:ser>
        <c:dLbls>
          <c:showLegendKey val="0"/>
          <c:showVal val="0"/>
          <c:showCatName val="0"/>
          <c:showSerName val="0"/>
          <c:showPercent val="0"/>
          <c:showBubbleSize val="0"/>
        </c:dLbls>
        <c:gapWidth val="150"/>
        <c:axId val="106172416"/>
        <c:axId val="106173952"/>
      </c:barChart>
      <c:catAx>
        <c:axId val="10617241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6173952"/>
        <c:crosses val="autoZero"/>
        <c:auto val="1"/>
        <c:lblAlgn val="ctr"/>
        <c:lblOffset val="100"/>
        <c:noMultiLvlLbl val="0"/>
      </c:catAx>
      <c:valAx>
        <c:axId val="106173952"/>
        <c:scaling>
          <c:orientation val="minMax"/>
          <c:min val="70"/>
        </c:scaling>
        <c:delete val="0"/>
        <c:axPos val="l"/>
        <c:majorGridlines/>
        <c:numFmt formatCode="0.0" sourceLinked="1"/>
        <c:majorTickMark val="out"/>
        <c:minorTickMark val="none"/>
        <c:tickLblPos val="nextTo"/>
        <c:crossAx val="106172416"/>
        <c:crosses val="autoZero"/>
        <c:crossBetween val="between"/>
      </c:valAx>
    </c:plotArea>
    <c:legend>
      <c:legendPos val="b"/>
      <c:layout>
        <c:manualLayout>
          <c:xMode val="edge"/>
          <c:yMode val="edge"/>
          <c:x val="1.8316382327209099E-2"/>
          <c:y val="0.75336648940749495"/>
          <c:w val="0.94021908719743397"/>
          <c:h val="0.184957031758751"/>
        </c:manualLayout>
      </c:layout>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27386355456502E-2"/>
          <c:y val="2.9478458049886601E-2"/>
          <c:w val="0.92414160971134895"/>
          <c:h val="0.41911088793683698"/>
        </c:manualLayout>
      </c:layout>
      <c:barChart>
        <c:barDir val="col"/>
        <c:grouping val="clustered"/>
        <c:varyColors val="0"/>
        <c:ser>
          <c:idx val="0"/>
          <c:order val="0"/>
          <c:tx>
            <c:strRef>
              <c:f>Gender!$H$1</c:f>
              <c:strCache>
                <c:ptCount val="1"/>
                <c:pt idx="0">
                  <c:v>Percent of firms with a female top manager</c:v>
                </c:pt>
              </c:strCache>
            </c:strRef>
          </c:tx>
          <c:spPr>
            <a:solidFill>
              <a:srgbClr val="666699"/>
            </a:solidFill>
            <a:ln w="25400">
              <a:noFill/>
            </a:ln>
          </c:spPr>
          <c:invertIfNegative val="0"/>
          <c:cat>
            <c:multiLvlStrRef>
              <c:f>(Gender!$D$34:$E$51,Gender!$D$55:$E$56)</c:f>
              <c:multiLvlStrCache>
                <c:ptCount val="20"/>
                <c:lvl>
                  <c:pt idx="0">
                    <c:v>Total</c:v>
                  </c:pt>
                  <c:pt idx="2">
                    <c:v>Manufacturing</c:v>
                  </c:pt>
                  <c:pt idx="3">
                    <c:v>Retail</c:v>
                  </c:pt>
                  <c:pt idx="4">
                    <c:v>Other Services</c:v>
                  </c:pt>
                  <c:pt idx="6">
                    <c:v>Small (5-19)</c:v>
                  </c:pt>
                  <c:pt idx="7">
                    <c:v>Medium (20-99)</c:v>
                  </c:pt>
                  <c:pt idx="8">
                    <c:v>Large (100+)</c:v>
                  </c:pt>
                  <c:pt idx="10">
                    <c:v>Sogdiskaya</c:v>
                  </c:pt>
                  <c:pt idx="11">
                    <c:v>Dushanbe</c:v>
                  </c:pt>
                  <c:pt idx="12">
                    <c:v>RRP</c:v>
                  </c:pt>
                  <c:pt idx="13">
                    <c:v>Khatlonskaya</c:v>
                  </c:pt>
                  <c:pt idx="15">
                    <c:v>Exporter</c:v>
                  </c:pt>
                  <c:pt idx="16">
                    <c:v>Non-exporter</c:v>
                  </c:pt>
                  <c:pt idx="18">
                    <c:v>Domestic</c:v>
                  </c:pt>
                  <c:pt idx="19">
                    <c:v>Foreign</c:v>
                  </c:pt>
                </c:lvl>
                <c:lvl>
                  <c:pt idx="2">
                    <c:v>Sector</c:v>
                  </c:pt>
                  <c:pt idx="6">
                    <c:v>Size</c:v>
                  </c:pt>
                  <c:pt idx="10">
                    <c:v>Location</c:v>
                  </c:pt>
                  <c:pt idx="15">
                    <c:v>Exporter type</c:v>
                  </c:pt>
                  <c:pt idx="18">
                    <c:v>Ownership</c:v>
                  </c:pt>
                </c:lvl>
              </c:multiLvlStrCache>
            </c:multiLvlStrRef>
          </c:cat>
          <c:val>
            <c:numRef>
              <c:f>(Gender!$H$34:$H$51,Gender!$H$55:$H$56)</c:f>
              <c:numCache>
                <c:formatCode>General</c:formatCode>
                <c:ptCount val="20"/>
                <c:pt idx="0" formatCode="#,##0.0">
                  <c:v>11.8</c:v>
                </c:pt>
                <c:pt idx="2" formatCode="#,##0.0">
                  <c:v>6.8</c:v>
                </c:pt>
                <c:pt idx="3" formatCode="#,##0.0">
                  <c:v>27.6</c:v>
                </c:pt>
                <c:pt idx="4" formatCode="#,##0.0">
                  <c:v>8.3000000000000007</c:v>
                </c:pt>
                <c:pt idx="6" formatCode="#,##0.0">
                  <c:v>13.6</c:v>
                </c:pt>
                <c:pt idx="7" formatCode="#,##0.0">
                  <c:v>10.1</c:v>
                </c:pt>
                <c:pt idx="8" formatCode="#,##0.0">
                  <c:v>10.3</c:v>
                </c:pt>
                <c:pt idx="10" formatCode="#,##0.0">
                  <c:v>11.2</c:v>
                </c:pt>
                <c:pt idx="11" formatCode="#,##0.0">
                  <c:v>19.7</c:v>
                </c:pt>
                <c:pt idx="12" formatCode="#,##0.0">
                  <c:v>4.9000000000000004</c:v>
                </c:pt>
                <c:pt idx="13" formatCode="#,##0.0">
                  <c:v>5.2</c:v>
                </c:pt>
                <c:pt idx="15" formatCode="#,##0.0">
                  <c:v>6.8</c:v>
                </c:pt>
                <c:pt idx="16" formatCode="#,##0.0">
                  <c:v>12.2</c:v>
                </c:pt>
                <c:pt idx="18" formatCode="#,##0.0">
                  <c:v>11.1</c:v>
                </c:pt>
                <c:pt idx="19" formatCode="#,##0.0">
                  <c:v>19.7</c:v>
                </c:pt>
              </c:numCache>
            </c:numRef>
          </c:val>
        </c:ser>
        <c:ser>
          <c:idx val="1"/>
          <c:order val="1"/>
          <c:tx>
            <c:strRef>
              <c:f>Gender!$G$1</c:f>
              <c:strCache>
                <c:ptCount val="1"/>
                <c:pt idx="0">
                  <c:v>Percent of firms with female participation in ownership</c:v>
                </c:pt>
              </c:strCache>
            </c:strRef>
          </c:tx>
          <c:invertIfNegative val="0"/>
          <c:val>
            <c:numRef>
              <c:f>(Gender!$G$34:$G$51,Gender!$G$55:$G$56)</c:f>
              <c:numCache>
                <c:formatCode>General</c:formatCode>
                <c:ptCount val="20"/>
                <c:pt idx="0" formatCode="#,##0.0">
                  <c:v>34.4</c:v>
                </c:pt>
                <c:pt idx="2" formatCode="#,##0.0">
                  <c:v>35.1</c:v>
                </c:pt>
                <c:pt idx="3" formatCode="#,##0.0">
                  <c:v>45</c:v>
                </c:pt>
                <c:pt idx="4" formatCode="#,##0.0">
                  <c:v>28.8</c:v>
                </c:pt>
                <c:pt idx="6" formatCode="#,##0.0">
                  <c:v>27.9</c:v>
                </c:pt>
                <c:pt idx="7" formatCode="#,##0.0">
                  <c:v>37.200000000000003</c:v>
                </c:pt>
                <c:pt idx="8" formatCode="#,##0.0">
                  <c:v>49.9</c:v>
                </c:pt>
                <c:pt idx="10" formatCode="#,##0.0">
                  <c:v>30.6</c:v>
                </c:pt>
                <c:pt idx="11" formatCode="#,##0.0">
                  <c:v>51.3</c:v>
                </c:pt>
                <c:pt idx="12" formatCode="#,##0.0">
                  <c:v>18.600000000000001</c:v>
                </c:pt>
                <c:pt idx="13" formatCode="#,##0.0">
                  <c:v>33.799999999999997</c:v>
                </c:pt>
                <c:pt idx="15" formatCode="#,##0.0">
                  <c:v>30.8</c:v>
                </c:pt>
                <c:pt idx="16" formatCode="#,##0.0">
                  <c:v>34.700000000000003</c:v>
                </c:pt>
                <c:pt idx="18" formatCode="#,##0.0">
                  <c:v>34</c:v>
                </c:pt>
                <c:pt idx="19" formatCode="#,##0.0">
                  <c:v>38.200000000000003</c:v>
                </c:pt>
              </c:numCache>
            </c:numRef>
          </c:val>
        </c:ser>
        <c:dLbls>
          <c:showLegendKey val="0"/>
          <c:showVal val="0"/>
          <c:showCatName val="0"/>
          <c:showSerName val="0"/>
          <c:showPercent val="0"/>
          <c:showBubbleSize val="0"/>
        </c:dLbls>
        <c:gapWidth val="150"/>
        <c:axId val="104640512"/>
        <c:axId val="104642048"/>
      </c:barChart>
      <c:catAx>
        <c:axId val="104640512"/>
        <c:scaling>
          <c:orientation val="minMax"/>
        </c:scaling>
        <c:delete val="0"/>
        <c:axPos val="b"/>
        <c:numFmt formatCode="General" sourceLinked="1"/>
        <c:majorTickMark val="out"/>
        <c:minorTickMark val="none"/>
        <c:tickLblPos val="nextTo"/>
        <c:spPr>
          <a:ln w="3175">
            <a:solidFill>
              <a:srgbClr val="808080"/>
            </a:solidFill>
            <a:prstDash val="solid"/>
          </a:ln>
        </c:spPr>
        <c:txPr>
          <a:bodyPr rot="-5400000" vert="horz"/>
          <a:lstStyle/>
          <a:p>
            <a:pPr>
              <a:defRPr/>
            </a:pPr>
            <a:endParaRPr lang="en-US"/>
          </a:p>
        </c:txPr>
        <c:crossAx val="104642048"/>
        <c:crosses val="autoZero"/>
        <c:auto val="0"/>
        <c:lblAlgn val="ctr"/>
        <c:lblOffset val="100"/>
        <c:tickLblSkip val="1"/>
        <c:tickMarkSkip val="1"/>
        <c:noMultiLvlLbl val="0"/>
      </c:catAx>
      <c:valAx>
        <c:axId val="104642048"/>
        <c:scaling>
          <c:orientation val="minMax"/>
        </c:scaling>
        <c:delete val="0"/>
        <c:axPos val="l"/>
        <c:majorGridlines>
          <c:spPr>
            <a:ln w="3175">
              <a:solidFill>
                <a:srgbClr val="808080"/>
              </a:solidFill>
              <a:prstDash val="solid"/>
            </a:ln>
          </c:spPr>
        </c:majorGridlines>
        <c:numFmt formatCode="#,##0.0" sourceLinked="1"/>
        <c:majorTickMark val="out"/>
        <c:minorTickMark val="none"/>
        <c:tickLblPos val="nextTo"/>
        <c:spPr>
          <a:ln w="3175">
            <a:solidFill>
              <a:srgbClr val="808080"/>
            </a:solidFill>
            <a:prstDash val="solid"/>
          </a:ln>
        </c:spPr>
        <c:txPr>
          <a:bodyPr rot="0" vert="horz"/>
          <a:lstStyle/>
          <a:p>
            <a:pPr>
              <a:defRPr/>
            </a:pPr>
            <a:endParaRPr lang="en-US"/>
          </a:p>
        </c:txPr>
        <c:crossAx val="104640512"/>
        <c:crosses val="autoZero"/>
        <c:crossBetween val="between"/>
      </c:valAx>
      <c:spPr>
        <a:solidFill>
          <a:srgbClr val="FFFFFF"/>
        </a:solidFill>
        <a:ln w="25400">
          <a:noFill/>
        </a:ln>
      </c:spPr>
    </c:plotArea>
    <c:legend>
      <c:legendPos val="b"/>
      <c:layout/>
      <c:overlay val="0"/>
    </c:legend>
    <c:plotVisOnly val="1"/>
    <c:dispBlanksAs val="gap"/>
    <c:showDLblsOverMax val="0"/>
  </c:chart>
  <c:spPr>
    <a:solidFill>
      <a:srgbClr val="FFFFFF"/>
    </a:solidFill>
    <a:ln w="3175">
      <a:solidFill>
        <a:srgbClr val="808080"/>
      </a:solidFill>
      <a:prstDash val="solid"/>
    </a:ln>
  </c:spPr>
  <c:txPr>
    <a:bodyPr/>
    <a:lstStyle/>
    <a:p>
      <a:pPr>
        <a:defRPr sz="800" b="0" i="0" u="none" strike="noStrike" baseline="0">
          <a:solidFill>
            <a:srgbClr val="000000"/>
          </a:solidFill>
          <a:latin typeface="Times New Roman"/>
          <a:ea typeface="Calibri"/>
          <a:cs typeface="Times New Roman"/>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Data!$C$3540</c:f>
              <c:strCache>
                <c:ptCount val="1"/>
                <c:pt idx="0">
                  <c:v>Progression to secondary school, male (%)</c:v>
                </c:pt>
              </c:strCache>
            </c:strRef>
          </c:tx>
          <c:invertIfNegative val="0"/>
          <c:cat>
            <c:strRef>
              <c:f>Data!$AS$1:$BC$1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Data!$AS$3540:$BC$3540</c:f>
              <c:numCache>
                <c:formatCode>0.0</c:formatCode>
                <c:ptCount val="11"/>
                <c:pt idx="0">
                  <c:v>96.63458</c:v>
                </c:pt>
                <c:pt idx="1">
                  <c:v>98.929630000000003</c:v>
                </c:pt>
                <c:pt idx="4">
                  <c:v>98.417910000000205</c:v>
                </c:pt>
                <c:pt idx="5">
                  <c:v>99.621469999999974</c:v>
                </c:pt>
                <c:pt idx="6">
                  <c:v>98.188389999999075</c:v>
                </c:pt>
                <c:pt idx="8">
                  <c:v>98.983980000000003</c:v>
                </c:pt>
                <c:pt idx="9">
                  <c:v>99.241500000000116</c:v>
                </c:pt>
                <c:pt idx="10">
                  <c:v>99.427700000000002</c:v>
                </c:pt>
              </c:numCache>
            </c:numRef>
          </c:val>
        </c:ser>
        <c:ser>
          <c:idx val="1"/>
          <c:order val="1"/>
          <c:tx>
            <c:strRef>
              <c:f>Data!$C$3539</c:f>
              <c:strCache>
                <c:ptCount val="1"/>
                <c:pt idx="0">
                  <c:v>Progression to secondary school, female (%)</c:v>
                </c:pt>
              </c:strCache>
            </c:strRef>
          </c:tx>
          <c:invertIfNegative val="0"/>
          <c:cat>
            <c:strRef>
              <c:f>Data!$AS$1:$BC$1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Data!$AS$3539:$BC$3539</c:f>
              <c:numCache>
                <c:formatCode>0.0</c:formatCode>
                <c:ptCount val="11"/>
                <c:pt idx="0">
                  <c:v>96.971300000000014</c:v>
                </c:pt>
                <c:pt idx="1">
                  <c:v>97.698059999999998</c:v>
                </c:pt>
                <c:pt idx="4">
                  <c:v>96.70814</c:v>
                </c:pt>
                <c:pt idx="5">
                  <c:v>96.418530000000004</c:v>
                </c:pt>
                <c:pt idx="6">
                  <c:v>97.675919999999948</c:v>
                </c:pt>
                <c:pt idx="8">
                  <c:v>97.345120000000023</c:v>
                </c:pt>
                <c:pt idx="9">
                  <c:v>97.619799999999998</c:v>
                </c:pt>
                <c:pt idx="10">
                  <c:v>97.565809999999999</c:v>
                </c:pt>
              </c:numCache>
            </c:numRef>
          </c:val>
        </c:ser>
        <c:ser>
          <c:idx val="2"/>
          <c:order val="2"/>
          <c:tx>
            <c:strRef>
              <c:f>Data!$C$3538</c:f>
              <c:strCache>
                <c:ptCount val="1"/>
                <c:pt idx="0">
                  <c:v>Progression to secondary school (%)</c:v>
                </c:pt>
              </c:strCache>
            </c:strRef>
          </c:tx>
          <c:invertIfNegative val="0"/>
          <c:cat>
            <c:strRef>
              <c:f>Data!$AS$1:$BC$1</c:f>
              <c:strCache>
                <c:ptCount val="11"/>
                <c:pt idx="0">
                  <c:v>2000</c:v>
                </c:pt>
                <c:pt idx="1">
                  <c:v>2001</c:v>
                </c:pt>
                <c:pt idx="2">
                  <c:v>2002</c:v>
                </c:pt>
                <c:pt idx="3">
                  <c:v>2003</c:v>
                </c:pt>
                <c:pt idx="4">
                  <c:v>2004</c:v>
                </c:pt>
                <c:pt idx="5">
                  <c:v>2005</c:v>
                </c:pt>
                <c:pt idx="6">
                  <c:v>2006</c:v>
                </c:pt>
                <c:pt idx="7">
                  <c:v>2007</c:v>
                </c:pt>
                <c:pt idx="8">
                  <c:v>2008</c:v>
                </c:pt>
                <c:pt idx="9">
                  <c:v>2009</c:v>
                </c:pt>
                <c:pt idx="10">
                  <c:v>2010</c:v>
                </c:pt>
              </c:strCache>
            </c:strRef>
          </c:cat>
          <c:val>
            <c:numRef>
              <c:f>Data!$AS$3538:$BC$3538</c:f>
              <c:numCache>
                <c:formatCode>0.0</c:formatCode>
                <c:ptCount val="11"/>
                <c:pt idx="0">
                  <c:v>96.791690000000202</c:v>
                </c:pt>
                <c:pt idx="1">
                  <c:v>98.347710000000006</c:v>
                </c:pt>
                <c:pt idx="2">
                  <c:v>98.181779999999776</c:v>
                </c:pt>
                <c:pt idx="3">
                  <c:v>97.916990000000027</c:v>
                </c:pt>
                <c:pt idx="4">
                  <c:v>97.597980000000007</c:v>
                </c:pt>
                <c:pt idx="5">
                  <c:v>98.079689999999999</c:v>
                </c:pt>
                <c:pt idx="6">
                  <c:v>97.942140000000023</c:v>
                </c:pt>
                <c:pt idx="7">
                  <c:v>98.354999999999976</c:v>
                </c:pt>
                <c:pt idx="8">
                  <c:v>98.194010000000006</c:v>
                </c:pt>
                <c:pt idx="9">
                  <c:v>98.461230000000114</c:v>
                </c:pt>
                <c:pt idx="10">
                  <c:v>98.528919999999999</c:v>
                </c:pt>
              </c:numCache>
            </c:numRef>
          </c:val>
        </c:ser>
        <c:dLbls>
          <c:showLegendKey val="0"/>
          <c:showVal val="0"/>
          <c:showCatName val="0"/>
          <c:showSerName val="0"/>
          <c:showPercent val="0"/>
          <c:showBubbleSize val="0"/>
        </c:dLbls>
        <c:gapWidth val="150"/>
        <c:axId val="106191488"/>
        <c:axId val="106205568"/>
      </c:barChart>
      <c:catAx>
        <c:axId val="10619148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6205568"/>
        <c:crosses val="autoZero"/>
        <c:auto val="1"/>
        <c:lblAlgn val="ctr"/>
        <c:lblOffset val="100"/>
        <c:noMultiLvlLbl val="0"/>
      </c:catAx>
      <c:valAx>
        <c:axId val="106205568"/>
        <c:scaling>
          <c:orientation val="minMax"/>
          <c:min val="90"/>
        </c:scaling>
        <c:delete val="0"/>
        <c:axPos val="l"/>
        <c:majorGridlines/>
        <c:numFmt formatCode="0.0" sourceLinked="1"/>
        <c:majorTickMark val="out"/>
        <c:minorTickMark val="none"/>
        <c:tickLblPos val="nextTo"/>
        <c:crossAx val="106191488"/>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'Summary satisfaction'!$C$1</c:f>
              <c:strCache>
                <c:ptCount val="1"/>
                <c:pt idx="0">
                  <c:v>Male</c:v>
                </c:pt>
              </c:strCache>
            </c:strRef>
          </c:tx>
          <c:invertIfNegative val="0"/>
          <c:cat>
            <c:multiLvlStrRef>
              <c:f>'Summary satisfaction'!$A$2:$B$11</c:f>
              <c:multiLvlStrCache>
                <c:ptCount val="10"/>
                <c:lvl>
                  <c:pt idx="0">
                    <c:v>2006**</c:v>
                  </c:pt>
                  <c:pt idx="1">
                    <c:v>2010</c:v>
                  </c:pt>
                  <c:pt idx="2">
                    <c:v>2006</c:v>
                  </c:pt>
                  <c:pt idx="3">
                    <c:v>2010</c:v>
                  </c:pt>
                  <c:pt idx="4">
                    <c:v>2006</c:v>
                  </c:pt>
                  <c:pt idx="5">
                    <c:v>2010</c:v>
                  </c:pt>
                  <c:pt idx="6">
                    <c:v>2006</c:v>
                  </c:pt>
                  <c:pt idx="7">
                    <c:v>2010</c:v>
                  </c:pt>
                  <c:pt idx="8">
                    <c:v>2006**</c:v>
                  </c:pt>
                  <c:pt idx="9">
                    <c:v>2010</c:v>
                  </c:pt>
                </c:lvl>
                <c:lvl>
                  <c:pt idx="0">
                    <c:v>Children who are born now will have a better life than my generation.</c:v>
                  </c:pt>
                  <c:pt idx="2">
                    <c:v>My household lives better nowadays than around 1989/4 years ago.</c:v>
                  </c:pt>
                  <c:pt idx="4">
                    <c:v>The political situation in our country is better today than around 1989/4 years ago.</c:v>
                  </c:pt>
                  <c:pt idx="6">
                    <c:v>The economic situation in our country is better today than around 1989/4 years ago.</c:v>
                  </c:pt>
                  <c:pt idx="8">
                    <c:v>All things considered, I am satisfied with my life now.</c:v>
                  </c:pt>
                </c:lvl>
              </c:multiLvlStrCache>
            </c:multiLvlStrRef>
          </c:cat>
          <c:val>
            <c:numRef>
              <c:f>'Summary satisfaction'!$C$2:$C$11</c:f>
              <c:numCache>
                <c:formatCode>0%</c:formatCode>
                <c:ptCount val="10"/>
                <c:pt idx="0">
                  <c:v>0.76100000000000001</c:v>
                </c:pt>
                <c:pt idx="1">
                  <c:v>0.75770000000000004</c:v>
                </c:pt>
                <c:pt idx="2">
                  <c:v>0.34889999999999999</c:v>
                </c:pt>
                <c:pt idx="3">
                  <c:v>0.68779999999999997</c:v>
                </c:pt>
                <c:pt idx="4">
                  <c:v>0.59040000000000004</c:v>
                </c:pt>
                <c:pt idx="5">
                  <c:v>0.61499999999999999</c:v>
                </c:pt>
                <c:pt idx="6">
                  <c:v>0.43369999999999997</c:v>
                </c:pt>
                <c:pt idx="7">
                  <c:v>0.7056</c:v>
                </c:pt>
                <c:pt idx="8">
                  <c:v>0.71950000000000003</c:v>
                </c:pt>
                <c:pt idx="9">
                  <c:v>0.71940000000000004</c:v>
                </c:pt>
              </c:numCache>
            </c:numRef>
          </c:val>
        </c:ser>
        <c:ser>
          <c:idx val="1"/>
          <c:order val="1"/>
          <c:tx>
            <c:strRef>
              <c:f>'Summary satisfaction'!$D$1</c:f>
              <c:strCache>
                <c:ptCount val="1"/>
                <c:pt idx="0">
                  <c:v>Female</c:v>
                </c:pt>
              </c:strCache>
            </c:strRef>
          </c:tx>
          <c:invertIfNegative val="0"/>
          <c:cat>
            <c:multiLvlStrRef>
              <c:f>'Summary satisfaction'!$A$2:$B$11</c:f>
              <c:multiLvlStrCache>
                <c:ptCount val="10"/>
                <c:lvl>
                  <c:pt idx="0">
                    <c:v>2006**</c:v>
                  </c:pt>
                  <c:pt idx="1">
                    <c:v>2010</c:v>
                  </c:pt>
                  <c:pt idx="2">
                    <c:v>2006</c:v>
                  </c:pt>
                  <c:pt idx="3">
                    <c:v>2010</c:v>
                  </c:pt>
                  <c:pt idx="4">
                    <c:v>2006</c:v>
                  </c:pt>
                  <c:pt idx="5">
                    <c:v>2010</c:v>
                  </c:pt>
                  <c:pt idx="6">
                    <c:v>2006</c:v>
                  </c:pt>
                  <c:pt idx="7">
                    <c:v>2010</c:v>
                  </c:pt>
                  <c:pt idx="8">
                    <c:v>2006**</c:v>
                  </c:pt>
                  <c:pt idx="9">
                    <c:v>2010</c:v>
                  </c:pt>
                </c:lvl>
                <c:lvl>
                  <c:pt idx="0">
                    <c:v>Children who are born now will have a better life than my generation.</c:v>
                  </c:pt>
                  <c:pt idx="2">
                    <c:v>My household lives better nowadays than around 1989/4 years ago.</c:v>
                  </c:pt>
                  <c:pt idx="4">
                    <c:v>The political situation in our country is better today than around 1989/4 years ago.</c:v>
                  </c:pt>
                  <c:pt idx="6">
                    <c:v>The economic situation in our country is better today than around 1989/4 years ago.</c:v>
                  </c:pt>
                  <c:pt idx="8">
                    <c:v>All things considered, I am satisfied with my life now.</c:v>
                  </c:pt>
                </c:lvl>
              </c:multiLvlStrCache>
            </c:multiLvlStrRef>
          </c:cat>
          <c:val>
            <c:numRef>
              <c:f>'Summary satisfaction'!$D$2:$D$11</c:f>
              <c:numCache>
                <c:formatCode>0%</c:formatCode>
                <c:ptCount val="10"/>
                <c:pt idx="0">
                  <c:v>0.66790000000000005</c:v>
                </c:pt>
                <c:pt idx="1">
                  <c:v>0.71040000000000003</c:v>
                </c:pt>
                <c:pt idx="2">
                  <c:v>0.34060000000000001</c:v>
                </c:pt>
                <c:pt idx="3">
                  <c:v>0.69340000000000002</c:v>
                </c:pt>
                <c:pt idx="4">
                  <c:v>0.51700000000000002</c:v>
                </c:pt>
                <c:pt idx="5">
                  <c:v>0.66920000000000002</c:v>
                </c:pt>
                <c:pt idx="6">
                  <c:v>0.38940000000000002</c:v>
                </c:pt>
                <c:pt idx="7">
                  <c:v>0.75360000000000005</c:v>
                </c:pt>
                <c:pt idx="8">
                  <c:v>0.64400000000000002</c:v>
                </c:pt>
                <c:pt idx="9">
                  <c:v>0.74390000000000001</c:v>
                </c:pt>
              </c:numCache>
            </c:numRef>
          </c:val>
        </c:ser>
        <c:dLbls>
          <c:showLegendKey val="0"/>
          <c:showVal val="0"/>
          <c:showCatName val="0"/>
          <c:showSerName val="0"/>
          <c:showPercent val="0"/>
          <c:showBubbleSize val="0"/>
        </c:dLbls>
        <c:gapWidth val="150"/>
        <c:axId val="104654720"/>
        <c:axId val="104656256"/>
      </c:barChart>
      <c:catAx>
        <c:axId val="104654720"/>
        <c:scaling>
          <c:orientation val="minMax"/>
        </c:scaling>
        <c:delete val="0"/>
        <c:axPos val="b"/>
        <c:majorTickMark val="out"/>
        <c:minorTickMark val="none"/>
        <c:tickLblPos val="nextTo"/>
        <c:crossAx val="104656256"/>
        <c:crosses val="autoZero"/>
        <c:auto val="1"/>
        <c:lblAlgn val="ctr"/>
        <c:lblOffset val="100"/>
        <c:noMultiLvlLbl val="0"/>
      </c:catAx>
      <c:valAx>
        <c:axId val="104656256"/>
        <c:scaling>
          <c:orientation val="minMax"/>
        </c:scaling>
        <c:delete val="0"/>
        <c:axPos val="l"/>
        <c:majorGridlines/>
        <c:numFmt formatCode="0%" sourceLinked="1"/>
        <c:majorTickMark val="out"/>
        <c:minorTickMark val="none"/>
        <c:tickLblPos val="nextTo"/>
        <c:crossAx val="104654720"/>
        <c:crosses val="autoZero"/>
        <c:crossBetween val="between"/>
      </c:valAx>
    </c:plotArea>
    <c:legend>
      <c:legendPos val="b"/>
      <c:layout/>
      <c:overlay val="0"/>
    </c:legend>
    <c:plotVisOnly val="1"/>
    <c:dispBlanksAs val="gap"/>
    <c:showDLblsOverMax val="0"/>
  </c:chart>
  <c:txPr>
    <a:bodyPr/>
    <a:lstStyle/>
    <a:p>
      <a:pPr>
        <a:spcBef>
          <a:spcPts val="300"/>
        </a:spcBef>
        <a:defRPr sz="800">
          <a:latin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Data!$C$3607</c:f>
              <c:strCache>
                <c:ptCount val="1"/>
                <c:pt idx="0">
                  <c:v>School enrollment, primary, 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Data!$AS$3607:$BD$3607</c:f>
              <c:numCache>
                <c:formatCode>0.0</c:formatCode>
                <c:ptCount val="12"/>
                <c:pt idx="0">
                  <c:v>100.47051999999999</c:v>
                </c:pt>
                <c:pt idx="1">
                  <c:v>100.2415300000001</c:v>
                </c:pt>
                <c:pt idx="2">
                  <c:v>100.0816600000001</c:v>
                </c:pt>
                <c:pt idx="3">
                  <c:v>102.22757</c:v>
                </c:pt>
                <c:pt idx="4">
                  <c:v>102.10786</c:v>
                </c:pt>
                <c:pt idx="5">
                  <c:v>102.53122999999999</c:v>
                </c:pt>
                <c:pt idx="6">
                  <c:v>102.5449900000001</c:v>
                </c:pt>
                <c:pt idx="7">
                  <c:v>101.77476</c:v>
                </c:pt>
                <c:pt idx="8">
                  <c:v>104.28833</c:v>
                </c:pt>
                <c:pt idx="9">
                  <c:v>103.88745</c:v>
                </c:pt>
                <c:pt idx="10">
                  <c:v>103.71888</c:v>
                </c:pt>
                <c:pt idx="11">
                  <c:v>102.38667</c:v>
                </c:pt>
              </c:numCache>
            </c:numRef>
          </c:val>
        </c:ser>
        <c:ser>
          <c:idx val="1"/>
          <c:order val="1"/>
          <c:tx>
            <c:strRef>
              <c:f>Data!$C$3605</c:f>
              <c:strCache>
                <c:ptCount val="1"/>
                <c:pt idx="0">
                  <c:v>School enrollment, primary, female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Data!$AS$3605:$BD$3605</c:f>
              <c:numCache>
                <c:formatCode>0.0</c:formatCode>
                <c:ptCount val="12"/>
                <c:pt idx="0">
                  <c:v>93.394510000000025</c:v>
                </c:pt>
                <c:pt idx="1">
                  <c:v>93.050089999999983</c:v>
                </c:pt>
                <c:pt idx="2">
                  <c:v>95.850290000000001</c:v>
                </c:pt>
                <c:pt idx="3">
                  <c:v>97.938010000000006</c:v>
                </c:pt>
                <c:pt idx="4">
                  <c:v>97.717130000000026</c:v>
                </c:pt>
                <c:pt idx="5">
                  <c:v>98.831020000000024</c:v>
                </c:pt>
                <c:pt idx="6">
                  <c:v>97.942030000000003</c:v>
                </c:pt>
                <c:pt idx="7">
                  <c:v>97.90837999999998</c:v>
                </c:pt>
                <c:pt idx="8">
                  <c:v>100.13352999999999</c:v>
                </c:pt>
                <c:pt idx="9">
                  <c:v>99.925260000000023</c:v>
                </c:pt>
                <c:pt idx="10">
                  <c:v>99.991780000000006</c:v>
                </c:pt>
                <c:pt idx="11">
                  <c:v>98.435270000000003</c:v>
                </c:pt>
              </c:numCache>
            </c:numRef>
          </c:val>
        </c:ser>
        <c:ser>
          <c:idx val="2"/>
          <c:order val="2"/>
          <c:tx>
            <c:strRef>
              <c:f>Data!$C$3603</c:f>
              <c:strCache>
                <c:ptCount val="1"/>
                <c:pt idx="0">
                  <c:v>School enrollment, primary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Data!$AS$3603:$BD$3603</c:f>
              <c:numCache>
                <c:formatCode>0.0</c:formatCode>
                <c:ptCount val="12"/>
                <c:pt idx="0">
                  <c:v>96.984460000000027</c:v>
                </c:pt>
                <c:pt idx="1">
                  <c:v>96.699339999999978</c:v>
                </c:pt>
                <c:pt idx="2">
                  <c:v>98.001720000000006</c:v>
                </c:pt>
                <c:pt idx="3">
                  <c:v>100.12145</c:v>
                </c:pt>
                <c:pt idx="4">
                  <c:v>99.952789999999979</c:v>
                </c:pt>
                <c:pt idx="5">
                  <c:v>100.7148100000001</c:v>
                </c:pt>
                <c:pt idx="6">
                  <c:v>100.28501</c:v>
                </c:pt>
                <c:pt idx="7">
                  <c:v>99.875649999999979</c:v>
                </c:pt>
                <c:pt idx="8">
                  <c:v>102.2477600000001</c:v>
                </c:pt>
                <c:pt idx="9">
                  <c:v>101.94248</c:v>
                </c:pt>
                <c:pt idx="10">
                  <c:v>101.8907</c:v>
                </c:pt>
                <c:pt idx="11">
                  <c:v>100.45005999999999</c:v>
                </c:pt>
              </c:numCache>
            </c:numRef>
          </c:val>
        </c:ser>
        <c:dLbls>
          <c:showLegendKey val="0"/>
          <c:showVal val="0"/>
          <c:showCatName val="0"/>
          <c:showSerName val="0"/>
          <c:showPercent val="0"/>
          <c:showBubbleSize val="0"/>
        </c:dLbls>
        <c:gapWidth val="150"/>
        <c:axId val="104798848"/>
        <c:axId val="104800640"/>
      </c:barChart>
      <c:lineChart>
        <c:grouping val="standard"/>
        <c:varyColors val="0"/>
        <c:ser>
          <c:idx val="3"/>
          <c:order val="3"/>
          <c:tx>
            <c:strRef>
              <c:f>Data!$C$3559</c:f>
              <c:strCache>
                <c:ptCount val="1"/>
                <c:pt idx="0">
                  <c:v>Ratio of female to male primary enrollment (%)</c:v>
                </c:pt>
              </c:strCache>
            </c:strRef>
          </c:tx>
          <c:marker>
            <c:symbol val="none"/>
          </c:marker>
          <c:val>
            <c:numRef>
              <c:f>Data!$AS$3559:$BD$3559</c:f>
              <c:numCache>
                <c:formatCode>0.0</c:formatCode>
                <c:ptCount val="12"/>
                <c:pt idx="0">
                  <c:v>92.957000000000022</c:v>
                </c:pt>
                <c:pt idx="1">
                  <c:v>92.825999999999979</c:v>
                </c:pt>
                <c:pt idx="2">
                  <c:v>95.772000000000006</c:v>
                </c:pt>
                <c:pt idx="3">
                  <c:v>95.804000000000002</c:v>
                </c:pt>
                <c:pt idx="4">
                  <c:v>95.7</c:v>
                </c:pt>
                <c:pt idx="5">
                  <c:v>96.391000000000005</c:v>
                </c:pt>
                <c:pt idx="6">
                  <c:v>95.511000000000024</c:v>
                </c:pt>
                <c:pt idx="7">
                  <c:v>96.201000000000022</c:v>
                </c:pt>
                <c:pt idx="8">
                  <c:v>96.016000000000005</c:v>
                </c:pt>
                <c:pt idx="9">
                  <c:v>96.185999999999979</c:v>
                </c:pt>
                <c:pt idx="10">
                  <c:v>96.407000000000025</c:v>
                </c:pt>
                <c:pt idx="11">
                  <c:v>96.141000000000005</c:v>
                </c:pt>
              </c:numCache>
            </c:numRef>
          </c:val>
          <c:smooth val="0"/>
        </c:ser>
        <c:dLbls>
          <c:showLegendKey val="0"/>
          <c:showVal val="0"/>
          <c:showCatName val="0"/>
          <c:showSerName val="0"/>
          <c:showPercent val="0"/>
          <c:showBubbleSize val="0"/>
        </c:dLbls>
        <c:marker val="1"/>
        <c:smooth val="0"/>
        <c:axId val="104798848"/>
        <c:axId val="104800640"/>
      </c:lineChart>
      <c:catAx>
        <c:axId val="10479884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4800640"/>
        <c:crosses val="autoZero"/>
        <c:auto val="1"/>
        <c:lblAlgn val="ctr"/>
        <c:lblOffset val="100"/>
        <c:noMultiLvlLbl val="0"/>
      </c:catAx>
      <c:valAx>
        <c:axId val="104800640"/>
        <c:scaling>
          <c:orientation val="minMax"/>
          <c:max val="110"/>
          <c:min val="65"/>
        </c:scaling>
        <c:delete val="0"/>
        <c:axPos val="l"/>
        <c:majorGridlines/>
        <c:numFmt formatCode="0.0" sourceLinked="1"/>
        <c:majorTickMark val="out"/>
        <c:minorTickMark val="none"/>
        <c:tickLblPos val="nextTo"/>
        <c:crossAx val="104798848"/>
        <c:crosses val="autoZero"/>
        <c:crossBetween val="between"/>
      </c:valAx>
    </c:plotArea>
    <c:legend>
      <c:legendPos val="b"/>
      <c:layout/>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Data!$C$3616</c:f>
              <c:strCache>
                <c:ptCount val="1"/>
                <c:pt idx="0">
                  <c:v>School enrollment, secondary, 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Data!$AS$3616:$BD$3616</c:f>
              <c:numCache>
                <c:formatCode>0.0</c:formatCode>
                <c:ptCount val="12"/>
                <c:pt idx="0">
                  <c:v>79.801270000000002</c:v>
                </c:pt>
                <c:pt idx="1">
                  <c:v>83.367729999999995</c:v>
                </c:pt>
                <c:pt idx="2">
                  <c:v>86.661339999999981</c:v>
                </c:pt>
                <c:pt idx="3">
                  <c:v>89.111190000000022</c:v>
                </c:pt>
                <c:pt idx="4">
                  <c:v>89.618110000000001</c:v>
                </c:pt>
                <c:pt idx="5">
                  <c:v>89.962770000000006</c:v>
                </c:pt>
                <c:pt idx="6">
                  <c:v>90.913100000000114</c:v>
                </c:pt>
                <c:pt idx="7">
                  <c:v>92.075079999999375</c:v>
                </c:pt>
                <c:pt idx="8">
                  <c:v>91.677769999999981</c:v>
                </c:pt>
                <c:pt idx="9">
                  <c:v>91.711800000000025</c:v>
                </c:pt>
                <c:pt idx="10">
                  <c:v>93.396789999999982</c:v>
                </c:pt>
                <c:pt idx="11">
                  <c:v>94.382919999999999</c:v>
                </c:pt>
              </c:numCache>
            </c:numRef>
          </c:val>
        </c:ser>
        <c:ser>
          <c:idx val="1"/>
          <c:order val="1"/>
          <c:tx>
            <c:strRef>
              <c:f>Data!$C$3614</c:f>
              <c:strCache>
                <c:ptCount val="1"/>
                <c:pt idx="0">
                  <c:v>School enrollment, secondary, female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Data!$AS$3614:$BD$3614</c:f>
              <c:numCache>
                <c:formatCode>0.0</c:formatCode>
                <c:ptCount val="12"/>
                <c:pt idx="0">
                  <c:v>68.518389999999982</c:v>
                </c:pt>
                <c:pt idx="1">
                  <c:v>69.134820000000005</c:v>
                </c:pt>
                <c:pt idx="2">
                  <c:v>71.08623</c:v>
                </c:pt>
                <c:pt idx="3">
                  <c:v>73.812270000000012</c:v>
                </c:pt>
                <c:pt idx="4">
                  <c:v>75.045330000000007</c:v>
                </c:pt>
                <c:pt idx="5">
                  <c:v>74.781550000000024</c:v>
                </c:pt>
                <c:pt idx="6">
                  <c:v>75.429180000000002</c:v>
                </c:pt>
                <c:pt idx="7">
                  <c:v>77.381160000000023</c:v>
                </c:pt>
                <c:pt idx="8">
                  <c:v>79.783670000000001</c:v>
                </c:pt>
                <c:pt idx="9">
                  <c:v>80.922070000000005</c:v>
                </c:pt>
                <c:pt idx="10">
                  <c:v>80.902330000000006</c:v>
                </c:pt>
                <c:pt idx="11">
                  <c:v>82.435660000000027</c:v>
                </c:pt>
              </c:numCache>
            </c:numRef>
          </c:val>
        </c:ser>
        <c:ser>
          <c:idx val="2"/>
          <c:order val="2"/>
          <c:tx>
            <c:strRef>
              <c:f>Data!$C$3612</c:f>
              <c:strCache>
                <c:ptCount val="1"/>
                <c:pt idx="0">
                  <c:v>School enrollment, secondary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Data!$AS$3612:$BD$3612</c:f>
              <c:numCache>
                <c:formatCode>0.0</c:formatCode>
                <c:ptCount val="12"/>
                <c:pt idx="0">
                  <c:v>74.225739999999675</c:v>
                </c:pt>
                <c:pt idx="1">
                  <c:v>76.326660000000004</c:v>
                </c:pt>
                <c:pt idx="2">
                  <c:v>78.955150000000003</c:v>
                </c:pt>
                <c:pt idx="3">
                  <c:v>81.540470000000013</c:v>
                </c:pt>
                <c:pt idx="4">
                  <c:v>82.407670000000024</c:v>
                </c:pt>
                <c:pt idx="5">
                  <c:v>82.456549999999993</c:v>
                </c:pt>
                <c:pt idx="6">
                  <c:v>83.267590000000027</c:v>
                </c:pt>
                <c:pt idx="7">
                  <c:v>84.822559999999982</c:v>
                </c:pt>
                <c:pt idx="8">
                  <c:v>85.812000000000012</c:v>
                </c:pt>
                <c:pt idx="9">
                  <c:v>86.396150000000006</c:v>
                </c:pt>
                <c:pt idx="10">
                  <c:v>87.247610000000194</c:v>
                </c:pt>
                <c:pt idx="11">
                  <c:v>88.508020000000002</c:v>
                </c:pt>
              </c:numCache>
            </c:numRef>
          </c:val>
        </c:ser>
        <c:dLbls>
          <c:showLegendKey val="0"/>
          <c:showVal val="0"/>
          <c:showCatName val="0"/>
          <c:showSerName val="0"/>
          <c:showPercent val="0"/>
          <c:showBubbleSize val="0"/>
        </c:dLbls>
        <c:gapWidth val="150"/>
        <c:axId val="104836480"/>
        <c:axId val="104846464"/>
      </c:barChart>
      <c:lineChart>
        <c:grouping val="standard"/>
        <c:varyColors val="0"/>
        <c:ser>
          <c:idx val="3"/>
          <c:order val="3"/>
          <c:tx>
            <c:strRef>
              <c:f>Data!$C$3560</c:f>
              <c:strCache>
                <c:ptCount val="1"/>
                <c:pt idx="0">
                  <c:v>Ratio of female to male secondary enrollment (%)</c:v>
                </c:pt>
              </c:strCache>
            </c:strRef>
          </c:tx>
          <c:marker>
            <c:symbol val="none"/>
          </c:marker>
          <c:val>
            <c:numRef>
              <c:f>Data!$AS$3560:$BD$3560</c:f>
              <c:numCache>
                <c:formatCode>0.0</c:formatCode>
                <c:ptCount val="12"/>
                <c:pt idx="0">
                  <c:v>85.861000000000004</c:v>
                </c:pt>
                <c:pt idx="1">
                  <c:v>82.927999999999997</c:v>
                </c:pt>
                <c:pt idx="2">
                  <c:v>82.028000000000006</c:v>
                </c:pt>
                <c:pt idx="3">
                  <c:v>82.831999999999994</c:v>
                </c:pt>
                <c:pt idx="4">
                  <c:v>83.739000000000004</c:v>
                </c:pt>
                <c:pt idx="5">
                  <c:v>83.124999999999986</c:v>
                </c:pt>
                <c:pt idx="6">
                  <c:v>82.968000000000004</c:v>
                </c:pt>
                <c:pt idx="7">
                  <c:v>84.041000000000025</c:v>
                </c:pt>
                <c:pt idx="8">
                  <c:v>87.02600000000001</c:v>
                </c:pt>
                <c:pt idx="9">
                  <c:v>88.235000000000014</c:v>
                </c:pt>
                <c:pt idx="10">
                  <c:v>86.621999999999986</c:v>
                </c:pt>
                <c:pt idx="11">
                  <c:v>87.342000000000013</c:v>
                </c:pt>
              </c:numCache>
            </c:numRef>
          </c:val>
          <c:smooth val="0"/>
        </c:ser>
        <c:dLbls>
          <c:showLegendKey val="0"/>
          <c:showVal val="0"/>
          <c:showCatName val="0"/>
          <c:showSerName val="0"/>
          <c:showPercent val="0"/>
          <c:showBubbleSize val="0"/>
        </c:dLbls>
        <c:marker val="1"/>
        <c:smooth val="0"/>
        <c:axId val="104836480"/>
        <c:axId val="104846464"/>
      </c:lineChart>
      <c:catAx>
        <c:axId val="10483648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4846464"/>
        <c:crosses val="autoZero"/>
        <c:auto val="1"/>
        <c:lblAlgn val="ctr"/>
        <c:lblOffset val="100"/>
        <c:noMultiLvlLbl val="0"/>
      </c:catAx>
      <c:valAx>
        <c:axId val="104846464"/>
        <c:scaling>
          <c:orientation val="minMax"/>
          <c:min val="55"/>
        </c:scaling>
        <c:delete val="0"/>
        <c:axPos val="l"/>
        <c:majorGridlines/>
        <c:numFmt formatCode="0.0" sourceLinked="1"/>
        <c:majorTickMark val="out"/>
        <c:minorTickMark val="none"/>
        <c:tickLblPos val="nextTo"/>
        <c:crossAx val="104836480"/>
        <c:crosses val="autoZero"/>
        <c:crossBetween val="between"/>
      </c:valAx>
    </c:plotArea>
    <c:legend>
      <c:legendPos val="b"/>
      <c:layout/>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Data!$C$3621</c:f>
              <c:strCache>
                <c:ptCount val="1"/>
                <c:pt idx="0">
                  <c:v>School enrollment, tertiary, 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Data!$AS$3621:$BD$3621</c:f>
              <c:numCache>
                <c:formatCode>0.0</c:formatCode>
                <c:ptCount val="12"/>
                <c:pt idx="0">
                  <c:v>20.875679999999971</c:v>
                </c:pt>
                <c:pt idx="1">
                  <c:v>20.236419999999971</c:v>
                </c:pt>
                <c:pt idx="2">
                  <c:v>21.301250000000021</c:v>
                </c:pt>
                <c:pt idx="3">
                  <c:v>23.539900000000021</c:v>
                </c:pt>
                <c:pt idx="4">
                  <c:v>25.341429999999971</c:v>
                </c:pt>
                <c:pt idx="5">
                  <c:v>26.317280000000029</c:v>
                </c:pt>
                <c:pt idx="6">
                  <c:v>27.6126</c:v>
                </c:pt>
                <c:pt idx="7">
                  <c:v>28.87326000000002</c:v>
                </c:pt>
                <c:pt idx="8">
                  <c:v>28.974080000000001</c:v>
                </c:pt>
                <c:pt idx="9">
                  <c:v>28.16915000000002</c:v>
                </c:pt>
                <c:pt idx="10">
                  <c:v>27.85711000000002</c:v>
                </c:pt>
                <c:pt idx="11">
                  <c:v>26.55294</c:v>
                </c:pt>
              </c:numCache>
            </c:numRef>
          </c:val>
        </c:ser>
        <c:ser>
          <c:idx val="1"/>
          <c:order val="1"/>
          <c:tx>
            <c:strRef>
              <c:f>Data!$C$3620</c:f>
              <c:strCache>
                <c:ptCount val="1"/>
                <c:pt idx="0">
                  <c:v>School enrollment, tertiary, female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Data!$AS$3620:$BD$3620</c:f>
              <c:numCache>
                <c:formatCode>0.0</c:formatCode>
                <c:ptCount val="12"/>
                <c:pt idx="0">
                  <c:v>7.0815700000000001</c:v>
                </c:pt>
                <c:pt idx="1">
                  <c:v>6.3984399999999946</c:v>
                </c:pt>
                <c:pt idx="2">
                  <c:v>6.9543200000000001</c:v>
                </c:pt>
                <c:pt idx="3">
                  <c:v>7.8724499999999997</c:v>
                </c:pt>
                <c:pt idx="4">
                  <c:v>8.3801500000000004</c:v>
                </c:pt>
                <c:pt idx="5">
                  <c:v>9.2111299999999972</c:v>
                </c:pt>
                <c:pt idx="6">
                  <c:v>10.11079</c:v>
                </c:pt>
                <c:pt idx="7">
                  <c:v>10.8988</c:v>
                </c:pt>
                <c:pt idx="8">
                  <c:v>11.370240000000001</c:v>
                </c:pt>
                <c:pt idx="9">
                  <c:v>11.52692</c:v>
                </c:pt>
                <c:pt idx="10">
                  <c:v>11.450810000000001</c:v>
                </c:pt>
                <c:pt idx="11">
                  <c:v>10.86689000000001</c:v>
                </c:pt>
              </c:numCache>
            </c:numRef>
          </c:val>
        </c:ser>
        <c:ser>
          <c:idx val="2"/>
          <c:order val="2"/>
          <c:tx>
            <c:strRef>
              <c:f>Data!$C$3619</c:f>
              <c:strCache>
                <c:ptCount val="1"/>
                <c:pt idx="0">
                  <c:v>School enrollment, tertiary (% gross)</c:v>
                </c:pt>
              </c:strCache>
            </c:strRef>
          </c:tx>
          <c:invertIfNegative val="0"/>
          <c:cat>
            <c:strRef>
              <c:f>Data!$AS$1:$BD$1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Data!$AS$3619:$BD$3619</c:f>
              <c:numCache>
                <c:formatCode>0.0</c:formatCode>
                <c:ptCount val="12"/>
                <c:pt idx="0">
                  <c:v>14.0098</c:v>
                </c:pt>
                <c:pt idx="1">
                  <c:v>13.34779</c:v>
                </c:pt>
                <c:pt idx="2">
                  <c:v>14.15245000000002</c:v>
                </c:pt>
                <c:pt idx="3">
                  <c:v>15.72301</c:v>
                </c:pt>
                <c:pt idx="4">
                  <c:v>16.866739999999879</c:v>
                </c:pt>
                <c:pt idx="5">
                  <c:v>17.76182</c:v>
                </c:pt>
                <c:pt idx="6">
                  <c:v>18.85759000000002</c:v>
                </c:pt>
                <c:pt idx="7">
                  <c:v>19.876100000000001</c:v>
                </c:pt>
                <c:pt idx="8">
                  <c:v>20.163489999999989</c:v>
                </c:pt>
                <c:pt idx="9">
                  <c:v>19.8475</c:v>
                </c:pt>
                <c:pt idx="10">
                  <c:v>19.66622999999997</c:v>
                </c:pt>
                <c:pt idx="11">
                  <c:v>18.73875</c:v>
                </c:pt>
              </c:numCache>
            </c:numRef>
          </c:val>
        </c:ser>
        <c:dLbls>
          <c:showLegendKey val="0"/>
          <c:showVal val="0"/>
          <c:showCatName val="0"/>
          <c:showSerName val="0"/>
          <c:showPercent val="0"/>
          <c:showBubbleSize val="0"/>
        </c:dLbls>
        <c:gapWidth val="150"/>
        <c:axId val="104763392"/>
        <c:axId val="104764928"/>
      </c:barChart>
      <c:lineChart>
        <c:grouping val="standard"/>
        <c:varyColors val="0"/>
        <c:ser>
          <c:idx val="3"/>
          <c:order val="3"/>
          <c:tx>
            <c:strRef>
              <c:f>Data!$C$3561</c:f>
              <c:strCache>
                <c:ptCount val="1"/>
                <c:pt idx="0">
                  <c:v>Ratio of female to male tertiary enrollment (%)</c:v>
                </c:pt>
              </c:strCache>
            </c:strRef>
          </c:tx>
          <c:marker>
            <c:symbol val="none"/>
          </c:marker>
          <c:val>
            <c:numRef>
              <c:f>Data!$AS$3561:$BD$3561</c:f>
              <c:numCache>
                <c:formatCode>0.0</c:formatCode>
                <c:ptCount val="12"/>
                <c:pt idx="0">
                  <c:v>33.923000000000002</c:v>
                </c:pt>
                <c:pt idx="1">
                  <c:v>31.61800000000002</c:v>
                </c:pt>
                <c:pt idx="2">
                  <c:v>32.647000000000013</c:v>
                </c:pt>
                <c:pt idx="3">
                  <c:v>33.442999999999998</c:v>
                </c:pt>
                <c:pt idx="4">
                  <c:v>33.069000000000003</c:v>
                </c:pt>
                <c:pt idx="5">
                  <c:v>35</c:v>
                </c:pt>
                <c:pt idx="6">
                  <c:v>36.616999999999997</c:v>
                </c:pt>
                <c:pt idx="7">
                  <c:v>37.747</c:v>
                </c:pt>
                <c:pt idx="8">
                  <c:v>39.243000000000002</c:v>
                </c:pt>
                <c:pt idx="9">
                  <c:v>40.92</c:v>
                </c:pt>
                <c:pt idx="10">
                  <c:v>41.106000000000002</c:v>
                </c:pt>
                <c:pt idx="11">
                  <c:v>40.925000000000011</c:v>
                </c:pt>
              </c:numCache>
            </c:numRef>
          </c:val>
          <c:smooth val="0"/>
        </c:ser>
        <c:dLbls>
          <c:showLegendKey val="0"/>
          <c:showVal val="0"/>
          <c:showCatName val="0"/>
          <c:showSerName val="0"/>
          <c:showPercent val="0"/>
          <c:showBubbleSize val="0"/>
        </c:dLbls>
        <c:marker val="1"/>
        <c:smooth val="0"/>
        <c:axId val="104763392"/>
        <c:axId val="104764928"/>
      </c:lineChart>
      <c:catAx>
        <c:axId val="10476339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4764928"/>
        <c:crosses val="autoZero"/>
        <c:auto val="1"/>
        <c:lblAlgn val="ctr"/>
        <c:lblOffset val="100"/>
        <c:noMultiLvlLbl val="0"/>
      </c:catAx>
      <c:valAx>
        <c:axId val="104764928"/>
        <c:scaling>
          <c:orientation val="minMax"/>
        </c:scaling>
        <c:delete val="0"/>
        <c:axPos val="l"/>
        <c:majorGridlines/>
        <c:numFmt formatCode="0.0" sourceLinked="1"/>
        <c:majorTickMark val="out"/>
        <c:minorTickMark val="none"/>
        <c:tickLblPos val="nextTo"/>
        <c:crossAx val="104763392"/>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369080734238901"/>
          <c:y val="5.87000806525372E-2"/>
          <c:w val="0.43559078282657698"/>
          <c:h val="0.78761332235793502"/>
        </c:manualLayout>
      </c:layout>
      <c:barChart>
        <c:barDir val="bar"/>
        <c:grouping val="percentStacked"/>
        <c:varyColors val="0"/>
        <c:ser>
          <c:idx val="0"/>
          <c:order val="0"/>
          <c:tx>
            <c:strRef>
              <c:f>Data!$AA$32</c:f>
              <c:strCache>
                <c:ptCount val="1"/>
                <c:pt idx="0">
                  <c:v>Male</c:v>
                </c:pt>
              </c:strCache>
            </c:strRef>
          </c:tx>
          <c:invertIfNegative val="0"/>
          <c:cat>
            <c:strRef>
              <c:f>Data!$Z$33:$Z$41</c:f>
              <c:strCache>
                <c:ptCount val="9"/>
                <c:pt idx="0">
                  <c:v>Services</c:v>
                </c:pt>
                <c:pt idx="1">
                  <c:v>Health and welfare</c:v>
                </c:pt>
                <c:pt idx="2">
                  <c:v>Agricultures</c:v>
                </c:pt>
                <c:pt idx="3">
                  <c:v>Engineering, manufacturing, construction</c:v>
                </c:pt>
                <c:pt idx="4">
                  <c:v>Science</c:v>
                </c:pt>
                <c:pt idx="5">
                  <c:v>Social sciences, business and law</c:v>
                </c:pt>
                <c:pt idx="6">
                  <c:v>Humanities and arts</c:v>
                </c:pt>
                <c:pt idx="7">
                  <c:v>Education</c:v>
                </c:pt>
                <c:pt idx="8">
                  <c:v>All programmes</c:v>
                </c:pt>
              </c:strCache>
            </c:strRef>
          </c:cat>
          <c:val>
            <c:numRef>
              <c:f>Data!$AA$33:$AA$41</c:f>
              <c:numCache>
                <c:formatCode>0.0%</c:formatCode>
                <c:ptCount val="9"/>
                <c:pt idx="0">
                  <c:v>0.90569159497021801</c:v>
                </c:pt>
                <c:pt idx="1">
                  <c:v>0.58221872541306097</c:v>
                </c:pt>
                <c:pt idx="2">
                  <c:v>0.93056633048875104</c:v>
                </c:pt>
                <c:pt idx="3">
                  <c:v>0.92183043816437704</c:v>
                </c:pt>
                <c:pt idx="4">
                  <c:v>0.67290399931489298</c:v>
                </c:pt>
                <c:pt idx="5">
                  <c:v>0.76795205494433405</c:v>
                </c:pt>
                <c:pt idx="6">
                  <c:v>0.56028585729381097</c:v>
                </c:pt>
                <c:pt idx="7">
                  <c:v>0.51484960622450104</c:v>
                </c:pt>
                <c:pt idx="8">
                  <c:v>0.71110864658220596</c:v>
                </c:pt>
              </c:numCache>
            </c:numRef>
          </c:val>
        </c:ser>
        <c:ser>
          <c:idx val="1"/>
          <c:order val="1"/>
          <c:tx>
            <c:strRef>
              <c:f>Data!$AB$32</c:f>
              <c:strCache>
                <c:ptCount val="1"/>
                <c:pt idx="0">
                  <c:v>Female</c:v>
                </c:pt>
              </c:strCache>
            </c:strRef>
          </c:tx>
          <c:invertIfNegative val="0"/>
          <c:cat>
            <c:strRef>
              <c:f>Data!$Z$33:$Z$41</c:f>
              <c:strCache>
                <c:ptCount val="9"/>
                <c:pt idx="0">
                  <c:v>Services</c:v>
                </c:pt>
                <c:pt idx="1">
                  <c:v>Health and welfare</c:v>
                </c:pt>
                <c:pt idx="2">
                  <c:v>Agricultures</c:v>
                </c:pt>
                <c:pt idx="3">
                  <c:v>Engineering, manufacturing, construction</c:v>
                </c:pt>
                <c:pt idx="4">
                  <c:v>Science</c:v>
                </c:pt>
                <c:pt idx="5">
                  <c:v>Social sciences, business and law</c:v>
                </c:pt>
                <c:pt idx="6">
                  <c:v>Humanities and arts</c:v>
                </c:pt>
                <c:pt idx="7">
                  <c:v>Education</c:v>
                </c:pt>
                <c:pt idx="8">
                  <c:v>All programmes</c:v>
                </c:pt>
              </c:strCache>
            </c:strRef>
          </c:cat>
          <c:val>
            <c:numRef>
              <c:f>Data!$AB$33:$AB$41</c:f>
              <c:numCache>
                <c:formatCode>0.0%</c:formatCode>
                <c:ptCount val="9"/>
                <c:pt idx="0">
                  <c:v>9.4308405029781606E-2</c:v>
                </c:pt>
                <c:pt idx="1">
                  <c:v>0.41778127458693898</c:v>
                </c:pt>
                <c:pt idx="2">
                  <c:v>6.9433669511249102E-2</c:v>
                </c:pt>
                <c:pt idx="3">
                  <c:v>7.8169561835623597E-2</c:v>
                </c:pt>
                <c:pt idx="4">
                  <c:v>0.32709600068510702</c:v>
                </c:pt>
                <c:pt idx="5">
                  <c:v>0.23204794505566601</c:v>
                </c:pt>
                <c:pt idx="6">
                  <c:v>0.43971414270619003</c:v>
                </c:pt>
                <c:pt idx="7">
                  <c:v>0.48515039377550001</c:v>
                </c:pt>
                <c:pt idx="8">
                  <c:v>0.28889135341779398</c:v>
                </c:pt>
              </c:numCache>
            </c:numRef>
          </c:val>
        </c:ser>
        <c:dLbls>
          <c:showLegendKey val="0"/>
          <c:showVal val="0"/>
          <c:showCatName val="0"/>
          <c:showSerName val="0"/>
          <c:showPercent val="0"/>
          <c:showBubbleSize val="0"/>
        </c:dLbls>
        <c:gapWidth val="150"/>
        <c:overlap val="100"/>
        <c:axId val="104786176"/>
        <c:axId val="104787968"/>
      </c:barChart>
      <c:catAx>
        <c:axId val="104786176"/>
        <c:scaling>
          <c:orientation val="maxMin"/>
        </c:scaling>
        <c:delete val="0"/>
        <c:axPos val="l"/>
        <c:majorTickMark val="out"/>
        <c:minorTickMark val="none"/>
        <c:tickLblPos val="nextTo"/>
        <c:txPr>
          <a:bodyPr/>
          <a:lstStyle/>
          <a:p>
            <a:pPr algn="r">
              <a:defRPr/>
            </a:pPr>
            <a:endParaRPr lang="en-US"/>
          </a:p>
        </c:txPr>
        <c:crossAx val="104787968"/>
        <c:crosses val="autoZero"/>
        <c:auto val="1"/>
        <c:lblAlgn val="ctr"/>
        <c:lblOffset val="100"/>
        <c:noMultiLvlLbl val="0"/>
      </c:catAx>
      <c:valAx>
        <c:axId val="104787968"/>
        <c:scaling>
          <c:orientation val="minMax"/>
        </c:scaling>
        <c:delete val="0"/>
        <c:axPos val="t"/>
        <c:majorGridlines/>
        <c:numFmt formatCode="0%" sourceLinked="1"/>
        <c:majorTickMark val="out"/>
        <c:minorTickMark val="none"/>
        <c:tickLblPos val="nextTo"/>
        <c:crossAx val="104786176"/>
        <c:crosses val="autoZero"/>
        <c:crossBetween val="between"/>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Data!$Z$20</c:f>
              <c:strCache>
                <c:ptCount val="1"/>
                <c:pt idx="0">
                  <c:v>Education</c:v>
                </c:pt>
              </c:strCache>
            </c:strRef>
          </c:tx>
          <c:invertIfNegative val="0"/>
          <c:cat>
            <c:strRef>
              <c:f>Data!$AD$19:$AE$19</c:f>
              <c:strCache>
                <c:ptCount val="2"/>
                <c:pt idx="0">
                  <c:v>Male</c:v>
                </c:pt>
                <c:pt idx="1">
                  <c:v>Female</c:v>
                </c:pt>
              </c:strCache>
            </c:strRef>
          </c:cat>
          <c:val>
            <c:numRef>
              <c:f>Data!$AD$20:$AE$20</c:f>
              <c:numCache>
                <c:formatCode>0.0%</c:formatCode>
                <c:ptCount val="2"/>
                <c:pt idx="0">
                  <c:v>4.9778446464776201E-2</c:v>
                </c:pt>
                <c:pt idx="1">
                  <c:v>0.115461915407719</c:v>
                </c:pt>
              </c:numCache>
            </c:numRef>
          </c:val>
        </c:ser>
        <c:ser>
          <c:idx val="1"/>
          <c:order val="1"/>
          <c:tx>
            <c:strRef>
              <c:f>Data!$Z$21</c:f>
              <c:strCache>
                <c:ptCount val="1"/>
                <c:pt idx="0">
                  <c:v>Humanities and arts</c:v>
                </c:pt>
              </c:strCache>
            </c:strRef>
          </c:tx>
          <c:invertIfNegative val="0"/>
          <c:cat>
            <c:strRef>
              <c:f>Data!$AD$19:$AE$19</c:f>
              <c:strCache>
                <c:ptCount val="2"/>
                <c:pt idx="0">
                  <c:v>Male</c:v>
                </c:pt>
                <c:pt idx="1">
                  <c:v>Female</c:v>
                </c:pt>
              </c:strCache>
            </c:strRef>
          </c:cat>
          <c:val>
            <c:numRef>
              <c:f>Data!$AD$21:$AE$21</c:f>
              <c:numCache>
                <c:formatCode>0.0%</c:formatCode>
                <c:ptCount val="2"/>
                <c:pt idx="0">
                  <c:v>0.18484812344614401</c:v>
                </c:pt>
                <c:pt idx="1">
                  <c:v>0.35708962807397898</c:v>
                </c:pt>
              </c:numCache>
            </c:numRef>
          </c:val>
        </c:ser>
        <c:ser>
          <c:idx val="2"/>
          <c:order val="2"/>
          <c:tx>
            <c:strRef>
              <c:f>Data!$Z$22</c:f>
              <c:strCache>
                <c:ptCount val="1"/>
                <c:pt idx="0">
                  <c:v>Social sciences, business and law</c:v>
                </c:pt>
              </c:strCache>
            </c:strRef>
          </c:tx>
          <c:invertIfNegative val="0"/>
          <c:cat>
            <c:strRef>
              <c:f>Data!$AD$19:$AE$19</c:f>
              <c:strCache>
                <c:ptCount val="2"/>
                <c:pt idx="0">
                  <c:v>Male</c:v>
                </c:pt>
                <c:pt idx="1">
                  <c:v>Female</c:v>
                </c:pt>
              </c:strCache>
            </c:strRef>
          </c:cat>
          <c:val>
            <c:numRef>
              <c:f>Data!$AD$22:$AE$22</c:f>
              <c:numCache>
                <c:formatCode>0.0%</c:formatCode>
                <c:ptCount val="2"/>
                <c:pt idx="0">
                  <c:v>0.322101226571746</c:v>
                </c:pt>
                <c:pt idx="1">
                  <c:v>0.23957274800713599</c:v>
                </c:pt>
              </c:numCache>
            </c:numRef>
          </c:val>
        </c:ser>
        <c:ser>
          <c:idx val="3"/>
          <c:order val="3"/>
          <c:tx>
            <c:strRef>
              <c:f>Data!$Z$23</c:f>
              <c:strCache>
                <c:ptCount val="1"/>
                <c:pt idx="0">
                  <c:v>Science</c:v>
                </c:pt>
              </c:strCache>
            </c:strRef>
          </c:tx>
          <c:invertIfNegative val="0"/>
          <c:cat>
            <c:strRef>
              <c:f>Data!$AD$19:$AE$19</c:f>
              <c:strCache>
                <c:ptCount val="2"/>
                <c:pt idx="0">
                  <c:v>Male</c:v>
                </c:pt>
                <c:pt idx="1">
                  <c:v>Female</c:v>
                </c:pt>
              </c:strCache>
            </c:strRef>
          </c:cat>
          <c:val>
            <c:numRef>
              <c:f>Data!$AD$23:$AE$23</c:f>
              <c:numCache>
                <c:formatCode>0.0%</c:formatCode>
                <c:ptCount val="2"/>
                <c:pt idx="0">
                  <c:v>0.144170343935488</c:v>
                </c:pt>
                <c:pt idx="1">
                  <c:v>0.17250412122033301</c:v>
                </c:pt>
              </c:numCache>
            </c:numRef>
          </c:val>
        </c:ser>
        <c:ser>
          <c:idx val="4"/>
          <c:order val="4"/>
          <c:tx>
            <c:strRef>
              <c:f>Data!$Z$24</c:f>
              <c:strCache>
                <c:ptCount val="1"/>
                <c:pt idx="0">
                  <c:v>Engineering, manufacturing and construction</c:v>
                </c:pt>
              </c:strCache>
            </c:strRef>
          </c:tx>
          <c:invertIfNegative val="0"/>
          <c:cat>
            <c:strRef>
              <c:f>Data!$AD$19:$AE$19</c:f>
              <c:strCache>
                <c:ptCount val="2"/>
                <c:pt idx="0">
                  <c:v>Male</c:v>
                </c:pt>
                <c:pt idx="1">
                  <c:v>Female</c:v>
                </c:pt>
              </c:strCache>
            </c:strRef>
          </c:cat>
          <c:val>
            <c:numRef>
              <c:f>Data!$AD$24:$AE$24</c:f>
              <c:numCache>
                <c:formatCode>0.0%</c:formatCode>
                <c:ptCount val="2"/>
                <c:pt idx="0">
                  <c:v>0.195710209810739</c:v>
                </c:pt>
                <c:pt idx="1">
                  <c:v>4.0850890861052799E-2</c:v>
                </c:pt>
              </c:numCache>
            </c:numRef>
          </c:val>
        </c:ser>
        <c:ser>
          <c:idx val="5"/>
          <c:order val="5"/>
          <c:tx>
            <c:strRef>
              <c:f>Data!$Z$25</c:f>
              <c:strCache>
                <c:ptCount val="1"/>
                <c:pt idx="0">
                  <c:v>Agricultures</c:v>
                </c:pt>
              </c:strCache>
            </c:strRef>
          </c:tx>
          <c:invertIfNegative val="0"/>
          <c:cat>
            <c:strRef>
              <c:f>Data!$AD$19:$AE$19</c:f>
              <c:strCache>
                <c:ptCount val="2"/>
                <c:pt idx="0">
                  <c:v>Male</c:v>
                </c:pt>
                <c:pt idx="1">
                  <c:v>Female</c:v>
                </c:pt>
              </c:strCache>
            </c:strRef>
          </c:cat>
          <c:val>
            <c:numRef>
              <c:f>Data!$AD$25:$AE$25</c:f>
              <c:numCache>
                <c:formatCode>0.0%</c:formatCode>
                <c:ptCount val="2"/>
                <c:pt idx="0">
                  <c:v>4.4017137143014501E-2</c:v>
                </c:pt>
                <c:pt idx="1">
                  <c:v>8.0843664611702001E-3</c:v>
                </c:pt>
              </c:numCache>
            </c:numRef>
          </c:val>
        </c:ser>
        <c:ser>
          <c:idx val="6"/>
          <c:order val="6"/>
          <c:tx>
            <c:strRef>
              <c:f>Data!$Z$26</c:f>
              <c:strCache>
                <c:ptCount val="1"/>
                <c:pt idx="0">
                  <c:v>Health and welfare</c:v>
                </c:pt>
              </c:strCache>
            </c:strRef>
          </c:tx>
          <c:invertIfNegative val="0"/>
          <c:cat>
            <c:strRef>
              <c:f>Data!$AD$19:$AE$19</c:f>
              <c:strCache>
                <c:ptCount val="2"/>
                <c:pt idx="0">
                  <c:v>Male</c:v>
                </c:pt>
                <c:pt idx="1">
                  <c:v>Female</c:v>
                </c:pt>
              </c:strCache>
            </c:strRef>
          </c:cat>
          <c:val>
            <c:numRef>
              <c:f>Data!$AD$26:$AE$26</c:f>
              <c:numCache>
                <c:formatCode>0.0%</c:formatCode>
                <c:ptCount val="2"/>
                <c:pt idx="0">
                  <c:v>3.3944019889360799E-2</c:v>
                </c:pt>
                <c:pt idx="1">
                  <c:v>5.9955287582142101E-2</c:v>
                </c:pt>
              </c:numCache>
            </c:numRef>
          </c:val>
        </c:ser>
        <c:ser>
          <c:idx val="7"/>
          <c:order val="7"/>
          <c:tx>
            <c:strRef>
              <c:f>Data!$Z$27</c:f>
              <c:strCache>
                <c:ptCount val="1"/>
                <c:pt idx="0">
                  <c:v>Services</c:v>
                </c:pt>
              </c:strCache>
            </c:strRef>
          </c:tx>
          <c:invertIfNegative val="0"/>
          <c:cat>
            <c:strRef>
              <c:f>Data!$AD$19:$AE$19</c:f>
              <c:strCache>
                <c:ptCount val="2"/>
                <c:pt idx="0">
                  <c:v>Male</c:v>
                </c:pt>
                <c:pt idx="1">
                  <c:v>Female</c:v>
                </c:pt>
              </c:strCache>
            </c:strRef>
          </c:cat>
          <c:val>
            <c:numRef>
              <c:f>Data!$AD$27:$AE$27</c:f>
              <c:numCache>
                <c:formatCode>0.0%</c:formatCode>
                <c:ptCount val="2"/>
                <c:pt idx="0">
                  <c:v>2.51094006586975E-2</c:v>
                </c:pt>
                <c:pt idx="1">
                  <c:v>6.4358783280265503E-3</c:v>
                </c:pt>
              </c:numCache>
            </c:numRef>
          </c:val>
        </c:ser>
        <c:ser>
          <c:idx val="8"/>
          <c:order val="8"/>
          <c:tx>
            <c:strRef>
              <c:f>Data!$Z$28</c:f>
              <c:strCache>
                <c:ptCount val="1"/>
                <c:pt idx="0">
                  <c:v>Other</c:v>
                </c:pt>
              </c:strCache>
            </c:strRef>
          </c:tx>
          <c:invertIfNegative val="0"/>
          <c:cat>
            <c:strRef>
              <c:f>Data!$AD$19:$AE$19</c:f>
              <c:strCache>
                <c:ptCount val="2"/>
                <c:pt idx="0">
                  <c:v>Male</c:v>
                </c:pt>
                <c:pt idx="1">
                  <c:v>Female</c:v>
                </c:pt>
              </c:strCache>
            </c:strRef>
          </c:cat>
          <c:val>
            <c:numRef>
              <c:f>Data!$AD$28:$AE$28</c:f>
              <c:numCache>
                <c:formatCode>0.0%</c:formatCode>
                <c:ptCount val="2"/>
                <c:pt idx="0">
                  <c:v>3.2109208003449399E-4</c:v>
                </c:pt>
                <c:pt idx="1">
                  <c:v>4.5164058442291699E-5</c:v>
                </c:pt>
              </c:numCache>
            </c:numRef>
          </c:val>
        </c:ser>
        <c:dLbls>
          <c:showLegendKey val="0"/>
          <c:showVal val="0"/>
          <c:showCatName val="0"/>
          <c:showSerName val="0"/>
          <c:showPercent val="0"/>
          <c:showBubbleSize val="0"/>
        </c:dLbls>
        <c:gapWidth val="150"/>
        <c:overlap val="100"/>
        <c:axId val="104912384"/>
        <c:axId val="104913920"/>
      </c:barChart>
      <c:catAx>
        <c:axId val="104912384"/>
        <c:scaling>
          <c:orientation val="minMax"/>
        </c:scaling>
        <c:delete val="0"/>
        <c:axPos val="b"/>
        <c:majorTickMark val="out"/>
        <c:minorTickMark val="none"/>
        <c:tickLblPos val="nextTo"/>
        <c:crossAx val="104913920"/>
        <c:crosses val="autoZero"/>
        <c:auto val="1"/>
        <c:lblAlgn val="ctr"/>
        <c:lblOffset val="100"/>
        <c:noMultiLvlLbl val="0"/>
      </c:catAx>
      <c:valAx>
        <c:axId val="104913920"/>
        <c:scaling>
          <c:orientation val="minMax"/>
        </c:scaling>
        <c:delete val="0"/>
        <c:axPos val="l"/>
        <c:majorGridlines/>
        <c:numFmt formatCode="0%" sourceLinked="1"/>
        <c:majorTickMark val="out"/>
        <c:minorTickMark val="none"/>
        <c:tickLblPos val="nextTo"/>
        <c:crossAx val="104912384"/>
        <c:crosses val="autoZero"/>
        <c:crossBetween val="between"/>
      </c:valAx>
    </c:plotArea>
    <c:legend>
      <c:legendPos val="r"/>
      <c:legendEntry>
        <c:idx val="0"/>
        <c:delete val="1"/>
      </c:legendEntry>
      <c:layout>
        <c:manualLayout>
          <c:xMode val="edge"/>
          <c:yMode val="edge"/>
          <c:x val="0.63469292615795303"/>
          <c:y val="6.5028381644375993E-2"/>
          <c:w val="0.33286587351763502"/>
          <c:h val="0.90914355031375704"/>
        </c:manualLayout>
      </c:layout>
      <c:overlay val="0"/>
      <c:txPr>
        <a:bodyPr/>
        <a:lstStyle/>
        <a:p>
          <a:pPr>
            <a:defRPr>
              <a:latin typeface="Times New Roman"/>
              <a:cs typeface="Times New Roman"/>
            </a:defRPr>
          </a:pPr>
          <a:endParaRPr lang="en-US"/>
        </a:p>
      </c:txPr>
    </c:legend>
    <c:plotVisOnly val="1"/>
    <c:dispBlanksAs val="gap"/>
    <c:showDLblsOverMax val="0"/>
  </c:chart>
  <c:txPr>
    <a:bodyPr/>
    <a:lstStyle/>
    <a:p>
      <a:pPr>
        <a:defRPr sz="800">
          <a:latin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Blatt3!$A$6</c:f>
              <c:strCache>
                <c:ptCount val="1"/>
                <c:pt idx="0">
                  <c:v>0-14</c:v>
                </c:pt>
              </c:strCache>
            </c:strRef>
          </c:tx>
          <c:spPr>
            <a:ln>
              <a:prstDash val="sysDash"/>
            </a:ln>
          </c:spPr>
          <c:marker>
            <c:symbol val="none"/>
          </c:marker>
          <c:cat>
            <c:numRef>
              <c:f>Blatt3!$N$2:$V$2</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Blatt3!$N$6:$V$6</c:f>
              <c:numCache>
                <c:formatCode>0.0%</c:formatCode>
                <c:ptCount val="9"/>
                <c:pt idx="0">
                  <c:v>0.36996656490768998</c:v>
                </c:pt>
                <c:pt idx="1">
                  <c:v>0.35121621621621602</c:v>
                </c:pt>
                <c:pt idx="2">
                  <c:v>0.34007537688442202</c:v>
                </c:pt>
                <c:pt idx="3">
                  <c:v>0.32690951821386599</c:v>
                </c:pt>
                <c:pt idx="4">
                  <c:v>0.30604547975596202</c:v>
                </c:pt>
                <c:pt idx="5">
                  <c:v>0.28190255220417598</c:v>
                </c:pt>
                <c:pt idx="6">
                  <c:v>0.261307545079077</c:v>
                </c:pt>
                <c:pt idx="7">
                  <c:v>0.246788370520622</c:v>
                </c:pt>
                <c:pt idx="8">
                  <c:v>0.235830618892508</c:v>
                </c:pt>
              </c:numCache>
            </c:numRef>
          </c:val>
          <c:smooth val="0"/>
        </c:ser>
        <c:ser>
          <c:idx val="1"/>
          <c:order val="1"/>
          <c:tx>
            <c:strRef>
              <c:f>Blatt3!$A$7</c:f>
              <c:strCache>
                <c:ptCount val="1"/>
                <c:pt idx="0">
                  <c:v>15-64</c:v>
                </c:pt>
              </c:strCache>
            </c:strRef>
          </c:tx>
          <c:spPr>
            <a:ln>
              <a:prstDash val="dash"/>
            </a:ln>
          </c:spPr>
          <c:marker>
            <c:symbol val="none"/>
          </c:marker>
          <c:cat>
            <c:numRef>
              <c:f>Blatt3!$N$2:$V$2</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Blatt3!$N$7:$V$7</c:f>
              <c:numCache>
                <c:formatCode>0.0%</c:formatCode>
                <c:ptCount val="9"/>
                <c:pt idx="0">
                  <c:v>0.59529001308329699</c:v>
                </c:pt>
                <c:pt idx="1">
                  <c:v>0.615405405405405</c:v>
                </c:pt>
                <c:pt idx="2">
                  <c:v>0.62261306532663296</c:v>
                </c:pt>
                <c:pt idx="3">
                  <c:v>0.62585193889541701</c:v>
                </c:pt>
                <c:pt idx="4">
                  <c:v>0.634054353854687</c:v>
                </c:pt>
                <c:pt idx="5">
                  <c:v>0.65017928707023798</c:v>
                </c:pt>
                <c:pt idx="6">
                  <c:v>0.66455122393472299</c:v>
                </c:pt>
                <c:pt idx="7">
                  <c:v>0.67400753404810199</c:v>
                </c:pt>
                <c:pt idx="8">
                  <c:v>0.67370870172173103</c:v>
                </c:pt>
              </c:numCache>
            </c:numRef>
          </c:val>
          <c:smooth val="0"/>
        </c:ser>
        <c:ser>
          <c:idx val="2"/>
          <c:order val="2"/>
          <c:tx>
            <c:strRef>
              <c:f>Blatt3!$A$8</c:f>
              <c:strCache>
                <c:ptCount val="1"/>
                <c:pt idx="0">
                  <c:v>65+</c:v>
                </c:pt>
              </c:strCache>
            </c:strRef>
          </c:tx>
          <c:marker>
            <c:symbol val="none"/>
          </c:marker>
          <c:cat>
            <c:numRef>
              <c:f>Blatt3!$N$2:$V$2</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Blatt3!$N$8:$V$8</c:f>
              <c:numCache>
                <c:formatCode>0.0%</c:formatCode>
                <c:ptCount val="9"/>
                <c:pt idx="0">
                  <c:v>3.4743422009012898E-2</c:v>
                </c:pt>
                <c:pt idx="1">
                  <c:v>3.3378378378378398E-2</c:v>
                </c:pt>
                <c:pt idx="2">
                  <c:v>3.7311557788944703E-2</c:v>
                </c:pt>
                <c:pt idx="3">
                  <c:v>4.72385428907168E-2</c:v>
                </c:pt>
                <c:pt idx="4">
                  <c:v>5.9900166389351098E-2</c:v>
                </c:pt>
                <c:pt idx="5">
                  <c:v>6.7918160725585305E-2</c:v>
                </c:pt>
                <c:pt idx="6">
                  <c:v>7.4141230986199194E-2</c:v>
                </c:pt>
                <c:pt idx="7">
                  <c:v>7.9204095431276003E-2</c:v>
                </c:pt>
                <c:pt idx="8">
                  <c:v>9.04606793857608E-2</c:v>
                </c:pt>
              </c:numCache>
            </c:numRef>
          </c:val>
          <c:smooth val="0"/>
        </c:ser>
        <c:dLbls>
          <c:showLegendKey val="0"/>
          <c:showVal val="0"/>
          <c:showCatName val="0"/>
          <c:showSerName val="0"/>
          <c:showPercent val="0"/>
          <c:showBubbleSize val="0"/>
        </c:dLbls>
        <c:marker val="1"/>
        <c:smooth val="0"/>
        <c:axId val="105706624"/>
        <c:axId val="105708160"/>
      </c:lineChart>
      <c:catAx>
        <c:axId val="105706624"/>
        <c:scaling>
          <c:orientation val="minMax"/>
        </c:scaling>
        <c:delete val="0"/>
        <c:axPos val="b"/>
        <c:numFmt formatCode="General" sourceLinked="1"/>
        <c:majorTickMark val="out"/>
        <c:minorTickMark val="none"/>
        <c:tickLblPos val="nextTo"/>
        <c:crossAx val="105708160"/>
        <c:crosses val="autoZero"/>
        <c:auto val="1"/>
        <c:lblAlgn val="ctr"/>
        <c:lblOffset val="100"/>
        <c:noMultiLvlLbl val="0"/>
      </c:catAx>
      <c:valAx>
        <c:axId val="105708160"/>
        <c:scaling>
          <c:orientation val="minMax"/>
        </c:scaling>
        <c:delete val="0"/>
        <c:axPos val="l"/>
        <c:majorGridlines/>
        <c:numFmt formatCode="0.0%" sourceLinked="1"/>
        <c:majorTickMark val="out"/>
        <c:minorTickMark val="none"/>
        <c:tickLblPos val="nextTo"/>
        <c:crossAx val="105706624"/>
        <c:crosses val="autoZero"/>
        <c:crossBetween val="between"/>
        <c:majorUnit val="0.1"/>
      </c:valAx>
    </c:plotArea>
    <c:legend>
      <c:legendPos val="b"/>
      <c:overlay val="0"/>
    </c:legend>
    <c:plotVisOnly val="1"/>
    <c:dispBlanksAs val="gap"/>
    <c:showDLblsOverMax val="0"/>
  </c:chart>
  <c:txPr>
    <a:bodyPr/>
    <a:lstStyle/>
    <a:p>
      <a:pPr>
        <a:defRPr sz="800">
          <a:latin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6BC7F-C686-41D4-855B-DE2E684A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ECSPE_Report_Template_051906.dot</Template>
  <TotalTime>38</TotalTime>
  <Pages>69</Pages>
  <Words>26261</Words>
  <Characters>335691</Characters>
  <Application>Microsoft Office Word</Application>
  <DocSecurity>0</DocSecurity>
  <Lines>2797</Lines>
  <Paragraphs>722</Paragraphs>
  <ScaleCrop>false</ScaleCrop>
  <HeadingPairs>
    <vt:vector size="2" baseType="variant">
      <vt:variant>
        <vt:lpstr>Title</vt:lpstr>
      </vt:variant>
      <vt:variant>
        <vt:i4>1</vt:i4>
      </vt:variant>
    </vt:vector>
  </HeadingPairs>
  <TitlesOfParts>
    <vt:vector size="1" baseType="lpstr">
      <vt:lpstr>Report No</vt:lpstr>
    </vt:vector>
  </TitlesOfParts>
  <Company>The World Bank Group</Company>
  <LinksUpToDate>false</LinksUpToDate>
  <CharactersWithSpaces>361230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No</dc:title>
  <dc:creator>wb164649</dc:creator>
  <cp:lastModifiedBy>Sarosh Sattar</cp:lastModifiedBy>
  <cp:revision>3</cp:revision>
  <cp:lastPrinted>2013-06-03T09:43:00Z</cp:lastPrinted>
  <dcterms:created xsi:type="dcterms:W3CDTF">2013-06-13T13:30:00Z</dcterms:created>
  <dcterms:modified xsi:type="dcterms:W3CDTF">2013-06-13T14:08:00Z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ies>
</file>